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91A2BF" w14:textId="77777777" w:rsidR="005A2EDB" w:rsidRDefault="005E45C3" w:rsidP="005E45C3">
      <w:pPr>
        <w:jc w:val="center"/>
        <w:rPr>
          <w:b/>
          <w:sz w:val="28"/>
        </w:rPr>
      </w:pPr>
      <w:r w:rsidRPr="005E45C3">
        <w:rPr>
          <w:b/>
          <w:sz w:val="28"/>
        </w:rPr>
        <w:t xml:space="preserve">Impact Evaluation </w:t>
      </w:r>
      <w:r w:rsidR="008D1325">
        <w:rPr>
          <w:b/>
          <w:sz w:val="28"/>
        </w:rPr>
        <w:t xml:space="preserve">of the </w:t>
      </w:r>
    </w:p>
    <w:p w14:paraId="5E84E30E" w14:textId="6ABA0432" w:rsidR="005A2EDB" w:rsidRDefault="008D1325" w:rsidP="005E45C3">
      <w:pPr>
        <w:jc w:val="center"/>
        <w:rPr>
          <w:b/>
          <w:sz w:val="28"/>
        </w:rPr>
      </w:pPr>
      <w:r>
        <w:rPr>
          <w:b/>
          <w:sz w:val="28"/>
        </w:rPr>
        <w:t xml:space="preserve">Rwanda Stunting Prevention and Reduction (SPAR) Program </w:t>
      </w:r>
    </w:p>
    <w:p w14:paraId="4E4A22AF" w14:textId="77777777" w:rsidR="005A2EDB" w:rsidRDefault="005A2EDB" w:rsidP="005E45C3">
      <w:pPr>
        <w:jc w:val="center"/>
        <w:rPr>
          <w:b/>
          <w:sz w:val="28"/>
        </w:rPr>
      </w:pPr>
    </w:p>
    <w:p w14:paraId="2ECD7784" w14:textId="3F1FE708" w:rsidR="005E45C3" w:rsidRDefault="005E45C3" w:rsidP="00263697">
      <w:pPr>
        <w:jc w:val="center"/>
      </w:pPr>
      <w:r w:rsidRPr="005E45C3">
        <w:rPr>
          <w:b/>
          <w:sz w:val="28"/>
        </w:rPr>
        <w:t>Concept Note</w:t>
      </w:r>
    </w:p>
    <w:sdt>
      <w:sdtPr>
        <w:rPr>
          <w:rFonts w:asciiTheme="minorHAnsi" w:eastAsiaTheme="minorHAnsi" w:hAnsiTheme="minorHAnsi" w:cstheme="minorBidi"/>
          <w:color w:val="auto"/>
          <w:sz w:val="22"/>
          <w:szCs w:val="22"/>
        </w:rPr>
        <w:id w:val="-2091538156"/>
        <w:docPartObj>
          <w:docPartGallery w:val="Table of Contents"/>
          <w:docPartUnique/>
        </w:docPartObj>
      </w:sdtPr>
      <w:sdtEndPr>
        <w:rPr>
          <w:b/>
          <w:bCs/>
          <w:noProof/>
        </w:rPr>
      </w:sdtEndPr>
      <w:sdtContent>
        <w:p w14:paraId="51442D39" w14:textId="68110491" w:rsidR="00C55B4B" w:rsidRDefault="00C55B4B">
          <w:pPr>
            <w:pStyle w:val="TOCHeading"/>
          </w:pPr>
        </w:p>
        <w:p w14:paraId="689822AB" w14:textId="5D717E12" w:rsidR="00C55B4B" w:rsidRDefault="00C55B4B">
          <w:pPr>
            <w:pStyle w:val="TOC1"/>
            <w:tabs>
              <w:tab w:val="right" w:leader="dot" w:pos="9350"/>
            </w:tabs>
            <w:rPr>
              <w:rFonts w:eastAsiaTheme="minorEastAsia"/>
              <w:noProof/>
            </w:rPr>
          </w:pPr>
          <w:r>
            <w:fldChar w:fldCharType="begin"/>
          </w:r>
          <w:r>
            <w:instrText xml:space="preserve"> TOC \o "1-3" \h \z \u </w:instrText>
          </w:r>
          <w:r>
            <w:fldChar w:fldCharType="separate"/>
          </w:r>
          <w:hyperlink w:anchor="_Toc69728386" w:history="1">
            <w:r w:rsidRPr="00360483">
              <w:rPr>
                <w:rStyle w:val="Hyperlink"/>
                <w:noProof/>
              </w:rPr>
              <w:t>Country context</w:t>
            </w:r>
            <w:r>
              <w:rPr>
                <w:noProof/>
                <w:webHidden/>
              </w:rPr>
              <w:tab/>
            </w:r>
            <w:r>
              <w:rPr>
                <w:noProof/>
                <w:webHidden/>
              </w:rPr>
              <w:fldChar w:fldCharType="begin"/>
            </w:r>
            <w:r>
              <w:rPr>
                <w:noProof/>
                <w:webHidden/>
              </w:rPr>
              <w:instrText xml:space="preserve"> PAGEREF _Toc69728386 \h </w:instrText>
            </w:r>
            <w:r>
              <w:rPr>
                <w:noProof/>
                <w:webHidden/>
              </w:rPr>
            </w:r>
            <w:r>
              <w:rPr>
                <w:noProof/>
                <w:webHidden/>
              </w:rPr>
              <w:fldChar w:fldCharType="separate"/>
            </w:r>
            <w:r>
              <w:rPr>
                <w:noProof/>
                <w:webHidden/>
              </w:rPr>
              <w:t>3</w:t>
            </w:r>
            <w:r>
              <w:rPr>
                <w:noProof/>
                <w:webHidden/>
              </w:rPr>
              <w:fldChar w:fldCharType="end"/>
            </w:r>
          </w:hyperlink>
        </w:p>
        <w:p w14:paraId="2F76F4EE" w14:textId="34473D67" w:rsidR="00C55B4B" w:rsidRDefault="00603187">
          <w:pPr>
            <w:pStyle w:val="TOC1"/>
            <w:tabs>
              <w:tab w:val="right" w:leader="dot" w:pos="9350"/>
            </w:tabs>
            <w:rPr>
              <w:rFonts w:eastAsiaTheme="minorEastAsia"/>
              <w:noProof/>
            </w:rPr>
          </w:pPr>
          <w:hyperlink w:anchor="_Toc69728387" w:history="1">
            <w:r w:rsidR="00C55B4B" w:rsidRPr="00360483">
              <w:rPr>
                <w:rStyle w:val="Hyperlink"/>
                <w:noProof/>
              </w:rPr>
              <w:t>Rationale for program activities</w:t>
            </w:r>
            <w:r w:rsidR="00C55B4B">
              <w:rPr>
                <w:noProof/>
                <w:webHidden/>
              </w:rPr>
              <w:tab/>
            </w:r>
            <w:r w:rsidR="00C55B4B">
              <w:rPr>
                <w:noProof/>
                <w:webHidden/>
              </w:rPr>
              <w:fldChar w:fldCharType="begin"/>
            </w:r>
            <w:r w:rsidR="00C55B4B">
              <w:rPr>
                <w:noProof/>
                <w:webHidden/>
              </w:rPr>
              <w:instrText xml:space="preserve"> PAGEREF _Toc69728387 \h </w:instrText>
            </w:r>
            <w:r w:rsidR="00C55B4B">
              <w:rPr>
                <w:noProof/>
                <w:webHidden/>
              </w:rPr>
            </w:r>
            <w:r w:rsidR="00C55B4B">
              <w:rPr>
                <w:noProof/>
                <w:webHidden/>
              </w:rPr>
              <w:fldChar w:fldCharType="separate"/>
            </w:r>
            <w:r w:rsidR="00C55B4B">
              <w:rPr>
                <w:noProof/>
                <w:webHidden/>
              </w:rPr>
              <w:t>4</w:t>
            </w:r>
            <w:r w:rsidR="00C55B4B">
              <w:rPr>
                <w:noProof/>
                <w:webHidden/>
              </w:rPr>
              <w:fldChar w:fldCharType="end"/>
            </w:r>
          </w:hyperlink>
        </w:p>
        <w:p w14:paraId="019F1D24" w14:textId="2F61C71B" w:rsidR="00C55B4B" w:rsidRDefault="00603187">
          <w:pPr>
            <w:pStyle w:val="TOC1"/>
            <w:tabs>
              <w:tab w:val="right" w:leader="dot" w:pos="9350"/>
            </w:tabs>
            <w:rPr>
              <w:rFonts w:eastAsiaTheme="minorEastAsia"/>
              <w:noProof/>
            </w:rPr>
          </w:pPr>
          <w:hyperlink w:anchor="_Toc69728388" w:history="1">
            <w:r w:rsidR="00C55B4B" w:rsidRPr="00360483">
              <w:rPr>
                <w:rStyle w:val="Hyperlink"/>
                <w:noProof/>
              </w:rPr>
              <w:t>Description of program activities</w:t>
            </w:r>
            <w:r w:rsidR="00C55B4B">
              <w:rPr>
                <w:noProof/>
                <w:webHidden/>
              </w:rPr>
              <w:tab/>
            </w:r>
            <w:r w:rsidR="00C55B4B">
              <w:rPr>
                <w:noProof/>
                <w:webHidden/>
              </w:rPr>
              <w:fldChar w:fldCharType="begin"/>
            </w:r>
            <w:r w:rsidR="00C55B4B">
              <w:rPr>
                <w:noProof/>
                <w:webHidden/>
              </w:rPr>
              <w:instrText xml:space="preserve"> PAGEREF _Toc69728388 \h </w:instrText>
            </w:r>
            <w:r w:rsidR="00C55B4B">
              <w:rPr>
                <w:noProof/>
                <w:webHidden/>
              </w:rPr>
            </w:r>
            <w:r w:rsidR="00C55B4B">
              <w:rPr>
                <w:noProof/>
                <w:webHidden/>
              </w:rPr>
              <w:fldChar w:fldCharType="separate"/>
            </w:r>
            <w:r w:rsidR="00C55B4B">
              <w:rPr>
                <w:noProof/>
                <w:webHidden/>
              </w:rPr>
              <w:t>5</w:t>
            </w:r>
            <w:r w:rsidR="00C55B4B">
              <w:rPr>
                <w:noProof/>
                <w:webHidden/>
              </w:rPr>
              <w:fldChar w:fldCharType="end"/>
            </w:r>
          </w:hyperlink>
        </w:p>
        <w:p w14:paraId="502D96EA" w14:textId="38731D00" w:rsidR="00C55B4B" w:rsidRDefault="00603187">
          <w:pPr>
            <w:pStyle w:val="TOC1"/>
            <w:tabs>
              <w:tab w:val="right" w:leader="dot" w:pos="9350"/>
            </w:tabs>
            <w:rPr>
              <w:rFonts w:eastAsiaTheme="minorEastAsia"/>
              <w:noProof/>
            </w:rPr>
          </w:pPr>
          <w:hyperlink w:anchor="_Toc69728389" w:history="1">
            <w:r w:rsidR="00C55B4B" w:rsidRPr="00360483">
              <w:rPr>
                <w:rStyle w:val="Hyperlink"/>
                <w:noProof/>
              </w:rPr>
              <w:t>Evaluation questions</w:t>
            </w:r>
            <w:r w:rsidR="00C55B4B">
              <w:rPr>
                <w:noProof/>
                <w:webHidden/>
              </w:rPr>
              <w:tab/>
            </w:r>
            <w:r w:rsidR="00C55B4B">
              <w:rPr>
                <w:noProof/>
                <w:webHidden/>
              </w:rPr>
              <w:fldChar w:fldCharType="begin"/>
            </w:r>
            <w:r w:rsidR="00C55B4B">
              <w:rPr>
                <w:noProof/>
                <w:webHidden/>
              </w:rPr>
              <w:instrText xml:space="preserve"> PAGEREF _Toc69728389 \h </w:instrText>
            </w:r>
            <w:r w:rsidR="00C55B4B">
              <w:rPr>
                <w:noProof/>
                <w:webHidden/>
              </w:rPr>
            </w:r>
            <w:r w:rsidR="00C55B4B">
              <w:rPr>
                <w:noProof/>
                <w:webHidden/>
              </w:rPr>
              <w:fldChar w:fldCharType="separate"/>
            </w:r>
            <w:r w:rsidR="00C55B4B">
              <w:rPr>
                <w:noProof/>
                <w:webHidden/>
              </w:rPr>
              <w:t>9</w:t>
            </w:r>
            <w:r w:rsidR="00C55B4B">
              <w:rPr>
                <w:noProof/>
                <w:webHidden/>
              </w:rPr>
              <w:fldChar w:fldCharType="end"/>
            </w:r>
          </w:hyperlink>
        </w:p>
        <w:p w14:paraId="48B7F7EA" w14:textId="54AA9261" w:rsidR="00C55B4B" w:rsidRDefault="00603187">
          <w:pPr>
            <w:pStyle w:val="TOC1"/>
            <w:tabs>
              <w:tab w:val="right" w:leader="dot" w:pos="9350"/>
            </w:tabs>
            <w:rPr>
              <w:rFonts w:eastAsiaTheme="minorEastAsia"/>
              <w:noProof/>
            </w:rPr>
          </w:pPr>
          <w:hyperlink w:anchor="_Toc69728394" w:history="1">
            <w:r w:rsidR="00C55B4B" w:rsidRPr="00360483">
              <w:rPr>
                <w:rStyle w:val="Hyperlink"/>
                <w:noProof/>
              </w:rPr>
              <w:t>Proposed evaluation design</w:t>
            </w:r>
            <w:r w:rsidR="00C55B4B">
              <w:rPr>
                <w:noProof/>
                <w:webHidden/>
              </w:rPr>
              <w:tab/>
            </w:r>
            <w:r w:rsidR="00C55B4B">
              <w:rPr>
                <w:noProof/>
                <w:webHidden/>
              </w:rPr>
              <w:fldChar w:fldCharType="begin"/>
            </w:r>
            <w:r w:rsidR="00C55B4B">
              <w:rPr>
                <w:noProof/>
                <w:webHidden/>
              </w:rPr>
              <w:instrText xml:space="preserve"> PAGEREF _Toc69728394 \h </w:instrText>
            </w:r>
            <w:r w:rsidR="00C55B4B">
              <w:rPr>
                <w:noProof/>
                <w:webHidden/>
              </w:rPr>
            </w:r>
            <w:r w:rsidR="00C55B4B">
              <w:rPr>
                <w:noProof/>
                <w:webHidden/>
              </w:rPr>
              <w:fldChar w:fldCharType="separate"/>
            </w:r>
            <w:r w:rsidR="00C55B4B">
              <w:rPr>
                <w:noProof/>
                <w:webHidden/>
              </w:rPr>
              <w:t>10</w:t>
            </w:r>
            <w:r w:rsidR="00C55B4B">
              <w:rPr>
                <w:noProof/>
                <w:webHidden/>
              </w:rPr>
              <w:fldChar w:fldCharType="end"/>
            </w:r>
          </w:hyperlink>
        </w:p>
        <w:p w14:paraId="54AEA180" w14:textId="5AFD6CC1" w:rsidR="00C55B4B" w:rsidRDefault="00603187">
          <w:pPr>
            <w:pStyle w:val="TOC1"/>
            <w:tabs>
              <w:tab w:val="right" w:leader="dot" w:pos="9350"/>
            </w:tabs>
            <w:rPr>
              <w:rFonts w:eastAsiaTheme="minorEastAsia"/>
              <w:noProof/>
            </w:rPr>
          </w:pPr>
          <w:hyperlink w:anchor="_Toc69728395" w:history="1">
            <w:r w:rsidR="00C55B4B" w:rsidRPr="00360483">
              <w:rPr>
                <w:rStyle w:val="Hyperlink"/>
                <w:noProof/>
              </w:rPr>
              <w:t>Study size necessary for sufficient power</w:t>
            </w:r>
            <w:r w:rsidR="00C55B4B">
              <w:rPr>
                <w:noProof/>
                <w:webHidden/>
              </w:rPr>
              <w:tab/>
            </w:r>
            <w:r w:rsidR="00C55B4B">
              <w:rPr>
                <w:noProof/>
                <w:webHidden/>
              </w:rPr>
              <w:fldChar w:fldCharType="begin"/>
            </w:r>
            <w:r w:rsidR="00C55B4B">
              <w:rPr>
                <w:noProof/>
                <w:webHidden/>
              </w:rPr>
              <w:instrText xml:space="preserve"> PAGEREF _Toc69728395 \h </w:instrText>
            </w:r>
            <w:r w:rsidR="00C55B4B">
              <w:rPr>
                <w:noProof/>
                <w:webHidden/>
              </w:rPr>
            </w:r>
            <w:r w:rsidR="00C55B4B">
              <w:rPr>
                <w:noProof/>
                <w:webHidden/>
              </w:rPr>
              <w:fldChar w:fldCharType="separate"/>
            </w:r>
            <w:r w:rsidR="00C55B4B">
              <w:rPr>
                <w:noProof/>
                <w:webHidden/>
              </w:rPr>
              <w:t>12</w:t>
            </w:r>
            <w:r w:rsidR="00C55B4B">
              <w:rPr>
                <w:noProof/>
                <w:webHidden/>
              </w:rPr>
              <w:fldChar w:fldCharType="end"/>
            </w:r>
          </w:hyperlink>
        </w:p>
        <w:p w14:paraId="4A768F01" w14:textId="54AF4043" w:rsidR="00C55B4B" w:rsidRDefault="00603187">
          <w:pPr>
            <w:pStyle w:val="TOC1"/>
            <w:tabs>
              <w:tab w:val="right" w:leader="dot" w:pos="9350"/>
            </w:tabs>
            <w:rPr>
              <w:rFonts w:eastAsiaTheme="minorEastAsia"/>
              <w:noProof/>
            </w:rPr>
          </w:pPr>
          <w:hyperlink w:anchor="_Toc69728396" w:history="1">
            <w:r w:rsidR="00C55B4B" w:rsidRPr="00360483">
              <w:rPr>
                <w:rStyle w:val="Hyperlink"/>
                <w:noProof/>
              </w:rPr>
              <w:t>Data needs and data plan</w:t>
            </w:r>
            <w:r w:rsidR="00C55B4B">
              <w:rPr>
                <w:noProof/>
                <w:webHidden/>
              </w:rPr>
              <w:tab/>
            </w:r>
            <w:r w:rsidR="00C55B4B">
              <w:rPr>
                <w:noProof/>
                <w:webHidden/>
              </w:rPr>
              <w:fldChar w:fldCharType="begin"/>
            </w:r>
            <w:r w:rsidR="00C55B4B">
              <w:rPr>
                <w:noProof/>
                <w:webHidden/>
              </w:rPr>
              <w:instrText xml:space="preserve"> PAGEREF _Toc69728396 \h </w:instrText>
            </w:r>
            <w:r w:rsidR="00C55B4B">
              <w:rPr>
                <w:noProof/>
                <w:webHidden/>
              </w:rPr>
            </w:r>
            <w:r w:rsidR="00C55B4B">
              <w:rPr>
                <w:noProof/>
                <w:webHidden/>
              </w:rPr>
              <w:fldChar w:fldCharType="separate"/>
            </w:r>
            <w:r w:rsidR="00C55B4B">
              <w:rPr>
                <w:noProof/>
                <w:webHidden/>
              </w:rPr>
              <w:t>15</w:t>
            </w:r>
            <w:r w:rsidR="00C55B4B">
              <w:rPr>
                <w:noProof/>
                <w:webHidden/>
              </w:rPr>
              <w:fldChar w:fldCharType="end"/>
            </w:r>
          </w:hyperlink>
        </w:p>
        <w:p w14:paraId="4158FB98" w14:textId="371B0508" w:rsidR="00C55B4B" w:rsidRDefault="00603187">
          <w:pPr>
            <w:pStyle w:val="TOC2"/>
            <w:tabs>
              <w:tab w:val="right" w:leader="dot" w:pos="9350"/>
            </w:tabs>
            <w:rPr>
              <w:rFonts w:eastAsiaTheme="minorEastAsia"/>
              <w:noProof/>
            </w:rPr>
          </w:pPr>
          <w:hyperlink w:anchor="_Toc69728397" w:history="1">
            <w:r w:rsidR="00C55B4B" w:rsidRPr="00360483">
              <w:rPr>
                <w:rStyle w:val="Hyperlink"/>
                <w:noProof/>
              </w:rPr>
              <w:t>Key measures of interest</w:t>
            </w:r>
            <w:r w:rsidR="00C55B4B">
              <w:rPr>
                <w:noProof/>
                <w:webHidden/>
              </w:rPr>
              <w:tab/>
            </w:r>
            <w:r w:rsidR="00C55B4B">
              <w:rPr>
                <w:noProof/>
                <w:webHidden/>
              </w:rPr>
              <w:fldChar w:fldCharType="begin"/>
            </w:r>
            <w:r w:rsidR="00C55B4B">
              <w:rPr>
                <w:noProof/>
                <w:webHidden/>
              </w:rPr>
              <w:instrText xml:space="preserve"> PAGEREF _Toc69728397 \h </w:instrText>
            </w:r>
            <w:r w:rsidR="00C55B4B">
              <w:rPr>
                <w:noProof/>
                <w:webHidden/>
              </w:rPr>
            </w:r>
            <w:r w:rsidR="00C55B4B">
              <w:rPr>
                <w:noProof/>
                <w:webHidden/>
              </w:rPr>
              <w:fldChar w:fldCharType="separate"/>
            </w:r>
            <w:r w:rsidR="00C55B4B">
              <w:rPr>
                <w:noProof/>
                <w:webHidden/>
              </w:rPr>
              <w:t>15</w:t>
            </w:r>
            <w:r w:rsidR="00C55B4B">
              <w:rPr>
                <w:noProof/>
                <w:webHidden/>
              </w:rPr>
              <w:fldChar w:fldCharType="end"/>
            </w:r>
          </w:hyperlink>
        </w:p>
        <w:p w14:paraId="0DB8D515" w14:textId="38979ED6" w:rsidR="00C55B4B" w:rsidRDefault="00603187">
          <w:pPr>
            <w:pStyle w:val="TOC2"/>
            <w:tabs>
              <w:tab w:val="right" w:leader="dot" w:pos="9350"/>
            </w:tabs>
            <w:rPr>
              <w:rFonts w:eastAsiaTheme="minorEastAsia"/>
              <w:noProof/>
            </w:rPr>
          </w:pPr>
          <w:hyperlink w:anchor="_Toc69728398" w:history="1">
            <w:r w:rsidR="00C55B4B" w:rsidRPr="00360483">
              <w:rPr>
                <w:rStyle w:val="Hyperlink"/>
                <w:noProof/>
              </w:rPr>
              <w:t>Data sources</w:t>
            </w:r>
            <w:r w:rsidR="00C55B4B">
              <w:rPr>
                <w:noProof/>
                <w:webHidden/>
              </w:rPr>
              <w:tab/>
            </w:r>
            <w:r w:rsidR="00C55B4B">
              <w:rPr>
                <w:noProof/>
                <w:webHidden/>
              </w:rPr>
              <w:fldChar w:fldCharType="begin"/>
            </w:r>
            <w:r w:rsidR="00C55B4B">
              <w:rPr>
                <w:noProof/>
                <w:webHidden/>
              </w:rPr>
              <w:instrText xml:space="preserve"> PAGEREF _Toc69728398 \h </w:instrText>
            </w:r>
            <w:r w:rsidR="00C55B4B">
              <w:rPr>
                <w:noProof/>
                <w:webHidden/>
              </w:rPr>
            </w:r>
            <w:r w:rsidR="00C55B4B">
              <w:rPr>
                <w:noProof/>
                <w:webHidden/>
              </w:rPr>
              <w:fldChar w:fldCharType="separate"/>
            </w:r>
            <w:r w:rsidR="00C55B4B">
              <w:rPr>
                <w:noProof/>
                <w:webHidden/>
              </w:rPr>
              <w:t>16</w:t>
            </w:r>
            <w:r w:rsidR="00C55B4B">
              <w:rPr>
                <w:noProof/>
                <w:webHidden/>
              </w:rPr>
              <w:fldChar w:fldCharType="end"/>
            </w:r>
          </w:hyperlink>
        </w:p>
        <w:p w14:paraId="06D33876" w14:textId="7CF42066" w:rsidR="00C55B4B" w:rsidRDefault="00603187">
          <w:pPr>
            <w:pStyle w:val="TOC2"/>
            <w:tabs>
              <w:tab w:val="right" w:leader="dot" w:pos="9350"/>
            </w:tabs>
            <w:rPr>
              <w:rFonts w:eastAsiaTheme="minorEastAsia"/>
              <w:noProof/>
            </w:rPr>
          </w:pPr>
          <w:hyperlink w:anchor="_Toc69728399" w:history="1">
            <w:r w:rsidR="00C55B4B" w:rsidRPr="00360483">
              <w:rPr>
                <w:rStyle w:val="Hyperlink"/>
                <w:noProof/>
              </w:rPr>
              <w:t>Primary data collection</w:t>
            </w:r>
            <w:r w:rsidR="00C55B4B">
              <w:rPr>
                <w:noProof/>
                <w:webHidden/>
              </w:rPr>
              <w:tab/>
            </w:r>
            <w:r w:rsidR="00C55B4B">
              <w:rPr>
                <w:noProof/>
                <w:webHidden/>
              </w:rPr>
              <w:fldChar w:fldCharType="begin"/>
            </w:r>
            <w:r w:rsidR="00C55B4B">
              <w:rPr>
                <w:noProof/>
                <w:webHidden/>
              </w:rPr>
              <w:instrText xml:space="preserve"> PAGEREF _Toc69728399 \h </w:instrText>
            </w:r>
            <w:r w:rsidR="00C55B4B">
              <w:rPr>
                <w:noProof/>
                <w:webHidden/>
              </w:rPr>
            </w:r>
            <w:r w:rsidR="00C55B4B">
              <w:rPr>
                <w:noProof/>
                <w:webHidden/>
              </w:rPr>
              <w:fldChar w:fldCharType="separate"/>
            </w:r>
            <w:r w:rsidR="00C55B4B">
              <w:rPr>
                <w:noProof/>
                <w:webHidden/>
              </w:rPr>
              <w:t>16</w:t>
            </w:r>
            <w:r w:rsidR="00C55B4B">
              <w:rPr>
                <w:noProof/>
                <w:webHidden/>
              </w:rPr>
              <w:fldChar w:fldCharType="end"/>
            </w:r>
          </w:hyperlink>
        </w:p>
        <w:p w14:paraId="7029B253" w14:textId="192CFF90" w:rsidR="00C55B4B" w:rsidRDefault="005F5E3D">
          <w:pPr>
            <w:pStyle w:val="TOC1"/>
            <w:tabs>
              <w:tab w:val="right" w:leader="dot" w:pos="9350"/>
            </w:tabs>
            <w:rPr>
              <w:rFonts w:eastAsiaTheme="minorEastAsia"/>
              <w:noProof/>
            </w:rPr>
          </w:pPr>
          <w:r w:rsidRPr="005F5E3D">
            <w:rPr>
              <w:rStyle w:val="Hyperlink"/>
              <w:noProof/>
              <w:u w:val="none"/>
            </w:rPr>
            <w:t xml:space="preserve">    </w:t>
          </w:r>
          <w:hyperlink w:anchor="_Toc69728400" w:history="1">
            <w:r w:rsidR="00C55B4B" w:rsidRPr="00360483">
              <w:rPr>
                <w:rStyle w:val="Hyperlink"/>
                <w:noProof/>
              </w:rPr>
              <w:t>Timeline</w:t>
            </w:r>
            <w:r w:rsidR="00C55B4B">
              <w:rPr>
                <w:noProof/>
                <w:webHidden/>
              </w:rPr>
              <w:tab/>
            </w:r>
            <w:r w:rsidR="00C55B4B">
              <w:rPr>
                <w:noProof/>
                <w:webHidden/>
              </w:rPr>
              <w:fldChar w:fldCharType="begin"/>
            </w:r>
            <w:r w:rsidR="00C55B4B">
              <w:rPr>
                <w:noProof/>
                <w:webHidden/>
              </w:rPr>
              <w:instrText xml:space="preserve"> PAGEREF _Toc69728400 \h </w:instrText>
            </w:r>
            <w:r w:rsidR="00C55B4B">
              <w:rPr>
                <w:noProof/>
                <w:webHidden/>
              </w:rPr>
            </w:r>
            <w:r w:rsidR="00C55B4B">
              <w:rPr>
                <w:noProof/>
                <w:webHidden/>
              </w:rPr>
              <w:fldChar w:fldCharType="separate"/>
            </w:r>
            <w:r w:rsidR="00C55B4B">
              <w:rPr>
                <w:noProof/>
                <w:webHidden/>
              </w:rPr>
              <w:t>18</w:t>
            </w:r>
            <w:r w:rsidR="00C55B4B">
              <w:rPr>
                <w:noProof/>
                <w:webHidden/>
              </w:rPr>
              <w:fldChar w:fldCharType="end"/>
            </w:r>
          </w:hyperlink>
        </w:p>
        <w:p w14:paraId="0AAB017B" w14:textId="42349F62" w:rsidR="00C55B4B" w:rsidRDefault="00603187">
          <w:pPr>
            <w:pStyle w:val="TOC2"/>
            <w:tabs>
              <w:tab w:val="right" w:leader="dot" w:pos="9350"/>
            </w:tabs>
            <w:rPr>
              <w:rFonts w:eastAsiaTheme="minorEastAsia"/>
              <w:noProof/>
            </w:rPr>
          </w:pPr>
          <w:hyperlink w:anchor="_Toc69728401" w:history="1">
            <w:r w:rsidR="00C55B4B" w:rsidRPr="00360483">
              <w:rPr>
                <w:rStyle w:val="Hyperlink"/>
                <w:noProof/>
              </w:rPr>
              <w:t>Additional data collection</w:t>
            </w:r>
            <w:r w:rsidR="00C55B4B">
              <w:rPr>
                <w:noProof/>
                <w:webHidden/>
              </w:rPr>
              <w:tab/>
            </w:r>
            <w:r w:rsidR="00C55B4B">
              <w:rPr>
                <w:noProof/>
                <w:webHidden/>
              </w:rPr>
              <w:fldChar w:fldCharType="begin"/>
            </w:r>
            <w:r w:rsidR="00C55B4B">
              <w:rPr>
                <w:noProof/>
                <w:webHidden/>
              </w:rPr>
              <w:instrText xml:space="preserve"> PAGEREF _Toc69728401 \h </w:instrText>
            </w:r>
            <w:r w:rsidR="00C55B4B">
              <w:rPr>
                <w:noProof/>
                <w:webHidden/>
              </w:rPr>
            </w:r>
            <w:r w:rsidR="00C55B4B">
              <w:rPr>
                <w:noProof/>
                <w:webHidden/>
              </w:rPr>
              <w:fldChar w:fldCharType="separate"/>
            </w:r>
            <w:r w:rsidR="00C55B4B">
              <w:rPr>
                <w:noProof/>
                <w:webHidden/>
              </w:rPr>
              <w:t>18</w:t>
            </w:r>
            <w:r w:rsidR="00C55B4B">
              <w:rPr>
                <w:noProof/>
                <w:webHidden/>
              </w:rPr>
              <w:fldChar w:fldCharType="end"/>
            </w:r>
          </w:hyperlink>
        </w:p>
        <w:p w14:paraId="5D6491BD" w14:textId="1B195E82" w:rsidR="00C55B4B" w:rsidRDefault="00603187">
          <w:pPr>
            <w:pStyle w:val="TOC1"/>
            <w:tabs>
              <w:tab w:val="right" w:leader="dot" w:pos="9350"/>
            </w:tabs>
            <w:rPr>
              <w:rFonts w:eastAsiaTheme="minorEastAsia"/>
              <w:noProof/>
            </w:rPr>
          </w:pPr>
          <w:hyperlink w:anchor="_Toc69728402" w:history="1">
            <w:r w:rsidR="00C55B4B" w:rsidRPr="00360483">
              <w:rPr>
                <w:rStyle w:val="Hyperlink"/>
                <w:noProof/>
              </w:rPr>
              <w:t>Process evaluation</w:t>
            </w:r>
            <w:r w:rsidR="00C55B4B">
              <w:rPr>
                <w:noProof/>
                <w:webHidden/>
              </w:rPr>
              <w:tab/>
            </w:r>
            <w:r w:rsidR="00C55B4B">
              <w:rPr>
                <w:noProof/>
                <w:webHidden/>
              </w:rPr>
              <w:fldChar w:fldCharType="begin"/>
            </w:r>
            <w:r w:rsidR="00C55B4B">
              <w:rPr>
                <w:noProof/>
                <w:webHidden/>
              </w:rPr>
              <w:instrText xml:space="preserve"> PAGEREF _Toc69728402 \h </w:instrText>
            </w:r>
            <w:r w:rsidR="00C55B4B">
              <w:rPr>
                <w:noProof/>
                <w:webHidden/>
              </w:rPr>
            </w:r>
            <w:r w:rsidR="00C55B4B">
              <w:rPr>
                <w:noProof/>
                <w:webHidden/>
              </w:rPr>
              <w:fldChar w:fldCharType="separate"/>
            </w:r>
            <w:r w:rsidR="00C55B4B">
              <w:rPr>
                <w:noProof/>
                <w:webHidden/>
              </w:rPr>
              <w:t>19</w:t>
            </w:r>
            <w:r w:rsidR="00C55B4B">
              <w:rPr>
                <w:noProof/>
                <w:webHidden/>
              </w:rPr>
              <w:fldChar w:fldCharType="end"/>
            </w:r>
          </w:hyperlink>
        </w:p>
        <w:p w14:paraId="7637F97E" w14:textId="6E6C1F36" w:rsidR="00C55B4B" w:rsidRDefault="00603187">
          <w:pPr>
            <w:pStyle w:val="TOC1"/>
            <w:tabs>
              <w:tab w:val="right" w:leader="dot" w:pos="9350"/>
            </w:tabs>
            <w:rPr>
              <w:rFonts w:eastAsiaTheme="minorEastAsia"/>
              <w:noProof/>
            </w:rPr>
          </w:pPr>
          <w:hyperlink w:anchor="_Toc69728403" w:history="1">
            <w:r w:rsidR="00C55B4B" w:rsidRPr="00360483">
              <w:rPr>
                <w:rStyle w:val="Hyperlink"/>
                <w:noProof/>
              </w:rPr>
              <w:t>Study risks and mitigation of risks</w:t>
            </w:r>
            <w:r w:rsidR="00C55B4B">
              <w:rPr>
                <w:noProof/>
                <w:webHidden/>
              </w:rPr>
              <w:tab/>
            </w:r>
            <w:r w:rsidR="00C55B4B">
              <w:rPr>
                <w:noProof/>
                <w:webHidden/>
              </w:rPr>
              <w:fldChar w:fldCharType="begin"/>
            </w:r>
            <w:r w:rsidR="00C55B4B">
              <w:rPr>
                <w:noProof/>
                <w:webHidden/>
              </w:rPr>
              <w:instrText xml:space="preserve"> PAGEREF _Toc69728403 \h </w:instrText>
            </w:r>
            <w:r w:rsidR="00C55B4B">
              <w:rPr>
                <w:noProof/>
                <w:webHidden/>
              </w:rPr>
            </w:r>
            <w:r w:rsidR="00C55B4B">
              <w:rPr>
                <w:noProof/>
                <w:webHidden/>
              </w:rPr>
              <w:fldChar w:fldCharType="separate"/>
            </w:r>
            <w:r w:rsidR="00C55B4B">
              <w:rPr>
                <w:noProof/>
                <w:webHidden/>
              </w:rPr>
              <w:t>20</w:t>
            </w:r>
            <w:r w:rsidR="00C55B4B">
              <w:rPr>
                <w:noProof/>
                <w:webHidden/>
              </w:rPr>
              <w:fldChar w:fldCharType="end"/>
            </w:r>
          </w:hyperlink>
        </w:p>
        <w:p w14:paraId="5C6B3DF3" w14:textId="102F1C4B" w:rsidR="00C55B4B" w:rsidRDefault="00603187">
          <w:pPr>
            <w:pStyle w:val="TOC1"/>
            <w:tabs>
              <w:tab w:val="right" w:leader="dot" w:pos="9350"/>
            </w:tabs>
            <w:rPr>
              <w:rFonts w:eastAsiaTheme="minorEastAsia"/>
              <w:noProof/>
            </w:rPr>
          </w:pPr>
          <w:hyperlink w:anchor="_Toc69728404" w:history="1">
            <w:r w:rsidR="00C55B4B" w:rsidRPr="00360483">
              <w:rPr>
                <w:rStyle w:val="Hyperlink"/>
                <w:noProof/>
              </w:rPr>
              <w:t>Evaluation team</w:t>
            </w:r>
            <w:r w:rsidR="00C55B4B">
              <w:rPr>
                <w:noProof/>
                <w:webHidden/>
              </w:rPr>
              <w:tab/>
            </w:r>
            <w:r w:rsidR="00C55B4B">
              <w:rPr>
                <w:noProof/>
                <w:webHidden/>
              </w:rPr>
              <w:fldChar w:fldCharType="begin"/>
            </w:r>
            <w:r w:rsidR="00C55B4B">
              <w:rPr>
                <w:noProof/>
                <w:webHidden/>
              </w:rPr>
              <w:instrText xml:space="preserve"> PAGEREF _Toc69728404 \h </w:instrText>
            </w:r>
            <w:r w:rsidR="00C55B4B">
              <w:rPr>
                <w:noProof/>
                <w:webHidden/>
              </w:rPr>
            </w:r>
            <w:r w:rsidR="00C55B4B">
              <w:rPr>
                <w:noProof/>
                <w:webHidden/>
              </w:rPr>
              <w:fldChar w:fldCharType="separate"/>
            </w:r>
            <w:r w:rsidR="00C55B4B">
              <w:rPr>
                <w:noProof/>
                <w:webHidden/>
              </w:rPr>
              <w:t>21</w:t>
            </w:r>
            <w:r w:rsidR="00C55B4B">
              <w:rPr>
                <w:noProof/>
                <w:webHidden/>
              </w:rPr>
              <w:fldChar w:fldCharType="end"/>
            </w:r>
          </w:hyperlink>
        </w:p>
        <w:p w14:paraId="193471C4" w14:textId="2B057C23" w:rsidR="00C55B4B" w:rsidRDefault="00603187">
          <w:pPr>
            <w:pStyle w:val="TOC1"/>
            <w:tabs>
              <w:tab w:val="right" w:leader="dot" w:pos="9350"/>
            </w:tabs>
            <w:rPr>
              <w:rFonts w:eastAsiaTheme="minorEastAsia"/>
              <w:noProof/>
            </w:rPr>
          </w:pPr>
          <w:hyperlink w:anchor="_Toc69728405" w:history="1">
            <w:r w:rsidR="00C55B4B" w:rsidRPr="00360483">
              <w:rPr>
                <w:rStyle w:val="Hyperlink"/>
                <w:noProof/>
              </w:rPr>
              <w:t>Annex 1: Detailed program descriptions</w:t>
            </w:r>
            <w:r w:rsidR="00C55B4B">
              <w:rPr>
                <w:noProof/>
                <w:webHidden/>
              </w:rPr>
              <w:tab/>
            </w:r>
            <w:r w:rsidR="00C55B4B">
              <w:rPr>
                <w:noProof/>
                <w:webHidden/>
              </w:rPr>
              <w:fldChar w:fldCharType="begin"/>
            </w:r>
            <w:r w:rsidR="00C55B4B">
              <w:rPr>
                <w:noProof/>
                <w:webHidden/>
              </w:rPr>
              <w:instrText xml:space="preserve"> PAGEREF _Toc69728405 \h </w:instrText>
            </w:r>
            <w:r w:rsidR="00C55B4B">
              <w:rPr>
                <w:noProof/>
                <w:webHidden/>
              </w:rPr>
            </w:r>
            <w:r w:rsidR="00C55B4B">
              <w:rPr>
                <w:noProof/>
                <w:webHidden/>
              </w:rPr>
              <w:fldChar w:fldCharType="separate"/>
            </w:r>
            <w:r w:rsidR="00C55B4B">
              <w:rPr>
                <w:noProof/>
                <w:webHidden/>
              </w:rPr>
              <w:t>22</w:t>
            </w:r>
            <w:r w:rsidR="00C55B4B">
              <w:rPr>
                <w:noProof/>
                <w:webHidden/>
              </w:rPr>
              <w:fldChar w:fldCharType="end"/>
            </w:r>
          </w:hyperlink>
        </w:p>
        <w:p w14:paraId="0BFD218E" w14:textId="50AFCE45" w:rsidR="00C55B4B" w:rsidRDefault="00603187">
          <w:pPr>
            <w:pStyle w:val="TOC2"/>
            <w:tabs>
              <w:tab w:val="right" w:leader="dot" w:pos="9350"/>
            </w:tabs>
            <w:rPr>
              <w:rFonts w:eastAsiaTheme="minorEastAsia"/>
              <w:noProof/>
            </w:rPr>
          </w:pPr>
          <w:hyperlink w:anchor="_Toc69728406" w:history="1">
            <w:r w:rsidR="00C55B4B" w:rsidRPr="00360483">
              <w:rPr>
                <w:rStyle w:val="Hyperlink"/>
                <w:noProof/>
              </w:rPr>
              <w:t>The Stunting Prevention and Reduction Project (SPRP)</w:t>
            </w:r>
            <w:r w:rsidR="00C55B4B">
              <w:rPr>
                <w:noProof/>
                <w:webHidden/>
              </w:rPr>
              <w:tab/>
            </w:r>
            <w:r w:rsidR="00C55B4B">
              <w:rPr>
                <w:noProof/>
                <w:webHidden/>
              </w:rPr>
              <w:fldChar w:fldCharType="begin"/>
            </w:r>
            <w:r w:rsidR="00C55B4B">
              <w:rPr>
                <w:noProof/>
                <w:webHidden/>
              </w:rPr>
              <w:instrText xml:space="preserve"> PAGEREF _Toc69728406 \h </w:instrText>
            </w:r>
            <w:r w:rsidR="00C55B4B">
              <w:rPr>
                <w:noProof/>
                <w:webHidden/>
              </w:rPr>
            </w:r>
            <w:r w:rsidR="00C55B4B">
              <w:rPr>
                <w:noProof/>
                <w:webHidden/>
              </w:rPr>
              <w:fldChar w:fldCharType="separate"/>
            </w:r>
            <w:r w:rsidR="00C55B4B">
              <w:rPr>
                <w:noProof/>
                <w:webHidden/>
              </w:rPr>
              <w:t>22</w:t>
            </w:r>
            <w:r w:rsidR="00C55B4B">
              <w:rPr>
                <w:noProof/>
                <w:webHidden/>
              </w:rPr>
              <w:fldChar w:fldCharType="end"/>
            </w:r>
          </w:hyperlink>
        </w:p>
        <w:p w14:paraId="69BC9F11" w14:textId="5EFDF69E" w:rsidR="00C55B4B" w:rsidRDefault="00603187">
          <w:pPr>
            <w:pStyle w:val="TOC2"/>
            <w:tabs>
              <w:tab w:val="right" w:leader="dot" w:pos="9350"/>
            </w:tabs>
            <w:rPr>
              <w:rFonts w:eastAsiaTheme="minorEastAsia"/>
              <w:noProof/>
            </w:rPr>
          </w:pPr>
          <w:hyperlink w:anchor="_Toc69728409" w:history="1">
            <w:r w:rsidR="00C55B4B" w:rsidRPr="00360483">
              <w:rPr>
                <w:rStyle w:val="Hyperlink"/>
                <w:noProof/>
              </w:rPr>
              <w:t>The Strengthening Social Protection (SSP) Project</w:t>
            </w:r>
            <w:r w:rsidR="00C55B4B">
              <w:rPr>
                <w:noProof/>
                <w:webHidden/>
              </w:rPr>
              <w:tab/>
            </w:r>
            <w:r w:rsidR="00C55B4B">
              <w:rPr>
                <w:noProof/>
                <w:webHidden/>
              </w:rPr>
              <w:fldChar w:fldCharType="begin"/>
            </w:r>
            <w:r w:rsidR="00C55B4B">
              <w:rPr>
                <w:noProof/>
                <w:webHidden/>
              </w:rPr>
              <w:instrText xml:space="preserve"> PAGEREF _Toc69728409 \h </w:instrText>
            </w:r>
            <w:r w:rsidR="00C55B4B">
              <w:rPr>
                <w:noProof/>
                <w:webHidden/>
              </w:rPr>
            </w:r>
            <w:r w:rsidR="00C55B4B">
              <w:rPr>
                <w:noProof/>
                <w:webHidden/>
              </w:rPr>
              <w:fldChar w:fldCharType="separate"/>
            </w:r>
            <w:r w:rsidR="00C55B4B">
              <w:rPr>
                <w:noProof/>
                <w:webHidden/>
              </w:rPr>
              <w:t>23</w:t>
            </w:r>
            <w:r w:rsidR="00C55B4B">
              <w:rPr>
                <w:noProof/>
                <w:webHidden/>
              </w:rPr>
              <w:fldChar w:fldCharType="end"/>
            </w:r>
          </w:hyperlink>
        </w:p>
        <w:p w14:paraId="223979A0" w14:textId="71CA8597" w:rsidR="00C55B4B" w:rsidRDefault="00603187">
          <w:pPr>
            <w:pStyle w:val="TOC1"/>
            <w:tabs>
              <w:tab w:val="right" w:leader="dot" w:pos="9350"/>
            </w:tabs>
            <w:rPr>
              <w:rFonts w:eastAsiaTheme="minorEastAsia"/>
              <w:noProof/>
            </w:rPr>
          </w:pPr>
          <w:hyperlink w:anchor="_Toc69728411" w:history="1">
            <w:r w:rsidR="00C55B4B" w:rsidRPr="00360483">
              <w:rPr>
                <w:rStyle w:val="Hyperlink"/>
                <w:noProof/>
              </w:rPr>
              <w:t>Annex 2: Priority ranking of Rwanda’s districts</w:t>
            </w:r>
            <w:r w:rsidR="00C55B4B">
              <w:rPr>
                <w:noProof/>
                <w:webHidden/>
              </w:rPr>
              <w:tab/>
            </w:r>
            <w:r w:rsidR="00C55B4B">
              <w:rPr>
                <w:noProof/>
                <w:webHidden/>
              </w:rPr>
              <w:fldChar w:fldCharType="begin"/>
            </w:r>
            <w:r w:rsidR="00C55B4B">
              <w:rPr>
                <w:noProof/>
                <w:webHidden/>
              </w:rPr>
              <w:instrText xml:space="preserve"> PAGEREF _Toc69728411 \h </w:instrText>
            </w:r>
            <w:r w:rsidR="00C55B4B">
              <w:rPr>
                <w:noProof/>
                <w:webHidden/>
              </w:rPr>
            </w:r>
            <w:r w:rsidR="00C55B4B">
              <w:rPr>
                <w:noProof/>
                <w:webHidden/>
              </w:rPr>
              <w:fldChar w:fldCharType="separate"/>
            </w:r>
            <w:r w:rsidR="00C55B4B">
              <w:rPr>
                <w:noProof/>
                <w:webHidden/>
              </w:rPr>
              <w:t>28</w:t>
            </w:r>
            <w:r w:rsidR="00C55B4B">
              <w:rPr>
                <w:noProof/>
                <w:webHidden/>
              </w:rPr>
              <w:fldChar w:fldCharType="end"/>
            </w:r>
          </w:hyperlink>
        </w:p>
        <w:p w14:paraId="11FBADFE" w14:textId="03ADA418" w:rsidR="00C55B4B" w:rsidRDefault="00603187">
          <w:pPr>
            <w:pStyle w:val="TOC1"/>
            <w:tabs>
              <w:tab w:val="right" w:leader="dot" w:pos="9350"/>
            </w:tabs>
            <w:rPr>
              <w:rFonts w:eastAsiaTheme="minorEastAsia"/>
              <w:noProof/>
            </w:rPr>
          </w:pPr>
          <w:hyperlink w:anchor="_Toc69728412" w:history="1">
            <w:r w:rsidR="00C55B4B" w:rsidRPr="00360483">
              <w:rPr>
                <w:rStyle w:val="Hyperlink"/>
                <w:noProof/>
              </w:rPr>
              <w:t>Annex 3: Potential supplementary evaluation questions</w:t>
            </w:r>
            <w:r w:rsidR="00C55B4B">
              <w:rPr>
                <w:noProof/>
                <w:webHidden/>
              </w:rPr>
              <w:tab/>
            </w:r>
            <w:r w:rsidR="00C55B4B">
              <w:rPr>
                <w:noProof/>
                <w:webHidden/>
              </w:rPr>
              <w:fldChar w:fldCharType="begin"/>
            </w:r>
            <w:r w:rsidR="00C55B4B">
              <w:rPr>
                <w:noProof/>
                <w:webHidden/>
              </w:rPr>
              <w:instrText xml:space="preserve"> PAGEREF _Toc69728412 \h </w:instrText>
            </w:r>
            <w:r w:rsidR="00C55B4B">
              <w:rPr>
                <w:noProof/>
                <w:webHidden/>
              </w:rPr>
            </w:r>
            <w:r w:rsidR="00C55B4B">
              <w:rPr>
                <w:noProof/>
                <w:webHidden/>
              </w:rPr>
              <w:fldChar w:fldCharType="separate"/>
            </w:r>
            <w:r w:rsidR="00C55B4B">
              <w:rPr>
                <w:noProof/>
                <w:webHidden/>
              </w:rPr>
              <w:t>29</w:t>
            </w:r>
            <w:r w:rsidR="00C55B4B">
              <w:rPr>
                <w:noProof/>
                <w:webHidden/>
              </w:rPr>
              <w:fldChar w:fldCharType="end"/>
            </w:r>
          </w:hyperlink>
        </w:p>
        <w:p w14:paraId="5E3C5249" w14:textId="236E436D" w:rsidR="00C55B4B" w:rsidRDefault="00603187">
          <w:pPr>
            <w:pStyle w:val="TOC1"/>
            <w:tabs>
              <w:tab w:val="right" w:leader="dot" w:pos="9350"/>
            </w:tabs>
            <w:rPr>
              <w:rFonts w:eastAsiaTheme="minorEastAsia"/>
              <w:noProof/>
            </w:rPr>
          </w:pPr>
          <w:hyperlink w:anchor="_Toc69728421" w:history="1">
            <w:r w:rsidR="00C55B4B" w:rsidRPr="00360483">
              <w:rPr>
                <w:rStyle w:val="Hyperlink"/>
                <w:noProof/>
              </w:rPr>
              <w:t>Annex 4: Definitions of indicators</w:t>
            </w:r>
            <w:r w:rsidR="00C55B4B">
              <w:rPr>
                <w:noProof/>
                <w:webHidden/>
              </w:rPr>
              <w:tab/>
            </w:r>
            <w:r w:rsidR="00C55B4B">
              <w:rPr>
                <w:noProof/>
                <w:webHidden/>
              </w:rPr>
              <w:fldChar w:fldCharType="begin"/>
            </w:r>
            <w:r w:rsidR="00C55B4B">
              <w:rPr>
                <w:noProof/>
                <w:webHidden/>
              </w:rPr>
              <w:instrText xml:space="preserve"> PAGEREF _Toc69728421 \h </w:instrText>
            </w:r>
            <w:r w:rsidR="00C55B4B">
              <w:rPr>
                <w:noProof/>
                <w:webHidden/>
              </w:rPr>
            </w:r>
            <w:r w:rsidR="00C55B4B">
              <w:rPr>
                <w:noProof/>
                <w:webHidden/>
              </w:rPr>
              <w:fldChar w:fldCharType="separate"/>
            </w:r>
            <w:r w:rsidR="00C55B4B">
              <w:rPr>
                <w:noProof/>
                <w:webHidden/>
              </w:rPr>
              <w:t>31</w:t>
            </w:r>
            <w:r w:rsidR="00C55B4B">
              <w:rPr>
                <w:noProof/>
                <w:webHidden/>
              </w:rPr>
              <w:fldChar w:fldCharType="end"/>
            </w:r>
          </w:hyperlink>
        </w:p>
        <w:p w14:paraId="4B2DAFEF" w14:textId="16ECE71E" w:rsidR="00C55B4B" w:rsidRDefault="00603187">
          <w:pPr>
            <w:pStyle w:val="TOC1"/>
            <w:tabs>
              <w:tab w:val="right" w:leader="dot" w:pos="9350"/>
            </w:tabs>
            <w:rPr>
              <w:rFonts w:eastAsiaTheme="minorEastAsia"/>
              <w:noProof/>
            </w:rPr>
          </w:pPr>
          <w:hyperlink w:anchor="_Toc69728422" w:history="1">
            <w:r w:rsidR="00C55B4B" w:rsidRPr="00360483">
              <w:rPr>
                <w:rStyle w:val="Hyperlink"/>
                <w:noProof/>
              </w:rPr>
              <w:t>Annex 5: Identified existing data sources to inform evaluation design and supplement primary data</w:t>
            </w:r>
            <w:r w:rsidR="00C55B4B">
              <w:rPr>
                <w:noProof/>
                <w:webHidden/>
              </w:rPr>
              <w:tab/>
            </w:r>
            <w:r w:rsidR="00C55B4B">
              <w:rPr>
                <w:noProof/>
                <w:webHidden/>
              </w:rPr>
              <w:fldChar w:fldCharType="begin"/>
            </w:r>
            <w:r w:rsidR="00C55B4B">
              <w:rPr>
                <w:noProof/>
                <w:webHidden/>
              </w:rPr>
              <w:instrText xml:space="preserve"> PAGEREF _Toc69728422 \h </w:instrText>
            </w:r>
            <w:r w:rsidR="00C55B4B">
              <w:rPr>
                <w:noProof/>
                <w:webHidden/>
              </w:rPr>
            </w:r>
            <w:r w:rsidR="00C55B4B">
              <w:rPr>
                <w:noProof/>
                <w:webHidden/>
              </w:rPr>
              <w:fldChar w:fldCharType="separate"/>
            </w:r>
            <w:r w:rsidR="00C55B4B">
              <w:rPr>
                <w:noProof/>
                <w:webHidden/>
              </w:rPr>
              <w:t>36</w:t>
            </w:r>
            <w:r w:rsidR="00C55B4B">
              <w:rPr>
                <w:noProof/>
                <w:webHidden/>
              </w:rPr>
              <w:fldChar w:fldCharType="end"/>
            </w:r>
          </w:hyperlink>
        </w:p>
        <w:p w14:paraId="3F87BD06" w14:textId="196B2AB7" w:rsidR="00C55B4B" w:rsidRDefault="00C55B4B">
          <w:r>
            <w:rPr>
              <w:b/>
              <w:bCs/>
              <w:noProof/>
            </w:rPr>
            <w:fldChar w:fldCharType="end"/>
          </w:r>
        </w:p>
      </w:sdtContent>
    </w:sdt>
    <w:p w14:paraId="5008CC6B" w14:textId="77777777" w:rsidR="00127162" w:rsidRDefault="00127162" w:rsidP="005E45C3"/>
    <w:p w14:paraId="401226FA" w14:textId="2AA0D6E6" w:rsidR="002669EE" w:rsidRDefault="005A2EDB" w:rsidP="00D77C07">
      <w:pPr>
        <w:pStyle w:val="TOC1"/>
        <w:tabs>
          <w:tab w:val="right" w:leader="dot" w:pos="9350"/>
        </w:tabs>
        <w:rPr>
          <w:rFonts w:eastAsiaTheme="minorEastAsia"/>
          <w:noProof/>
        </w:rPr>
      </w:pPr>
      <w:r>
        <w:fldChar w:fldCharType="begin"/>
      </w:r>
      <w:r>
        <w:instrText xml:space="preserve"> TOC \o "1-2" \h \z \u </w:instrText>
      </w:r>
      <w:r>
        <w:fldChar w:fldCharType="separate"/>
      </w:r>
    </w:p>
    <w:p w14:paraId="2B36D050" w14:textId="601A1EBE" w:rsidR="00D652A0" w:rsidRDefault="005A2EDB">
      <w:pPr>
        <w:spacing w:after="160" w:line="259" w:lineRule="auto"/>
        <w:rPr>
          <w:b/>
          <w:sz w:val="28"/>
        </w:rPr>
      </w:pPr>
      <w:r>
        <w:fldChar w:fldCharType="end"/>
      </w:r>
      <w:r w:rsidR="00D652A0">
        <w:br w:type="page"/>
      </w:r>
    </w:p>
    <w:p w14:paraId="40D6CED2" w14:textId="2AEEEE40" w:rsidR="00A55463" w:rsidRDefault="00A55463" w:rsidP="003A0B4F">
      <w:pPr>
        <w:pStyle w:val="Heading1"/>
      </w:pPr>
      <w:bookmarkStart w:id="0" w:name="_Toc520742191"/>
      <w:bookmarkStart w:id="1" w:name="_Toc69728386"/>
      <w:r>
        <w:lastRenderedPageBreak/>
        <w:t>Country context</w:t>
      </w:r>
      <w:bookmarkEnd w:id="0"/>
      <w:bookmarkEnd w:id="1"/>
    </w:p>
    <w:p w14:paraId="3D747E6A" w14:textId="20B4120F" w:rsidR="00A55463" w:rsidRPr="00565996" w:rsidRDefault="00A55463" w:rsidP="00A55463">
      <w:r w:rsidRPr="00AB0D68">
        <w:t xml:space="preserve">Over the past </w:t>
      </w:r>
      <w:r w:rsidR="00FE5BD2">
        <w:t>20</w:t>
      </w:r>
      <w:r w:rsidR="00FE5BD2" w:rsidRPr="00AB0D68">
        <w:t xml:space="preserve"> </w:t>
      </w:r>
      <w:r w:rsidRPr="00AB0D68">
        <w:t>years, Rwanda has made dramatic progress in reducing poverty, decreasing income inequalities, and improving infant and child survival.</w:t>
      </w:r>
      <w:r w:rsidRPr="00565996">
        <w:t xml:space="preserve"> Maternal mortality has dropped steeply from 1071 (2000) to 20</w:t>
      </w:r>
      <w:r w:rsidR="0015566F">
        <w:t>3</w:t>
      </w:r>
      <w:r w:rsidRPr="00565996">
        <w:t xml:space="preserve"> (201</w:t>
      </w:r>
      <w:r w:rsidR="0015566F">
        <w:t>9-20</w:t>
      </w:r>
      <w:r w:rsidRPr="00565996">
        <w:t>) per 100,000 live births, with improved access to health services, and substantial investments in health systems.</w:t>
      </w:r>
      <w:r w:rsidR="00A53A8D">
        <w:t xml:space="preserve"> </w:t>
      </w:r>
      <w:r w:rsidRPr="00565996">
        <w:t>Access to prenatal care (i.e. at least one visit) is now virtually universal and over 9</w:t>
      </w:r>
      <w:r w:rsidR="0015566F">
        <w:t>4</w:t>
      </w:r>
      <w:r w:rsidRPr="00565996">
        <w:t>% of women benefit from skilled attendance at birth. The availability of family planning services rose rapidly over the past decade with a steep drop in the total fertility rate (from 6.0 to 4.</w:t>
      </w:r>
      <w:r w:rsidR="0015566F">
        <w:t>1</w:t>
      </w:r>
      <w:r w:rsidRPr="00565996">
        <w:t>).</w:t>
      </w:r>
      <w:r w:rsidR="00A53A8D">
        <w:t xml:space="preserve"> </w:t>
      </w:r>
      <w:r w:rsidRPr="00565996">
        <w:t xml:space="preserve">Rwanda is among the countries that met virtually all MDG targets </w:t>
      </w:r>
      <w:r w:rsidR="00A53A8D">
        <w:t>with the two exceptions of</w:t>
      </w:r>
      <w:r w:rsidRPr="00565996">
        <w:t xml:space="preserve"> poverty reduction and stunting.</w:t>
      </w:r>
    </w:p>
    <w:p w14:paraId="61386551" w14:textId="166A0E80" w:rsidR="00AF0D3C" w:rsidRDefault="00A55463" w:rsidP="00A55463">
      <w:r w:rsidRPr="00AB0D68">
        <w:t>While the Sustainable Development Goal (SDG) target on wasting (</w:t>
      </w:r>
      <w:r w:rsidRPr="00AB0D68">
        <w:rPr>
          <w:i/>
        </w:rPr>
        <w:t>acute malnutrition</w:t>
      </w:r>
      <w:r w:rsidRPr="00AB0D68">
        <w:t>) has already been met in Rwanda, and there have been declines in stunting (</w:t>
      </w:r>
      <w:r w:rsidRPr="00AB0D68">
        <w:rPr>
          <w:i/>
        </w:rPr>
        <w:t>chronic malnutrition</w:t>
      </w:r>
      <w:r w:rsidRPr="00AB0D68">
        <w:t xml:space="preserve">) </w:t>
      </w:r>
      <w:r w:rsidR="0015566F">
        <w:t>since</w:t>
      </w:r>
      <w:r w:rsidR="0015566F" w:rsidRPr="00AB0D68">
        <w:t xml:space="preserve"> </w:t>
      </w:r>
      <w:r w:rsidRPr="00AB0D68">
        <w:t>2010, the stunting rate has remained stubbornly high (3</w:t>
      </w:r>
      <w:r w:rsidR="0015566F">
        <w:t>3.1</w:t>
      </w:r>
      <w:r w:rsidRPr="00AB0D68">
        <w:t xml:space="preserve"> percent, 201</w:t>
      </w:r>
      <w:r w:rsidR="0015566F">
        <w:t>9</w:t>
      </w:r>
      <w:r w:rsidRPr="00AB0D68">
        <w:t>/20</w:t>
      </w:r>
      <w:r w:rsidR="0015566F">
        <w:t>20</w:t>
      </w:r>
      <w:r w:rsidR="00AF0D3C">
        <w:t xml:space="preserve"> DHS</w:t>
      </w:r>
      <w:r w:rsidRPr="00AB0D68">
        <w:t>).</w:t>
      </w:r>
      <w:r w:rsidR="00A53A8D">
        <w:t xml:space="preserve"> </w:t>
      </w:r>
      <w:r w:rsidRPr="00565996">
        <w:t xml:space="preserve">Moreover, there </w:t>
      </w:r>
      <w:r w:rsidR="00A53A8D">
        <w:t xml:space="preserve">is an unequal </w:t>
      </w:r>
      <w:r w:rsidRPr="00565996">
        <w:t xml:space="preserve">distribution of stunting in Rwanda. Stunting affects </w:t>
      </w:r>
      <w:r w:rsidR="0015566F">
        <w:t>4</w:t>
      </w:r>
      <w:r w:rsidR="000A5CCB">
        <w:t>9</w:t>
      </w:r>
      <w:r w:rsidRPr="00565996">
        <w:t xml:space="preserve"> percent of children from the poorest households, in comparison to</w:t>
      </w:r>
      <w:r w:rsidR="0015566F">
        <w:t xml:space="preserve"> 11</w:t>
      </w:r>
      <w:r w:rsidRPr="00565996">
        <w:t xml:space="preserve"> percent of those from the richest.</w:t>
      </w:r>
      <w:r w:rsidR="00A53A8D">
        <w:t xml:space="preserve"> </w:t>
      </w:r>
      <w:r w:rsidRPr="00565996">
        <w:t>Childhood stunting remains high in rural areas (</w:t>
      </w:r>
      <w:r w:rsidR="0015566F">
        <w:t>36</w:t>
      </w:r>
      <w:r w:rsidRPr="00565996">
        <w:t xml:space="preserve"> percent) compared to urban areas (2</w:t>
      </w:r>
      <w:r w:rsidR="0015566F">
        <w:t>0</w:t>
      </w:r>
      <w:r w:rsidRPr="00565996">
        <w:t xml:space="preserve"> percent).</w:t>
      </w:r>
      <w:r w:rsidR="00A53A8D">
        <w:t xml:space="preserve"> </w:t>
      </w:r>
      <w:r w:rsidRPr="00565996">
        <w:t>While prevalence of exclusive breastfeeding of infants in the first six months is high (8</w:t>
      </w:r>
      <w:r w:rsidR="00AD7A29">
        <w:t>1</w:t>
      </w:r>
      <w:r w:rsidRPr="00565996">
        <w:t xml:space="preserve"> percent) and helps protect infants from early growth faltering, there is a steep and progressive rise in stunting after weaning (i.e. from 2</w:t>
      </w:r>
      <w:r w:rsidR="00AD7A29">
        <w:t>0</w:t>
      </w:r>
      <w:r w:rsidRPr="00565996">
        <w:t xml:space="preserve"> percent in 9-11 month</w:t>
      </w:r>
      <w:r w:rsidR="00AF0D3C">
        <w:t>s</w:t>
      </w:r>
      <w:r w:rsidRPr="00565996">
        <w:t xml:space="preserve"> old, to </w:t>
      </w:r>
      <w:r w:rsidR="00AD7A29">
        <w:t>almost 40</w:t>
      </w:r>
      <w:r w:rsidRPr="00565996">
        <w:t xml:space="preserve"> percent in 18-24 month</w:t>
      </w:r>
      <w:r w:rsidR="00AF0D3C">
        <w:t>s</w:t>
      </w:r>
      <w:r w:rsidRPr="00565996">
        <w:t xml:space="preserve"> old).</w:t>
      </w:r>
      <w:r w:rsidR="00A53A8D">
        <w:t xml:space="preserve"> </w:t>
      </w:r>
      <w:r w:rsidRPr="00565996">
        <w:t>This is a pattern common in many developing countries during this period, as a child is introduced to greater disease risks through inadequate complementary feeding and poor hygiene practices.</w:t>
      </w:r>
      <w:r w:rsidR="00A53A8D">
        <w:t xml:space="preserve"> </w:t>
      </w:r>
      <w:r w:rsidRPr="00565996">
        <w:rPr>
          <w:i/>
        </w:rPr>
        <w:t>Stunting requires a fundamental shift in awareness of the challenge and what can be done to address it at the community and the policy levels.</w:t>
      </w:r>
    </w:p>
    <w:p w14:paraId="796E5ED7" w14:textId="406CB263" w:rsidR="003A0B4F" w:rsidRPr="003A0B4F" w:rsidRDefault="00A53A8D" w:rsidP="00A55463">
      <w:r>
        <w:t>Underlying causes of stunting include the following:</w:t>
      </w:r>
    </w:p>
    <w:p w14:paraId="25907246" w14:textId="19D527FA" w:rsidR="00A55463" w:rsidRPr="00565996" w:rsidRDefault="00A53A8D" w:rsidP="00A53A8D">
      <w:pPr>
        <w:pStyle w:val="ListParagraph"/>
        <w:numPr>
          <w:ilvl w:val="0"/>
          <w:numId w:val="15"/>
        </w:numPr>
      </w:pPr>
      <w:r w:rsidRPr="00AB0D68">
        <w:t>P</w:t>
      </w:r>
      <w:r w:rsidR="00A55463" w:rsidRPr="00AB0D68">
        <w:t>ersistent concerns with the health and nutritional status of pregnant and lactating women, contributing to the intergenerational transmission of undernutrition</w:t>
      </w:r>
      <w:r w:rsidR="00C12020" w:rsidRPr="00AB0D68">
        <w:t xml:space="preserve"> and poverty</w:t>
      </w:r>
      <w:r w:rsidR="00A55463" w:rsidRPr="00AB0D68">
        <w:t>.</w:t>
      </w:r>
      <w:r>
        <w:t xml:space="preserve"> </w:t>
      </w:r>
      <w:r w:rsidR="0075643C">
        <w:rPr>
          <w:shd w:val="clear" w:color="auto" w:fill="FFFFFF"/>
        </w:rPr>
        <w:t>Eighteen</w:t>
      </w:r>
      <w:r w:rsidR="0075643C" w:rsidRPr="00A53A8D">
        <w:rPr>
          <w:shd w:val="clear" w:color="auto" w:fill="FFFFFF"/>
        </w:rPr>
        <w:t xml:space="preserve"> </w:t>
      </w:r>
      <w:r w:rsidR="00A55463" w:rsidRPr="00A53A8D">
        <w:rPr>
          <w:shd w:val="clear" w:color="auto" w:fill="FFFFFF"/>
        </w:rPr>
        <w:t>percent of women report that their newborns were “smaller than average” or “very small” at birth, 1</w:t>
      </w:r>
      <w:r w:rsidR="0075643C">
        <w:rPr>
          <w:shd w:val="clear" w:color="auto" w:fill="FFFFFF"/>
        </w:rPr>
        <w:t>3</w:t>
      </w:r>
      <w:r w:rsidR="00A55463" w:rsidRPr="00A53A8D">
        <w:rPr>
          <w:shd w:val="clear" w:color="auto" w:fill="FFFFFF"/>
        </w:rPr>
        <w:t>% of women are anemic</w:t>
      </w:r>
      <w:r w:rsidR="009B5FD5">
        <w:rPr>
          <w:shd w:val="clear" w:color="auto" w:fill="FFFFFF"/>
        </w:rPr>
        <w:t xml:space="preserve"> (</w:t>
      </w:r>
      <w:r w:rsidR="0075643C">
        <w:rPr>
          <w:shd w:val="clear" w:color="auto" w:fill="FFFFFF"/>
        </w:rPr>
        <w:t>9</w:t>
      </w:r>
      <w:r w:rsidR="00817CBD">
        <w:rPr>
          <w:shd w:val="clear" w:color="auto" w:fill="FFFFFF"/>
        </w:rPr>
        <w:t>% mild anemia,</w:t>
      </w:r>
      <w:r w:rsidR="0075643C">
        <w:rPr>
          <w:shd w:val="clear" w:color="auto" w:fill="FFFFFF"/>
        </w:rPr>
        <w:t>4</w:t>
      </w:r>
      <w:r w:rsidR="009B5FD5">
        <w:rPr>
          <w:shd w:val="clear" w:color="auto" w:fill="FFFFFF"/>
        </w:rPr>
        <w:t>% moderate anemia; among pregnant women, 1</w:t>
      </w:r>
      <w:r w:rsidR="0075643C">
        <w:rPr>
          <w:shd w:val="clear" w:color="auto" w:fill="FFFFFF"/>
        </w:rPr>
        <w:t>6</w:t>
      </w:r>
      <w:r w:rsidR="009B5FD5">
        <w:rPr>
          <w:shd w:val="clear" w:color="auto" w:fill="FFFFFF"/>
        </w:rPr>
        <w:t xml:space="preserve">% mild and </w:t>
      </w:r>
      <w:r w:rsidR="0075643C">
        <w:rPr>
          <w:shd w:val="clear" w:color="auto" w:fill="FFFFFF"/>
        </w:rPr>
        <w:t>8</w:t>
      </w:r>
      <w:r w:rsidR="009B5FD5">
        <w:rPr>
          <w:shd w:val="clear" w:color="auto" w:fill="FFFFFF"/>
        </w:rPr>
        <w:t xml:space="preserve">% moderate), and </w:t>
      </w:r>
      <w:r w:rsidR="0075643C">
        <w:rPr>
          <w:shd w:val="clear" w:color="auto" w:fill="FFFFFF"/>
        </w:rPr>
        <w:t>6</w:t>
      </w:r>
      <w:r w:rsidR="00A55463" w:rsidRPr="00A53A8D">
        <w:rPr>
          <w:shd w:val="clear" w:color="auto" w:fill="FFFFFF"/>
        </w:rPr>
        <w:t>% have low BMI (a measure of thinness)</w:t>
      </w:r>
      <w:r w:rsidR="00082A06">
        <w:rPr>
          <w:shd w:val="clear" w:color="auto" w:fill="FFFFFF"/>
        </w:rPr>
        <w:t xml:space="preserve">. At the same time </w:t>
      </w:r>
      <w:r w:rsidR="0075643C">
        <w:rPr>
          <w:shd w:val="clear" w:color="auto" w:fill="FFFFFF"/>
        </w:rPr>
        <w:t>26</w:t>
      </w:r>
      <w:r w:rsidR="00A55463" w:rsidRPr="00A53A8D">
        <w:rPr>
          <w:shd w:val="clear" w:color="auto" w:fill="FFFFFF"/>
        </w:rPr>
        <w:t xml:space="preserve">% </w:t>
      </w:r>
      <w:r w:rsidR="00082A06">
        <w:rPr>
          <w:shd w:val="clear" w:color="auto" w:fill="FFFFFF"/>
        </w:rPr>
        <w:t xml:space="preserve">of </w:t>
      </w:r>
      <w:r w:rsidR="00A55463" w:rsidRPr="00A53A8D">
        <w:rPr>
          <w:shd w:val="clear" w:color="auto" w:fill="FFFFFF"/>
        </w:rPr>
        <w:t>Rwandese women are overweight/obese -- suggesting deficiencies in maternal health</w:t>
      </w:r>
      <w:r w:rsidR="00E64F31">
        <w:rPr>
          <w:shd w:val="clear" w:color="auto" w:fill="FFFFFF"/>
        </w:rPr>
        <w:t xml:space="preserve"> and a growing double burden of nutrition</w:t>
      </w:r>
      <w:r w:rsidR="00A55463" w:rsidRPr="00A53A8D">
        <w:rPr>
          <w:shd w:val="clear" w:color="auto" w:fill="FFFFFF"/>
        </w:rPr>
        <w:t xml:space="preserve">. Poor maternal nutrition </w:t>
      </w:r>
      <w:r w:rsidR="00A55463" w:rsidRPr="00565996">
        <w:t xml:space="preserve">contributes to high levels of stunting in early life, underscoring the importance of expanding access to high quality maternal health and nutrition interventions. </w:t>
      </w:r>
      <w:r w:rsidR="00EE086E">
        <w:t xml:space="preserve">Coverage of key health care services, such as </w:t>
      </w:r>
      <w:r w:rsidR="00A55463" w:rsidRPr="00565996">
        <w:t xml:space="preserve">four or more antenatal and postnatal visits, </w:t>
      </w:r>
      <w:r w:rsidR="00EE086E">
        <w:t xml:space="preserve">is </w:t>
      </w:r>
      <w:r w:rsidR="004A0697">
        <w:t xml:space="preserve">inadequate </w:t>
      </w:r>
      <w:r w:rsidR="00EE086E">
        <w:t>and t</w:t>
      </w:r>
      <w:r w:rsidR="00A55463" w:rsidRPr="00565996">
        <w:t xml:space="preserve">he availability and quality of nutrition-specific interventions delivered through the health sector, such as iron-folic acid supplementation also remains low. </w:t>
      </w:r>
    </w:p>
    <w:p w14:paraId="317CACD1" w14:textId="78756210" w:rsidR="00A55463" w:rsidRPr="00565996" w:rsidRDefault="00A55463" w:rsidP="00082A06">
      <w:pPr>
        <w:pStyle w:val="ListParagraph"/>
        <w:numPr>
          <w:ilvl w:val="0"/>
          <w:numId w:val="15"/>
        </w:numPr>
      </w:pPr>
      <w:r w:rsidRPr="00AB0D68">
        <w:t>Household food security remains highly variable.</w:t>
      </w:r>
      <w:r w:rsidRPr="00AB0D68">
        <w:rPr>
          <w:rStyle w:val="FootnoteReference"/>
          <w:rFonts w:ascii="Times New Roman" w:hAnsi="Times New Roman" w:cs="Times New Roman"/>
        </w:rPr>
        <w:footnoteReference w:id="1"/>
      </w:r>
      <w:r w:rsidR="00A53A8D" w:rsidRPr="00082A06">
        <w:rPr>
          <w:b/>
        </w:rPr>
        <w:t xml:space="preserve"> </w:t>
      </w:r>
      <w:r w:rsidRPr="00082A06">
        <w:rPr>
          <w:rFonts w:eastAsia="Calibri"/>
        </w:rPr>
        <w:t>Food insecure households are</w:t>
      </w:r>
      <w:r w:rsidRPr="00565996">
        <w:t xml:space="preserve"> </w:t>
      </w:r>
      <w:r w:rsidRPr="00082A06">
        <w:rPr>
          <w:rFonts w:eastAsia="Calibri"/>
        </w:rPr>
        <w:t xml:space="preserve">dependent on </w:t>
      </w:r>
      <w:r w:rsidRPr="00565996">
        <w:t>l</w:t>
      </w:r>
      <w:r w:rsidRPr="00082A06">
        <w:rPr>
          <w:rFonts w:eastAsia="Calibri"/>
        </w:rPr>
        <w:t>ow-income agriculture,</w:t>
      </w:r>
      <w:r w:rsidRPr="00565996">
        <w:t xml:space="preserve"> reinforcing </w:t>
      </w:r>
      <w:r w:rsidRPr="00082A06">
        <w:rPr>
          <w:rFonts w:eastAsia="Calibri"/>
        </w:rPr>
        <w:t xml:space="preserve">the </w:t>
      </w:r>
      <w:r w:rsidRPr="00565996">
        <w:t xml:space="preserve">centrality </w:t>
      </w:r>
      <w:r w:rsidRPr="00082A06">
        <w:rPr>
          <w:rFonts w:eastAsia="Calibri"/>
        </w:rPr>
        <w:t>of agricultural production for household food security</w:t>
      </w:r>
      <w:r w:rsidRPr="00565996">
        <w:t>.</w:t>
      </w:r>
      <w:r w:rsidR="00A53A8D">
        <w:t xml:space="preserve"> </w:t>
      </w:r>
      <w:r w:rsidRPr="00565996">
        <w:t>Fo</w:t>
      </w:r>
      <w:r w:rsidRPr="00082A06">
        <w:rPr>
          <w:rFonts w:eastAsia="Calibri"/>
        </w:rPr>
        <w:t>od insecure households have less livestock, less agricultural land, grow fewer crops, are less likely to have a vegetable garden, have lower food stocks</w:t>
      </w:r>
      <w:r w:rsidR="004C1461">
        <w:rPr>
          <w:rFonts w:eastAsia="Calibri"/>
        </w:rPr>
        <w:t>,</w:t>
      </w:r>
      <w:r w:rsidRPr="00082A06">
        <w:rPr>
          <w:rFonts w:eastAsia="Calibri"/>
        </w:rPr>
        <w:t xml:space="preserve"> and consume more of their own production at home. </w:t>
      </w:r>
      <w:r w:rsidRPr="00565996">
        <w:t>Food insecure households also have less diversified diets</w:t>
      </w:r>
      <w:r w:rsidRPr="00565996">
        <w:rPr>
          <w:rStyle w:val="FootnoteReference"/>
          <w:rFonts w:ascii="Times New Roman" w:hAnsi="Times New Roman" w:cs="Times New Roman"/>
        </w:rPr>
        <w:footnoteReference w:id="2"/>
      </w:r>
      <w:r w:rsidR="00897D78">
        <w:t>,</w:t>
      </w:r>
      <w:r w:rsidRPr="00565996">
        <w:t xml:space="preserve"> </w:t>
      </w:r>
      <w:r w:rsidRPr="00565996">
        <w:lastRenderedPageBreak/>
        <w:t>contributing to micronutrient deficiencies.</w:t>
      </w:r>
      <w:r w:rsidR="00A53A8D">
        <w:t xml:space="preserve"> </w:t>
      </w:r>
      <w:r w:rsidRPr="00082A06">
        <w:rPr>
          <w:rFonts w:eastAsia="Calibri"/>
        </w:rPr>
        <w:t>Inadequate dietary intake of iron is amongst the most common causes of anemia in Rwanda (</w:t>
      </w:r>
      <w:r w:rsidRPr="002F3069">
        <w:rPr>
          <w:rFonts w:eastAsia="Calibri"/>
        </w:rPr>
        <w:t>2014/ 2015 DHS</w:t>
      </w:r>
      <w:r w:rsidRPr="00082A06">
        <w:rPr>
          <w:rFonts w:eastAsia="Calibri"/>
        </w:rPr>
        <w:t>).</w:t>
      </w:r>
      <w:r w:rsidRPr="00082A06">
        <w:rPr>
          <w:rStyle w:val="FootnoteReference"/>
          <w:rFonts w:ascii="Times New Roman" w:hAnsi="Times New Roman" w:cs="Times New Roman"/>
        </w:rPr>
        <w:t xml:space="preserve"> </w:t>
      </w:r>
    </w:p>
    <w:p w14:paraId="467847A2" w14:textId="3BAF0CDE" w:rsidR="00E64F31" w:rsidRDefault="00082A06" w:rsidP="00082A06">
      <w:pPr>
        <w:pStyle w:val="ListParagraph"/>
        <w:numPr>
          <w:ilvl w:val="0"/>
          <w:numId w:val="15"/>
        </w:numPr>
      </w:pPr>
      <w:r w:rsidRPr="00AB0D68">
        <w:t>R</w:t>
      </w:r>
      <w:r w:rsidR="00A55463" w:rsidRPr="00AB0D68">
        <w:t>ecent analysis of the nutrition situation in Rwanda underscored the importance of coordinated scale up of high impact interventions to address the adequacy of food intake, environmental health</w:t>
      </w:r>
      <w:r w:rsidR="002F3069" w:rsidRPr="00AB0D68">
        <w:t>,</w:t>
      </w:r>
      <w:r w:rsidR="00A55463" w:rsidRPr="00AB0D68">
        <w:t xml:space="preserve"> and care practices.</w:t>
      </w:r>
      <w:r w:rsidR="00A55463" w:rsidRPr="00AB0D68">
        <w:rPr>
          <w:rStyle w:val="FootnoteReference"/>
          <w:rFonts w:ascii="Times New Roman" w:hAnsi="Times New Roman" w:cs="Times New Roman"/>
        </w:rPr>
        <w:footnoteReference w:id="3"/>
      </w:r>
      <w:r w:rsidR="00A55463" w:rsidRPr="00565996">
        <w:t xml:space="preserve"> </w:t>
      </w:r>
      <w:r w:rsidR="00375A91">
        <w:t>Only 21% of children achieved a minimum acceptable diet with adequate diversity and frequency of feeding, l</w:t>
      </w:r>
      <w:r w:rsidR="00846E94">
        <w:t>ess than 50% of women attended 4 or more ANC visits in their most recent pregnancy</w:t>
      </w:r>
      <w:r w:rsidR="00375A91">
        <w:t>, and while household access to improved water has improved (73% in 2015 and 80% in 2020), there has been no marked improvement in household access to improved sanitation (</w:t>
      </w:r>
      <w:r w:rsidR="00846E94">
        <w:t>DHS 2019-2020)</w:t>
      </w:r>
      <w:r w:rsidR="00A55463" w:rsidRPr="00565996">
        <w:t>.</w:t>
      </w:r>
      <w:r w:rsidR="00A53A8D">
        <w:t xml:space="preserve"> </w:t>
      </w:r>
      <w:r w:rsidR="00A55463" w:rsidRPr="00565996">
        <w:t>While trends in coverage since 2000 have been encouraging, the rates of improvement in all three dimensions need to be accelerated to have a more dramatic impact on stunting.</w:t>
      </w:r>
      <w:r w:rsidR="00A53A8D">
        <w:t xml:space="preserve"> </w:t>
      </w:r>
      <w:r w:rsidR="00A55463" w:rsidRPr="00565996">
        <w:t xml:space="preserve">These figures suggest a need for coordinated action and </w:t>
      </w:r>
      <w:r>
        <w:t>a</w:t>
      </w:r>
      <w:r w:rsidR="00A55463" w:rsidRPr="00565996">
        <w:t xml:space="preserve"> national scale up of high impact interventions.</w:t>
      </w:r>
    </w:p>
    <w:p w14:paraId="6A8B2F4B" w14:textId="7CCC82F2" w:rsidR="00A55463" w:rsidRPr="00565996" w:rsidRDefault="00082A06" w:rsidP="00082A06">
      <w:pPr>
        <w:pStyle w:val="ListParagraph"/>
        <w:numPr>
          <w:ilvl w:val="0"/>
          <w:numId w:val="15"/>
        </w:numPr>
      </w:pPr>
      <w:r w:rsidRPr="00AB0D68">
        <w:t>P</w:t>
      </w:r>
      <w:r w:rsidR="00A55463" w:rsidRPr="00AB0D68">
        <w:t>overty is not the only driver of stunting.</w:t>
      </w:r>
      <w:r w:rsidR="00A53A8D">
        <w:t xml:space="preserve"> </w:t>
      </w:r>
      <w:r w:rsidR="00A55463" w:rsidRPr="00565996">
        <w:t>The highest stunting rates are in the west of the country</w:t>
      </w:r>
      <w:r w:rsidR="00EE086E">
        <w:t xml:space="preserve"> </w:t>
      </w:r>
      <w:r w:rsidR="00EE086E" w:rsidRPr="00082A06">
        <w:rPr>
          <w:i/>
        </w:rPr>
        <w:t>—</w:t>
      </w:r>
      <w:r w:rsidR="00A55463" w:rsidRPr="00565996">
        <w:t xml:space="preserve"> </w:t>
      </w:r>
      <w:r w:rsidR="00A55463" w:rsidRPr="00082A06">
        <w:rPr>
          <w:i/>
        </w:rPr>
        <w:t>Nyamagabe, Nyabihu, Ngororero</w:t>
      </w:r>
      <w:r w:rsidR="00EE086E">
        <w:rPr>
          <w:i/>
        </w:rPr>
        <w:t xml:space="preserve"> </w:t>
      </w:r>
      <w:r w:rsidR="00A55463" w:rsidRPr="00082A06">
        <w:rPr>
          <w:i/>
        </w:rPr>
        <w:t xml:space="preserve">— </w:t>
      </w:r>
      <w:r w:rsidR="00A55463" w:rsidRPr="00565996">
        <w:t>districts targeted for Bank support through this project</w:t>
      </w:r>
      <w:r w:rsidR="00EE086E">
        <w:t xml:space="preserve"> </w:t>
      </w:r>
      <w:r w:rsidR="00EE086E" w:rsidRPr="00082A06">
        <w:rPr>
          <w:i/>
        </w:rPr>
        <w:t>—</w:t>
      </w:r>
      <w:r w:rsidR="00A55463" w:rsidRPr="00565996">
        <w:t xml:space="preserve"> while the highest poverty rates are in different districts</w:t>
      </w:r>
      <w:r w:rsidR="00EE086E">
        <w:t xml:space="preserve"> </w:t>
      </w:r>
      <w:r w:rsidR="00EE086E" w:rsidRPr="00082A06">
        <w:rPr>
          <w:i/>
        </w:rPr>
        <w:t>—</w:t>
      </w:r>
      <w:r w:rsidR="00A55463" w:rsidRPr="00565996">
        <w:t xml:space="preserve"> </w:t>
      </w:r>
      <w:r w:rsidR="00A55463" w:rsidRPr="00082A06">
        <w:rPr>
          <w:i/>
        </w:rPr>
        <w:t>Nyamasheke, Gisagara, Rutsiro</w:t>
      </w:r>
      <w:r w:rsidR="00EE086E">
        <w:rPr>
          <w:i/>
        </w:rPr>
        <w:t xml:space="preserve"> </w:t>
      </w:r>
      <w:r w:rsidR="00A55463" w:rsidRPr="00082A06">
        <w:rPr>
          <w:i/>
        </w:rPr>
        <w:t>—</w:t>
      </w:r>
      <w:r w:rsidR="00EE086E">
        <w:rPr>
          <w:i/>
        </w:rPr>
        <w:t xml:space="preserve"> </w:t>
      </w:r>
      <w:r w:rsidR="00A55463" w:rsidRPr="00565996">
        <w:t>some of which are also targeted for support.</w:t>
      </w:r>
      <w:r w:rsidR="00A53A8D">
        <w:t xml:space="preserve"> </w:t>
      </w:r>
      <w:r w:rsidR="00A55463" w:rsidRPr="00565996">
        <w:t xml:space="preserve">In addition, </w:t>
      </w:r>
      <w:r w:rsidR="00A55463" w:rsidRPr="00082A06">
        <w:rPr>
          <w:rFonts w:eastAsia="Calibri"/>
        </w:rPr>
        <w:t>2015 CFSVA results point to</w:t>
      </w:r>
      <w:r w:rsidR="00A55463" w:rsidRPr="00565996">
        <w:t xml:space="preserve"> a convergence of food insecurity and stunting.</w:t>
      </w:r>
      <w:r w:rsidR="00A53A8D">
        <w:t xml:space="preserve"> </w:t>
      </w:r>
      <w:r w:rsidR="00A55463" w:rsidRPr="00565996">
        <w:t>The level of food insecurity is high in the western and northern parts of the country.</w:t>
      </w:r>
      <w:r w:rsidR="00A53A8D">
        <w:t xml:space="preserve"> </w:t>
      </w:r>
      <w:r w:rsidR="00A55463" w:rsidRPr="00565996">
        <w:t xml:space="preserve">At the district level, </w:t>
      </w:r>
      <w:r w:rsidR="00A55463" w:rsidRPr="00EE086E">
        <w:rPr>
          <w:i/>
        </w:rPr>
        <w:t>Rutsiro</w:t>
      </w:r>
      <w:r w:rsidR="00A55463" w:rsidRPr="00565996">
        <w:t xml:space="preserve"> (57 percent), </w:t>
      </w:r>
      <w:r w:rsidR="00A55463" w:rsidRPr="00EE086E">
        <w:rPr>
          <w:i/>
        </w:rPr>
        <w:t>Nyamagabe</w:t>
      </w:r>
      <w:r w:rsidR="00A55463" w:rsidRPr="00565996">
        <w:t xml:space="preserve"> (42 percent), </w:t>
      </w:r>
      <w:r w:rsidR="00A55463" w:rsidRPr="00EE086E">
        <w:rPr>
          <w:i/>
        </w:rPr>
        <w:t>Nyabihu</w:t>
      </w:r>
      <w:r w:rsidR="00A55463" w:rsidRPr="00565996">
        <w:t xml:space="preserve"> (39 percent), </w:t>
      </w:r>
      <w:r w:rsidR="00A55463" w:rsidRPr="00EE086E">
        <w:rPr>
          <w:i/>
        </w:rPr>
        <w:t>Nyaruguru</w:t>
      </w:r>
      <w:r w:rsidR="00A55463" w:rsidRPr="00565996">
        <w:t xml:space="preserve"> (37 percent), </w:t>
      </w:r>
      <w:r w:rsidR="00A55463" w:rsidRPr="00EE086E">
        <w:rPr>
          <w:i/>
        </w:rPr>
        <w:t>Rusizi</w:t>
      </w:r>
      <w:r w:rsidR="00A55463" w:rsidRPr="00565996">
        <w:t xml:space="preserve"> (36 percent), </w:t>
      </w:r>
      <w:r w:rsidR="00A55463" w:rsidRPr="00EE086E">
        <w:rPr>
          <w:i/>
        </w:rPr>
        <w:t>Karongi</w:t>
      </w:r>
      <w:r w:rsidR="00A55463" w:rsidRPr="00565996">
        <w:t xml:space="preserve"> (35 percent) and </w:t>
      </w:r>
      <w:r w:rsidR="00A55463" w:rsidRPr="00EE086E">
        <w:rPr>
          <w:i/>
        </w:rPr>
        <w:t>Nyamasheke</w:t>
      </w:r>
      <w:r w:rsidR="00A55463" w:rsidRPr="00565996">
        <w:t xml:space="preserve"> (35 percent) have the highest percentages of food insecure households.</w:t>
      </w:r>
      <w:r w:rsidR="00EE086E">
        <w:t xml:space="preserve"> </w:t>
      </w:r>
      <w:r w:rsidR="00A55463" w:rsidRPr="00565996">
        <w:t>These patterns may be explained by inadequate knowledge about and practice of appropriate childcare and feeding practices (e.g. food diversity; meal frequency) as well as deficient WASH practices across all wealth quintiles, and limited availability and access to adequate and diverse diets.</w:t>
      </w:r>
      <w:r w:rsidR="00A53A8D">
        <w:t xml:space="preserve"> </w:t>
      </w:r>
    </w:p>
    <w:p w14:paraId="01C20DD2" w14:textId="58D43037" w:rsidR="00A55463" w:rsidRPr="00A55463" w:rsidRDefault="00082A06" w:rsidP="00A55463">
      <w:r>
        <w:t xml:space="preserve">It is in within this context that the </w:t>
      </w:r>
      <w:r w:rsidR="008D1325">
        <w:t xml:space="preserve">Rwanda </w:t>
      </w:r>
      <w:r>
        <w:t>S</w:t>
      </w:r>
      <w:r w:rsidR="00E045F4">
        <w:t>tunting Prevention and Reduction</w:t>
      </w:r>
      <w:r w:rsidR="008D1325">
        <w:t xml:space="preserve"> (</w:t>
      </w:r>
      <w:r w:rsidR="00EE086E">
        <w:t>SPaR</w:t>
      </w:r>
      <w:r w:rsidR="008D1325">
        <w:t>)</w:t>
      </w:r>
      <w:r w:rsidR="00E045F4">
        <w:t xml:space="preserve"> </w:t>
      </w:r>
      <w:r w:rsidR="008D1325">
        <w:t>program</w:t>
      </w:r>
      <w:r>
        <w:t xml:space="preserve"> has been </w:t>
      </w:r>
      <w:r w:rsidR="00E64F31">
        <w:t>designed</w:t>
      </w:r>
      <w:r>
        <w:t>.</w:t>
      </w:r>
      <w:r w:rsidR="008D1325">
        <w:t xml:space="preserve"> The </w:t>
      </w:r>
      <w:r w:rsidR="00EE086E">
        <w:t xml:space="preserve">SPaR </w:t>
      </w:r>
      <w:r w:rsidR="008D1325">
        <w:t>pro</w:t>
      </w:r>
      <w:r w:rsidR="002F3069">
        <w:t>gram</w:t>
      </w:r>
      <w:r w:rsidR="008D1325">
        <w:t xml:space="preserve"> is a coordinated and harmonized program that supports activities in both the health and social protection sectors, with a focus on the reduction in stunting prevalence among Rwanda’s</w:t>
      </w:r>
      <w:r w:rsidR="00E64F31">
        <w:t xml:space="preserve"> children, </w:t>
      </w:r>
      <w:r w:rsidR="00897D78">
        <w:t>especially those</w:t>
      </w:r>
      <w:r w:rsidR="008D1325">
        <w:t xml:space="preserve"> under-24 month</w:t>
      </w:r>
      <w:r w:rsidR="00897D78">
        <w:t>s old</w:t>
      </w:r>
      <w:r w:rsidR="008D1325">
        <w:t>.</w:t>
      </w:r>
      <w:r w:rsidR="00875685">
        <w:t xml:space="preserve"> Program activities</w:t>
      </w:r>
      <w:r w:rsidR="002306C0">
        <w:t xml:space="preserve"> will be described in detail below.</w:t>
      </w:r>
    </w:p>
    <w:p w14:paraId="0C98EB10" w14:textId="36F6F6FD" w:rsidR="003A0B4F" w:rsidRPr="00756A4A" w:rsidRDefault="003A0B4F" w:rsidP="003A0B4F">
      <w:pPr>
        <w:pStyle w:val="Heading1"/>
      </w:pPr>
      <w:bookmarkStart w:id="2" w:name="_Toc520742192"/>
      <w:bookmarkStart w:id="3" w:name="_Toc69728387"/>
      <w:r w:rsidRPr="00756A4A">
        <w:t>Rationale</w:t>
      </w:r>
      <w:r>
        <w:t xml:space="preserve"> for</w:t>
      </w:r>
      <w:r w:rsidR="002306C0">
        <w:t xml:space="preserve"> program activities</w:t>
      </w:r>
      <w:bookmarkEnd w:id="2"/>
      <w:bookmarkEnd w:id="3"/>
    </w:p>
    <w:p w14:paraId="4C1BB493" w14:textId="388552DE" w:rsidR="003A0B4F" w:rsidRPr="00565996" w:rsidRDefault="003A0B4F" w:rsidP="003A0B4F">
      <w:r w:rsidRPr="00AB0D68">
        <w:t>Supply-side barriers have impeded the scale up and coverage of high-impact interventions</w:t>
      </w:r>
      <w:r w:rsidRPr="003A0B4F">
        <w:rPr>
          <w:b/>
        </w:rPr>
        <w:t>.</w:t>
      </w:r>
      <w:r w:rsidR="00A53A8D">
        <w:t xml:space="preserve"> </w:t>
      </w:r>
      <w:r w:rsidRPr="00565996">
        <w:t xml:space="preserve">Although the last fifteen years have seen important improvements in </w:t>
      </w:r>
      <w:r w:rsidR="00D0679A">
        <w:t>utilization</w:t>
      </w:r>
      <w:r w:rsidR="00D0679A" w:rsidRPr="00565996">
        <w:t xml:space="preserve"> </w:t>
      </w:r>
      <w:r w:rsidRPr="00565996">
        <w:t>of antenatal, skilled birth attendance, and postnatal services, important gaps remain.</w:t>
      </w:r>
      <w:r w:rsidR="00A53A8D">
        <w:t xml:space="preserve"> </w:t>
      </w:r>
      <w:r w:rsidR="00D0679A">
        <w:t>Utilization of</w:t>
      </w:r>
      <w:r w:rsidRPr="00565996">
        <w:t xml:space="preserve"> the four recommended antenatal care visits (4</w:t>
      </w:r>
      <w:r w:rsidR="001D4831">
        <w:t>7</w:t>
      </w:r>
      <w:r w:rsidRPr="00565996">
        <w:t xml:space="preserve">%) and </w:t>
      </w:r>
      <w:r w:rsidR="001E3826">
        <w:t>of</w:t>
      </w:r>
      <w:r w:rsidRPr="00565996">
        <w:t xml:space="preserve"> child postnatal care visits</w:t>
      </w:r>
      <w:r w:rsidR="00B735BA">
        <w:t xml:space="preserve"> within two days after delivery</w:t>
      </w:r>
      <w:r w:rsidRPr="00565996">
        <w:t xml:space="preserve"> (</w:t>
      </w:r>
      <w:r w:rsidR="00B735BA">
        <w:t>7</w:t>
      </w:r>
      <w:r w:rsidR="004845C3">
        <w:t>5</w:t>
      </w:r>
      <w:r w:rsidRPr="00565996">
        <w:t xml:space="preserve">%) </w:t>
      </w:r>
      <w:r w:rsidR="00B735BA">
        <w:t>can be improved</w:t>
      </w:r>
      <w:r w:rsidRPr="00565996">
        <w:t xml:space="preserve">. The availability and quality of nutrition-specific interventions delivered through the health sector, such as micronutrient supplementation (e.g. only </w:t>
      </w:r>
      <w:r w:rsidR="00BC4DBB">
        <w:t>16</w:t>
      </w:r>
      <w:r w:rsidRPr="00565996">
        <w:t xml:space="preserve">% of women receive the recommended dose of 90+ iron tablets during pregnancy) and promotion of appropriate nutrition and feeding practices (e.g. only </w:t>
      </w:r>
      <w:r w:rsidR="00B735BA">
        <w:t>21</w:t>
      </w:r>
      <w:r w:rsidRPr="00565996">
        <w:t xml:space="preserve"> percent of children benefit from the three-recommended infant and young child feeding practices) remains very low.</w:t>
      </w:r>
      <w:r w:rsidR="00A53A8D">
        <w:t xml:space="preserve"> </w:t>
      </w:r>
    </w:p>
    <w:p w14:paraId="251FB4F5" w14:textId="36CD5651" w:rsidR="003A0B4F" w:rsidRPr="00565996" w:rsidRDefault="003A0B4F" w:rsidP="003A0B4F">
      <w:pPr>
        <w:rPr>
          <w:rStyle w:val="FootnoteReference"/>
          <w:rFonts w:ascii="Times New Roman" w:eastAsiaTheme="minorEastAsia" w:hAnsi="Times New Roman" w:cs="Times New Roman"/>
          <w:lang w:val="en-GB"/>
        </w:rPr>
      </w:pPr>
      <w:r w:rsidRPr="00AB0D68">
        <w:t>The quality and efficiency of key platforms for delivering core interventions need to be improved</w:t>
      </w:r>
      <w:r w:rsidRPr="003A0B4F">
        <w:rPr>
          <w:b/>
        </w:rPr>
        <w:t>.</w:t>
      </w:r>
      <w:r w:rsidR="00A53A8D">
        <w:t xml:space="preserve"> </w:t>
      </w:r>
      <w:r w:rsidRPr="00565996">
        <w:t xml:space="preserve">A notable example is the national Community Health Worker (CHW) program that plays an important role in improving knowledge of </w:t>
      </w:r>
      <w:r w:rsidR="00F74BD5" w:rsidRPr="00565996">
        <w:t>childcare</w:t>
      </w:r>
      <w:r w:rsidRPr="00565996">
        <w:t xml:space="preserve"> practices, and ensuring that the most vulnerable women and children are systematically followed and accompanied to health facilities.</w:t>
      </w:r>
      <w:r w:rsidR="00A53A8D">
        <w:t xml:space="preserve"> </w:t>
      </w:r>
      <w:r w:rsidRPr="00565996">
        <w:t xml:space="preserve">A recent evaluation of the program found that CHWs have variable workloads, are not systematically remunerated, do not benefit </w:t>
      </w:r>
      <w:r w:rsidRPr="00565996">
        <w:lastRenderedPageBreak/>
        <w:t>from regular training and mentoring, and their performance is hindered by stock outs of medicines and critical commodities.</w:t>
      </w:r>
      <w:r w:rsidRPr="00565996">
        <w:rPr>
          <w:rStyle w:val="FootnoteReference"/>
          <w:rFonts w:ascii="Times New Roman" w:hAnsi="Times New Roman" w:cs="Times New Roman"/>
        </w:rPr>
        <w:footnoteReference w:id="4"/>
      </w:r>
      <w:r w:rsidR="00A53A8D">
        <w:t xml:space="preserve"> </w:t>
      </w:r>
      <w:r w:rsidRPr="00565996">
        <w:t>There is also a need to revamp the incentive system, review potential alternative models, and make the program more sustainable.</w:t>
      </w:r>
      <w:r w:rsidRPr="00565996" w:rsidDel="00FE4EC6">
        <w:rPr>
          <w:rStyle w:val="FootnoteReference"/>
          <w:rFonts w:ascii="Times New Roman" w:hAnsi="Times New Roman" w:cs="Times New Roman"/>
        </w:rPr>
        <w:t xml:space="preserve"> </w:t>
      </w:r>
    </w:p>
    <w:p w14:paraId="6D30E904" w14:textId="78106655" w:rsidR="003A0B4F" w:rsidRPr="005E45C3" w:rsidRDefault="003A0B4F" w:rsidP="005E45C3">
      <w:r w:rsidRPr="00AB0D68">
        <w:t xml:space="preserve">Demand side barriers </w:t>
      </w:r>
      <w:r w:rsidR="00875685" w:rsidRPr="00AB0D68">
        <w:t>that contribute to</w:t>
      </w:r>
      <w:r w:rsidRPr="00AB0D68">
        <w:t xml:space="preserve"> stunting include socio-cultural factors, geographic and financial impediments to health service utilization, and general levels of poverty and vulnerability.</w:t>
      </w:r>
      <w:r w:rsidR="00A53A8D">
        <w:t xml:space="preserve"> </w:t>
      </w:r>
      <w:r w:rsidRPr="00565996">
        <w:t>While Rwanda has a strong community health insurance scheme (</w:t>
      </w:r>
      <w:r w:rsidRPr="00565996">
        <w:rPr>
          <w:i/>
        </w:rPr>
        <w:t>mutuelles</w:t>
      </w:r>
      <w:r w:rsidRPr="00565996">
        <w:t>), geographic and financial barriers</w:t>
      </w:r>
      <w:r>
        <w:t xml:space="preserve"> to receiving relevant and high-quality health care services</w:t>
      </w:r>
      <w:r w:rsidRPr="00565996">
        <w:t xml:space="preserve"> persist, particularly for the poor and vulnerable.</w:t>
      </w:r>
      <w:r w:rsidR="00A53A8D">
        <w:t xml:space="preserve"> </w:t>
      </w:r>
      <w:r w:rsidRPr="00565996">
        <w:t>The government’s strong social protection program (</w:t>
      </w:r>
      <w:r w:rsidRPr="00565996">
        <w:rPr>
          <w:i/>
        </w:rPr>
        <w:t>Vision 2020 Umurenge Program</w:t>
      </w:r>
      <w:r w:rsidR="00890549">
        <w:t>) plays a</w:t>
      </w:r>
      <w:r w:rsidRPr="00565996">
        <w:t xml:space="preserve"> </w:t>
      </w:r>
      <w:r w:rsidR="00890549">
        <w:t xml:space="preserve">general </w:t>
      </w:r>
      <w:r w:rsidRPr="00565996">
        <w:t>role in targeting vulnerable families with income support, financial services and public works</w:t>
      </w:r>
      <w:r w:rsidR="002306C0">
        <w:t>. This</w:t>
      </w:r>
      <w:r w:rsidRPr="00565996">
        <w:t xml:space="preserve"> offers a unique opportunity to scale up nutrition sensitive cash transfers and other innovative approaches to target the poorest groups.</w:t>
      </w:r>
      <w:r w:rsidR="00A53A8D">
        <w:t xml:space="preserve"> </w:t>
      </w:r>
      <w:r w:rsidRPr="00565996">
        <w:t>Finally, despite progress made to tackle poverty and vulnerability, a substantial proportion of households (39%) still fall below the poverty line and are highly dependent on a subsistence economy</w:t>
      </w:r>
      <w:r>
        <w:t xml:space="preserve"> </w:t>
      </w:r>
      <w:r w:rsidRPr="00565996">
        <w:t>which impede</w:t>
      </w:r>
      <w:r>
        <w:t>s</w:t>
      </w:r>
      <w:r w:rsidRPr="00565996">
        <w:t xml:space="preserve"> food security and nutrition outcomes. Cash transfers to these poorest households </w:t>
      </w:r>
      <w:r w:rsidR="002306C0">
        <w:t>may</w:t>
      </w:r>
      <w:r>
        <w:t xml:space="preserve"> be effective</w:t>
      </w:r>
      <w:r w:rsidR="002306C0">
        <w:t xml:space="preserve"> in addressing important underlying causes of stunting and malnutrition.</w:t>
      </w:r>
    </w:p>
    <w:p w14:paraId="08682230" w14:textId="06FDF56B" w:rsidR="005E45C3" w:rsidRPr="005E45C3" w:rsidRDefault="003A0B4F" w:rsidP="003A0B4F">
      <w:pPr>
        <w:pStyle w:val="Heading1"/>
      </w:pPr>
      <w:bookmarkStart w:id="4" w:name="_Toc520742193"/>
      <w:bookmarkStart w:id="5" w:name="_Toc69728388"/>
      <w:r>
        <w:t xml:space="preserve">Description of </w:t>
      </w:r>
      <w:r w:rsidR="002306C0">
        <w:t>program activities</w:t>
      </w:r>
      <w:bookmarkEnd w:id="4"/>
      <w:bookmarkEnd w:id="5"/>
    </w:p>
    <w:p w14:paraId="02FE48B7" w14:textId="56F13751" w:rsidR="007348E8" w:rsidRDefault="00CE5294" w:rsidP="0051182A">
      <w:r w:rsidRPr="002306C0">
        <w:t xml:space="preserve">To support Rwanda’s vision and commitment to eliminate chronic malnutrition in children under two, </w:t>
      </w:r>
      <w:r w:rsidR="002306C0" w:rsidRPr="002306C0">
        <w:t xml:space="preserve">the </w:t>
      </w:r>
      <w:r w:rsidR="00411142">
        <w:t>SPaR</w:t>
      </w:r>
      <w:r w:rsidR="001E3826">
        <w:t xml:space="preserve"> program</w:t>
      </w:r>
      <w:r w:rsidRPr="002306C0">
        <w:t xml:space="preserve"> will support the scale-up of a combination of nutrition-specific and nutrition-sensitive interventions, addressing both the supply side</w:t>
      </w:r>
      <w:r w:rsidR="00881E0B">
        <w:t xml:space="preserve">, by </w:t>
      </w:r>
      <w:r w:rsidR="00881E0B" w:rsidRPr="00881E0B">
        <w:t xml:space="preserve">strengthening health </w:t>
      </w:r>
      <w:r w:rsidR="00881E0B">
        <w:t xml:space="preserve">and nutrition </w:t>
      </w:r>
      <w:r w:rsidR="00881E0B" w:rsidRPr="00881E0B">
        <w:t>services</w:t>
      </w:r>
      <w:r w:rsidR="00881E0B">
        <w:t>,</w:t>
      </w:r>
      <w:r w:rsidR="00255068">
        <w:t xml:space="preserve"> </w:t>
      </w:r>
      <w:r w:rsidRPr="002306C0">
        <w:t>and the demand side</w:t>
      </w:r>
      <w:r w:rsidR="00881E0B">
        <w:t>, through cash transfers (</w:t>
      </w:r>
      <w:r w:rsidR="00D77C07">
        <w:t>CT</w:t>
      </w:r>
      <w:r w:rsidR="00881E0B">
        <w:t>s)</w:t>
      </w:r>
      <w:r w:rsidRPr="002306C0">
        <w:t xml:space="preserve"> </w:t>
      </w:r>
      <w:r w:rsidR="002306C0">
        <w:t>This</w:t>
      </w:r>
      <w:r w:rsidRPr="003A0B4F">
        <w:t xml:space="preserve"> support will focus on investing in the full package of core nutrition actions with intensive coverage in a targeted number of 13 high-stunting districts (out of a total of 30 districts in Rwanda</w:t>
      </w:r>
      <w:r w:rsidR="002306C0">
        <w:t>)</w:t>
      </w:r>
      <w:r w:rsidRPr="003A0B4F">
        <w:t xml:space="preserve"> to ensure that the basic, immediate and underlying causes of stunting are addressed.</w:t>
      </w:r>
      <w:r w:rsidR="002306C0">
        <w:t xml:space="preserve"> With </w:t>
      </w:r>
      <w:r w:rsidRPr="003A0B4F">
        <w:t xml:space="preserve">cross-sectoral inputs from health, social protection (and agriculture) in these 13 districts, the Bank-supported program aims to demonstrate how a multi-sectoral approach has </w:t>
      </w:r>
      <w:r w:rsidR="002306C0">
        <w:t>great</w:t>
      </w:r>
      <w:r w:rsidRPr="003A0B4F">
        <w:t xml:space="preserve"> potential to reduce stunting.</w:t>
      </w:r>
      <w:r w:rsidR="00A53A8D">
        <w:t xml:space="preserve"> </w:t>
      </w:r>
      <w:r w:rsidR="002306C0">
        <w:t xml:space="preserve">Under this program there are two principal World Bank projects. </w:t>
      </w:r>
    </w:p>
    <w:p w14:paraId="4F15F387" w14:textId="266A2906" w:rsidR="007348E8" w:rsidRDefault="00CE5294" w:rsidP="00E90DFA">
      <w:pPr>
        <w:pStyle w:val="ListParagraph"/>
        <w:numPr>
          <w:ilvl w:val="0"/>
          <w:numId w:val="16"/>
        </w:numPr>
      </w:pPr>
      <w:r w:rsidRPr="003A0B4F">
        <w:t xml:space="preserve">The </w:t>
      </w:r>
      <w:r w:rsidR="00905A5C">
        <w:t>Stunting Prevention and Reduction Project, or SPRP,</w:t>
      </w:r>
      <w:r w:rsidR="009064DB">
        <w:t xml:space="preserve"> </w:t>
      </w:r>
      <w:r w:rsidR="002306C0">
        <w:t>(centered in the Health</w:t>
      </w:r>
      <w:r w:rsidR="00E64F31">
        <w:t xml:space="preserve"> Nutrition Population</w:t>
      </w:r>
      <w:r w:rsidR="002306C0">
        <w:t xml:space="preserve"> Global Practice)</w:t>
      </w:r>
      <w:r w:rsidRPr="003A0B4F">
        <w:t xml:space="preserve"> </w:t>
      </w:r>
      <w:r w:rsidR="000E17B8">
        <w:t>includes different components to</w:t>
      </w:r>
      <w:r w:rsidR="000E17B8" w:rsidRPr="003A0B4F">
        <w:t xml:space="preserve"> </w:t>
      </w:r>
      <w:r w:rsidRPr="003A0B4F">
        <w:t>address the supply-side of high-impact nutrition and health interventions</w:t>
      </w:r>
      <w:r w:rsidR="00E90DFA">
        <w:t>, including the use of CHW</w:t>
      </w:r>
      <w:r w:rsidR="00A86F06">
        <w:t>s</w:t>
      </w:r>
      <w:r w:rsidRPr="003A0B4F">
        <w:t>.</w:t>
      </w:r>
      <w:r w:rsidR="009064DB">
        <w:t xml:space="preserve"> </w:t>
      </w:r>
      <w:r w:rsidR="000D1A34">
        <w:t>The SPR</w:t>
      </w:r>
      <w:r w:rsidR="00905A5C">
        <w:t>P</w:t>
      </w:r>
      <w:r w:rsidR="000D1A34">
        <w:t xml:space="preserve"> project also involves home-based early childhood education (ECD) and complementary WASH interventions</w:t>
      </w:r>
      <w:r w:rsidR="000E17B8">
        <w:t>, as well as the distribution of fortified blended foods (FBF) target</w:t>
      </w:r>
      <w:r w:rsidR="00F56034">
        <w:t>ing</w:t>
      </w:r>
      <w:r w:rsidR="000E17B8">
        <w:t xml:space="preserve"> the most vulnerable households</w:t>
      </w:r>
      <w:r w:rsidR="000D1A34">
        <w:t>.</w:t>
      </w:r>
      <w:r w:rsidR="00747613">
        <w:br/>
      </w:r>
    </w:p>
    <w:p w14:paraId="7EA111B8" w14:textId="0E49A6DD" w:rsidR="005E45C3" w:rsidRDefault="000E17B8" w:rsidP="00E90DFA">
      <w:pPr>
        <w:pStyle w:val="ListParagraph"/>
        <w:numPr>
          <w:ilvl w:val="0"/>
          <w:numId w:val="16"/>
        </w:numPr>
      </w:pPr>
      <w:r>
        <w:t>T</w:t>
      </w:r>
      <w:r w:rsidR="00E64F31">
        <w:t>he</w:t>
      </w:r>
      <w:r w:rsidR="00CE5294" w:rsidRPr="003A0B4F">
        <w:t xml:space="preserve"> Strengthening Social Protection (SSP) project</w:t>
      </w:r>
      <w:r w:rsidR="002306C0">
        <w:t xml:space="preserve"> (centered in the Social Protection Global Practice)</w:t>
      </w:r>
      <w:r>
        <w:t xml:space="preserve">, </w:t>
      </w:r>
      <w:r w:rsidR="00240A48">
        <w:t>of which the</w:t>
      </w:r>
      <w:r w:rsidR="00747613">
        <w:t xml:space="preserve"> novel</w:t>
      </w:r>
      <w:r w:rsidR="00240A48">
        <w:t xml:space="preserve"> Nutrition-Sensitive Direct Support (NSDS) represent</w:t>
      </w:r>
      <w:r w:rsidR="00F56034">
        <w:t>s</w:t>
      </w:r>
      <w:r w:rsidR="00240A48">
        <w:t xml:space="preserve"> the core component. The NSDS</w:t>
      </w:r>
      <w:r w:rsidR="00D85B7C">
        <w:t xml:space="preserve"> </w:t>
      </w:r>
      <w:r w:rsidR="00F56034">
        <w:t>involves providing</w:t>
      </w:r>
      <w:r w:rsidR="00D85B7C">
        <w:t xml:space="preserve"> cash transfers</w:t>
      </w:r>
      <w:r w:rsidR="00D85B7C" w:rsidRPr="003A0B4F">
        <w:t xml:space="preserve"> </w:t>
      </w:r>
      <w:r w:rsidR="00747613">
        <w:t>(</w:t>
      </w:r>
      <w:r w:rsidR="00D77C07">
        <w:t>CT</w:t>
      </w:r>
      <w:r w:rsidR="00747613">
        <w:t xml:space="preserve">s) </w:t>
      </w:r>
      <w:r w:rsidR="00F56034">
        <w:t xml:space="preserve">to vulnerable households </w:t>
      </w:r>
      <w:r w:rsidR="005A317D">
        <w:t xml:space="preserve">and involves </w:t>
      </w:r>
      <w:r w:rsidR="00D85B7C">
        <w:t xml:space="preserve">"co-responsibilities" </w:t>
      </w:r>
      <w:r w:rsidR="00D85B7C" w:rsidRPr="00D85B7C">
        <w:t>for children to participate in growth promotion activities at health centers</w:t>
      </w:r>
      <w:r w:rsidR="00F56034">
        <w:t>,</w:t>
      </w:r>
      <w:r w:rsidR="00D85B7C" w:rsidRPr="00D85B7C">
        <w:t xml:space="preserve"> and mothers to attend </w:t>
      </w:r>
      <w:r w:rsidR="00D85B7C">
        <w:t>antenatal</w:t>
      </w:r>
      <w:r w:rsidR="00D85B7C" w:rsidRPr="00D85B7C">
        <w:t xml:space="preserve"> and</w:t>
      </w:r>
      <w:r w:rsidR="00D85B7C">
        <w:t xml:space="preserve"> postnatal</w:t>
      </w:r>
      <w:r w:rsidR="00D85B7C" w:rsidRPr="00D85B7C">
        <w:t xml:space="preserve"> services.</w:t>
      </w:r>
      <w:r w:rsidR="00D85B7C">
        <w:t xml:space="preserve"> This component of the SPP project was originally rolled out </w:t>
      </w:r>
      <w:r w:rsidR="00CE5294" w:rsidRPr="003A0B4F">
        <w:t xml:space="preserve">in </w:t>
      </w:r>
      <w:r w:rsidR="00F56034">
        <w:t xml:space="preserve">17 districts (13 of which are </w:t>
      </w:r>
      <w:r w:rsidR="00CE5294" w:rsidRPr="003A0B4F">
        <w:t>targeted for support under the health SPR</w:t>
      </w:r>
      <w:r w:rsidR="00905A5C">
        <w:t>P</w:t>
      </w:r>
      <w:r w:rsidR="00F56034">
        <w:t>)</w:t>
      </w:r>
      <w:r w:rsidR="00D85B7C">
        <w:t xml:space="preserve">, and </w:t>
      </w:r>
      <w:r w:rsidR="00255068">
        <w:t>ha</w:t>
      </w:r>
      <w:r w:rsidR="00747613">
        <w:t xml:space="preserve">s </w:t>
      </w:r>
      <w:r w:rsidR="00255068">
        <w:t>recently</w:t>
      </w:r>
      <w:r w:rsidR="00747613">
        <w:t xml:space="preserve"> b</w:t>
      </w:r>
      <w:r w:rsidR="00255068">
        <w:t>een</w:t>
      </w:r>
      <w:r w:rsidR="00D85B7C">
        <w:t xml:space="preserve"> expanded to </w:t>
      </w:r>
      <w:r w:rsidR="00C55EC0">
        <w:t xml:space="preserve">an additional </w:t>
      </w:r>
      <w:r w:rsidR="00D85B7C">
        <w:t>district</w:t>
      </w:r>
      <w:r w:rsidR="00C55EC0">
        <w:t xml:space="preserve"> (18 in total)</w:t>
      </w:r>
      <w:r w:rsidR="00CE5294" w:rsidRPr="003A0B4F">
        <w:t>.</w:t>
      </w:r>
      <w:r w:rsidR="00A53A8D">
        <w:t xml:space="preserve"> </w:t>
      </w:r>
    </w:p>
    <w:p w14:paraId="00E6DD76" w14:textId="31EEC0A9" w:rsidR="0051182A" w:rsidRPr="0051182A" w:rsidRDefault="00411724" w:rsidP="0051182A">
      <w:r w:rsidRPr="002306C0">
        <w:t>In addition to the SPR</w:t>
      </w:r>
      <w:r w:rsidR="00905A5C">
        <w:t>P</w:t>
      </w:r>
      <w:r w:rsidRPr="002306C0">
        <w:t xml:space="preserve"> </w:t>
      </w:r>
      <w:r w:rsidR="00747613">
        <w:t xml:space="preserve">and SSP </w:t>
      </w:r>
      <w:r w:rsidRPr="002306C0">
        <w:t>projects, nutrition-sensitive interventions will also be supported through the Sustainable Agricultural Intensification for Improved Livelihoods, Food Security and Nutrition Project</w:t>
      </w:r>
      <w:r w:rsidRPr="00411724">
        <w:t xml:space="preserve"> </w:t>
      </w:r>
      <w:r w:rsidR="00F1708B">
        <w:t xml:space="preserve">(SAIP) </w:t>
      </w:r>
      <w:r w:rsidRPr="00411724">
        <w:t>which includes economic empowerment of women and enhancing availability and consumption of nutritious foods</w:t>
      </w:r>
      <w:r w:rsidR="002306C0">
        <w:t>.</w:t>
      </w:r>
      <w:r w:rsidR="00A53A8D">
        <w:t xml:space="preserve"> </w:t>
      </w:r>
      <w:r w:rsidRPr="00411724">
        <w:t xml:space="preserve">Innovations under the agriculture projects </w:t>
      </w:r>
      <w:r w:rsidR="00747613">
        <w:t>are implemented</w:t>
      </w:r>
      <w:r w:rsidRPr="00411724">
        <w:t xml:space="preserve"> in </w:t>
      </w:r>
      <w:r w:rsidR="00F1708B">
        <w:t>3 of the target 13</w:t>
      </w:r>
      <w:r w:rsidR="00FB31CC">
        <w:t xml:space="preserve"> districts</w:t>
      </w:r>
      <w:r w:rsidRPr="00411724">
        <w:t xml:space="preserve"> targeted for support under the SPR</w:t>
      </w:r>
      <w:r w:rsidR="00905A5C">
        <w:t>P</w:t>
      </w:r>
      <w:r w:rsidRPr="00411724">
        <w:t xml:space="preserve"> and SSP projects</w:t>
      </w:r>
      <w:r w:rsidR="00F1708B">
        <w:t xml:space="preserve"> (Karongi, Nyabihu, and Rutsiro)</w:t>
      </w:r>
      <w:r w:rsidRPr="00411724">
        <w:t xml:space="preserve">. </w:t>
      </w:r>
      <w:r w:rsidR="00FB31CC">
        <w:t xml:space="preserve">The </w:t>
      </w:r>
      <w:r w:rsidR="00FB31CC">
        <w:lastRenderedPageBreak/>
        <w:t>agriculture project will cover one sector and a small proportion of the villages in each district.</w:t>
      </w:r>
      <w:r w:rsidR="005E1F28">
        <w:t xml:space="preserve"> </w:t>
      </w:r>
      <w:r w:rsidR="00FB31CC">
        <w:t>Given the limited scope of the agriculture project, the program evaluation focus</w:t>
      </w:r>
      <w:r w:rsidR="00747613">
        <w:t>es</w:t>
      </w:r>
      <w:r w:rsidR="00FB31CC">
        <w:t xml:space="preserve"> on impacts from the SPR</w:t>
      </w:r>
      <w:r w:rsidR="00905A5C">
        <w:t>P</w:t>
      </w:r>
      <w:r w:rsidR="00FB31CC">
        <w:t xml:space="preserve"> and </w:t>
      </w:r>
      <w:r w:rsidR="00747613">
        <w:t xml:space="preserve">NSDS component of the </w:t>
      </w:r>
      <w:r w:rsidR="00FB31CC">
        <w:t>SSP project</w:t>
      </w:r>
      <w:r w:rsidR="00747613">
        <w:t>,</w:t>
      </w:r>
      <w:r w:rsidR="00FB31CC">
        <w:t xml:space="preserve"> and exclude</w:t>
      </w:r>
      <w:r w:rsidR="00747613">
        <w:t>s</w:t>
      </w:r>
      <w:r w:rsidR="00FB31CC">
        <w:t xml:space="preserve"> intervention sectors in the 3 </w:t>
      </w:r>
      <w:r w:rsidR="00A14101">
        <w:t>SAIP</w:t>
      </w:r>
      <w:r w:rsidR="00FB31CC">
        <w:t xml:space="preserve"> districts.</w:t>
      </w:r>
    </w:p>
    <w:p w14:paraId="043F5276" w14:textId="2F61DC73" w:rsidR="006C1D54" w:rsidRDefault="0051182A" w:rsidP="0051182A">
      <w:r w:rsidRPr="002A3EA8">
        <w:t>The overall program</w:t>
      </w:r>
      <w:r w:rsidR="00E64F31">
        <w:t xml:space="preserve"> also</w:t>
      </w:r>
      <w:r w:rsidRPr="002A3EA8">
        <w:t xml:space="preserve"> includes several cross cutting dimensions:</w:t>
      </w:r>
      <w:r w:rsidRPr="0051182A">
        <w:t xml:space="preserve"> (a) behavioral change communications to bring about a paradigm shift in the way Rwandan</w:t>
      </w:r>
      <w:r w:rsidR="005D4AF1">
        <w:t xml:space="preserve"> policy makers</w:t>
      </w:r>
      <w:r w:rsidRPr="0051182A">
        <w:t xml:space="preserve"> think about stunting </w:t>
      </w:r>
      <w:r w:rsidR="005D4AF1">
        <w:t xml:space="preserve">(rather than wasting) </w:t>
      </w:r>
      <w:r w:rsidRPr="0051182A">
        <w:t>and to</w:t>
      </w:r>
      <w:r w:rsidR="00A53A8D">
        <w:t xml:space="preserve"> </w:t>
      </w:r>
      <w:r w:rsidRPr="0051182A">
        <w:t>improve child caring, feeding, and WASH pr</w:t>
      </w:r>
      <w:r w:rsidRPr="007A2AB1">
        <w:t>actices; (b) targeted support to 13</w:t>
      </w:r>
      <w:r w:rsidR="00A53A8D">
        <w:t xml:space="preserve"> </w:t>
      </w:r>
      <w:r w:rsidRPr="007A2AB1">
        <w:t xml:space="preserve">high stunting districts, </w:t>
      </w:r>
      <w:r w:rsidR="002A3EA8">
        <w:t xml:space="preserve">the </w:t>
      </w:r>
      <w:r w:rsidRPr="007A2AB1">
        <w:t>poor and vulnerable populations</w:t>
      </w:r>
      <w:r w:rsidR="002A3EA8">
        <w:t xml:space="preserve"> therein</w:t>
      </w:r>
      <w:r w:rsidRPr="007A2AB1">
        <w:t xml:space="preserve">, and </w:t>
      </w:r>
      <w:r w:rsidR="002A3EA8">
        <w:t xml:space="preserve">especially children during </w:t>
      </w:r>
      <w:r w:rsidRPr="007A2AB1">
        <w:t>the first 1,000 days; (c) service delivery innovations, such as home-based</w:t>
      </w:r>
      <w:r w:rsidR="00E64F31">
        <w:t xml:space="preserve"> and</w:t>
      </w:r>
      <w:r w:rsidRPr="007A2AB1">
        <w:t xml:space="preserve"> community-based ECD models; interactive technologies and interoperable information systems for prompt identification and response to growth faltering; </w:t>
      </w:r>
      <w:r w:rsidR="00747613">
        <w:t xml:space="preserve">provision of FBF; </w:t>
      </w:r>
      <w:r w:rsidRPr="007A2AB1">
        <w:t>nutrition support grants; and results-based approaches to enhance accountability at all levels; and a (d) learning by doing approach that will determine what works and how it can be scaled up.</w:t>
      </w:r>
    </w:p>
    <w:p w14:paraId="07047ED3" w14:textId="58530570" w:rsidR="00DC519E" w:rsidRDefault="006C1D54" w:rsidP="0051182A">
      <w:r>
        <w:t xml:space="preserve">In terms of financing, the SPaR program leverages </w:t>
      </w:r>
      <w:r w:rsidRPr="001E3826">
        <w:rPr>
          <w:rFonts w:cstheme="majorHAnsi"/>
        </w:rPr>
        <w:t xml:space="preserve">new resources from Power of Nutrition (35m$ across the two projects) and the Global Financing </w:t>
      </w:r>
      <w:r>
        <w:rPr>
          <w:rFonts w:cstheme="majorHAnsi"/>
        </w:rPr>
        <w:t>F</w:t>
      </w:r>
      <w:r w:rsidRPr="001E3826">
        <w:rPr>
          <w:rFonts w:cstheme="majorHAnsi"/>
        </w:rPr>
        <w:t>acility</w:t>
      </w:r>
      <w:r>
        <w:rPr>
          <w:rFonts w:cstheme="majorHAnsi"/>
        </w:rPr>
        <w:t xml:space="preserve"> </w:t>
      </w:r>
      <w:r w:rsidRPr="001E3826">
        <w:rPr>
          <w:rFonts w:cstheme="majorHAnsi"/>
        </w:rPr>
        <w:t xml:space="preserve">(GFF, </w:t>
      </w:r>
      <w:r w:rsidR="00866AD4">
        <w:rPr>
          <w:rFonts w:cstheme="majorHAnsi"/>
        </w:rPr>
        <w:t>18</w:t>
      </w:r>
      <w:r w:rsidRPr="001E3826">
        <w:rPr>
          <w:rFonts w:cstheme="majorHAnsi"/>
        </w:rPr>
        <w:t>m$ across the two projects)</w:t>
      </w:r>
      <w:r>
        <w:rPr>
          <w:rFonts w:cstheme="majorHAnsi"/>
        </w:rPr>
        <w:t xml:space="preserve"> </w:t>
      </w:r>
      <w:r w:rsidRPr="001E3826">
        <w:rPr>
          <w:rFonts w:cstheme="majorHAnsi"/>
        </w:rPr>
        <w:t>to co-finance</w:t>
      </w:r>
      <w:r>
        <w:rPr>
          <w:rFonts w:cstheme="majorHAnsi"/>
        </w:rPr>
        <w:t xml:space="preserve"> the amount allocated through</w:t>
      </w:r>
      <w:r w:rsidRPr="001E3826">
        <w:rPr>
          <w:rFonts w:cstheme="majorHAnsi"/>
        </w:rPr>
        <w:t xml:space="preserve"> IDA</w:t>
      </w:r>
      <w:r>
        <w:rPr>
          <w:rFonts w:cstheme="majorHAnsi"/>
        </w:rPr>
        <w:t>. Total external financing for the nutrition program, summarized in Table 1, reaches almost 120m$.</w:t>
      </w:r>
    </w:p>
    <w:p w14:paraId="319173F3" w14:textId="1246BDCD" w:rsidR="00C500B6" w:rsidRPr="00027073" w:rsidRDefault="00462A14" w:rsidP="00C500B6">
      <w:pPr>
        <w:spacing w:after="0"/>
        <w:ind w:firstLine="720"/>
        <w:jc w:val="both"/>
        <w:rPr>
          <w:rFonts w:cstheme="majorHAnsi"/>
          <w:b/>
          <w:color w:val="000000" w:themeColor="text1"/>
          <w:sz w:val="18"/>
        </w:rPr>
      </w:pPr>
      <w:r w:rsidRPr="00027073">
        <w:rPr>
          <w:rFonts w:cstheme="majorHAnsi"/>
          <w:b/>
          <w:color w:val="000000" w:themeColor="text1"/>
          <w:sz w:val="18"/>
        </w:rPr>
        <w:t xml:space="preserve">Table 1. </w:t>
      </w:r>
      <w:r w:rsidR="00C500B6" w:rsidRPr="00027073">
        <w:rPr>
          <w:rFonts w:cstheme="majorHAnsi"/>
          <w:b/>
          <w:color w:val="000000" w:themeColor="text1"/>
          <w:sz w:val="18"/>
        </w:rPr>
        <w:t xml:space="preserve">Overall co-financing summary for </w:t>
      </w:r>
      <w:r w:rsidR="00A14101" w:rsidRPr="00027073">
        <w:rPr>
          <w:rFonts w:cstheme="majorHAnsi"/>
          <w:b/>
          <w:color w:val="000000" w:themeColor="text1"/>
          <w:sz w:val="18"/>
        </w:rPr>
        <w:t xml:space="preserve">Rwanda’s </w:t>
      </w:r>
      <w:r w:rsidR="00C500B6" w:rsidRPr="00027073">
        <w:rPr>
          <w:rFonts w:cstheme="majorHAnsi"/>
          <w:b/>
          <w:color w:val="000000" w:themeColor="text1"/>
          <w:sz w:val="18"/>
        </w:rPr>
        <w:t>stunting-reduction program:</w:t>
      </w:r>
    </w:p>
    <w:p w14:paraId="3419EE7F" w14:textId="77777777" w:rsidR="00C500B6" w:rsidRPr="00027073" w:rsidRDefault="00C500B6" w:rsidP="00C500B6">
      <w:pPr>
        <w:spacing w:after="0"/>
        <w:jc w:val="both"/>
        <w:rPr>
          <w:rFonts w:cstheme="majorHAnsi"/>
          <w:color w:val="000000" w:themeColor="text1"/>
          <w:sz w:val="18"/>
        </w:rPr>
      </w:pPr>
    </w:p>
    <w:tbl>
      <w:tblPr>
        <w:tblW w:w="0" w:type="auto"/>
        <w:jc w:val="center"/>
        <w:tblLook w:val="04A0" w:firstRow="1" w:lastRow="0" w:firstColumn="1" w:lastColumn="0" w:noHBand="0" w:noVBand="1"/>
      </w:tblPr>
      <w:tblGrid>
        <w:gridCol w:w="1975"/>
        <w:gridCol w:w="1170"/>
        <w:gridCol w:w="1440"/>
        <w:gridCol w:w="1710"/>
        <w:gridCol w:w="1440"/>
      </w:tblGrid>
      <w:tr w:rsidR="00C500B6" w:rsidRPr="00027073" w14:paraId="02CF153D" w14:textId="77777777" w:rsidTr="00817CBD">
        <w:trPr>
          <w:jc w:val="center"/>
        </w:trPr>
        <w:tc>
          <w:tcPr>
            <w:tcW w:w="1975" w:type="dxa"/>
          </w:tcPr>
          <w:p w14:paraId="61DF40F9" w14:textId="77777777" w:rsidR="00C500B6" w:rsidRPr="00027073" w:rsidRDefault="00C500B6" w:rsidP="00817CBD">
            <w:pPr>
              <w:jc w:val="both"/>
              <w:rPr>
                <w:rFonts w:cstheme="majorHAnsi"/>
                <w:color w:val="000000" w:themeColor="text1"/>
                <w:sz w:val="18"/>
                <w:szCs w:val="20"/>
              </w:rPr>
            </w:pPr>
          </w:p>
        </w:tc>
        <w:tc>
          <w:tcPr>
            <w:tcW w:w="1170" w:type="dxa"/>
          </w:tcPr>
          <w:p w14:paraId="4CCC6B32" w14:textId="77777777" w:rsidR="00C500B6" w:rsidRPr="00027073" w:rsidRDefault="00C500B6" w:rsidP="00817CBD">
            <w:pPr>
              <w:jc w:val="both"/>
              <w:rPr>
                <w:rFonts w:cstheme="majorHAnsi"/>
                <w:color w:val="000000" w:themeColor="text1"/>
                <w:sz w:val="18"/>
                <w:szCs w:val="20"/>
              </w:rPr>
            </w:pPr>
          </w:p>
        </w:tc>
        <w:tc>
          <w:tcPr>
            <w:tcW w:w="4590" w:type="dxa"/>
            <w:gridSpan w:val="3"/>
          </w:tcPr>
          <w:p w14:paraId="593935BA" w14:textId="77777777" w:rsidR="00C500B6" w:rsidRPr="00027073" w:rsidRDefault="00C500B6" w:rsidP="00817CBD">
            <w:pPr>
              <w:jc w:val="both"/>
              <w:rPr>
                <w:rFonts w:cstheme="majorHAnsi"/>
                <w:color w:val="000000" w:themeColor="text1"/>
                <w:sz w:val="18"/>
                <w:szCs w:val="20"/>
              </w:rPr>
            </w:pPr>
            <w:r w:rsidRPr="00027073">
              <w:rPr>
                <w:rFonts w:cstheme="majorHAnsi"/>
                <w:color w:val="000000" w:themeColor="text1"/>
                <w:sz w:val="18"/>
                <w:szCs w:val="20"/>
              </w:rPr>
              <w:t>Nutrition-sensitive or Nutrition Specific</w:t>
            </w:r>
          </w:p>
        </w:tc>
      </w:tr>
      <w:tr w:rsidR="00C500B6" w:rsidRPr="00027073" w14:paraId="41EF3A63" w14:textId="77777777" w:rsidTr="00817CBD">
        <w:trPr>
          <w:jc w:val="center"/>
        </w:trPr>
        <w:tc>
          <w:tcPr>
            <w:tcW w:w="1975" w:type="dxa"/>
          </w:tcPr>
          <w:p w14:paraId="5D6E7184" w14:textId="77777777" w:rsidR="00C500B6" w:rsidRPr="00027073" w:rsidRDefault="00C500B6" w:rsidP="00A14101">
            <w:pPr>
              <w:rPr>
                <w:rFonts w:cstheme="majorHAnsi"/>
                <w:color w:val="000000" w:themeColor="text1"/>
                <w:sz w:val="18"/>
                <w:szCs w:val="20"/>
              </w:rPr>
            </w:pPr>
          </w:p>
        </w:tc>
        <w:tc>
          <w:tcPr>
            <w:tcW w:w="1170" w:type="dxa"/>
          </w:tcPr>
          <w:p w14:paraId="7105C32C" w14:textId="77777777" w:rsidR="00C500B6" w:rsidRPr="00027073" w:rsidRDefault="00C500B6" w:rsidP="00A14101">
            <w:pPr>
              <w:rPr>
                <w:rFonts w:cstheme="majorHAnsi"/>
                <w:color w:val="000000" w:themeColor="text1"/>
                <w:sz w:val="18"/>
                <w:szCs w:val="20"/>
              </w:rPr>
            </w:pPr>
            <w:r w:rsidRPr="00027073">
              <w:rPr>
                <w:rFonts w:cstheme="majorHAnsi"/>
                <w:color w:val="000000" w:themeColor="text1"/>
                <w:sz w:val="18"/>
                <w:szCs w:val="20"/>
              </w:rPr>
              <w:t>Total</w:t>
            </w:r>
          </w:p>
          <w:p w14:paraId="051D6740" w14:textId="77777777" w:rsidR="00C500B6" w:rsidRPr="00027073" w:rsidRDefault="00C500B6" w:rsidP="00A14101">
            <w:pPr>
              <w:rPr>
                <w:rFonts w:cstheme="majorHAnsi"/>
                <w:color w:val="000000" w:themeColor="text1"/>
                <w:sz w:val="18"/>
                <w:szCs w:val="20"/>
              </w:rPr>
            </w:pPr>
            <w:r w:rsidRPr="00027073">
              <w:rPr>
                <w:rFonts w:cstheme="majorHAnsi"/>
                <w:color w:val="000000" w:themeColor="text1"/>
                <w:sz w:val="18"/>
                <w:szCs w:val="20"/>
              </w:rPr>
              <w:t>Project</w:t>
            </w:r>
          </w:p>
          <w:p w14:paraId="540EA3E4" w14:textId="77777777" w:rsidR="00C500B6" w:rsidRPr="00027073" w:rsidRDefault="00C500B6" w:rsidP="00A14101">
            <w:pPr>
              <w:rPr>
                <w:rFonts w:cstheme="majorHAnsi"/>
                <w:i/>
                <w:color w:val="000000" w:themeColor="text1"/>
                <w:sz w:val="18"/>
                <w:szCs w:val="20"/>
              </w:rPr>
            </w:pPr>
            <w:r w:rsidRPr="00027073">
              <w:rPr>
                <w:rFonts w:cstheme="majorHAnsi"/>
                <w:i/>
                <w:color w:val="000000" w:themeColor="text1"/>
                <w:sz w:val="18"/>
                <w:szCs w:val="20"/>
              </w:rPr>
              <w:t>(US$M)</w:t>
            </w:r>
          </w:p>
        </w:tc>
        <w:tc>
          <w:tcPr>
            <w:tcW w:w="1440" w:type="dxa"/>
          </w:tcPr>
          <w:p w14:paraId="63DB1BEF" w14:textId="0FB93BFA" w:rsidR="00C500B6" w:rsidRPr="00027073" w:rsidRDefault="00C500B6" w:rsidP="00A14101">
            <w:pPr>
              <w:rPr>
                <w:rFonts w:cstheme="majorHAnsi"/>
                <w:color w:val="000000" w:themeColor="text1"/>
                <w:sz w:val="18"/>
                <w:szCs w:val="20"/>
              </w:rPr>
            </w:pPr>
            <w:r w:rsidRPr="00027073">
              <w:rPr>
                <w:rFonts w:cstheme="majorHAnsi"/>
                <w:color w:val="000000" w:themeColor="text1"/>
                <w:sz w:val="18"/>
                <w:szCs w:val="20"/>
              </w:rPr>
              <w:t>IDA</w:t>
            </w:r>
          </w:p>
          <w:p w14:paraId="67CB87F9" w14:textId="77777777" w:rsidR="00C500B6" w:rsidRPr="00027073" w:rsidRDefault="00C500B6" w:rsidP="00A14101">
            <w:pPr>
              <w:rPr>
                <w:rFonts w:cstheme="majorHAnsi"/>
                <w:color w:val="000000" w:themeColor="text1"/>
                <w:sz w:val="18"/>
                <w:szCs w:val="20"/>
              </w:rPr>
            </w:pPr>
            <w:r w:rsidRPr="00027073">
              <w:rPr>
                <w:rFonts w:cstheme="majorHAnsi"/>
                <w:i/>
                <w:color w:val="000000" w:themeColor="text1"/>
                <w:sz w:val="18"/>
                <w:szCs w:val="20"/>
              </w:rPr>
              <w:t>(US$M)</w:t>
            </w:r>
          </w:p>
        </w:tc>
        <w:tc>
          <w:tcPr>
            <w:tcW w:w="1710" w:type="dxa"/>
          </w:tcPr>
          <w:p w14:paraId="062C47BB" w14:textId="77777777" w:rsidR="00C500B6" w:rsidRPr="00027073" w:rsidRDefault="00C500B6" w:rsidP="00A14101">
            <w:pPr>
              <w:rPr>
                <w:rFonts w:cstheme="majorHAnsi"/>
                <w:color w:val="000000" w:themeColor="text1"/>
                <w:sz w:val="18"/>
                <w:szCs w:val="20"/>
              </w:rPr>
            </w:pPr>
            <w:r w:rsidRPr="00027073">
              <w:rPr>
                <w:rFonts w:cstheme="majorHAnsi"/>
                <w:color w:val="000000" w:themeColor="text1"/>
                <w:sz w:val="18"/>
                <w:szCs w:val="20"/>
              </w:rPr>
              <w:t>Proposed PON</w:t>
            </w:r>
          </w:p>
          <w:p w14:paraId="6BC89677" w14:textId="77777777" w:rsidR="00C500B6" w:rsidRPr="00027073" w:rsidRDefault="00C500B6" w:rsidP="00A14101">
            <w:pPr>
              <w:rPr>
                <w:rFonts w:cstheme="majorHAnsi"/>
                <w:color w:val="000000" w:themeColor="text1"/>
                <w:sz w:val="18"/>
                <w:szCs w:val="20"/>
              </w:rPr>
            </w:pPr>
            <w:r w:rsidRPr="00027073">
              <w:rPr>
                <w:rFonts w:cstheme="majorHAnsi"/>
                <w:i/>
                <w:color w:val="000000" w:themeColor="text1"/>
                <w:sz w:val="18"/>
                <w:szCs w:val="20"/>
              </w:rPr>
              <w:t>(US$M)</w:t>
            </w:r>
          </w:p>
        </w:tc>
        <w:tc>
          <w:tcPr>
            <w:tcW w:w="1440" w:type="dxa"/>
          </w:tcPr>
          <w:p w14:paraId="094142A7" w14:textId="77777777" w:rsidR="00C500B6" w:rsidRPr="00027073" w:rsidRDefault="00C500B6" w:rsidP="00A14101">
            <w:pPr>
              <w:rPr>
                <w:rFonts w:cstheme="majorHAnsi"/>
                <w:color w:val="000000" w:themeColor="text1"/>
                <w:sz w:val="18"/>
                <w:szCs w:val="20"/>
              </w:rPr>
            </w:pPr>
            <w:r w:rsidRPr="00027073">
              <w:rPr>
                <w:rFonts w:cstheme="majorHAnsi"/>
                <w:color w:val="000000" w:themeColor="text1"/>
                <w:sz w:val="18"/>
                <w:szCs w:val="20"/>
              </w:rPr>
              <w:t>Proposed GFF match</w:t>
            </w:r>
          </w:p>
          <w:p w14:paraId="27A6B80B" w14:textId="77777777" w:rsidR="00C500B6" w:rsidRPr="00027073" w:rsidRDefault="00C500B6" w:rsidP="00A14101">
            <w:pPr>
              <w:rPr>
                <w:rFonts w:cstheme="majorHAnsi"/>
                <w:color w:val="000000" w:themeColor="text1"/>
                <w:sz w:val="18"/>
                <w:szCs w:val="20"/>
              </w:rPr>
            </w:pPr>
            <w:r w:rsidRPr="00027073">
              <w:rPr>
                <w:rFonts w:cstheme="majorHAnsi"/>
                <w:i/>
                <w:color w:val="000000" w:themeColor="text1"/>
                <w:sz w:val="18"/>
                <w:szCs w:val="20"/>
              </w:rPr>
              <w:t>(US$M)</w:t>
            </w:r>
          </w:p>
        </w:tc>
      </w:tr>
      <w:tr w:rsidR="00C500B6" w:rsidRPr="00027073" w14:paraId="4AE93F2F" w14:textId="77777777" w:rsidTr="00B838EA">
        <w:trPr>
          <w:jc w:val="center"/>
        </w:trPr>
        <w:tc>
          <w:tcPr>
            <w:tcW w:w="1975" w:type="dxa"/>
          </w:tcPr>
          <w:p w14:paraId="119FD13E" w14:textId="77777777" w:rsidR="00C500B6" w:rsidRPr="00027073" w:rsidRDefault="00C500B6" w:rsidP="00817CBD">
            <w:pPr>
              <w:jc w:val="both"/>
              <w:rPr>
                <w:rFonts w:cstheme="majorHAnsi"/>
                <w:color w:val="000000" w:themeColor="text1"/>
                <w:sz w:val="18"/>
                <w:szCs w:val="20"/>
              </w:rPr>
            </w:pPr>
            <w:r w:rsidRPr="00027073">
              <w:rPr>
                <w:rFonts w:cstheme="majorHAnsi"/>
                <w:color w:val="000000" w:themeColor="text1"/>
                <w:sz w:val="18"/>
                <w:szCs w:val="20"/>
              </w:rPr>
              <w:t>SSP Project</w:t>
            </w:r>
          </w:p>
        </w:tc>
        <w:tc>
          <w:tcPr>
            <w:tcW w:w="1170" w:type="dxa"/>
          </w:tcPr>
          <w:p w14:paraId="3B2AF2DE" w14:textId="77777777" w:rsidR="00C500B6" w:rsidRPr="00027073" w:rsidRDefault="00C500B6" w:rsidP="00817CBD">
            <w:pPr>
              <w:jc w:val="both"/>
              <w:rPr>
                <w:rFonts w:cstheme="majorHAnsi"/>
                <w:color w:val="000000" w:themeColor="text1"/>
                <w:sz w:val="18"/>
                <w:szCs w:val="20"/>
              </w:rPr>
            </w:pPr>
            <w:r w:rsidRPr="00027073">
              <w:rPr>
                <w:rFonts w:cstheme="majorHAnsi"/>
                <w:color w:val="000000" w:themeColor="text1"/>
                <w:sz w:val="18"/>
                <w:szCs w:val="20"/>
              </w:rPr>
              <w:t>106*</w:t>
            </w:r>
          </w:p>
        </w:tc>
        <w:tc>
          <w:tcPr>
            <w:tcW w:w="1440" w:type="dxa"/>
            <w:shd w:val="clear" w:color="auto" w:fill="auto"/>
          </w:tcPr>
          <w:p w14:paraId="79B40317" w14:textId="0404757B" w:rsidR="00C500B6" w:rsidRPr="00027073" w:rsidRDefault="00866AD4" w:rsidP="00817CBD">
            <w:pPr>
              <w:jc w:val="both"/>
              <w:rPr>
                <w:rFonts w:cstheme="majorHAnsi"/>
                <w:color w:val="000000" w:themeColor="text1"/>
                <w:sz w:val="18"/>
                <w:szCs w:val="20"/>
              </w:rPr>
            </w:pPr>
            <w:r w:rsidRPr="00027073">
              <w:rPr>
                <w:rFonts w:cstheme="majorHAnsi"/>
                <w:color w:val="000000" w:themeColor="text1"/>
                <w:sz w:val="18"/>
                <w:szCs w:val="20"/>
              </w:rPr>
              <w:t>80</w:t>
            </w:r>
            <w:r w:rsidR="00C500B6" w:rsidRPr="00027073">
              <w:rPr>
                <w:rFonts w:cstheme="majorHAnsi"/>
                <w:color w:val="000000" w:themeColor="text1"/>
                <w:sz w:val="18"/>
                <w:szCs w:val="20"/>
              </w:rPr>
              <w:t>**</w:t>
            </w:r>
          </w:p>
        </w:tc>
        <w:tc>
          <w:tcPr>
            <w:tcW w:w="1710" w:type="dxa"/>
          </w:tcPr>
          <w:p w14:paraId="09E77E66" w14:textId="77777777" w:rsidR="00C500B6" w:rsidRPr="00027073" w:rsidRDefault="00C500B6" w:rsidP="00817CBD">
            <w:pPr>
              <w:jc w:val="both"/>
              <w:rPr>
                <w:rFonts w:cstheme="majorHAnsi"/>
                <w:color w:val="000000" w:themeColor="text1"/>
                <w:sz w:val="18"/>
                <w:szCs w:val="20"/>
              </w:rPr>
            </w:pPr>
            <w:r w:rsidRPr="00027073">
              <w:rPr>
                <w:rFonts w:cstheme="majorHAnsi"/>
                <w:color w:val="000000" w:themeColor="text1"/>
                <w:sz w:val="18"/>
                <w:szCs w:val="20"/>
              </w:rPr>
              <w:t>15</w:t>
            </w:r>
          </w:p>
        </w:tc>
        <w:tc>
          <w:tcPr>
            <w:tcW w:w="1440" w:type="dxa"/>
          </w:tcPr>
          <w:p w14:paraId="10E8B80B" w14:textId="77E77606" w:rsidR="00C500B6" w:rsidRPr="00027073" w:rsidRDefault="00C500B6" w:rsidP="00817CBD">
            <w:pPr>
              <w:jc w:val="both"/>
              <w:rPr>
                <w:rFonts w:cstheme="majorHAnsi"/>
                <w:color w:val="000000" w:themeColor="text1"/>
                <w:sz w:val="18"/>
                <w:szCs w:val="20"/>
              </w:rPr>
            </w:pPr>
            <w:r w:rsidRPr="00027073">
              <w:rPr>
                <w:rFonts w:cstheme="majorHAnsi"/>
                <w:color w:val="000000" w:themeColor="text1"/>
                <w:sz w:val="18"/>
                <w:szCs w:val="20"/>
              </w:rPr>
              <w:t>8</w:t>
            </w:r>
          </w:p>
        </w:tc>
      </w:tr>
      <w:tr w:rsidR="00C500B6" w:rsidRPr="00027073" w14:paraId="7EC3F337" w14:textId="77777777" w:rsidTr="00817CBD">
        <w:trPr>
          <w:jc w:val="center"/>
        </w:trPr>
        <w:tc>
          <w:tcPr>
            <w:tcW w:w="1975" w:type="dxa"/>
          </w:tcPr>
          <w:p w14:paraId="7129C8F6" w14:textId="3A1B905A" w:rsidR="00C500B6" w:rsidRPr="00027073" w:rsidRDefault="00C500B6" w:rsidP="00817CBD">
            <w:pPr>
              <w:jc w:val="both"/>
              <w:rPr>
                <w:rFonts w:cstheme="majorHAnsi"/>
                <w:color w:val="000000" w:themeColor="text1"/>
                <w:sz w:val="18"/>
                <w:szCs w:val="20"/>
              </w:rPr>
            </w:pPr>
            <w:r w:rsidRPr="00027073">
              <w:rPr>
                <w:rFonts w:cstheme="majorHAnsi"/>
                <w:color w:val="000000" w:themeColor="text1"/>
                <w:sz w:val="18"/>
                <w:szCs w:val="20"/>
              </w:rPr>
              <w:t>SPR</w:t>
            </w:r>
            <w:r w:rsidR="00905A5C" w:rsidRPr="00027073">
              <w:rPr>
                <w:rFonts w:cstheme="majorHAnsi"/>
                <w:color w:val="000000" w:themeColor="text1"/>
                <w:sz w:val="18"/>
                <w:szCs w:val="20"/>
              </w:rPr>
              <w:t>P</w:t>
            </w:r>
            <w:r w:rsidRPr="00027073">
              <w:rPr>
                <w:rFonts w:cstheme="majorHAnsi"/>
                <w:color w:val="000000" w:themeColor="text1"/>
                <w:sz w:val="18"/>
                <w:szCs w:val="20"/>
              </w:rPr>
              <w:t xml:space="preserve"> Project</w:t>
            </w:r>
          </w:p>
        </w:tc>
        <w:tc>
          <w:tcPr>
            <w:tcW w:w="1170" w:type="dxa"/>
          </w:tcPr>
          <w:p w14:paraId="6B0F6BDE" w14:textId="77777777" w:rsidR="00C500B6" w:rsidRPr="00027073" w:rsidRDefault="00C500B6" w:rsidP="00817CBD">
            <w:pPr>
              <w:jc w:val="both"/>
              <w:rPr>
                <w:rFonts w:cstheme="majorHAnsi"/>
                <w:color w:val="000000" w:themeColor="text1"/>
                <w:sz w:val="18"/>
                <w:szCs w:val="20"/>
              </w:rPr>
            </w:pPr>
            <w:r w:rsidRPr="00027073">
              <w:rPr>
                <w:rFonts w:cstheme="majorHAnsi"/>
                <w:color w:val="000000" w:themeColor="text1"/>
                <w:sz w:val="18"/>
                <w:szCs w:val="20"/>
              </w:rPr>
              <w:t>55</w:t>
            </w:r>
          </w:p>
        </w:tc>
        <w:tc>
          <w:tcPr>
            <w:tcW w:w="1440" w:type="dxa"/>
          </w:tcPr>
          <w:p w14:paraId="49AA1012" w14:textId="77777777" w:rsidR="00C500B6" w:rsidRPr="00027073" w:rsidRDefault="00C500B6" w:rsidP="00817CBD">
            <w:pPr>
              <w:jc w:val="both"/>
              <w:rPr>
                <w:rFonts w:cstheme="majorHAnsi"/>
                <w:color w:val="000000" w:themeColor="text1"/>
                <w:sz w:val="18"/>
                <w:szCs w:val="20"/>
              </w:rPr>
            </w:pPr>
            <w:r w:rsidRPr="00027073">
              <w:rPr>
                <w:rFonts w:cstheme="majorHAnsi"/>
                <w:color w:val="000000" w:themeColor="text1"/>
                <w:sz w:val="18"/>
                <w:szCs w:val="20"/>
              </w:rPr>
              <w:t>25</w:t>
            </w:r>
          </w:p>
        </w:tc>
        <w:tc>
          <w:tcPr>
            <w:tcW w:w="1710" w:type="dxa"/>
          </w:tcPr>
          <w:p w14:paraId="1C375616" w14:textId="77777777" w:rsidR="00C500B6" w:rsidRPr="00027073" w:rsidRDefault="00C500B6" w:rsidP="00817CBD">
            <w:pPr>
              <w:jc w:val="both"/>
              <w:rPr>
                <w:rFonts w:cstheme="majorHAnsi"/>
                <w:color w:val="000000" w:themeColor="text1"/>
                <w:sz w:val="18"/>
                <w:szCs w:val="20"/>
              </w:rPr>
            </w:pPr>
            <w:r w:rsidRPr="00027073">
              <w:rPr>
                <w:rFonts w:cstheme="majorHAnsi"/>
                <w:color w:val="000000" w:themeColor="text1"/>
                <w:sz w:val="18"/>
                <w:szCs w:val="20"/>
              </w:rPr>
              <w:t>20</w:t>
            </w:r>
          </w:p>
        </w:tc>
        <w:tc>
          <w:tcPr>
            <w:tcW w:w="1440" w:type="dxa"/>
          </w:tcPr>
          <w:p w14:paraId="11EE51C7" w14:textId="77777777" w:rsidR="00C500B6" w:rsidRPr="00027073" w:rsidRDefault="00C500B6" w:rsidP="00817CBD">
            <w:pPr>
              <w:jc w:val="both"/>
              <w:rPr>
                <w:rFonts w:cstheme="majorHAnsi"/>
                <w:color w:val="000000" w:themeColor="text1"/>
                <w:sz w:val="18"/>
                <w:szCs w:val="20"/>
              </w:rPr>
            </w:pPr>
            <w:r w:rsidRPr="00027073">
              <w:rPr>
                <w:rFonts w:cstheme="majorHAnsi"/>
                <w:color w:val="000000" w:themeColor="text1"/>
                <w:sz w:val="18"/>
                <w:szCs w:val="20"/>
              </w:rPr>
              <w:t>10</w:t>
            </w:r>
          </w:p>
        </w:tc>
      </w:tr>
    </w:tbl>
    <w:p w14:paraId="3E568076" w14:textId="77777777" w:rsidR="00C500B6" w:rsidRPr="00027073" w:rsidRDefault="00C500B6" w:rsidP="00C500B6">
      <w:pPr>
        <w:spacing w:after="0"/>
        <w:jc w:val="both"/>
        <w:rPr>
          <w:rFonts w:cstheme="majorHAnsi"/>
          <w:color w:val="000000" w:themeColor="text1"/>
          <w:sz w:val="18"/>
        </w:rPr>
      </w:pPr>
    </w:p>
    <w:p w14:paraId="178B15E5" w14:textId="63A206CC" w:rsidR="00C500B6" w:rsidRPr="00027073" w:rsidRDefault="00C500B6" w:rsidP="00C500B6">
      <w:pPr>
        <w:spacing w:after="0"/>
        <w:jc w:val="both"/>
        <w:rPr>
          <w:rFonts w:cstheme="majorHAnsi"/>
          <w:color w:val="000000" w:themeColor="text1"/>
          <w:sz w:val="18"/>
        </w:rPr>
      </w:pPr>
      <w:r w:rsidRPr="00027073">
        <w:rPr>
          <w:rFonts w:cstheme="majorHAnsi"/>
          <w:color w:val="000000" w:themeColor="text1"/>
          <w:sz w:val="18"/>
        </w:rPr>
        <w:t>*This US$106 million includes US$80 million from IDA, US$6 million domestic financing from GoR, US$ 15 million from PoN, and US$ 5 million from GFF.</w:t>
      </w:r>
    </w:p>
    <w:p w14:paraId="4DD3C2AA" w14:textId="3C7C5685" w:rsidR="00C500B6" w:rsidRPr="001E3826" w:rsidRDefault="00C500B6" w:rsidP="00C500B6">
      <w:pPr>
        <w:spacing w:after="0"/>
        <w:jc w:val="both"/>
        <w:rPr>
          <w:rFonts w:cstheme="majorHAnsi"/>
          <w:color w:val="000000" w:themeColor="text1"/>
          <w:sz w:val="18"/>
        </w:rPr>
      </w:pPr>
      <w:r w:rsidRPr="00027073">
        <w:rPr>
          <w:rFonts w:cstheme="majorHAnsi"/>
          <w:color w:val="000000" w:themeColor="text1"/>
          <w:sz w:val="18"/>
        </w:rPr>
        <w:t>** This represents the allocation from the overall SSP project for the nutrition-sensitive elements.</w:t>
      </w:r>
    </w:p>
    <w:p w14:paraId="5DF064C1" w14:textId="77777777" w:rsidR="00D670BE" w:rsidRPr="00C500B6" w:rsidRDefault="00D670BE" w:rsidP="00C500B6">
      <w:pPr>
        <w:spacing w:after="0"/>
        <w:jc w:val="both"/>
        <w:rPr>
          <w:rFonts w:asciiTheme="majorHAnsi" w:hAnsiTheme="majorHAnsi" w:cstheme="majorHAnsi"/>
        </w:rPr>
      </w:pPr>
    </w:p>
    <w:p w14:paraId="257DE791" w14:textId="3D844090" w:rsidR="00ED42D5" w:rsidRDefault="00140E3A" w:rsidP="006C1D54">
      <w:pPr>
        <w:sectPr w:rsidR="00ED42D5" w:rsidSect="00ED42D5">
          <w:footerReference w:type="default" r:id="rId8"/>
          <w:pgSz w:w="12240" w:h="15840"/>
          <w:pgMar w:top="1440" w:right="1440" w:bottom="1440" w:left="1440" w:header="720" w:footer="720" w:gutter="0"/>
          <w:cols w:space="720"/>
          <w:docGrid w:linePitch="360"/>
        </w:sectPr>
      </w:pPr>
      <w:r>
        <w:t xml:space="preserve">Annex 1 </w:t>
      </w:r>
      <w:r w:rsidR="003E6163">
        <w:t xml:space="preserve">and Annex 2 </w:t>
      </w:r>
      <w:r>
        <w:t xml:space="preserve">describe the program activities in </w:t>
      </w:r>
      <w:r w:rsidR="006C1D54">
        <w:t xml:space="preserve">further </w:t>
      </w:r>
      <w:r>
        <w:t>detail</w:t>
      </w:r>
      <w:r w:rsidR="003E6163">
        <w:t xml:space="preserve"> and the criteria for the selection of the priority districts respectively</w:t>
      </w:r>
      <w:r>
        <w:t xml:space="preserve">, while </w:t>
      </w:r>
      <w:r w:rsidR="00DC519E">
        <w:t xml:space="preserve">Figure </w:t>
      </w:r>
      <w:r w:rsidR="006C1D54">
        <w:t>2</w:t>
      </w:r>
      <w:r w:rsidR="00DC519E">
        <w:t xml:space="preserve"> </w:t>
      </w:r>
      <w:r w:rsidR="00B51585">
        <w:t xml:space="preserve">depicts </w:t>
      </w:r>
      <w:r w:rsidR="00DC519E">
        <w:t xml:space="preserve">the </w:t>
      </w:r>
      <w:r w:rsidR="00BA3790">
        <w:t xml:space="preserve">anticipated </w:t>
      </w:r>
      <w:r w:rsidR="00DC519E">
        <w:t>results chain for the overall program components.</w:t>
      </w:r>
      <w:r>
        <w:t xml:space="preserve"> Of particular note, the nutrition sensitive </w:t>
      </w:r>
      <w:r w:rsidR="00D77C07">
        <w:t>CT</w:t>
      </w:r>
      <w:r>
        <w:t xml:space="preserve">s </w:t>
      </w:r>
      <w:r w:rsidR="00651318">
        <w:t xml:space="preserve">were </w:t>
      </w:r>
      <w:r w:rsidR="00651318" w:rsidRPr="00010769">
        <w:t xml:space="preserve">designed </w:t>
      </w:r>
      <w:r w:rsidR="00F56034" w:rsidRPr="00010769">
        <w:t xml:space="preserve">to target </w:t>
      </w:r>
      <w:r w:rsidR="002A3EA8" w:rsidRPr="00010769">
        <w:t>extremely poor and vulnerable (</w:t>
      </w:r>
      <w:r w:rsidRPr="00010769">
        <w:t xml:space="preserve">known as </w:t>
      </w:r>
      <w:r w:rsidR="002A3EA8" w:rsidRPr="00010769">
        <w:rPr>
          <w:i/>
        </w:rPr>
        <w:t xml:space="preserve">Ubudehe </w:t>
      </w:r>
      <w:r w:rsidR="002A3EA8" w:rsidRPr="00010769">
        <w:t>1</w:t>
      </w:r>
      <w:r w:rsidRPr="00010769">
        <w:t xml:space="preserve"> households in the Rwanda targeting system</w:t>
      </w:r>
      <w:r w:rsidR="002A3EA8" w:rsidRPr="00010769">
        <w:t>) pregnant women and infants in the 1,000-day window from pregnancy until age 2</w:t>
      </w:r>
      <w:r w:rsidR="00F56034" w:rsidRPr="00010769">
        <w:t xml:space="preserve">, but has been expanded to Ubudehe 2 households, and </w:t>
      </w:r>
      <w:r w:rsidR="00BA706C">
        <w:t>is expected to</w:t>
      </w:r>
      <w:r w:rsidR="00F56034" w:rsidRPr="00010769">
        <w:t xml:space="preserve"> be</w:t>
      </w:r>
      <w:r w:rsidR="00010769">
        <w:t xml:space="preserve"> rolled out in all 30 districts of Rwanda by December 2021</w:t>
      </w:r>
      <w:r w:rsidR="002A3EA8" w:rsidRPr="00010769">
        <w:t>.</w:t>
      </w:r>
    </w:p>
    <w:p w14:paraId="4A13F302" w14:textId="5685CFB9" w:rsidR="00FB31CC" w:rsidRDefault="00FB31CC" w:rsidP="0051182A">
      <w:r>
        <w:rPr>
          <w:noProof/>
        </w:rPr>
        <w:lastRenderedPageBreak/>
        <w:drawing>
          <wp:inline distT="0" distB="0" distL="0" distR="0" wp14:anchorId="13DB13B8" wp14:editId="569041EC">
            <wp:extent cx="6686550" cy="4921250"/>
            <wp:effectExtent l="0" t="0" r="0" b="0"/>
            <wp:docPr id="3" name="Picture 4" descr="cid:image002.png@01D40FE4.DF561DB0"/>
            <wp:cNvGraphicFramePr/>
            <a:graphic xmlns:a="http://schemas.openxmlformats.org/drawingml/2006/main">
              <a:graphicData uri="http://schemas.openxmlformats.org/drawingml/2006/picture">
                <pic:pic xmlns:pic="http://schemas.openxmlformats.org/drawingml/2006/picture">
                  <pic:nvPicPr>
                    <pic:cNvPr id="3" name="Picture 4" descr="cid:image002.png@01D40FE4.DF561DB0"/>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6686550" cy="4921250"/>
                    </a:xfrm>
                    <a:prstGeom prst="rect">
                      <a:avLst/>
                    </a:prstGeom>
                    <a:noFill/>
                    <a:ln>
                      <a:noFill/>
                    </a:ln>
                  </pic:spPr>
                </pic:pic>
              </a:graphicData>
            </a:graphic>
          </wp:inline>
        </w:drawing>
      </w:r>
    </w:p>
    <w:p w14:paraId="6D3EB573" w14:textId="59B6B7FA" w:rsidR="00DC519E" w:rsidRDefault="00DC519E" w:rsidP="0051182A"/>
    <w:p w14:paraId="05A0EDE7" w14:textId="5CD4B788" w:rsidR="00DC519E" w:rsidRDefault="00DC519E" w:rsidP="0051182A"/>
    <w:p w14:paraId="6791C71A" w14:textId="77777777" w:rsidR="00DC519E" w:rsidRDefault="00DC519E" w:rsidP="0051182A">
      <w:pPr>
        <w:sectPr w:rsidR="00DC519E" w:rsidSect="00DC519E">
          <w:pgSz w:w="15840" w:h="12240" w:orient="landscape"/>
          <w:pgMar w:top="1440" w:right="1440" w:bottom="1440" w:left="1440" w:header="720" w:footer="720" w:gutter="0"/>
          <w:cols w:space="720"/>
          <w:docGrid w:linePitch="360"/>
        </w:sectPr>
      </w:pPr>
    </w:p>
    <w:p w14:paraId="36528190" w14:textId="450B01FD" w:rsidR="005E45C3" w:rsidRPr="00735216" w:rsidRDefault="005E45C3" w:rsidP="003A0B4F">
      <w:pPr>
        <w:pStyle w:val="Heading1"/>
      </w:pPr>
      <w:bookmarkStart w:id="6" w:name="_Toc520742194"/>
      <w:bookmarkStart w:id="7" w:name="_Toc69728389"/>
      <w:r w:rsidRPr="00735216">
        <w:lastRenderedPageBreak/>
        <w:t>Evaluation questions</w:t>
      </w:r>
      <w:bookmarkEnd w:id="6"/>
      <w:bookmarkEnd w:id="7"/>
    </w:p>
    <w:p w14:paraId="5423F1EF" w14:textId="730752F4" w:rsidR="00722450" w:rsidRPr="00735216" w:rsidRDefault="00722450" w:rsidP="00722450">
      <w:pPr>
        <w:pStyle w:val="Heading2"/>
      </w:pPr>
      <w:bookmarkStart w:id="8" w:name="_Toc520742195"/>
      <w:bookmarkStart w:id="9" w:name="_Toc69728390"/>
      <w:r w:rsidRPr="00735216">
        <w:t>Overview</w:t>
      </w:r>
      <w:bookmarkEnd w:id="8"/>
      <w:bookmarkEnd w:id="9"/>
    </w:p>
    <w:p w14:paraId="5F018A77" w14:textId="07133B20" w:rsidR="00735216" w:rsidRPr="00722450" w:rsidRDefault="00677E9B" w:rsidP="005A2EDB">
      <w:r w:rsidRPr="00722450">
        <w:t xml:space="preserve">The impact evaluation of the SPaR program </w:t>
      </w:r>
      <w:r w:rsidR="00722450" w:rsidRPr="00722450">
        <w:t xml:space="preserve">addresses a series of (nested) research questions </w:t>
      </w:r>
      <w:r w:rsidR="00722450">
        <w:t>concerning</w:t>
      </w:r>
      <w:r w:rsidR="00722450" w:rsidRPr="00722450">
        <w:t xml:space="preserve"> the effectiveness of either the overall program or of particular components of the program. </w:t>
      </w:r>
      <w:r w:rsidR="00722450">
        <w:t>Specifically</w:t>
      </w:r>
      <w:r w:rsidR="007348E8">
        <w:t>,</w:t>
      </w:r>
      <w:r w:rsidR="00722450">
        <w:t xml:space="preserve"> the evaluation plans to investigate the following </w:t>
      </w:r>
      <w:r w:rsidR="00884475">
        <w:t xml:space="preserve">two </w:t>
      </w:r>
      <w:r w:rsidR="00722450">
        <w:t>questions:</w:t>
      </w:r>
    </w:p>
    <w:p w14:paraId="38468042" w14:textId="31537C3D" w:rsidR="00E1774B" w:rsidRPr="00735216" w:rsidRDefault="00722450" w:rsidP="00E1774B">
      <w:pPr>
        <w:pStyle w:val="ListParagraph"/>
        <w:numPr>
          <w:ilvl w:val="0"/>
          <w:numId w:val="2"/>
        </w:numPr>
      </w:pPr>
      <w:r>
        <w:t>What is the n</w:t>
      </w:r>
      <w:r w:rsidRPr="00735216">
        <w:t xml:space="preserve">et impact of </w:t>
      </w:r>
      <w:r>
        <w:t xml:space="preserve">the total </w:t>
      </w:r>
      <w:r w:rsidRPr="00735216">
        <w:t>program effort</w:t>
      </w:r>
      <w:r>
        <w:t xml:space="preserve"> on the priority outcomes of interest</w:t>
      </w:r>
      <w:r w:rsidR="00153F9D" w:rsidRPr="00153F9D">
        <w:t xml:space="preserve"> </w:t>
      </w:r>
      <w:r w:rsidR="00153F9D">
        <w:t>among children under five years of age, with a special focus on children under two years of age</w:t>
      </w:r>
      <w:r>
        <w:t xml:space="preserve"> for the most vulnerable households (</w:t>
      </w:r>
      <w:r w:rsidRPr="005D4AF1">
        <w:rPr>
          <w:i/>
        </w:rPr>
        <w:t xml:space="preserve">Ubudehe </w:t>
      </w:r>
      <w:r>
        <w:t>1)?</w:t>
      </w:r>
      <w:r w:rsidR="008B6FC2">
        <w:t xml:space="preserve"> What is the net impact overall for children under 2 years? </w:t>
      </w:r>
      <w:r w:rsidR="00E1774B">
        <w:br/>
      </w:r>
    </w:p>
    <w:p w14:paraId="47B97CA4" w14:textId="1D5AE23F" w:rsidR="00E93A49" w:rsidRDefault="00722450" w:rsidP="00A55366">
      <w:pPr>
        <w:pStyle w:val="ListParagraph"/>
        <w:numPr>
          <w:ilvl w:val="0"/>
          <w:numId w:val="2"/>
        </w:numPr>
      </w:pPr>
      <w:r>
        <w:t>What is the impact of the n</w:t>
      </w:r>
      <w:r w:rsidRPr="00735216">
        <w:t xml:space="preserve">utrition-focused </w:t>
      </w:r>
      <w:r w:rsidR="00D77C07">
        <w:t>CT</w:t>
      </w:r>
      <w:r>
        <w:t xml:space="preserve"> on </w:t>
      </w:r>
      <w:r w:rsidR="00B84B26">
        <w:t>priority outcomes</w:t>
      </w:r>
      <w:r w:rsidR="00153F9D">
        <w:t xml:space="preserve"> in </w:t>
      </w:r>
      <w:r>
        <w:t>targeted households</w:t>
      </w:r>
      <w:r w:rsidR="008B6FC2">
        <w:t xml:space="preserve"> (</w:t>
      </w:r>
      <w:r w:rsidR="008B6FC2" w:rsidRPr="005D4AF1">
        <w:rPr>
          <w:i/>
        </w:rPr>
        <w:t>Ubudehe</w:t>
      </w:r>
      <w:r w:rsidR="008B6FC2">
        <w:t xml:space="preserve"> 1)</w:t>
      </w:r>
      <w:r>
        <w:t>?</w:t>
      </w:r>
      <w:r w:rsidR="008B6FC2">
        <w:t xml:space="preserve"> Is there a differential impact of the </w:t>
      </w:r>
      <w:r w:rsidR="00D77C07">
        <w:t>CT</w:t>
      </w:r>
      <w:r w:rsidR="008B6FC2">
        <w:t xml:space="preserve"> on targeted households in the districts not accompanied by the SPR</w:t>
      </w:r>
      <w:r w:rsidR="00905A5C">
        <w:t>P</w:t>
      </w:r>
      <w:r w:rsidR="008B6FC2">
        <w:t xml:space="preserve"> health system strengthening activities?</w:t>
      </w:r>
    </w:p>
    <w:p w14:paraId="509CFF97" w14:textId="77777777" w:rsidR="005762CA" w:rsidRDefault="00735216" w:rsidP="00A55366">
      <w:r>
        <w:t>The primary outcomes for all interventions are height-for-age in children under 2 years of age.</w:t>
      </w:r>
      <w:r w:rsidR="00A53A8D">
        <w:t xml:space="preserve"> </w:t>
      </w:r>
    </w:p>
    <w:p w14:paraId="0372E70D" w14:textId="4283BB2F" w:rsidR="00A55366" w:rsidRDefault="00735216" w:rsidP="00A55366">
      <w:r>
        <w:t>Secondary outcomes depend on the specific intervention and</w:t>
      </w:r>
      <w:r w:rsidR="00722450">
        <w:t xml:space="preserve">, in part, will be selected </w:t>
      </w:r>
      <w:r>
        <w:t>to trace mechanisms through which the intervention operates</w:t>
      </w:r>
      <w:r w:rsidR="005D4AF1">
        <w:t>, including coverage of key services/interventions</w:t>
      </w:r>
      <w:r w:rsidR="0065541A">
        <w:t xml:space="preserve"> (</w:t>
      </w:r>
      <w:r w:rsidR="00CD31AC">
        <w:t xml:space="preserve">as </w:t>
      </w:r>
      <w:r w:rsidR="0065541A">
        <w:t>based on the results chain</w:t>
      </w:r>
      <w:r w:rsidR="00722450">
        <w:t xml:space="preserve"> in Figure 1)</w:t>
      </w:r>
      <w:r w:rsidR="00807AB2">
        <w:t xml:space="preserve"> and improved birth outcomes</w:t>
      </w:r>
      <w:r w:rsidR="00722450">
        <w:t>.</w:t>
      </w:r>
      <w:r w:rsidR="00A53A8D">
        <w:t xml:space="preserve"> </w:t>
      </w:r>
      <w:r w:rsidR="005D4AF1">
        <w:t xml:space="preserve">These </w:t>
      </w:r>
      <w:r w:rsidR="00CD31AC">
        <w:t>data will both d</w:t>
      </w:r>
      <w:r>
        <w:t xml:space="preserve">escribe the </w:t>
      </w:r>
      <w:r w:rsidR="00CD31AC">
        <w:t xml:space="preserve">intervention </w:t>
      </w:r>
      <w:r>
        <w:t xml:space="preserve">impact on intermediate </w:t>
      </w:r>
      <w:r w:rsidR="00CD31AC">
        <w:t xml:space="preserve">and other secondary </w:t>
      </w:r>
      <w:r>
        <w:t xml:space="preserve">outcomes and </w:t>
      </w:r>
      <w:r w:rsidR="00CD31AC">
        <w:t>will assist the attribution of</w:t>
      </w:r>
      <w:r>
        <w:t xml:space="preserve"> the </w:t>
      </w:r>
      <w:r w:rsidR="00A55366" w:rsidRPr="00A55366">
        <w:t xml:space="preserve">relative contributions </w:t>
      </w:r>
      <w:r w:rsidR="00A55366">
        <w:t xml:space="preserve">of </w:t>
      </w:r>
      <w:r w:rsidR="00A55366" w:rsidRPr="00A55366">
        <w:t>each intervention</w:t>
      </w:r>
      <w:r w:rsidR="00A55366">
        <w:t xml:space="preserve"> </w:t>
      </w:r>
      <w:r w:rsidR="00194782">
        <w:t>to</w:t>
      </w:r>
      <w:r w:rsidR="00A55366">
        <w:t xml:space="preserve"> </w:t>
      </w:r>
      <w:r w:rsidR="00CD31AC">
        <w:t>any estimated</w:t>
      </w:r>
      <w:r w:rsidR="00A55366">
        <w:t xml:space="preserve"> overall effect</w:t>
      </w:r>
      <w:r w:rsidR="00A55366" w:rsidRPr="00A55366">
        <w:t>.</w:t>
      </w:r>
      <w:r w:rsidR="00C8508F">
        <w:t xml:space="preserve"> </w:t>
      </w:r>
      <w:r w:rsidR="0043376D">
        <w:t xml:space="preserve">While most outcomes will be collected prospectively, </w:t>
      </w:r>
      <w:r w:rsidR="008E5F8A">
        <w:t>birth weight</w:t>
      </w:r>
      <w:r w:rsidR="00C8508F">
        <w:t xml:space="preserve"> of children born at health facilities will be </w:t>
      </w:r>
      <w:r w:rsidR="00234CF9">
        <w:t xml:space="preserve">retrospectively </w:t>
      </w:r>
      <w:r w:rsidR="0043376D">
        <w:t xml:space="preserve">extracted through </w:t>
      </w:r>
      <w:r w:rsidR="00234CF9">
        <w:t xml:space="preserve">health facility administrative records. </w:t>
      </w:r>
      <w:r w:rsidR="00234CF9" w:rsidRPr="00234CF9">
        <w:t>With 93% of births taking place in a health facility in Rwanda</w:t>
      </w:r>
      <w:r w:rsidR="00234CF9">
        <w:t xml:space="preserve"> (DHS 2019-20),</w:t>
      </w:r>
      <w:r w:rsidR="008F4C7A">
        <w:t xml:space="preserve"> </w:t>
      </w:r>
      <w:r w:rsidR="00234CF9">
        <w:t>this strategy will allow</w:t>
      </w:r>
      <w:r w:rsidR="00807AB2">
        <w:t xml:space="preserve"> the research team</w:t>
      </w:r>
      <w:r w:rsidR="00234CF9">
        <w:t xml:space="preserve"> to</w:t>
      </w:r>
      <w:r w:rsidR="008F4C7A">
        <w:t xml:space="preserve"> </w:t>
      </w:r>
      <w:r w:rsidR="00234CF9">
        <w:t>co</w:t>
      </w:r>
      <w:r w:rsidR="008F4C7A">
        <w:t xml:space="preserve">nstruct a </w:t>
      </w:r>
      <w:r w:rsidR="00807AB2">
        <w:t>l</w:t>
      </w:r>
      <w:r w:rsidR="00B84B26">
        <w:t>ong</w:t>
      </w:r>
      <w:r w:rsidR="008F4C7A">
        <w:t xml:space="preserve"> time series</w:t>
      </w:r>
      <w:r w:rsidR="00B84B26">
        <w:t xml:space="preserve"> of birth weights measured at the facility level</w:t>
      </w:r>
      <w:r w:rsidR="008F4C7A">
        <w:t xml:space="preserve"> to investigate the effect of the program on low birth weight, </w:t>
      </w:r>
      <w:r w:rsidR="00234CF9" w:rsidRPr="00234CF9">
        <w:t>a strong predictor for stunting</w:t>
      </w:r>
      <w:r w:rsidR="008F4C7A">
        <w:t>.</w:t>
      </w:r>
    </w:p>
    <w:p w14:paraId="299C9A43" w14:textId="31974916" w:rsidR="0027014F" w:rsidRPr="00A55366" w:rsidRDefault="0027014F" w:rsidP="00A55366">
      <w:r>
        <w:t>Potential supplementary evaluation questions are discussed in Annex 3.</w:t>
      </w:r>
    </w:p>
    <w:p w14:paraId="3EA54A05" w14:textId="6FB30A0E" w:rsidR="005A2EDB" w:rsidRDefault="005A2EDB" w:rsidP="005A2EDB">
      <w:pPr>
        <w:rPr>
          <w:u w:val="single"/>
        </w:rPr>
      </w:pPr>
    </w:p>
    <w:p w14:paraId="4295AEED" w14:textId="5285AC48" w:rsidR="005A2EDB" w:rsidRDefault="005A2EDB" w:rsidP="005A2EDB">
      <w:pPr>
        <w:pStyle w:val="Heading2"/>
      </w:pPr>
      <w:bookmarkStart w:id="10" w:name="_Toc520742196"/>
      <w:bookmarkStart w:id="11" w:name="_Toc69728391"/>
      <w:r>
        <w:t>Specific research questions</w:t>
      </w:r>
      <w:bookmarkEnd w:id="10"/>
      <w:bookmarkEnd w:id="11"/>
    </w:p>
    <w:p w14:paraId="25EFA507" w14:textId="1B2A3E50" w:rsidR="00CD31AC" w:rsidRPr="005A2EDB" w:rsidRDefault="00CD31AC" w:rsidP="005A2EDB">
      <w:pPr>
        <w:pStyle w:val="Heading3"/>
      </w:pPr>
      <w:bookmarkStart w:id="12" w:name="_Toc69728392"/>
      <w:r w:rsidRPr="005A2EDB">
        <w:t>1. Net impact of the overall program effort</w:t>
      </w:r>
      <w:bookmarkEnd w:id="12"/>
    </w:p>
    <w:p w14:paraId="6A168056" w14:textId="5C15E379" w:rsidR="00A55366" w:rsidRDefault="005A2EDB" w:rsidP="00735216">
      <w:r>
        <w:t xml:space="preserve">The overall program is the combination of the above-mentioned activities supported by the two projects. </w:t>
      </w:r>
      <w:r w:rsidR="00CD31AC">
        <w:t xml:space="preserve">Of Rwanda’s 30 districts, 13 districts receive the combined </w:t>
      </w:r>
      <w:r w:rsidR="00431FD4">
        <w:t>NSDS/</w:t>
      </w:r>
      <w:r w:rsidR="00D77C07">
        <w:t>CT</w:t>
      </w:r>
      <w:r w:rsidR="00CD31AC">
        <w:t xml:space="preserve"> and </w:t>
      </w:r>
      <w:r>
        <w:t>SPR</w:t>
      </w:r>
      <w:r w:rsidR="00905A5C">
        <w:t>P</w:t>
      </w:r>
      <w:r>
        <w:t xml:space="preserve"> </w:t>
      </w:r>
      <w:r w:rsidR="00CF2434">
        <w:t>while</w:t>
      </w:r>
      <w:r w:rsidR="00BA706C">
        <w:t>, currently,</w:t>
      </w:r>
      <w:r w:rsidR="00CF2434">
        <w:t xml:space="preserve"> </w:t>
      </w:r>
      <w:r w:rsidR="00C55EC0">
        <w:t>five</w:t>
      </w:r>
      <w:r w:rsidR="00CD31AC">
        <w:t xml:space="preserve"> districts</w:t>
      </w:r>
      <w:r w:rsidR="00C55EC0">
        <w:rPr>
          <w:rStyle w:val="FootnoteReference"/>
        </w:rPr>
        <w:footnoteReference w:id="5"/>
      </w:r>
      <w:r w:rsidR="00CD31AC">
        <w:t xml:space="preserve"> </w:t>
      </w:r>
      <w:r w:rsidR="00BA706C">
        <w:t>are</w:t>
      </w:r>
      <w:r w:rsidR="00C55EC0">
        <w:t xml:space="preserve"> </w:t>
      </w:r>
      <w:r w:rsidR="00CD31AC">
        <w:t>receiv</w:t>
      </w:r>
      <w:r w:rsidR="00BA706C">
        <w:t>ing</w:t>
      </w:r>
      <w:r w:rsidR="00CD31AC">
        <w:t xml:space="preserve"> only</w:t>
      </w:r>
      <w:r w:rsidR="008B6FC2">
        <w:t xml:space="preserve"> the</w:t>
      </w:r>
      <w:r w:rsidR="00CD31AC">
        <w:t xml:space="preserve"> </w:t>
      </w:r>
      <w:r w:rsidR="008B6FC2">
        <w:t>NSDS/</w:t>
      </w:r>
      <w:r w:rsidR="00D77C07">
        <w:t>CT</w:t>
      </w:r>
      <w:r w:rsidR="00C55EC0">
        <w:t xml:space="preserve"> component</w:t>
      </w:r>
      <w:r w:rsidR="002767E3">
        <w:t>.</w:t>
      </w:r>
      <w:r w:rsidR="009064DB">
        <w:t xml:space="preserve"> </w:t>
      </w:r>
      <w:r w:rsidR="002767E3">
        <w:t xml:space="preserve">Eligibility was determined by a district score – </w:t>
      </w:r>
      <w:r w:rsidR="00290BEB">
        <w:t>d</w:t>
      </w:r>
      <w:r>
        <w:t>istricts were ranked and selected by the Government of Rwanda based on a summary score composed of three criteria: stunting prevalence,</w:t>
      </w:r>
      <w:r w:rsidR="009064DB">
        <w:t xml:space="preserve"> </w:t>
      </w:r>
      <w:r>
        <w:t xml:space="preserve">household poverty, and household food insecurity. </w:t>
      </w:r>
      <w:r w:rsidR="004F2101">
        <w:t xml:space="preserve">The </w:t>
      </w:r>
      <w:r w:rsidR="00C55EC0">
        <w:t>five</w:t>
      </w:r>
      <w:r w:rsidR="004F2101">
        <w:t xml:space="preserve"> </w:t>
      </w:r>
      <w:r w:rsidR="00D77C07">
        <w:t>CT</w:t>
      </w:r>
      <w:r>
        <w:t xml:space="preserve">-only </w:t>
      </w:r>
      <w:r w:rsidR="004F2101">
        <w:t xml:space="preserve">districts will be </w:t>
      </w:r>
      <w:r w:rsidR="002767E3">
        <w:t>excluded from the analysis</w:t>
      </w:r>
      <w:r w:rsidR="004F2101">
        <w:t xml:space="preserve"> for this first question</w:t>
      </w:r>
      <w:r w:rsidR="002767E3">
        <w:t>,</w:t>
      </w:r>
      <w:r w:rsidR="004F2101">
        <w:t xml:space="preserve"> </w:t>
      </w:r>
      <w:r w:rsidR="002767E3">
        <w:t>implying</w:t>
      </w:r>
      <w:r w:rsidR="004F2101">
        <w:t xml:space="preserve"> the 13 districts in the program will constitute the treatment population. </w:t>
      </w:r>
      <w:r w:rsidR="008B6FC2">
        <w:t xml:space="preserve">Impact will be estimated for the Ubudehe-1 children as well as all children under 24 months. </w:t>
      </w:r>
      <w:r w:rsidR="00CD31AC">
        <w:t xml:space="preserve">In addition to the </w:t>
      </w:r>
      <w:r w:rsidR="004F2101">
        <w:t xml:space="preserve">program </w:t>
      </w:r>
      <w:r w:rsidR="00CD31AC">
        <w:t xml:space="preserve">activities, there </w:t>
      </w:r>
      <w:r w:rsidR="004F2101">
        <w:t>may be other</w:t>
      </w:r>
      <w:r w:rsidR="00CD31AC">
        <w:t xml:space="preserve"> ongoing activities in all districts</w:t>
      </w:r>
      <w:r w:rsidR="002767E3">
        <w:t>, or a subset of districts,</w:t>
      </w:r>
      <w:r w:rsidR="00CD31AC">
        <w:t xml:space="preserve"> that </w:t>
      </w:r>
      <w:r w:rsidR="008B6FC2">
        <w:t>can</w:t>
      </w:r>
      <w:r w:rsidR="00CD31AC">
        <w:t xml:space="preserve"> </w:t>
      </w:r>
      <w:r w:rsidR="00394CDA">
        <w:t>affect</w:t>
      </w:r>
      <w:r w:rsidR="00CD31AC">
        <w:t xml:space="preserve"> the evaluation’s target outcomes (</w:t>
      </w:r>
      <w:r w:rsidR="004F2101">
        <w:t>see discussion of risks below</w:t>
      </w:r>
      <w:r w:rsidR="00CD31AC">
        <w:t>)</w:t>
      </w:r>
      <w:r w:rsidR="008B6FC2">
        <w:t xml:space="preserve">. </w:t>
      </w:r>
      <w:r w:rsidR="00394CDA">
        <w:t>Therefore,</w:t>
      </w:r>
      <w:r w:rsidR="008B6FC2">
        <w:t xml:space="preserve"> a</w:t>
      </w:r>
      <w:r w:rsidR="004F2101">
        <w:t xml:space="preserve">ll related </w:t>
      </w:r>
      <w:r w:rsidR="002767E3">
        <w:t xml:space="preserve">nutrition </w:t>
      </w:r>
      <w:r w:rsidR="004F2101">
        <w:t xml:space="preserve">activities at scale </w:t>
      </w:r>
      <w:r w:rsidR="002767E3">
        <w:t xml:space="preserve">will </w:t>
      </w:r>
      <w:r w:rsidR="004F2101">
        <w:t xml:space="preserve">need to be </w:t>
      </w:r>
      <w:r w:rsidR="002767E3">
        <w:t xml:space="preserve">mapped and </w:t>
      </w:r>
      <w:r w:rsidR="00BA3790">
        <w:t xml:space="preserve">monitored </w:t>
      </w:r>
      <w:r w:rsidR="009A1702">
        <w:t>for</w:t>
      </w:r>
      <w:r w:rsidR="002767E3">
        <w:t xml:space="preserve"> researchers to understand possible confounders to this question</w:t>
      </w:r>
      <w:r w:rsidR="008B6FC2">
        <w:t xml:space="preserve"> and to reduce inferential risks</w:t>
      </w:r>
      <w:r w:rsidR="004F2101">
        <w:t>.</w:t>
      </w:r>
    </w:p>
    <w:p w14:paraId="7C46604B" w14:textId="680EE9C7" w:rsidR="0065541A" w:rsidRPr="005A2EDB" w:rsidRDefault="00CD31AC" w:rsidP="005A2EDB">
      <w:pPr>
        <w:pStyle w:val="Heading3"/>
      </w:pPr>
      <w:bookmarkStart w:id="13" w:name="_Toc69728393"/>
      <w:r w:rsidRPr="005A2EDB">
        <w:lastRenderedPageBreak/>
        <w:t>2</w:t>
      </w:r>
      <w:r w:rsidR="0065541A" w:rsidRPr="005A2EDB">
        <w:t>. Nutritio</w:t>
      </w:r>
      <w:r w:rsidR="00153F9D">
        <w:t>n Sensitive Direct Support (NSDS/</w:t>
      </w:r>
      <w:r w:rsidR="00D77C07">
        <w:t>CT</w:t>
      </w:r>
      <w:r w:rsidR="00153F9D">
        <w:t>)</w:t>
      </w:r>
      <w:bookmarkEnd w:id="13"/>
    </w:p>
    <w:p w14:paraId="32E92385" w14:textId="05D15534" w:rsidR="00E43EFB" w:rsidRDefault="0065541A" w:rsidP="0065541A">
      <w:r>
        <w:t xml:space="preserve">The </w:t>
      </w:r>
      <w:r w:rsidR="00D77C07">
        <w:t>CT</w:t>
      </w:r>
      <w:r>
        <w:t xml:space="preserve"> </w:t>
      </w:r>
      <w:r w:rsidR="00BA706C">
        <w:t>is</w:t>
      </w:r>
      <w:r>
        <w:t xml:space="preserve"> implemented in </w:t>
      </w:r>
      <w:r w:rsidR="00BD4211">
        <w:t xml:space="preserve">the </w:t>
      </w:r>
      <w:r>
        <w:t>1</w:t>
      </w:r>
      <w:r w:rsidR="00BA706C">
        <w:t>8</w:t>
      </w:r>
      <w:r>
        <w:t xml:space="preserve"> districts </w:t>
      </w:r>
      <w:r w:rsidR="005A2EDB">
        <w:t>described above</w:t>
      </w:r>
      <w:r>
        <w:t>.</w:t>
      </w:r>
      <w:r w:rsidR="00A53A8D">
        <w:t xml:space="preserve"> </w:t>
      </w:r>
      <w:r w:rsidR="008B6FC2">
        <w:t>Thirteen</w:t>
      </w:r>
      <w:r>
        <w:t xml:space="preserve"> </w:t>
      </w:r>
      <w:r w:rsidR="0012367B">
        <w:t xml:space="preserve">of these </w:t>
      </w:r>
      <w:r w:rsidR="00D77C07">
        <w:t>CT</w:t>
      </w:r>
      <w:r w:rsidR="0012367B">
        <w:t xml:space="preserve"> </w:t>
      </w:r>
      <w:r>
        <w:t xml:space="preserve">districts are also part of the </w:t>
      </w:r>
      <w:r w:rsidR="0012367B">
        <w:t>Health Practice SPR</w:t>
      </w:r>
      <w:r w:rsidR="00905A5C">
        <w:t>P</w:t>
      </w:r>
      <w:r w:rsidR="0012367B">
        <w:t xml:space="preserve"> project</w:t>
      </w:r>
      <w:r>
        <w:t>.</w:t>
      </w:r>
      <w:r w:rsidR="00A53A8D">
        <w:t xml:space="preserve"> </w:t>
      </w:r>
      <w:r w:rsidR="0012367B">
        <w:t xml:space="preserve">As the </w:t>
      </w:r>
      <w:r w:rsidR="00D77C07">
        <w:t>CT</w:t>
      </w:r>
      <w:r w:rsidR="0012367B">
        <w:t xml:space="preserve"> </w:t>
      </w:r>
      <w:r w:rsidR="00BA706C">
        <w:t>is</w:t>
      </w:r>
      <w:r w:rsidR="00C55EC0">
        <w:t xml:space="preserve"> </w:t>
      </w:r>
      <w:r w:rsidR="0012367B">
        <w:t>be</w:t>
      </w:r>
      <w:r w:rsidR="00BA706C">
        <w:t>ing</w:t>
      </w:r>
      <w:r w:rsidR="0012367B">
        <w:t xml:space="preserve"> implemented in 13 districts with health system engagement, and </w:t>
      </w:r>
      <w:r w:rsidR="00C55EC0">
        <w:t>five</w:t>
      </w:r>
      <w:r w:rsidR="0012367B">
        <w:t xml:space="preserve"> districts without, this evaluation question can investigate the effectiveness of the </w:t>
      </w:r>
      <w:r w:rsidR="00D77C07">
        <w:t>CT</w:t>
      </w:r>
      <w:r w:rsidR="0012367B">
        <w:t xml:space="preserve"> in relation to (a) no corresponding cash-transfer (</w:t>
      </w:r>
      <w:r w:rsidR="002A0DAD">
        <w:t xml:space="preserve">out of 30 districts in Rwanda, </w:t>
      </w:r>
      <w:r w:rsidR="0012367B">
        <w:t>1</w:t>
      </w:r>
      <w:r w:rsidR="00BA706C">
        <w:t>2</w:t>
      </w:r>
      <w:r w:rsidR="0012367B">
        <w:t xml:space="preserve"> districts</w:t>
      </w:r>
      <w:r w:rsidR="009064DB">
        <w:t xml:space="preserve"> </w:t>
      </w:r>
      <w:r w:rsidR="002767E3">
        <w:t xml:space="preserve">neither </w:t>
      </w:r>
      <w:r w:rsidR="0012367B">
        <w:t>participate</w:t>
      </w:r>
      <w:r w:rsidR="002A0DAD">
        <w:t xml:space="preserve"> </w:t>
      </w:r>
      <w:r w:rsidR="0012367B">
        <w:t xml:space="preserve">in the SSP </w:t>
      </w:r>
      <w:r w:rsidR="002A0DAD">
        <w:t xml:space="preserve">nor in </w:t>
      </w:r>
      <w:r w:rsidR="000D1A34">
        <w:t>SPR</w:t>
      </w:r>
      <w:r w:rsidR="00905A5C">
        <w:t>P</w:t>
      </w:r>
      <w:r w:rsidR="0012367B">
        <w:t xml:space="preserve">) and (b) the </w:t>
      </w:r>
      <w:r w:rsidR="00D77C07">
        <w:t>CT</w:t>
      </w:r>
      <w:r w:rsidR="0012367B">
        <w:t xml:space="preserve"> offered in conjunction with nutrition focused health system strengthening</w:t>
      </w:r>
      <w:r w:rsidR="00153F9D">
        <w:t xml:space="preserve"> and scale-up of high impact interventions</w:t>
      </w:r>
      <w:r w:rsidR="0012367B">
        <w:t>.</w:t>
      </w:r>
    </w:p>
    <w:p w14:paraId="05AF1450" w14:textId="0E8AE0B1" w:rsidR="0065541A" w:rsidRDefault="00BD4211" w:rsidP="00CD31AC">
      <w:pPr>
        <w:tabs>
          <w:tab w:val="num" w:pos="1440"/>
        </w:tabs>
      </w:pPr>
      <w:r>
        <w:t>Originally, t</w:t>
      </w:r>
      <w:r w:rsidR="0065541A">
        <w:t xml:space="preserve">he eligible population for the </w:t>
      </w:r>
      <w:r w:rsidR="00153F9D">
        <w:t>NSDS/</w:t>
      </w:r>
      <w:r w:rsidR="00D77C07">
        <w:t>CT</w:t>
      </w:r>
      <w:r w:rsidR="0065541A">
        <w:t xml:space="preserve"> </w:t>
      </w:r>
      <w:r>
        <w:t>included exclusively</w:t>
      </w:r>
      <w:r w:rsidR="00C55EC0">
        <w:t xml:space="preserve"> </w:t>
      </w:r>
      <w:r w:rsidR="00E43EFB" w:rsidRPr="005D4AF1">
        <w:rPr>
          <w:i/>
        </w:rPr>
        <w:t>Ubudehe</w:t>
      </w:r>
      <w:r w:rsidR="00E43EFB" w:rsidRPr="0065541A">
        <w:t xml:space="preserve">-1 households </w:t>
      </w:r>
      <w:r w:rsidR="005A2EDB">
        <w:t>with children under 2 years of age or pregnant women</w:t>
      </w:r>
      <w:r w:rsidR="0065541A">
        <w:t xml:space="preserve">; all </w:t>
      </w:r>
      <w:r w:rsidR="005A2EDB">
        <w:t xml:space="preserve">such </w:t>
      </w:r>
      <w:r w:rsidR="0065541A">
        <w:t>households in the program districts are eligible for the SSP.</w:t>
      </w:r>
      <w:r>
        <w:t xml:space="preserve"> </w:t>
      </w:r>
      <w:r w:rsidR="00082DB0">
        <w:t xml:space="preserve">As described in Annex 2, </w:t>
      </w:r>
      <w:r>
        <w:t>Ubudehe 2 households also became eligible to receive NSDS in April 2020</w:t>
      </w:r>
      <w:r w:rsidR="00082DB0">
        <w:t xml:space="preserve">, </w:t>
      </w:r>
      <w:r w:rsidR="00082DB0" w:rsidRPr="00E302DB">
        <w:t>however it is unclear the extent to which th</w:t>
      </w:r>
      <w:r w:rsidR="00C55EC0" w:rsidRPr="00E302DB">
        <w:t xml:space="preserve">e component has been scaled up </w:t>
      </w:r>
      <w:r w:rsidR="00082DB0" w:rsidRPr="00E302DB">
        <w:t>to date.</w:t>
      </w:r>
    </w:p>
    <w:p w14:paraId="3CF0AA94" w14:textId="77777777" w:rsidR="00797F8B" w:rsidRPr="00735216" w:rsidRDefault="00797F8B" w:rsidP="00735216"/>
    <w:p w14:paraId="1E705921" w14:textId="3877349D" w:rsidR="00293C53" w:rsidRDefault="00293C53" w:rsidP="003A0B4F">
      <w:pPr>
        <w:pStyle w:val="Heading1"/>
      </w:pPr>
      <w:bookmarkStart w:id="14" w:name="_Toc520742197"/>
      <w:bookmarkStart w:id="15" w:name="_Toc69728394"/>
      <w:r>
        <w:t>Proposed e</w:t>
      </w:r>
      <w:r w:rsidR="005E45C3" w:rsidRPr="005E45C3">
        <w:t>valuation design</w:t>
      </w:r>
      <w:bookmarkEnd w:id="14"/>
      <w:bookmarkEnd w:id="15"/>
    </w:p>
    <w:p w14:paraId="77CCC04F" w14:textId="1229DCEC" w:rsidR="005E45C3" w:rsidRPr="00293C53" w:rsidRDefault="00293C53" w:rsidP="0027014F">
      <w:r w:rsidRPr="00293C53">
        <w:t>The identification of the causal impact of program efforts wil</w:t>
      </w:r>
      <w:r w:rsidR="00A10F97">
        <w:t xml:space="preserve">l leverage the most rigorous method </w:t>
      </w:r>
      <w:r w:rsidR="00326908">
        <w:t xml:space="preserve">that can be applied </w:t>
      </w:r>
      <w:r w:rsidR="00A10F97">
        <w:t>to the evaluation question</w:t>
      </w:r>
      <w:r w:rsidR="008B6FC2">
        <w:t xml:space="preserve"> given program design decisions around the scope and phasing of activities</w:t>
      </w:r>
      <w:r w:rsidR="00A10F97">
        <w:t>. Th</w:t>
      </w:r>
      <w:r w:rsidR="00232FE9">
        <w:t>e method choice</w:t>
      </w:r>
      <w:r w:rsidR="008B6FC2">
        <w:t xml:space="preserve"> also critically depends</w:t>
      </w:r>
      <w:r w:rsidR="00A10F97">
        <w:t xml:space="preserve"> on the </w:t>
      </w:r>
      <w:r w:rsidR="00007DE3">
        <w:t xml:space="preserve">program </w:t>
      </w:r>
      <w:r w:rsidR="00A10F97">
        <w:t xml:space="preserve">assignment mechanisms determining </w:t>
      </w:r>
      <w:r w:rsidR="00007DE3">
        <w:t xml:space="preserve">beneficiary </w:t>
      </w:r>
      <w:r w:rsidR="00A10F97">
        <w:t>eligibility</w:t>
      </w:r>
      <w:r w:rsidR="00581E2D">
        <w:t>, which are evolving throughout the evaluation period</w:t>
      </w:r>
      <w:r w:rsidR="00A10F97">
        <w:t>.</w:t>
      </w:r>
      <w:r w:rsidRPr="00293C53">
        <w:t xml:space="preserve"> </w:t>
      </w:r>
      <w:r w:rsidR="00581E2D">
        <w:t>In light of the program ex</w:t>
      </w:r>
      <w:r w:rsidR="004A4362">
        <w:t>pansions</w:t>
      </w:r>
      <w:r w:rsidR="00C10224">
        <w:t xml:space="preserve"> (see Annex 1)</w:t>
      </w:r>
      <w:r w:rsidR="004A4362">
        <w:t xml:space="preserve">, the analytic strategy outlined below might have to be adapted </w:t>
      </w:r>
      <w:r w:rsidR="00C10224">
        <w:t>based on the scale up of the program.</w:t>
      </w:r>
      <w:r w:rsidR="0027014F">
        <w:t xml:space="preserve"> </w:t>
      </w:r>
    </w:p>
    <w:p w14:paraId="37B24E38" w14:textId="77777777" w:rsidR="005A2EDB" w:rsidRDefault="005A2EDB" w:rsidP="005A2EDB">
      <w:pPr>
        <w:rPr>
          <w:u w:val="single"/>
        </w:rPr>
      </w:pPr>
    </w:p>
    <w:p w14:paraId="785BEA02" w14:textId="468D5994" w:rsidR="00293C53" w:rsidRPr="005A2EDB" w:rsidRDefault="00293C53" w:rsidP="005A2EDB">
      <w:pPr>
        <w:rPr>
          <w:u w:val="single"/>
        </w:rPr>
      </w:pPr>
      <w:r w:rsidRPr="005A2EDB">
        <w:rPr>
          <w:u w:val="single"/>
        </w:rPr>
        <w:t>1. Net impact of the overall program effort</w:t>
      </w:r>
    </w:p>
    <w:p w14:paraId="28DA427C" w14:textId="00DA9BE1" w:rsidR="00290BEB" w:rsidRDefault="00A10F97" w:rsidP="00293C53">
      <w:pPr>
        <w:tabs>
          <w:tab w:val="num" w:pos="720"/>
        </w:tabs>
      </w:pPr>
      <w:r>
        <w:t>As this overall program extend</w:t>
      </w:r>
      <w:r w:rsidR="0020123F">
        <w:t>s</w:t>
      </w:r>
      <w:r>
        <w:t xml:space="preserve"> to 13 purposively selected districts, the evaluation method must necessarily be quasi-experimental. Specifically, to determine the net effectiveness of overall program efforts, a </w:t>
      </w:r>
      <w:r w:rsidR="009A1702">
        <w:t xml:space="preserve">difference-in-differences </w:t>
      </w:r>
      <w:r>
        <w:t>methodology will be employed to contrast changes in the priority outcomes in the population of interest across</w:t>
      </w:r>
      <w:r w:rsidR="00293C53" w:rsidRPr="008070EC">
        <w:t xml:space="preserve"> districts with differential net exposure to the various programs and activities</w:t>
      </w:r>
      <w:r>
        <w:t xml:space="preserve">. </w:t>
      </w:r>
      <w:r w:rsidR="005B4FB7">
        <w:t xml:space="preserve">The identifying assumption of the </w:t>
      </w:r>
      <w:r w:rsidR="009A1702">
        <w:t xml:space="preserve">difference-in-differences </w:t>
      </w:r>
      <w:r w:rsidR="005B4FB7">
        <w:t>model</w:t>
      </w:r>
      <w:r w:rsidR="00182FC0">
        <w:t xml:space="preserve"> is that of parallel trends. Pre-existing data sets (</w:t>
      </w:r>
      <w:r w:rsidR="00290BEB">
        <w:t xml:space="preserve">listed in the </w:t>
      </w:r>
      <w:r w:rsidR="00182FC0">
        <w:t>appendix) will be used to interrogate the pre-intervention trends across treatment and control districts</w:t>
      </w:r>
      <w:r w:rsidR="00232FE9">
        <w:t xml:space="preserve"> to check for consistence or divergence</w:t>
      </w:r>
      <w:r w:rsidR="00182FC0">
        <w:t>.</w:t>
      </w:r>
      <w:r w:rsidR="009A1702">
        <w:rPr>
          <w:rStyle w:val="FootnoteReference"/>
        </w:rPr>
        <w:footnoteReference w:id="6"/>
      </w:r>
      <w:r w:rsidR="00182FC0">
        <w:t xml:space="preserve"> </w:t>
      </w:r>
    </w:p>
    <w:p w14:paraId="514C41DD" w14:textId="551CD014" w:rsidR="00007DE3" w:rsidRDefault="00081BA9" w:rsidP="00293C53">
      <w:pPr>
        <w:tabs>
          <w:tab w:val="num" w:pos="720"/>
        </w:tabs>
      </w:pPr>
      <w:r>
        <w:t xml:space="preserve">Outcomes will be assessed at the individual level, while standard errors will be corrected to account for observational dependency within the unit of treatment (the district). </w:t>
      </w:r>
      <w:r w:rsidR="00290BEB">
        <w:t>The main estimating equation for this research question takes the following form,</w:t>
      </w:r>
    </w:p>
    <w:p w14:paraId="4038128C" w14:textId="36829522" w:rsidR="00007DE3" w:rsidRDefault="00603187" w:rsidP="00293C53">
      <w:pPr>
        <w:tabs>
          <w:tab w:val="num" w:pos="720"/>
        </w:tabs>
      </w:pPr>
      <m:oMathPara>
        <m:oMath>
          <m:sSub>
            <m:sSubPr>
              <m:ctrlPr>
                <w:rPr>
                  <w:rFonts w:ascii="Cambria Math" w:hAnsi="Cambria Math"/>
                  <w:i/>
                </w:rPr>
              </m:ctrlPr>
            </m:sSubPr>
            <m:e>
              <m:r>
                <w:rPr>
                  <w:rFonts w:ascii="Cambria Math" w:hAnsi="Cambria Math"/>
                </w:rPr>
                <m:t>Y</m:t>
              </m:r>
            </m:e>
            <m:sub>
              <m:r>
                <w:rPr>
                  <w:rFonts w:ascii="Cambria Math" w:hAnsi="Cambria Math"/>
                </w:rPr>
                <m:t>ivdt</m:t>
              </m:r>
            </m:sub>
          </m:sSub>
          <m:r>
            <w:rPr>
              <w:rFonts w:ascii="Cambria Math" w:hAnsi="Cambria Math"/>
            </w:rPr>
            <m:t>=</m:t>
          </m:r>
          <m:sSub>
            <m:sSubPr>
              <m:ctrlPr>
                <w:rPr>
                  <w:rFonts w:ascii="Cambria Math" w:hAnsi="Cambria Math"/>
                  <w:i/>
                </w:rPr>
              </m:ctrlPr>
            </m:sSubPr>
            <m:e>
              <m:r>
                <w:rPr>
                  <w:rFonts w:ascii="Cambria Math" w:hAnsi="Cambria Math"/>
                </w:rPr>
                <m:t>γ</m:t>
              </m:r>
            </m:e>
            <m:sub>
              <m:r>
                <w:rPr>
                  <w:rFonts w:ascii="Cambria Math" w:hAnsi="Cambria Math"/>
                </w:rPr>
                <m:t>0</m:t>
              </m:r>
            </m:sub>
          </m:sSub>
          <m:r>
            <w:rPr>
              <w:rFonts w:ascii="Cambria Math" w:hAnsi="Cambria Math"/>
            </w:rPr>
            <m:t>+</m:t>
          </m:r>
          <m:sSub>
            <m:sSubPr>
              <m:ctrlPr>
                <w:rPr>
                  <w:rFonts w:ascii="Cambria Math" w:hAnsi="Cambria Math"/>
                  <w:i/>
                </w:rPr>
              </m:ctrlPr>
            </m:sSubPr>
            <m:e>
              <m:r>
                <w:rPr>
                  <w:rFonts w:ascii="Cambria Math" w:hAnsi="Cambria Math"/>
                </w:rPr>
                <m:t>γ</m:t>
              </m:r>
            </m:e>
            <m:sub>
              <m:r>
                <w:rPr>
                  <w:rFonts w:ascii="Cambria Math" w:hAnsi="Cambria Math"/>
                </w:rPr>
                <m:t>T</m:t>
              </m:r>
            </m:sub>
          </m:sSub>
          <m:sSub>
            <m:sSubPr>
              <m:ctrlPr>
                <w:rPr>
                  <w:rFonts w:ascii="Cambria Math" w:hAnsi="Cambria Math"/>
                  <w:i/>
                </w:rPr>
              </m:ctrlPr>
            </m:sSubPr>
            <m:e>
              <m:r>
                <w:rPr>
                  <w:rFonts w:ascii="Cambria Math" w:hAnsi="Cambria Math"/>
                </w:rPr>
                <m:t>I</m:t>
              </m:r>
            </m:e>
            <m:sub>
              <m:r>
                <w:rPr>
                  <w:rFonts w:ascii="Cambria Math" w:hAnsi="Cambria Math"/>
                </w:rPr>
                <m:t>T</m:t>
              </m:r>
            </m:sub>
          </m:sSub>
          <m:r>
            <w:rPr>
              <w:rFonts w:ascii="Cambria Math" w:hAnsi="Cambria Math"/>
            </w:rPr>
            <m:t>+</m:t>
          </m:r>
          <m:sSub>
            <m:sSubPr>
              <m:ctrlPr>
                <w:rPr>
                  <w:rFonts w:ascii="Cambria Math" w:hAnsi="Cambria Math"/>
                  <w:i/>
                </w:rPr>
              </m:ctrlPr>
            </m:sSubPr>
            <m:e>
              <m:r>
                <w:rPr>
                  <w:rFonts w:ascii="Cambria Math" w:hAnsi="Cambria Math"/>
                </w:rPr>
                <m:t>γ</m:t>
              </m:r>
            </m:e>
            <m:sub>
              <m:r>
                <w:rPr>
                  <w:rFonts w:ascii="Cambria Math" w:hAnsi="Cambria Math"/>
                </w:rPr>
                <m:t>F</m:t>
              </m:r>
            </m:sub>
          </m:sSub>
          <m:sSub>
            <m:sSubPr>
              <m:ctrlPr>
                <w:rPr>
                  <w:rFonts w:ascii="Cambria Math" w:hAnsi="Cambria Math"/>
                  <w:i/>
                </w:rPr>
              </m:ctrlPr>
            </m:sSubPr>
            <m:e>
              <m:r>
                <w:rPr>
                  <w:rFonts w:ascii="Cambria Math" w:hAnsi="Cambria Math"/>
                </w:rPr>
                <m:t>I</m:t>
              </m:r>
            </m:e>
            <m:sub>
              <m:r>
                <w:rPr>
                  <w:rFonts w:ascii="Cambria Math" w:hAnsi="Cambria Math"/>
                </w:rPr>
                <m:t>F</m:t>
              </m:r>
            </m:sub>
          </m:sSub>
          <m:r>
            <w:rPr>
              <w:rFonts w:ascii="Cambria Math" w:hAnsi="Cambria Math"/>
            </w:rPr>
            <m:t>+</m:t>
          </m:r>
          <m:sSub>
            <m:sSubPr>
              <m:ctrlPr>
                <w:rPr>
                  <w:rFonts w:ascii="Cambria Math" w:hAnsi="Cambria Math"/>
                  <w:i/>
                </w:rPr>
              </m:ctrlPr>
            </m:sSubPr>
            <m:e>
              <m:r>
                <w:rPr>
                  <w:rFonts w:ascii="Cambria Math" w:hAnsi="Cambria Math"/>
                </w:rPr>
                <m:t>γ</m:t>
              </m:r>
            </m:e>
            <m:sub>
              <m:r>
                <w:rPr>
                  <w:rFonts w:ascii="Cambria Math" w:hAnsi="Cambria Math"/>
                </w:rPr>
                <m:t>TF</m:t>
              </m:r>
            </m:sub>
          </m:sSub>
          <m:sSub>
            <m:sSubPr>
              <m:ctrlPr>
                <w:rPr>
                  <w:rFonts w:ascii="Cambria Math" w:hAnsi="Cambria Math"/>
                  <w:i/>
                </w:rPr>
              </m:ctrlPr>
            </m:sSubPr>
            <m:e>
              <m:r>
                <w:rPr>
                  <w:rFonts w:ascii="Cambria Math" w:hAnsi="Cambria Math"/>
                </w:rPr>
                <m:t>I</m:t>
              </m:r>
            </m:e>
            <m:sub>
              <m:r>
                <w:rPr>
                  <w:rFonts w:ascii="Cambria Math" w:hAnsi="Cambria Math"/>
                </w:rPr>
                <m:t>T</m:t>
              </m:r>
            </m:sub>
          </m:sSub>
          <m:sSub>
            <m:sSubPr>
              <m:ctrlPr>
                <w:rPr>
                  <w:rFonts w:ascii="Cambria Math" w:hAnsi="Cambria Math"/>
                  <w:i/>
                </w:rPr>
              </m:ctrlPr>
            </m:sSubPr>
            <m:e>
              <m:r>
                <w:rPr>
                  <w:rFonts w:ascii="Cambria Math" w:hAnsi="Cambria Math"/>
                </w:rPr>
                <m:t>I</m:t>
              </m:r>
            </m:e>
            <m:sub>
              <m:r>
                <w:rPr>
                  <w:rFonts w:ascii="Cambria Math" w:hAnsi="Cambria Math"/>
                </w:rPr>
                <m:t>F</m:t>
              </m:r>
            </m:sub>
          </m:sSub>
          <m:r>
            <w:rPr>
              <w:rFonts w:ascii="Cambria Math" w:hAnsi="Cambria Math"/>
            </w:rPr>
            <m:t>+</m:t>
          </m:r>
          <m:sSub>
            <m:sSubPr>
              <m:ctrlPr>
                <w:rPr>
                  <w:rFonts w:ascii="Cambria Math" w:hAnsi="Cambria Math"/>
                  <w:i/>
                </w:rPr>
              </m:ctrlPr>
            </m:sSubPr>
            <m:e>
              <m:r>
                <w:rPr>
                  <w:rFonts w:ascii="Cambria Math" w:hAnsi="Cambria Math"/>
                </w:rPr>
                <m:t>γ</m:t>
              </m:r>
            </m:e>
            <m:sub>
              <m:r>
                <w:rPr>
                  <w:rFonts w:ascii="Cambria Math" w:hAnsi="Cambria Math"/>
                </w:rPr>
                <m:t>x</m:t>
              </m:r>
            </m:sub>
          </m:sSub>
          <m:sSub>
            <m:sSubPr>
              <m:ctrlPr>
                <w:rPr>
                  <w:rFonts w:ascii="Cambria Math" w:hAnsi="Cambria Math"/>
                  <w:i/>
                </w:rPr>
              </m:ctrlPr>
            </m:sSubPr>
            <m:e>
              <m:r>
                <w:rPr>
                  <w:rFonts w:ascii="Cambria Math" w:hAnsi="Cambria Math"/>
                </w:rPr>
                <m:t>x</m:t>
              </m:r>
            </m:e>
            <m:sub>
              <m:r>
                <w:rPr>
                  <w:rFonts w:ascii="Cambria Math" w:hAnsi="Cambria Math"/>
                </w:rPr>
                <m:t>ivdt</m:t>
              </m:r>
            </m:sub>
          </m:sSub>
          <m:r>
            <w:rPr>
              <w:rFonts w:ascii="Cambria Math" w:hAnsi="Cambria Math"/>
            </w:rPr>
            <m:t>+</m:t>
          </m:r>
          <m:sSub>
            <m:sSubPr>
              <m:ctrlPr>
                <w:rPr>
                  <w:rFonts w:ascii="Cambria Math" w:hAnsi="Cambria Math"/>
                  <w:i/>
                </w:rPr>
              </m:ctrlPr>
            </m:sSubPr>
            <m:e>
              <m:r>
                <w:rPr>
                  <w:rFonts w:ascii="Cambria Math" w:hAnsi="Cambria Math"/>
                </w:rPr>
                <m:t>ε</m:t>
              </m:r>
            </m:e>
            <m:sub>
              <m:r>
                <w:rPr>
                  <w:rFonts w:ascii="Cambria Math" w:hAnsi="Cambria Math"/>
                </w:rPr>
                <m:t>ivdt</m:t>
              </m:r>
            </m:sub>
          </m:sSub>
        </m:oMath>
      </m:oMathPara>
    </w:p>
    <w:p w14:paraId="6FD727C2" w14:textId="77777777" w:rsidR="00C61284" w:rsidRDefault="00C61284" w:rsidP="00293C53">
      <w:pPr>
        <w:tabs>
          <w:tab w:val="num" w:pos="720"/>
        </w:tabs>
      </w:pPr>
    </w:p>
    <w:p w14:paraId="0B9D8090" w14:textId="7B365E93" w:rsidR="00007DE3" w:rsidRDefault="00007DE3" w:rsidP="00293C53">
      <w:pPr>
        <w:tabs>
          <w:tab w:val="num" w:pos="720"/>
        </w:tabs>
      </w:pPr>
      <w:r>
        <w:t xml:space="preserve">Where the outcome </w:t>
      </w:r>
      <w:r w:rsidR="004F08ED" w:rsidRPr="004F08ED">
        <w:rPr>
          <w:i/>
        </w:rPr>
        <w:t>Y</w:t>
      </w:r>
      <w:r>
        <w:t xml:space="preserve"> (say, for example the HAZ of under-2s</w:t>
      </w:r>
      <w:r w:rsidR="00816409">
        <w:t xml:space="preserve">) for child </w:t>
      </w:r>
      <w:r w:rsidR="00816409" w:rsidRPr="004F08ED">
        <w:rPr>
          <w:i/>
        </w:rPr>
        <w:t xml:space="preserve">i </w:t>
      </w:r>
      <w:r w:rsidR="004F08ED">
        <w:t xml:space="preserve">in village </w:t>
      </w:r>
      <w:r w:rsidR="004F08ED" w:rsidRPr="004F08ED">
        <w:rPr>
          <w:i/>
        </w:rPr>
        <w:t>v</w:t>
      </w:r>
      <w:r w:rsidR="00394CDA">
        <w:t xml:space="preserve"> (where village is equivalent to PSU)</w:t>
      </w:r>
      <w:r w:rsidR="00816409">
        <w:t xml:space="preserve">, district </w:t>
      </w:r>
      <w:r w:rsidR="00816409" w:rsidRPr="004F08ED">
        <w:rPr>
          <w:i/>
        </w:rPr>
        <w:t>d</w:t>
      </w:r>
      <w:r w:rsidR="00816409">
        <w:t xml:space="preserve">, and time </w:t>
      </w:r>
      <w:r w:rsidR="00816409" w:rsidRPr="004F08ED">
        <w:rPr>
          <w:i/>
        </w:rPr>
        <w:t>t</w:t>
      </w:r>
      <w:r w:rsidR="00816409">
        <w:t xml:space="preserve">, is regressed on a constant term, </w:t>
      </w:r>
      <w:r w:rsidR="004F08ED">
        <w:rPr>
          <w:rFonts w:cstheme="minorHAnsi"/>
        </w:rPr>
        <w:t>γ</w:t>
      </w:r>
      <w:r w:rsidR="004F08ED" w:rsidRPr="004F08ED">
        <w:rPr>
          <w:vertAlign w:val="subscript"/>
        </w:rPr>
        <w:t>0</w:t>
      </w:r>
      <w:r w:rsidR="00816409">
        <w:t xml:space="preserve">, a treatment indicator </w:t>
      </w:r>
      <w:r w:rsidR="004F08ED">
        <w:t>I</w:t>
      </w:r>
      <w:r w:rsidR="00816409" w:rsidRPr="004F08ED">
        <w:rPr>
          <w:vertAlign w:val="subscript"/>
        </w:rPr>
        <w:t>T</w:t>
      </w:r>
      <w:r w:rsidR="00816409">
        <w:t xml:space="preserve"> that takes the value of 1 if the d</w:t>
      </w:r>
      <w:r w:rsidR="00081BA9">
        <w:t>istri</w:t>
      </w:r>
      <w:r w:rsidR="00816409">
        <w:t xml:space="preserve">ct is a program district, a period indicator </w:t>
      </w:r>
      <w:r w:rsidR="004F08ED">
        <w:t>I</w:t>
      </w:r>
      <w:r w:rsidR="00816409" w:rsidRPr="004F08ED">
        <w:rPr>
          <w:vertAlign w:val="subscript"/>
        </w:rPr>
        <w:t>F</w:t>
      </w:r>
      <w:r w:rsidR="00816409">
        <w:t xml:space="preserve"> that takes the value of 1 if the period of observation is the follow-up period,</w:t>
      </w:r>
      <w:r w:rsidR="00841EB6">
        <w:t xml:space="preserve"> as well as an interaction term </w:t>
      </w:r>
      <w:r w:rsidR="004F08ED">
        <w:t>I</w:t>
      </w:r>
      <w:r w:rsidR="00841EB6" w:rsidRPr="004F08ED">
        <w:rPr>
          <w:vertAlign w:val="subscript"/>
        </w:rPr>
        <w:t>F</w:t>
      </w:r>
      <w:r w:rsidR="00841EB6">
        <w:t>*</w:t>
      </w:r>
      <w:r w:rsidR="004F08ED">
        <w:t>I</w:t>
      </w:r>
      <w:r w:rsidR="00841EB6" w:rsidRPr="004F08ED">
        <w:rPr>
          <w:vertAlign w:val="subscript"/>
        </w:rPr>
        <w:t>T</w:t>
      </w:r>
      <w:r w:rsidR="00841EB6">
        <w:t>. The coefficient</w:t>
      </w:r>
      <w:r w:rsidR="00081BA9">
        <w:t xml:space="preserve"> </w:t>
      </w:r>
      <w:r w:rsidR="004F08ED">
        <w:rPr>
          <w:rFonts w:cstheme="minorHAnsi"/>
        </w:rPr>
        <w:t>γ</w:t>
      </w:r>
      <w:r w:rsidR="004F08ED">
        <w:rPr>
          <w:vertAlign w:val="subscript"/>
        </w:rPr>
        <w:t>FT</w:t>
      </w:r>
      <w:r w:rsidR="00841EB6">
        <w:t xml:space="preserve"> on the interaction term </w:t>
      </w:r>
      <w:r w:rsidR="00D30372">
        <w:t xml:space="preserve">yields </w:t>
      </w:r>
      <w:r w:rsidR="00081BA9">
        <w:t xml:space="preserve">the estimate of the causal impact of the program. The estimating </w:t>
      </w:r>
      <w:r w:rsidR="00081BA9">
        <w:lastRenderedPageBreak/>
        <w:t xml:space="preserve">equation also adopts flexible controls for the age of the child in months, </w:t>
      </w:r>
      <w:r w:rsidR="00081BA9" w:rsidRPr="004F08ED">
        <w:rPr>
          <w:i/>
        </w:rPr>
        <w:t>X</w:t>
      </w:r>
      <w:r w:rsidR="00081BA9">
        <w:t xml:space="preserve">. The </w:t>
      </w:r>
      <w:r w:rsidR="00081BA9" w:rsidRPr="004F08ED">
        <w:rPr>
          <w:i/>
        </w:rPr>
        <w:t>X</w:t>
      </w:r>
      <w:r w:rsidR="00081BA9">
        <w:t xml:space="preserve"> vector may also include other covariates of import</w:t>
      </w:r>
      <w:r w:rsidR="00394CDA">
        <w:t xml:space="preserve"> (i.e. that also determine the outcome variable)</w:t>
      </w:r>
      <w:r w:rsidR="00081BA9">
        <w:t xml:space="preserve"> such as household distance to the primary health clinic or the ratio of total village population to active CHWs.</w:t>
      </w:r>
      <w:r w:rsidR="008B6FC2">
        <w:t xml:space="preserve"> These covariates can also be interacted with the treatment indicator.</w:t>
      </w:r>
    </w:p>
    <w:p w14:paraId="516F8D25" w14:textId="6C341AF4" w:rsidR="009D5DE4" w:rsidRDefault="008B6FC2" w:rsidP="00293C53">
      <w:pPr>
        <w:tabs>
          <w:tab w:val="num" w:pos="720"/>
        </w:tabs>
      </w:pPr>
      <w:r>
        <w:t xml:space="preserve">As written above, the data to inform this estimating equation </w:t>
      </w:r>
      <w:r w:rsidRPr="00082DB0">
        <w:t>can co</w:t>
      </w:r>
      <w:r w:rsidR="00C10123" w:rsidRPr="00082DB0">
        <w:t>n</w:t>
      </w:r>
      <w:r w:rsidRPr="00082DB0">
        <w:t>sist of</w:t>
      </w:r>
      <w:r w:rsidR="00D1511D" w:rsidRPr="00082DB0">
        <w:t xml:space="preserve"> only</w:t>
      </w:r>
      <w:r w:rsidRPr="00082DB0">
        <w:t xml:space="preserve"> Ubudehe-1 children under 24 months of age at baseline</w:t>
      </w:r>
      <w:r w:rsidR="00082DB0" w:rsidRPr="00082DB0">
        <w:t xml:space="preserve"> (those directly targeted by the </w:t>
      </w:r>
      <w:r w:rsidR="00D77C07">
        <w:t>CT</w:t>
      </w:r>
      <w:r w:rsidR="00082DB0" w:rsidRPr="00082DB0">
        <w:t xml:space="preserve"> component)</w:t>
      </w:r>
      <w:r w:rsidR="00C10123" w:rsidRPr="00082DB0">
        <w:t xml:space="preserve">, only Ubudehe-2 </w:t>
      </w:r>
      <w:r w:rsidR="00082DB0" w:rsidRPr="00082DB0">
        <w:t xml:space="preserve">that have not yet </w:t>
      </w:r>
      <w:r w:rsidR="00B7731D">
        <w:t>received</w:t>
      </w:r>
      <w:r w:rsidR="00082DB0" w:rsidRPr="00082DB0">
        <w:t xml:space="preserve"> the NSDS </w:t>
      </w:r>
      <w:r w:rsidR="00C10123" w:rsidRPr="00082DB0">
        <w:t>and Ubudehe-3 children, or all children under 24 months</w:t>
      </w:r>
      <w:r w:rsidR="00D1511D" w:rsidRPr="00082DB0">
        <w:t xml:space="preserve"> depending on the population of interest</w:t>
      </w:r>
      <w:r w:rsidR="00C10123" w:rsidRPr="00082DB0">
        <w:t>.</w:t>
      </w:r>
    </w:p>
    <w:p w14:paraId="3A9790D7" w14:textId="63635B8A" w:rsidR="009D5DE4" w:rsidRDefault="00F90B8F" w:rsidP="009D5DE4">
      <w:pPr>
        <w:tabs>
          <w:tab w:val="num" w:pos="720"/>
        </w:tabs>
      </w:pPr>
      <w:r>
        <w:t>Effects</w:t>
      </w:r>
      <w:r w:rsidR="004D2741">
        <w:t xml:space="preserve"> </w:t>
      </w:r>
      <w:r w:rsidR="009D5DE4">
        <w:t xml:space="preserve">on </w:t>
      </w:r>
      <w:r w:rsidR="008E5F8A">
        <w:t>birth weight</w:t>
      </w:r>
      <w:r w:rsidR="009D5DE4">
        <w:t xml:space="preserve"> </w:t>
      </w:r>
      <w:r w:rsidR="004D2741" w:rsidRPr="004D2741">
        <w:t xml:space="preserve">across districts with differential net exposure to the </w:t>
      </w:r>
      <w:r w:rsidR="004D2741">
        <w:t xml:space="preserve">SPRP </w:t>
      </w:r>
      <w:r w:rsidR="009D5DE4">
        <w:t xml:space="preserve">will </w:t>
      </w:r>
      <w:r w:rsidR="00511BA0">
        <w:t xml:space="preserve">be </w:t>
      </w:r>
      <w:r w:rsidR="009D5DE4">
        <w:t>similarly assessed</w:t>
      </w:r>
      <w:r w:rsidR="004D2741">
        <w:t xml:space="preserve"> with a difference-in-difference analysis</w:t>
      </w:r>
      <w:r w:rsidR="009D5DE4">
        <w:t>, as displayed by the equation below:</w:t>
      </w:r>
    </w:p>
    <w:p w14:paraId="639C4DA3" w14:textId="09595B33" w:rsidR="009D5DE4" w:rsidRDefault="00603187" w:rsidP="009D5DE4">
      <w:pPr>
        <w:tabs>
          <w:tab w:val="num" w:pos="720"/>
        </w:tabs>
      </w:pPr>
      <m:oMathPara>
        <m:oMath>
          <m:sSub>
            <m:sSubPr>
              <m:ctrlPr>
                <w:rPr>
                  <w:rFonts w:ascii="Cambria Math" w:hAnsi="Cambria Math"/>
                  <w:i/>
                </w:rPr>
              </m:ctrlPr>
            </m:sSubPr>
            <m:e>
              <m:r>
                <w:rPr>
                  <w:rFonts w:ascii="Cambria Math" w:hAnsi="Cambria Math"/>
                </w:rPr>
                <m:t>Y</m:t>
              </m:r>
            </m:e>
            <m:sub>
              <m:r>
                <w:rPr>
                  <w:rFonts w:ascii="Cambria Math" w:hAnsi="Cambria Math"/>
                </w:rPr>
                <m:t>ifdt</m:t>
              </m:r>
            </m:sub>
          </m:sSub>
          <m:r>
            <w:rPr>
              <w:rFonts w:ascii="Cambria Math" w:hAnsi="Cambria Math"/>
            </w:rPr>
            <m:t>=</m:t>
          </m:r>
          <m:sSub>
            <m:sSubPr>
              <m:ctrlPr>
                <w:rPr>
                  <w:rFonts w:ascii="Cambria Math" w:hAnsi="Cambria Math"/>
                  <w:i/>
                </w:rPr>
              </m:ctrlPr>
            </m:sSubPr>
            <m:e>
              <m:r>
                <w:rPr>
                  <w:rFonts w:ascii="Cambria Math" w:hAnsi="Cambria Math"/>
                </w:rPr>
                <m:t>γ</m:t>
              </m:r>
            </m:e>
            <m:sub>
              <m:r>
                <w:rPr>
                  <w:rFonts w:ascii="Cambria Math" w:hAnsi="Cambria Math"/>
                </w:rPr>
                <m:t>0</m:t>
              </m:r>
            </m:sub>
          </m:sSub>
          <m:r>
            <w:rPr>
              <w:rFonts w:ascii="Cambria Math" w:hAnsi="Cambria Math"/>
            </w:rPr>
            <m:t>+</m:t>
          </m:r>
          <m:sSub>
            <m:sSubPr>
              <m:ctrlPr>
                <w:rPr>
                  <w:rFonts w:ascii="Cambria Math" w:hAnsi="Cambria Math"/>
                  <w:i/>
                </w:rPr>
              </m:ctrlPr>
            </m:sSubPr>
            <m:e>
              <m:r>
                <w:rPr>
                  <w:rFonts w:ascii="Cambria Math" w:hAnsi="Cambria Math"/>
                </w:rPr>
                <m:t>γ</m:t>
              </m:r>
            </m:e>
            <m:sub>
              <m:r>
                <w:rPr>
                  <w:rFonts w:ascii="Cambria Math" w:hAnsi="Cambria Math"/>
                </w:rPr>
                <m:t>T</m:t>
              </m:r>
            </m:sub>
          </m:sSub>
          <m:sSub>
            <m:sSubPr>
              <m:ctrlPr>
                <w:rPr>
                  <w:rFonts w:ascii="Cambria Math" w:hAnsi="Cambria Math"/>
                  <w:i/>
                </w:rPr>
              </m:ctrlPr>
            </m:sSubPr>
            <m:e>
              <m:r>
                <w:rPr>
                  <w:rFonts w:ascii="Cambria Math" w:hAnsi="Cambria Math"/>
                </w:rPr>
                <m:t>I</m:t>
              </m:r>
            </m:e>
            <m:sub>
              <m:r>
                <w:rPr>
                  <w:rFonts w:ascii="Cambria Math" w:hAnsi="Cambria Math"/>
                </w:rPr>
                <m:t>T</m:t>
              </m:r>
            </m:sub>
          </m:sSub>
          <m:r>
            <w:rPr>
              <w:rFonts w:ascii="Cambria Math" w:hAnsi="Cambria Math"/>
            </w:rPr>
            <m:t>+</m:t>
          </m:r>
          <m:sSub>
            <m:sSubPr>
              <m:ctrlPr>
                <w:rPr>
                  <w:rFonts w:ascii="Cambria Math" w:hAnsi="Cambria Math"/>
                  <w:i/>
                </w:rPr>
              </m:ctrlPr>
            </m:sSubPr>
            <m:e>
              <m:r>
                <w:rPr>
                  <w:rFonts w:ascii="Cambria Math" w:hAnsi="Cambria Math"/>
                </w:rPr>
                <m:t>γ</m:t>
              </m:r>
            </m:e>
            <m:sub>
              <m:r>
                <w:rPr>
                  <w:rFonts w:ascii="Cambria Math" w:hAnsi="Cambria Math"/>
                </w:rPr>
                <m:t>F</m:t>
              </m:r>
            </m:sub>
          </m:sSub>
          <m:sSub>
            <m:sSubPr>
              <m:ctrlPr>
                <w:rPr>
                  <w:rFonts w:ascii="Cambria Math" w:hAnsi="Cambria Math"/>
                  <w:i/>
                </w:rPr>
              </m:ctrlPr>
            </m:sSubPr>
            <m:e>
              <m:r>
                <w:rPr>
                  <w:rFonts w:ascii="Cambria Math" w:hAnsi="Cambria Math"/>
                </w:rPr>
                <m:t>I</m:t>
              </m:r>
            </m:e>
            <m:sub>
              <m:r>
                <w:rPr>
                  <w:rFonts w:ascii="Cambria Math" w:hAnsi="Cambria Math"/>
                </w:rPr>
                <m:t>F</m:t>
              </m:r>
            </m:sub>
          </m:sSub>
          <m:r>
            <w:rPr>
              <w:rFonts w:ascii="Cambria Math" w:hAnsi="Cambria Math"/>
            </w:rPr>
            <m:t>+</m:t>
          </m:r>
          <m:sSub>
            <m:sSubPr>
              <m:ctrlPr>
                <w:rPr>
                  <w:rFonts w:ascii="Cambria Math" w:hAnsi="Cambria Math"/>
                  <w:i/>
                </w:rPr>
              </m:ctrlPr>
            </m:sSubPr>
            <m:e>
              <m:r>
                <w:rPr>
                  <w:rFonts w:ascii="Cambria Math" w:hAnsi="Cambria Math"/>
                </w:rPr>
                <m:t>γ</m:t>
              </m:r>
            </m:e>
            <m:sub>
              <m:r>
                <w:rPr>
                  <w:rFonts w:ascii="Cambria Math" w:hAnsi="Cambria Math"/>
                </w:rPr>
                <m:t>TF</m:t>
              </m:r>
            </m:sub>
          </m:sSub>
          <m:sSub>
            <m:sSubPr>
              <m:ctrlPr>
                <w:rPr>
                  <w:rFonts w:ascii="Cambria Math" w:hAnsi="Cambria Math"/>
                  <w:i/>
                </w:rPr>
              </m:ctrlPr>
            </m:sSubPr>
            <m:e>
              <m:r>
                <w:rPr>
                  <w:rFonts w:ascii="Cambria Math" w:hAnsi="Cambria Math"/>
                </w:rPr>
                <m:t>I</m:t>
              </m:r>
            </m:e>
            <m:sub>
              <m:r>
                <w:rPr>
                  <w:rFonts w:ascii="Cambria Math" w:hAnsi="Cambria Math"/>
                </w:rPr>
                <m:t>T</m:t>
              </m:r>
            </m:sub>
          </m:sSub>
          <m:sSub>
            <m:sSubPr>
              <m:ctrlPr>
                <w:rPr>
                  <w:rFonts w:ascii="Cambria Math" w:hAnsi="Cambria Math"/>
                  <w:i/>
                </w:rPr>
              </m:ctrlPr>
            </m:sSubPr>
            <m:e>
              <m:r>
                <w:rPr>
                  <w:rFonts w:ascii="Cambria Math" w:hAnsi="Cambria Math"/>
                </w:rPr>
                <m:t>I</m:t>
              </m:r>
            </m:e>
            <m:sub>
              <m:r>
                <w:rPr>
                  <w:rFonts w:ascii="Cambria Math" w:hAnsi="Cambria Math"/>
                </w:rPr>
                <m:t>F</m:t>
              </m:r>
            </m:sub>
          </m:sSub>
          <m:r>
            <w:rPr>
              <w:rFonts w:ascii="Cambria Math" w:hAnsi="Cambria Math"/>
            </w:rPr>
            <m:t>+</m:t>
          </m:r>
          <m:sSub>
            <m:sSubPr>
              <m:ctrlPr>
                <w:rPr>
                  <w:rFonts w:ascii="Cambria Math" w:hAnsi="Cambria Math"/>
                  <w:i/>
                </w:rPr>
              </m:ctrlPr>
            </m:sSubPr>
            <m:e>
              <m:r>
                <w:rPr>
                  <w:rFonts w:ascii="Cambria Math" w:hAnsi="Cambria Math"/>
                </w:rPr>
                <m:t>γ</m:t>
              </m:r>
            </m:e>
            <m:sub>
              <m:r>
                <w:rPr>
                  <w:rFonts w:ascii="Cambria Math" w:hAnsi="Cambria Math"/>
                </w:rPr>
                <m:t>x</m:t>
              </m:r>
            </m:sub>
          </m:sSub>
          <m:sSub>
            <m:sSubPr>
              <m:ctrlPr>
                <w:rPr>
                  <w:rFonts w:ascii="Cambria Math" w:hAnsi="Cambria Math"/>
                  <w:i/>
                </w:rPr>
              </m:ctrlPr>
            </m:sSubPr>
            <m:e>
              <m:r>
                <w:rPr>
                  <w:rFonts w:ascii="Cambria Math" w:hAnsi="Cambria Math"/>
                </w:rPr>
                <m:t>x</m:t>
              </m:r>
            </m:e>
            <m:sub>
              <m:r>
                <w:rPr>
                  <w:rFonts w:ascii="Cambria Math" w:hAnsi="Cambria Math"/>
                </w:rPr>
                <m:t>ifdt</m:t>
              </m:r>
            </m:sub>
          </m:sSub>
          <m:r>
            <w:rPr>
              <w:rFonts w:ascii="Cambria Math" w:hAnsi="Cambria Math"/>
            </w:rPr>
            <m:t>+</m:t>
          </m:r>
          <m:sSub>
            <m:sSubPr>
              <m:ctrlPr>
                <w:rPr>
                  <w:rFonts w:ascii="Cambria Math" w:hAnsi="Cambria Math"/>
                  <w:i/>
                </w:rPr>
              </m:ctrlPr>
            </m:sSubPr>
            <m:e>
              <m:r>
                <w:rPr>
                  <w:rFonts w:ascii="Cambria Math" w:hAnsi="Cambria Math"/>
                </w:rPr>
                <m:t>ε</m:t>
              </m:r>
            </m:e>
            <m:sub>
              <m:r>
                <w:rPr>
                  <w:rFonts w:ascii="Cambria Math" w:hAnsi="Cambria Math"/>
                </w:rPr>
                <m:t>ifdt</m:t>
              </m:r>
            </m:sub>
          </m:sSub>
        </m:oMath>
      </m:oMathPara>
    </w:p>
    <w:p w14:paraId="0ABD393E" w14:textId="0BDBA94B" w:rsidR="009D5DE4" w:rsidRDefault="009D5DE4" w:rsidP="00293C53">
      <w:pPr>
        <w:tabs>
          <w:tab w:val="num" w:pos="720"/>
        </w:tabs>
      </w:pPr>
      <w:r>
        <w:br/>
      </w:r>
      <w:r w:rsidR="004D2741">
        <w:t xml:space="preserve">While the equation mirrors the aforementioned community-level </w:t>
      </w:r>
      <w:r w:rsidR="004D7BD3">
        <w:t>approached</w:t>
      </w:r>
      <w:r w:rsidR="004D2741">
        <w:t>,</w:t>
      </w:r>
      <w:r>
        <w:t xml:space="preserve"> child </w:t>
      </w:r>
      <w:r w:rsidRPr="004F08ED">
        <w:rPr>
          <w:i/>
        </w:rPr>
        <w:t xml:space="preserve">i </w:t>
      </w:r>
      <w:r>
        <w:t xml:space="preserve">in health center </w:t>
      </w:r>
      <w:r>
        <w:rPr>
          <w:i/>
        </w:rPr>
        <w:t>f</w:t>
      </w:r>
      <w:r w:rsidR="004D2741">
        <w:rPr>
          <w:i/>
        </w:rPr>
        <w:t>,</w:t>
      </w:r>
      <w:r w:rsidR="004D2741" w:rsidRPr="004D2741">
        <w:t xml:space="preserve"> </w:t>
      </w:r>
      <w:r w:rsidR="004D2741">
        <w:t>rather than in a village or PSU,</w:t>
      </w:r>
      <w:r>
        <w:t xml:space="preserve"> </w:t>
      </w:r>
      <w:r w:rsidR="004D2741">
        <w:t>will be</w:t>
      </w:r>
      <w:r>
        <w:t xml:space="preserve"> considered</w:t>
      </w:r>
      <w:r w:rsidR="00421573">
        <w:t xml:space="preserve">. </w:t>
      </w:r>
      <w:r>
        <w:t xml:space="preserve">The </w:t>
      </w:r>
      <w:r w:rsidR="00421573">
        <w:t>covariate</w:t>
      </w:r>
      <w:r w:rsidR="00F90B8F">
        <w:t>s</w:t>
      </w:r>
      <w:r w:rsidR="00421573">
        <w:t xml:space="preserve"> of import represented by the </w:t>
      </w:r>
      <w:r w:rsidR="00F90B8F">
        <w:rPr>
          <w:i/>
        </w:rPr>
        <w:t>x</w:t>
      </w:r>
      <w:r>
        <w:t xml:space="preserve"> vector </w:t>
      </w:r>
      <w:r w:rsidR="00421573">
        <w:t>will include</w:t>
      </w:r>
      <w:r w:rsidR="005A5F66">
        <w:t>,</w:t>
      </w:r>
      <w:r>
        <w:t xml:space="preserve"> </w:t>
      </w:r>
      <w:r w:rsidR="00421573">
        <w:t>for example</w:t>
      </w:r>
      <w:r w:rsidR="005A5F66">
        <w:t xml:space="preserve">, newborn sex, as well as </w:t>
      </w:r>
      <w:r w:rsidR="00A86F88">
        <w:t xml:space="preserve">maternal </w:t>
      </w:r>
      <w:r w:rsidR="005A5F66">
        <w:t xml:space="preserve">characteristics such as </w:t>
      </w:r>
      <w:r w:rsidR="00A86F88">
        <w:t>age, weight, term of pregnancy</w:t>
      </w:r>
      <w:r w:rsidR="005A5F66">
        <w:t xml:space="preserve"> and parity</w:t>
      </w:r>
      <w:r w:rsidR="00421573">
        <w:t xml:space="preserve">. Given that </w:t>
      </w:r>
      <w:r w:rsidR="008E5F8A">
        <w:t>birth weight</w:t>
      </w:r>
      <w:r w:rsidR="00421573">
        <w:t xml:space="preserve"> data will be extracted retrospectively from delivery registers, the data included to inform the equation will include all children born at health facility, without distinguishing for Ubudehe status.</w:t>
      </w:r>
    </w:p>
    <w:p w14:paraId="59D68A9E" w14:textId="77777777" w:rsidR="005A2EDB" w:rsidRDefault="005A2EDB" w:rsidP="0051182A">
      <w:pPr>
        <w:pStyle w:val="Heading2"/>
      </w:pPr>
    </w:p>
    <w:p w14:paraId="04FAA105" w14:textId="132BCA10" w:rsidR="0065541A" w:rsidRPr="005A2EDB" w:rsidRDefault="00182FC0" w:rsidP="005A2EDB">
      <w:pPr>
        <w:rPr>
          <w:u w:val="single"/>
        </w:rPr>
      </w:pPr>
      <w:r w:rsidRPr="005A2EDB">
        <w:rPr>
          <w:u w:val="single"/>
        </w:rPr>
        <w:t>2</w:t>
      </w:r>
      <w:r w:rsidR="007932A3" w:rsidRPr="005A2EDB">
        <w:rPr>
          <w:u w:val="single"/>
        </w:rPr>
        <w:t xml:space="preserve">. </w:t>
      </w:r>
      <w:r w:rsidR="004C1F82">
        <w:rPr>
          <w:u w:val="single"/>
        </w:rPr>
        <w:t>NSDS/</w:t>
      </w:r>
      <w:r w:rsidR="00D77C07">
        <w:rPr>
          <w:u w:val="single"/>
        </w:rPr>
        <w:t>CT</w:t>
      </w:r>
    </w:p>
    <w:p w14:paraId="1DFFFC48" w14:textId="103110E4" w:rsidR="007932A3" w:rsidRDefault="007932A3" w:rsidP="007932A3">
      <w:r>
        <w:t xml:space="preserve">There are </w:t>
      </w:r>
      <w:r w:rsidR="00182FC0">
        <w:t>two sub</w:t>
      </w:r>
      <w:r w:rsidR="00105A57">
        <w:t>-</w:t>
      </w:r>
      <w:r w:rsidR="00182FC0">
        <w:t>questions</w:t>
      </w:r>
      <w:r w:rsidR="00105A57">
        <w:t xml:space="preserve"> involving the </w:t>
      </w:r>
      <w:r w:rsidR="00D77C07">
        <w:t>CT</w:t>
      </w:r>
      <w:r w:rsidR="00105A57">
        <w:t xml:space="preserve"> component: the effectiveness of the program in the presence of the health systems strengthening activities under SPR</w:t>
      </w:r>
      <w:r w:rsidR="00905A5C">
        <w:t>P</w:t>
      </w:r>
      <w:r w:rsidR="00105A57">
        <w:t xml:space="preserve">, and the relative effectiveness of the </w:t>
      </w:r>
      <w:r w:rsidR="00D77C07">
        <w:t>CT</w:t>
      </w:r>
      <w:r w:rsidR="00105A57">
        <w:t xml:space="preserve"> </w:t>
      </w:r>
      <w:r w:rsidR="00AB131D">
        <w:t>alongside</w:t>
      </w:r>
      <w:r w:rsidR="00105A57">
        <w:t xml:space="preserve"> the related supply-side activities against the absence of such activities.</w:t>
      </w:r>
    </w:p>
    <w:p w14:paraId="19C65286" w14:textId="67BB8199" w:rsidR="00F1571A" w:rsidRDefault="00105A57" w:rsidP="007932A3">
      <w:r>
        <w:t>(</w:t>
      </w:r>
      <w:r w:rsidR="007932A3">
        <w:t>1</w:t>
      </w:r>
      <w:r>
        <w:t>)</w:t>
      </w:r>
      <w:r w:rsidR="007932A3">
        <w:t xml:space="preserve"> </w:t>
      </w:r>
      <w:r>
        <w:t xml:space="preserve">As the </w:t>
      </w:r>
      <w:r w:rsidR="00D77C07">
        <w:t>CT</w:t>
      </w:r>
      <w:r>
        <w:t xml:space="preserve"> is a household targeted program, the evaluation can use ineligible households just above the eligibility threshold (</w:t>
      </w:r>
      <w:r w:rsidR="00394CDA">
        <w:t xml:space="preserve">i.e. </w:t>
      </w:r>
      <w:r>
        <w:t>Ubudehe-2 households</w:t>
      </w:r>
      <w:r w:rsidR="00082DB0">
        <w:t xml:space="preserve"> that have not yet </w:t>
      </w:r>
      <w:r w:rsidR="00B7731D">
        <w:t>received</w:t>
      </w:r>
      <w:r w:rsidR="00082DB0">
        <w:t xml:space="preserve"> the NSDS, or Ubudehe</w:t>
      </w:r>
      <w:r w:rsidR="00082DB0" w:rsidRPr="00082DB0">
        <w:t>-</w:t>
      </w:r>
      <w:r w:rsidR="00082DB0">
        <w:t>3 households</w:t>
      </w:r>
      <w:r>
        <w:t>) as a comparison group. This approach is commonly referred to as a regression discontinuity design. In practice, as the assignment variable is not continuous, this approach reduces to a</w:t>
      </w:r>
      <w:r w:rsidR="007932A3">
        <w:t xml:space="preserve"> </w:t>
      </w:r>
      <w:r w:rsidR="009A1702">
        <w:t xml:space="preserve">difference-in-differences </w:t>
      </w:r>
      <w:r w:rsidR="007932A3">
        <w:t xml:space="preserve">analysis </w:t>
      </w:r>
      <w:r>
        <w:t>that</w:t>
      </w:r>
      <w:r w:rsidR="007932A3">
        <w:t xml:space="preserve"> compare</w:t>
      </w:r>
      <w:r>
        <w:t>s, over baseline and follow-up periods,</w:t>
      </w:r>
      <w:r w:rsidR="007932A3">
        <w:t xml:space="preserve"> households that are eligible for the </w:t>
      </w:r>
      <w:r w:rsidR="00D77C07">
        <w:t>CT</w:t>
      </w:r>
      <w:r w:rsidR="007932A3">
        <w:t xml:space="preserve"> (Ubudehe-1) with those who are not eligible (Ubudehe-2</w:t>
      </w:r>
      <w:r w:rsidR="00082DB0">
        <w:t xml:space="preserve"> </w:t>
      </w:r>
      <w:r w:rsidR="00581E2D">
        <w:t xml:space="preserve">that have not yet </w:t>
      </w:r>
      <w:r w:rsidR="00B7731D">
        <w:t>received it</w:t>
      </w:r>
      <w:r w:rsidR="00581E2D">
        <w:t xml:space="preserve"> </w:t>
      </w:r>
      <w:r w:rsidR="00082DB0">
        <w:t xml:space="preserve">or </w:t>
      </w:r>
      <w:r w:rsidR="00C61284">
        <w:t>Ubudehe-</w:t>
      </w:r>
      <w:r w:rsidR="00082DB0">
        <w:t>3</w:t>
      </w:r>
      <w:r w:rsidR="007932A3">
        <w:t xml:space="preserve">) in </w:t>
      </w:r>
      <w:r>
        <w:t>the 13 districts that receive both the SSP and the SPR</w:t>
      </w:r>
      <w:r w:rsidR="00905A5C">
        <w:t>P</w:t>
      </w:r>
      <w:r>
        <w:t xml:space="preserve"> projects.</w:t>
      </w:r>
    </w:p>
    <w:p w14:paraId="007E2A3B" w14:textId="19AA99C4" w:rsidR="007932A3" w:rsidRDefault="00105A57" w:rsidP="007932A3">
      <w:r>
        <w:t>Outcomes will be assessed at the individual level, while standard errors will be corrected to account for observational dependency within the unit of treatment (the district).</w:t>
      </w:r>
      <w:r w:rsidR="00394CDA">
        <w:t xml:space="preserve"> The main estimating equation for this research question takes the following form,</w:t>
      </w:r>
    </w:p>
    <w:p w14:paraId="3D5614AC" w14:textId="77777777" w:rsidR="00BD4211" w:rsidRDefault="00603187" w:rsidP="008A33AF">
      <w:pPr>
        <w:tabs>
          <w:tab w:val="num" w:pos="720"/>
        </w:tabs>
        <w:rPr>
          <w:rFonts w:eastAsiaTheme="minorEastAsia"/>
        </w:rPr>
      </w:pPr>
      <m:oMathPara>
        <m:oMath>
          <m:sSub>
            <m:sSubPr>
              <m:ctrlPr>
                <w:rPr>
                  <w:rFonts w:ascii="Cambria Math" w:hAnsi="Cambria Math"/>
                  <w:i/>
                </w:rPr>
              </m:ctrlPr>
            </m:sSubPr>
            <m:e>
              <m:r>
                <w:rPr>
                  <w:rFonts w:ascii="Cambria Math" w:hAnsi="Cambria Math"/>
                </w:rPr>
                <m:t>Y</m:t>
              </m:r>
            </m:e>
            <m:sub>
              <m:r>
                <w:rPr>
                  <w:rFonts w:ascii="Cambria Math" w:hAnsi="Cambria Math"/>
                </w:rPr>
                <m:t>ivdt</m:t>
              </m:r>
            </m:sub>
          </m:sSub>
          <m:r>
            <w:rPr>
              <w:rFonts w:ascii="Cambria Math" w:hAnsi="Cambria Math"/>
            </w:rPr>
            <m:t>=</m:t>
          </m:r>
          <m:sSub>
            <m:sSubPr>
              <m:ctrlPr>
                <w:rPr>
                  <w:rFonts w:ascii="Cambria Math" w:hAnsi="Cambria Math"/>
                  <w:i/>
                </w:rPr>
              </m:ctrlPr>
            </m:sSubPr>
            <m:e>
              <m:r>
                <w:rPr>
                  <w:rFonts w:ascii="Cambria Math" w:hAnsi="Cambria Math"/>
                </w:rPr>
                <m:t>γ</m:t>
              </m:r>
            </m:e>
            <m:sub>
              <m:r>
                <w:rPr>
                  <w:rFonts w:ascii="Cambria Math" w:hAnsi="Cambria Math"/>
                </w:rPr>
                <m:t>0</m:t>
              </m:r>
            </m:sub>
          </m:sSub>
          <m:r>
            <w:rPr>
              <w:rFonts w:ascii="Cambria Math" w:hAnsi="Cambria Math"/>
            </w:rPr>
            <m:t>+</m:t>
          </m:r>
          <m:sSub>
            <m:sSubPr>
              <m:ctrlPr>
                <w:rPr>
                  <w:rFonts w:ascii="Cambria Math" w:hAnsi="Cambria Math"/>
                  <w:i/>
                </w:rPr>
              </m:ctrlPr>
            </m:sSubPr>
            <m:e>
              <m:r>
                <w:rPr>
                  <w:rFonts w:ascii="Cambria Math" w:hAnsi="Cambria Math"/>
                </w:rPr>
                <m:t>γ</m:t>
              </m:r>
            </m:e>
            <m:sub>
              <m:r>
                <w:rPr>
                  <w:rFonts w:ascii="Cambria Math" w:hAnsi="Cambria Math"/>
                </w:rPr>
                <m:t>T</m:t>
              </m:r>
            </m:sub>
          </m:sSub>
          <m:sSub>
            <m:sSubPr>
              <m:ctrlPr>
                <w:rPr>
                  <w:rFonts w:ascii="Cambria Math" w:hAnsi="Cambria Math"/>
                  <w:i/>
                </w:rPr>
              </m:ctrlPr>
            </m:sSubPr>
            <m:e>
              <m:r>
                <w:rPr>
                  <w:rFonts w:ascii="Cambria Math" w:hAnsi="Cambria Math"/>
                </w:rPr>
                <m:t>I</m:t>
              </m:r>
            </m:e>
            <m:sub>
              <m:r>
                <w:rPr>
                  <w:rFonts w:ascii="Cambria Math" w:hAnsi="Cambria Math"/>
                </w:rPr>
                <m:t>Ub1</m:t>
              </m:r>
            </m:sub>
          </m:sSub>
          <m:r>
            <w:rPr>
              <w:rFonts w:ascii="Cambria Math" w:hAnsi="Cambria Math"/>
            </w:rPr>
            <m:t>+</m:t>
          </m:r>
          <m:sSub>
            <m:sSubPr>
              <m:ctrlPr>
                <w:rPr>
                  <w:rFonts w:ascii="Cambria Math" w:hAnsi="Cambria Math"/>
                  <w:i/>
                </w:rPr>
              </m:ctrlPr>
            </m:sSubPr>
            <m:e>
              <m:r>
                <w:rPr>
                  <w:rFonts w:ascii="Cambria Math" w:hAnsi="Cambria Math"/>
                </w:rPr>
                <m:t>γ</m:t>
              </m:r>
            </m:e>
            <m:sub>
              <m:r>
                <w:rPr>
                  <w:rFonts w:ascii="Cambria Math" w:hAnsi="Cambria Math"/>
                </w:rPr>
                <m:t>F</m:t>
              </m:r>
            </m:sub>
          </m:sSub>
          <m:sSub>
            <m:sSubPr>
              <m:ctrlPr>
                <w:rPr>
                  <w:rFonts w:ascii="Cambria Math" w:hAnsi="Cambria Math"/>
                  <w:i/>
                </w:rPr>
              </m:ctrlPr>
            </m:sSubPr>
            <m:e>
              <m:r>
                <w:rPr>
                  <w:rFonts w:ascii="Cambria Math" w:hAnsi="Cambria Math"/>
                </w:rPr>
                <m:t>I</m:t>
              </m:r>
            </m:e>
            <m:sub>
              <m:r>
                <w:rPr>
                  <w:rFonts w:ascii="Cambria Math" w:hAnsi="Cambria Math"/>
                </w:rPr>
                <m:t>F</m:t>
              </m:r>
            </m:sub>
          </m:sSub>
          <m:r>
            <w:rPr>
              <w:rFonts w:ascii="Cambria Math" w:hAnsi="Cambria Math"/>
            </w:rPr>
            <m:t>+</m:t>
          </m:r>
          <m:sSub>
            <m:sSubPr>
              <m:ctrlPr>
                <w:rPr>
                  <w:rFonts w:ascii="Cambria Math" w:hAnsi="Cambria Math"/>
                  <w:i/>
                </w:rPr>
              </m:ctrlPr>
            </m:sSubPr>
            <m:e>
              <m:r>
                <w:rPr>
                  <w:rFonts w:ascii="Cambria Math" w:hAnsi="Cambria Math"/>
                </w:rPr>
                <m:t>γ</m:t>
              </m:r>
            </m:e>
            <m:sub>
              <m:r>
                <w:rPr>
                  <w:rFonts w:ascii="Cambria Math" w:hAnsi="Cambria Math"/>
                </w:rPr>
                <m:t>TF</m:t>
              </m:r>
            </m:sub>
          </m:sSub>
          <m:sSub>
            <m:sSubPr>
              <m:ctrlPr>
                <w:rPr>
                  <w:rFonts w:ascii="Cambria Math" w:hAnsi="Cambria Math"/>
                  <w:i/>
                </w:rPr>
              </m:ctrlPr>
            </m:sSubPr>
            <m:e>
              <m:r>
                <w:rPr>
                  <w:rFonts w:ascii="Cambria Math" w:hAnsi="Cambria Math"/>
                </w:rPr>
                <m:t>I</m:t>
              </m:r>
            </m:e>
            <m:sub>
              <m:r>
                <w:rPr>
                  <w:rFonts w:ascii="Cambria Math" w:hAnsi="Cambria Math"/>
                </w:rPr>
                <m:t>Ub1</m:t>
              </m:r>
            </m:sub>
          </m:sSub>
          <m:sSub>
            <m:sSubPr>
              <m:ctrlPr>
                <w:rPr>
                  <w:rFonts w:ascii="Cambria Math" w:hAnsi="Cambria Math"/>
                  <w:i/>
                </w:rPr>
              </m:ctrlPr>
            </m:sSubPr>
            <m:e>
              <m:r>
                <w:rPr>
                  <w:rFonts w:ascii="Cambria Math" w:hAnsi="Cambria Math"/>
                </w:rPr>
                <m:t>I</m:t>
              </m:r>
            </m:e>
            <m:sub>
              <m:r>
                <w:rPr>
                  <w:rFonts w:ascii="Cambria Math" w:hAnsi="Cambria Math"/>
                </w:rPr>
                <m:t>F</m:t>
              </m:r>
            </m:sub>
          </m:sSub>
          <m:r>
            <w:rPr>
              <w:rFonts w:ascii="Cambria Math" w:hAnsi="Cambria Math"/>
            </w:rPr>
            <m:t>+</m:t>
          </m:r>
          <m:sSub>
            <m:sSubPr>
              <m:ctrlPr>
                <w:rPr>
                  <w:rFonts w:ascii="Cambria Math" w:hAnsi="Cambria Math"/>
                  <w:i/>
                </w:rPr>
              </m:ctrlPr>
            </m:sSubPr>
            <m:e>
              <m:r>
                <w:rPr>
                  <w:rFonts w:ascii="Cambria Math" w:hAnsi="Cambria Math"/>
                </w:rPr>
                <m:t>γ</m:t>
              </m:r>
            </m:e>
            <m:sub>
              <m:r>
                <w:rPr>
                  <w:rFonts w:ascii="Cambria Math" w:hAnsi="Cambria Math"/>
                </w:rPr>
                <m:t>x</m:t>
              </m:r>
            </m:sub>
          </m:sSub>
          <m:sSub>
            <m:sSubPr>
              <m:ctrlPr>
                <w:rPr>
                  <w:rFonts w:ascii="Cambria Math" w:hAnsi="Cambria Math"/>
                  <w:i/>
                </w:rPr>
              </m:ctrlPr>
            </m:sSubPr>
            <m:e>
              <m:r>
                <w:rPr>
                  <w:rFonts w:ascii="Cambria Math" w:hAnsi="Cambria Math"/>
                </w:rPr>
                <m:t>x</m:t>
              </m:r>
            </m:e>
            <m:sub>
              <m:r>
                <w:rPr>
                  <w:rFonts w:ascii="Cambria Math" w:hAnsi="Cambria Math"/>
                </w:rPr>
                <m:t>ivdt</m:t>
              </m:r>
            </m:sub>
          </m:sSub>
          <m:r>
            <w:rPr>
              <w:rFonts w:ascii="Cambria Math" w:hAnsi="Cambria Math"/>
            </w:rPr>
            <m:t>+</m:t>
          </m:r>
          <m:sSub>
            <m:sSubPr>
              <m:ctrlPr>
                <w:rPr>
                  <w:rFonts w:ascii="Cambria Math" w:hAnsi="Cambria Math"/>
                  <w:i/>
                </w:rPr>
              </m:ctrlPr>
            </m:sSubPr>
            <m:e>
              <m:r>
                <w:rPr>
                  <w:rFonts w:ascii="Cambria Math" w:hAnsi="Cambria Math"/>
                </w:rPr>
                <m:t>ε</m:t>
              </m:r>
            </m:e>
            <m:sub>
              <m:r>
                <w:rPr>
                  <w:rFonts w:ascii="Cambria Math" w:hAnsi="Cambria Math"/>
                </w:rPr>
                <m:t>ivdt</m:t>
              </m:r>
            </m:sub>
          </m:sSub>
        </m:oMath>
      </m:oMathPara>
    </w:p>
    <w:p w14:paraId="6B738850" w14:textId="77777777" w:rsidR="00581E2D" w:rsidRDefault="00581E2D" w:rsidP="008A33AF">
      <w:pPr>
        <w:tabs>
          <w:tab w:val="num" w:pos="720"/>
        </w:tabs>
      </w:pPr>
    </w:p>
    <w:p w14:paraId="136B7395" w14:textId="1328F4E9" w:rsidR="00F1571A" w:rsidRDefault="008A33AF" w:rsidP="008A33AF">
      <w:pPr>
        <w:tabs>
          <w:tab w:val="num" w:pos="720"/>
        </w:tabs>
      </w:pPr>
      <w:r>
        <w:t>C</w:t>
      </w:r>
      <w:r w:rsidR="00F1571A">
        <w:t>oefficient</w:t>
      </w:r>
      <w:r w:rsidR="00AB131D">
        <w:t xml:space="preserve"> an</w:t>
      </w:r>
      <w:r w:rsidR="005D4AF1">
        <w:t>d</w:t>
      </w:r>
      <w:r w:rsidR="00AB131D">
        <w:t xml:space="preserve"> variable definitions</w:t>
      </w:r>
      <w:r w:rsidR="00F1571A">
        <w:t xml:space="preserve"> are as above</w:t>
      </w:r>
      <w:r w:rsidR="00AB131D">
        <w:t xml:space="preserve">, with </w:t>
      </w:r>
      <w:r w:rsidR="00AB131D" w:rsidRPr="00AB131D">
        <w:rPr>
          <w:i/>
        </w:rPr>
        <w:t>I</w:t>
      </w:r>
      <w:r w:rsidR="00AB131D" w:rsidRPr="00AB131D">
        <w:rPr>
          <w:i/>
          <w:vertAlign w:val="subscript"/>
        </w:rPr>
        <w:t>Ub1</w:t>
      </w:r>
      <w:r w:rsidR="00AB131D">
        <w:t xml:space="preserve"> an indicator for the whether the child resides in an Ubudehe 1 household.</w:t>
      </w:r>
      <w:r w:rsidR="00F96CE6">
        <w:t xml:space="preserve"> A further level of</w:t>
      </w:r>
      <w:r w:rsidR="00AB131D">
        <w:t xml:space="preserve"> control can be afforded by including</w:t>
      </w:r>
      <w:r w:rsidR="00F96CE6">
        <w:t xml:space="preserve"> observations of Ub</w:t>
      </w:r>
      <w:r w:rsidR="00C61284">
        <w:t>udehe-</w:t>
      </w:r>
      <w:r w:rsidR="00F96CE6">
        <w:t>1 and</w:t>
      </w:r>
      <w:r w:rsidR="00581E2D">
        <w:t xml:space="preserve"> </w:t>
      </w:r>
      <w:r w:rsidR="00F96CE6">
        <w:t>Ub</w:t>
      </w:r>
      <w:r w:rsidR="00C61284">
        <w:t>udehe-</w:t>
      </w:r>
      <w:r w:rsidR="00F96CE6">
        <w:t xml:space="preserve">2 </w:t>
      </w:r>
      <w:r w:rsidR="00B7731D">
        <w:t xml:space="preserve">(if NSDS was not yet received) </w:t>
      </w:r>
      <w:r w:rsidR="00F96CE6">
        <w:t xml:space="preserve">children in non-comparison areas </w:t>
      </w:r>
      <w:r w:rsidR="00AB131D">
        <w:t xml:space="preserve">and estimating the triple difference across Ubudehe 1 and Ubudehe 2 categories, baseline and endline periods, and </w:t>
      </w:r>
      <w:r w:rsidR="00D77C07">
        <w:t>CT</w:t>
      </w:r>
      <w:r w:rsidR="00AB131D">
        <w:t xml:space="preserve"> and non-</w:t>
      </w:r>
      <w:r w:rsidR="00D77C07">
        <w:t>CT</w:t>
      </w:r>
      <w:r w:rsidR="00AB131D">
        <w:t xml:space="preserve"> areas. This triple difference would control for any </w:t>
      </w:r>
      <w:r w:rsidR="00394CDA">
        <w:t xml:space="preserve">possible </w:t>
      </w:r>
      <w:r w:rsidR="00AB131D">
        <w:t xml:space="preserve">spillover (beneficial or negative) of the </w:t>
      </w:r>
      <w:r w:rsidR="00D77C07">
        <w:t>CT</w:t>
      </w:r>
      <w:r w:rsidR="00AB131D">
        <w:t xml:space="preserve"> program to non-beneficiary children in the same communities. While </w:t>
      </w:r>
      <w:r w:rsidR="00AB131D">
        <w:lastRenderedPageBreak/>
        <w:t xml:space="preserve">the </w:t>
      </w:r>
      <w:r w:rsidR="00D77C07">
        <w:t>CT</w:t>
      </w:r>
      <w:r w:rsidR="00AB131D">
        <w:t xml:space="preserve"> program may lead to spillovers, for example through the price mechanism</w:t>
      </w:r>
      <w:r w:rsidR="0034327A">
        <w:rPr>
          <w:rStyle w:val="FootnoteReference"/>
        </w:rPr>
        <w:footnoteReference w:id="7"/>
      </w:r>
      <w:r w:rsidR="00AB131D">
        <w:t>, the relatively low aggregate community exposure to the cash transfer would likely limit this possibility.</w:t>
      </w:r>
    </w:p>
    <w:p w14:paraId="771A3A62" w14:textId="56B5A957" w:rsidR="00AB131D" w:rsidRDefault="00105A57" w:rsidP="007932A3">
      <w:r>
        <w:t xml:space="preserve">(2) To estimate the relative effectiveness of the </w:t>
      </w:r>
      <w:r w:rsidR="00D77C07">
        <w:t>CT</w:t>
      </w:r>
      <w:r w:rsidR="006D187D">
        <w:t xml:space="preserve"> program in areas with supply-side strengthening, the same </w:t>
      </w:r>
      <w:r w:rsidR="009A1702">
        <w:t xml:space="preserve">difference-in-differences </w:t>
      </w:r>
      <w:r w:rsidR="006D187D">
        <w:t xml:space="preserve">of program effectiveness must be estimated, but now </w:t>
      </w:r>
      <w:r w:rsidR="00AB131D">
        <w:t>for</w:t>
      </w:r>
      <w:r w:rsidR="006D187D">
        <w:t xml:space="preserve"> both the 13 SPR</w:t>
      </w:r>
      <w:r w:rsidR="00905A5C">
        <w:t>P</w:t>
      </w:r>
      <w:r w:rsidR="000D1A34">
        <w:t>-and-SSP</w:t>
      </w:r>
      <w:r w:rsidR="006D187D">
        <w:t xml:space="preserve"> districts and the four non-SPR</w:t>
      </w:r>
      <w:r w:rsidR="00905A5C">
        <w:t>P</w:t>
      </w:r>
      <w:r w:rsidR="000D1A34">
        <w:t>-only-SSP</w:t>
      </w:r>
      <w:r w:rsidR="006D187D">
        <w:t xml:space="preserve"> districts. These two estimates will then be compared in a triple-difference framework</w:t>
      </w:r>
      <w:r w:rsidR="00AB131D">
        <w:t>, specifically</w:t>
      </w:r>
      <w:r w:rsidR="00581E2D">
        <w:t>:</w:t>
      </w:r>
      <w:r w:rsidR="00AB131D">
        <w:t xml:space="preserve"> </w:t>
      </w:r>
    </w:p>
    <w:p w14:paraId="47380E7D" w14:textId="6EF7FD1C" w:rsidR="00AB131D" w:rsidRDefault="00603187" w:rsidP="00AB131D">
      <w:pPr>
        <w:tabs>
          <w:tab w:val="num" w:pos="720"/>
        </w:tabs>
      </w:pPr>
      <m:oMathPara>
        <m:oMath>
          <m:sSub>
            <m:sSubPr>
              <m:ctrlPr>
                <w:rPr>
                  <w:rFonts w:ascii="Cambria Math" w:hAnsi="Cambria Math"/>
                  <w:i/>
                </w:rPr>
              </m:ctrlPr>
            </m:sSubPr>
            <m:e>
              <m:r>
                <w:rPr>
                  <w:rFonts w:ascii="Cambria Math" w:hAnsi="Cambria Math"/>
                </w:rPr>
                <m:t>Y</m:t>
              </m:r>
            </m:e>
            <m:sub>
              <m:r>
                <w:rPr>
                  <w:rFonts w:ascii="Cambria Math" w:hAnsi="Cambria Math"/>
                </w:rPr>
                <m:t>ivdt</m:t>
              </m:r>
            </m:sub>
          </m:sSub>
          <m:r>
            <w:rPr>
              <w:rFonts w:ascii="Cambria Math" w:hAnsi="Cambria Math"/>
            </w:rPr>
            <m:t>=</m:t>
          </m:r>
          <m:sSub>
            <m:sSubPr>
              <m:ctrlPr>
                <w:rPr>
                  <w:rFonts w:ascii="Cambria Math" w:hAnsi="Cambria Math"/>
                  <w:i/>
                </w:rPr>
              </m:ctrlPr>
            </m:sSubPr>
            <m:e>
              <m:r>
                <w:rPr>
                  <w:rFonts w:ascii="Cambria Math" w:hAnsi="Cambria Math"/>
                </w:rPr>
                <m:t>γ</m:t>
              </m:r>
            </m:e>
            <m:sub>
              <m:r>
                <w:rPr>
                  <w:rFonts w:ascii="Cambria Math" w:hAnsi="Cambria Math"/>
                </w:rPr>
                <m:t>0</m:t>
              </m:r>
            </m:sub>
          </m:sSub>
          <m:r>
            <w:rPr>
              <w:rFonts w:ascii="Cambria Math" w:hAnsi="Cambria Math"/>
            </w:rPr>
            <m:t>+</m:t>
          </m:r>
          <m:sSub>
            <m:sSubPr>
              <m:ctrlPr>
                <w:rPr>
                  <w:rFonts w:ascii="Cambria Math" w:hAnsi="Cambria Math"/>
                  <w:i/>
                </w:rPr>
              </m:ctrlPr>
            </m:sSubPr>
            <m:e>
              <m:r>
                <w:rPr>
                  <w:rFonts w:ascii="Cambria Math" w:hAnsi="Cambria Math"/>
                </w:rPr>
                <m:t>γ</m:t>
              </m:r>
            </m:e>
            <m:sub>
              <m:r>
                <w:rPr>
                  <w:rFonts w:ascii="Cambria Math" w:hAnsi="Cambria Math"/>
                </w:rPr>
                <m:t>T</m:t>
              </m:r>
            </m:sub>
          </m:sSub>
          <m:sSub>
            <m:sSubPr>
              <m:ctrlPr>
                <w:rPr>
                  <w:rFonts w:ascii="Cambria Math" w:hAnsi="Cambria Math"/>
                  <w:i/>
                </w:rPr>
              </m:ctrlPr>
            </m:sSubPr>
            <m:e>
              <m:r>
                <w:rPr>
                  <w:rFonts w:ascii="Cambria Math" w:hAnsi="Cambria Math"/>
                </w:rPr>
                <m:t>I</m:t>
              </m:r>
            </m:e>
            <m:sub>
              <m:r>
                <w:rPr>
                  <w:rFonts w:ascii="Cambria Math" w:hAnsi="Cambria Math"/>
                </w:rPr>
                <m:t>Ub1</m:t>
              </m:r>
            </m:sub>
          </m:sSub>
          <m:r>
            <w:rPr>
              <w:rFonts w:ascii="Cambria Math" w:hAnsi="Cambria Math"/>
            </w:rPr>
            <m:t>+</m:t>
          </m:r>
          <m:sSub>
            <m:sSubPr>
              <m:ctrlPr>
                <w:rPr>
                  <w:rFonts w:ascii="Cambria Math" w:hAnsi="Cambria Math"/>
                  <w:i/>
                </w:rPr>
              </m:ctrlPr>
            </m:sSubPr>
            <m:e>
              <m:r>
                <w:rPr>
                  <w:rFonts w:ascii="Cambria Math" w:hAnsi="Cambria Math"/>
                </w:rPr>
                <m:t>γ</m:t>
              </m:r>
            </m:e>
            <m:sub>
              <m:r>
                <w:rPr>
                  <w:rFonts w:ascii="Cambria Math" w:hAnsi="Cambria Math"/>
                </w:rPr>
                <m:t>F</m:t>
              </m:r>
            </m:sub>
          </m:sSub>
          <m:sSub>
            <m:sSubPr>
              <m:ctrlPr>
                <w:rPr>
                  <w:rFonts w:ascii="Cambria Math" w:hAnsi="Cambria Math"/>
                  <w:i/>
                </w:rPr>
              </m:ctrlPr>
            </m:sSubPr>
            <m:e>
              <m:r>
                <w:rPr>
                  <w:rFonts w:ascii="Cambria Math" w:hAnsi="Cambria Math"/>
                </w:rPr>
                <m:t>I</m:t>
              </m:r>
            </m:e>
            <m:sub>
              <m:r>
                <w:rPr>
                  <w:rFonts w:ascii="Cambria Math" w:hAnsi="Cambria Math"/>
                </w:rPr>
                <m:t>F</m:t>
              </m:r>
            </m:sub>
          </m:sSub>
          <m:r>
            <w:rPr>
              <w:rFonts w:ascii="Cambria Math" w:hAnsi="Cambria Math"/>
            </w:rPr>
            <m:t>+</m:t>
          </m:r>
          <m:sSub>
            <m:sSubPr>
              <m:ctrlPr>
                <w:rPr>
                  <w:rFonts w:ascii="Cambria Math" w:hAnsi="Cambria Math"/>
                  <w:i/>
                </w:rPr>
              </m:ctrlPr>
            </m:sSubPr>
            <m:e>
              <m:r>
                <w:rPr>
                  <w:rFonts w:ascii="Cambria Math" w:hAnsi="Cambria Math"/>
                </w:rPr>
                <m:t>γ</m:t>
              </m:r>
            </m:e>
            <m:sub>
              <m:r>
                <w:rPr>
                  <w:rFonts w:ascii="Cambria Math" w:hAnsi="Cambria Math"/>
                </w:rPr>
                <m:t>TF</m:t>
              </m:r>
            </m:sub>
          </m:sSub>
          <m:sSub>
            <m:sSubPr>
              <m:ctrlPr>
                <w:rPr>
                  <w:rFonts w:ascii="Cambria Math" w:hAnsi="Cambria Math"/>
                  <w:i/>
                </w:rPr>
              </m:ctrlPr>
            </m:sSubPr>
            <m:e>
              <m:r>
                <w:rPr>
                  <w:rFonts w:ascii="Cambria Math" w:hAnsi="Cambria Math"/>
                </w:rPr>
                <m:t>I</m:t>
              </m:r>
            </m:e>
            <m:sub>
              <m:r>
                <w:rPr>
                  <w:rFonts w:ascii="Cambria Math" w:hAnsi="Cambria Math"/>
                </w:rPr>
                <m:t>Ub1</m:t>
              </m:r>
            </m:sub>
          </m:sSub>
          <m:sSub>
            <m:sSubPr>
              <m:ctrlPr>
                <w:rPr>
                  <w:rFonts w:ascii="Cambria Math" w:hAnsi="Cambria Math"/>
                  <w:i/>
                </w:rPr>
              </m:ctrlPr>
            </m:sSubPr>
            <m:e>
              <m:r>
                <w:rPr>
                  <w:rFonts w:ascii="Cambria Math" w:hAnsi="Cambria Math"/>
                </w:rPr>
                <m:t>I</m:t>
              </m:r>
            </m:e>
            <m:sub>
              <m:r>
                <w:rPr>
                  <w:rFonts w:ascii="Cambria Math" w:hAnsi="Cambria Math"/>
                </w:rPr>
                <m:t>F</m:t>
              </m:r>
            </m:sub>
          </m:sSub>
          <m:r>
            <w:rPr>
              <w:rFonts w:ascii="Cambria Math" w:hAnsi="Cambria Math"/>
            </w:rPr>
            <m:t>+</m:t>
          </m:r>
          <m:sSub>
            <m:sSubPr>
              <m:ctrlPr>
                <w:rPr>
                  <w:rFonts w:ascii="Cambria Math" w:hAnsi="Cambria Math"/>
                  <w:i/>
                </w:rPr>
              </m:ctrlPr>
            </m:sSubPr>
            <m:e>
              <m:r>
                <w:rPr>
                  <w:rFonts w:ascii="Cambria Math" w:hAnsi="Cambria Math"/>
                </w:rPr>
                <m:t>γ</m:t>
              </m:r>
            </m:e>
            <m:sub>
              <m:r>
                <w:rPr>
                  <w:rFonts w:ascii="Cambria Math" w:hAnsi="Cambria Math"/>
                </w:rPr>
                <m:t>c</m:t>
              </m:r>
            </m:sub>
          </m:sSub>
          <m:sSub>
            <m:sSubPr>
              <m:ctrlPr>
                <w:rPr>
                  <w:rFonts w:ascii="Cambria Math" w:hAnsi="Cambria Math"/>
                  <w:i/>
                </w:rPr>
              </m:ctrlPr>
            </m:sSubPr>
            <m:e>
              <m:r>
                <w:rPr>
                  <w:rFonts w:ascii="Cambria Math" w:hAnsi="Cambria Math"/>
                </w:rPr>
                <m:t>I</m:t>
              </m:r>
            </m:e>
            <m:sub>
              <m:r>
                <w:rPr>
                  <w:rFonts w:ascii="Cambria Math" w:hAnsi="Cambria Math"/>
                </w:rPr>
                <m:t>SP</m:t>
              </m:r>
            </m:sub>
          </m:sSub>
          <m:r>
            <w:rPr>
              <w:rFonts w:ascii="Cambria Math" w:hAnsi="Cambria Math"/>
            </w:rPr>
            <m:t>+</m:t>
          </m:r>
          <m:sSub>
            <m:sSubPr>
              <m:ctrlPr>
                <w:rPr>
                  <w:rFonts w:ascii="Cambria Math" w:hAnsi="Cambria Math"/>
                  <w:i/>
                </w:rPr>
              </m:ctrlPr>
            </m:sSubPr>
            <m:e>
              <m:r>
                <w:rPr>
                  <w:rFonts w:ascii="Cambria Math" w:hAnsi="Cambria Math"/>
                </w:rPr>
                <m:t>γ</m:t>
              </m:r>
            </m:e>
            <m:sub>
              <m:r>
                <w:rPr>
                  <w:rFonts w:ascii="Cambria Math" w:hAnsi="Cambria Math"/>
                </w:rPr>
                <m:t>CT</m:t>
              </m:r>
            </m:sub>
          </m:sSub>
          <m:sSub>
            <m:sSubPr>
              <m:ctrlPr>
                <w:rPr>
                  <w:rFonts w:ascii="Cambria Math" w:hAnsi="Cambria Math"/>
                  <w:i/>
                </w:rPr>
              </m:ctrlPr>
            </m:sSubPr>
            <m:e>
              <m:r>
                <w:rPr>
                  <w:rFonts w:ascii="Cambria Math" w:hAnsi="Cambria Math"/>
                </w:rPr>
                <m:t>I</m:t>
              </m:r>
            </m:e>
            <m:sub>
              <m:r>
                <w:rPr>
                  <w:rFonts w:ascii="Cambria Math" w:hAnsi="Cambria Math"/>
                </w:rPr>
                <m:t>SP</m:t>
              </m:r>
            </m:sub>
          </m:sSub>
          <m:sSub>
            <m:sSubPr>
              <m:ctrlPr>
                <w:rPr>
                  <w:rFonts w:ascii="Cambria Math" w:hAnsi="Cambria Math"/>
                  <w:i/>
                </w:rPr>
              </m:ctrlPr>
            </m:sSubPr>
            <m:e>
              <m:r>
                <w:rPr>
                  <w:rFonts w:ascii="Cambria Math" w:hAnsi="Cambria Math"/>
                </w:rPr>
                <m:t>I</m:t>
              </m:r>
            </m:e>
            <m:sub>
              <m:r>
                <w:rPr>
                  <w:rFonts w:ascii="Cambria Math" w:hAnsi="Cambria Math"/>
                </w:rPr>
                <m:t>Ub1</m:t>
              </m:r>
            </m:sub>
          </m:sSub>
          <m:r>
            <w:rPr>
              <w:rFonts w:ascii="Cambria Math" w:hAnsi="Cambria Math"/>
            </w:rPr>
            <m:t>+</m:t>
          </m:r>
          <m:sSub>
            <m:sSubPr>
              <m:ctrlPr>
                <w:rPr>
                  <w:rFonts w:ascii="Cambria Math" w:hAnsi="Cambria Math"/>
                  <w:i/>
                </w:rPr>
              </m:ctrlPr>
            </m:sSubPr>
            <m:e>
              <m:r>
                <w:rPr>
                  <w:rFonts w:ascii="Cambria Math" w:hAnsi="Cambria Math"/>
                </w:rPr>
                <m:t>γ</m:t>
              </m:r>
            </m:e>
            <m:sub>
              <m:r>
                <w:rPr>
                  <w:rFonts w:ascii="Cambria Math" w:hAnsi="Cambria Math"/>
                </w:rPr>
                <m:t>CTF</m:t>
              </m:r>
            </m:sub>
          </m:sSub>
          <m:sSub>
            <m:sSubPr>
              <m:ctrlPr>
                <w:rPr>
                  <w:rFonts w:ascii="Cambria Math" w:hAnsi="Cambria Math"/>
                  <w:i/>
                </w:rPr>
              </m:ctrlPr>
            </m:sSubPr>
            <m:e>
              <m:r>
                <w:rPr>
                  <w:rFonts w:ascii="Cambria Math" w:hAnsi="Cambria Math"/>
                </w:rPr>
                <m:t>I</m:t>
              </m:r>
            </m:e>
            <m:sub>
              <m:r>
                <w:rPr>
                  <w:rFonts w:ascii="Cambria Math" w:hAnsi="Cambria Math"/>
                </w:rPr>
                <m:t>SP</m:t>
              </m:r>
            </m:sub>
          </m:sSub>
          <m:sSub>
            <m:sSubPr>
              <m:ctrlPr>
                <w:rPr>
                  <w:rFonts w:ascii="Cambria Math" w:hAnsi="Cambria Math"/>
                  <w:i/>
                </w:rPr>
              </m:ctrlPr>
            </m:sSubPr>
            <m:e>
              <m:r>
                <w:rPr>
                  <w:rFonts w:ascii="Cambria Math" w:hAnsi="Cambria Math"/>
                </w:rPr>
                <m:t>I</m:t>
              </m:r>
            </m:e>
            <m:sub>
              <m:r>
                <w:rPr>
                  <w:rFonts w:ascii="Cambria Math" w:hAnsi="Cambria Math"/>
                </w:rPr>
                <m:t>Ub1</m:t>
              </m:r>
            </m:sub>
          </m:sSub>
          <m:sSub>
            <m:sSubPr>
              <m:ctrlPr>
                <w:rPr>
                  <w:rFonts w:ascii="Cambria Math" w:hAnsi="Cambria Math"/>
                  <w:i/>
                </w:rPr>
              </m:ctrlPr>
            </m:sSubPr>
            <m:e>
              <m:r>
                <w:rPr>
                  <w:rFonts w:ascii="Cambria Math" w:hAnsi="Cambria Math"/>
                </w:rPr>
                <m:t>I</m:t>
              </m:r>
            </m:e>
            <m:sub>
              <m:r>
                <w:rPr>
                  <w:rFonts w:ascii="Cambria Math" w:hAnsi="Cambria Math"/>
                </w:rPr>
                <m:t>F</m:t>
              </m:r>
            </m:sub>
          </m:sSub>
          <m:r>
            <w:rPr>
              <w:rFonts w:ascii="Cambria Math" w:hAnsi="Cambria Math"/>
            </w:rPr>
            <m:t>+</m:t>
          </m:r>
          <m:sSub>
            <m:sSubPr>
              <m:ctrlPr>
                <w:rPr>
                  <w:rFonts w:ascii="Cambria Math" w:hAnsi="Cambria Math"/>
                  <w:i/>
                </w:rPr>
              </m:ctrlPr>
            </m:sSubPr>
            <m:e>
              <m:r>
                <w:rPr>
                  <w:rFonts w:ascii="Cambria Math" w:hAnsi="Cambria Math"/>
                </w:rPr>
                <m:t>γ</m:t>
              </m:r>
            </m:e>
            <m:sub>
              <m:r>
                <w:rPr>
                  <w:rFonts w:ascii="Cambria Math" w:hAnsi="Cambria Math"/>
                </w:rPr>
                <m:t>x</m:t>
              </m:r>
            </m:sub>
          </m:sSub>
          <m:sSub>
            <m:sSubPr>
              <m:ctrlPr>
                <w:rPr>
                  <w:rFonts w:ascii="Cambria Math" w:hAnsi="Cambria Math"/>
                  <w:i/>
                </w:rPr>
              </m:ctrlPr>
            </m:sSubPr>
            <m:e>
              <m:r>
                <w:rPr>
                  <w:rFonts w:ascii="Cambria Math" w:hAnsi="Cambria Math"/>
                </w:rPr>
                <m:t>x</m:t>
              </m:r>
            </m:e>
            <m:sub>
              <m:r>
                <w:rPr>
                  <w:rFonts w:ascii="Cambria Math" w:hAnsi="Cambria Math"/>
                </w:rPr>
                <m:t>ivdt</m:t>
              </m:r>
            </m:sub>
          </m:sSub>
          <m:r>
            <w:rPr>
              <w:rFonts w:ascii="Cambria Math" w:hAnsi="Cambria Math"/>
            </w:rPr>
            <m:t>+</m:t>
          </m:r>
          <m:sSub>
            <m:sSubPr>
              <m:ctrlPr>
                <w:rPr>
                  <w:rFonts w:ascii="Cambria Math" w:hAnsi="Cambria Math"/>
                  <w:i/>
                </w:rPr>
              </m:ctrlPr>
            </m:sSubPr>
            <m:e>
              <m:r>
                <w:rPr>
                  <w:rFonts w:ascii="Cambria Math" w:hAnsi="Cambria Math"/>
                </w:rPr>
                <m:t>ε</m:t>
              </m:r>
            </m:e>
            <m:sub>
              <m:r>
                <w:rPr>
                  <w:rFonts w:ascii="Cambria Math" w:hAnsi="Cambria Math"/>
                </w:rPr>
                <m:t>ivdt</m:t>
              </m:r>
            </m:sub>
          </m:sSub>
        </m:oMath>
      </m:oMathPara>
    </w:p>
    <w:p w14:paraId="2FF48CCF" w14:textId="77777777" w:rsidR="00581E2D" w:rsidRDefault="00581E2D" w:rsidP="007932A3"/>
    <w:p w14:paraId="36C5F86E" w14:textId="051406F6" w:rsidR="006920AB" w:rsidRPr="006920AB" w:rsidRDefault="006920AB" w:rsidP="007932A3">
      <w:r>
        <w:t xml:space="preserve">Where </w:t>
      </w:r>
      <w:r w:rsidRPr="00AB131D">
        <w:rPr>
          <w:i/>
        </w:rPr>
        <w:t>I</w:t>
      </w:r>
      <w:r>
        <w:rPr>
          <w:i/>
          <w:vertAlign w:val="subscript"/>
        </w:rPr>
        <w:t>SP</w:t>
      </w:r>
      <w:r>
        <w:t xml:space="preserve"> is an indicator variable taking the value of 1 if the child resides in one of the 13 SPR</w:t>
      </w:r>
      <w:r w:rsidR="00905A5C">
        <w:t>P</w:t>
      </w:r>
      <w:r>
        <w:t xml:space="preserve"> districts. The triple difference coefficient, </w:t>
      </w:r>
      <w:r>
        <w:rPr>
          <w:rFonts w:cstheme="minorHAnsi"/>
        </w:rPr>
        <w:t>γ</w:t>
      </w:r>
      <w:r>
        <w:rPr>
          <w:vertAlign w:val="subscript"/>
        </w:rPr>
        <w:t>CTF</w:t>
      </w:r>
      <w:r>
        <w:t xml:space="preserve">, estimates the relative effectiveness of the </w:t>
      </w:r>
      <w:r w:rsidR="00D77C07">
        <w:t>CT</w:t>
      </w:r>
      <w:r>
        <w:t xml:space="preserve"> program in the SPR</w:t>
      </w:r>
      <w:r w:rsidR="00905A5C">
        <w:t>P</w:t>
      </w:r>
      <w:r>
        <w:t xml:space="preserve"> districts when compared with the SSP-only districts.</w:t>
      </w:r>
    </w:p>
    <w:p w14:paraId="65A19D8B" w14:textId="00D72FC5" w:rsidR="007932A3" w:rsidRDefault="006D187D" w:rsidP="007932A3">
      <w:r>
        <w:t xml:space="preserve">This is the most data-challenging of the four evaluation questions to address, and it </w:t>
      </w:r>
      <w:r w:rsidR="00232FE9">
        <w:t xml:space="preserve">may only be possible to </w:t>
      </w:r>
      <w:r w:rsidR="00F1571A">
        <w:t>estimate</w:t>
      </w:r>
      <w:r>
        <w:t xml:space="preserve"> relatively large differences in effectiveness at standard levels of statistical precision. As </w:t>
      </w:r>
      <w:r w:rsidR="006920AB">
        <w:t>mentioned above for Question 1</w:t>
      </w:r>
      <w:r>
        <w:t>, the possibility of</w:t>
      </w:r>
      <w:r w:rsidRPr="008070EC">
        <w:t xml:space="preserve"> community</w:t>
      </w:r>
      <w:r>
        <w:t>-level</w:t>
      </w:r>
      <w:r w:rsidRPr="008070EC">
        <w:t xml:space="preserve"> matching on baseline observables</w:t>
      </w:r>
      <w:r>
        <w:t xml:space="preserve"> across treatment and control districts</w:t>
      </w:r>
      <w:r w:rsidRPr="008070EC">
        <w:t xml:space="preserve"> to improve comparability/</w:t>
      </w:r>
      <w:r>
        <w:t>precision will also be explored.</w:t>
      </w:r>
    </w:p>
    <w:p w14:paraId="75EEB7F3" w14:textId="77777777" w:rsidR="005E45C3" w:rsidRPr="005E45C3" w:rsidRDefault="005E45C3" w:rsidP="005E45C3"/>
    <w:p w14:paraId="6213E2A1" w14:textId="77777777" w:rsidR="005E45C3" w:rsidRPr="005E45C3" w:rsidRDefault="005E45C3" w:rsidP="003A0B4F">
      <w:pPr>
        <w:pStyle w:val="Heading1"/>
      </w:pPr>
      <w:bookmarkStart w:id="16" w:name="_Toc520742198"/>
      <w:bookmarkStart w:id="17" w:name="_Toc69728395"/>
      <w:r w:rsidRPr="005E45C3">
        <w:t>Study size necessary for sufficient power</w:t>
      </w:r>
      <w:bookmarkEnd w:id="16"/>
      <w:bookmarkEnd w:id="17"/>
    </w:p>
    <w:p w14:paraId="6A5DEC2A" w14:textId="6D83487E" w:rsidR="00242C0C" w:rsidRDefault="00B53C15" w:rsidP="00E1774B">
      <w:r>
        <w:t>The p</w:t>
      </w:r>
      <w:r w:rsidR="006D187D">
        <w:t>ower analys</w:t>
      </w:r>
      <w:r w:rsidR="004D7BD3">
        <w:t>e</w:t>
      </w:r>
      <w:r w:rsidR="006D187D">
        <w:t xml:space="preserve">s to inform study size </w:t>
      </w:r>
      <w:r w:rsidR="003A1758">
        <w:t xml:space="preserve">for </w:t>
      </w:r>
      <w:r w:rsidR="006D187D">
        <w:t>sufficient statistical power w</w:t>
      </w:r>
      <w:r w:rsidR="004D7BD3">
        <w:t>ere</w:t>
      </w:r>
      <w:r w:rsidR="006D187D">
        <w:t xml:space="preserve"> conducted through simulation methods</w:t>
      </w:r>
      <w:r w:rsidR="0034327A">
        <w:t xml:space="preserve"> </w:t>
      </w:r>
      <w:r w:rsidR="0034327A">
        <w:rPr>
          <w:rStyle w:val="FootnoteReference"/>
        </w:rPr>
        <w:footnoteReference w:id="8"/>
      </w:r>
      <w:r w:rsidR="006D187D">
        <w:t xml:space="preserve"> and using Stata version 15.0. </w:t>
      </w:r>
      <w:r w:rsidR="004D7BD3">
        <w:t>One analys</w:t>
      </w:r>
      <w:r w:rsidR="008C5E16">
        <w:t>i</w:t>
      </w:r>
      <w:r w:rsidR="004D7BD3">
        <w:t xml:space="preserve">s </w:t>
      </w:r>
      <w:r w:rsidR="008C5E16">
        <w:t>was</w:t>
      </w:r>
      <w:r w:rsidR="004D7BD3">
        <w:t xml:space="preserve"> conducted to investigate statistical power at the community-level, using the HAZ score for children under 24 months as the outcome of interest. </w:t>
      </w:r>
      <w:r w:rsidR="00F90B8F">
        <w:t>The section</w:t>
      </w:r>
      <w:r w:rsidR="00F32357">
        <w:t xml:space="preserve"> below describes the process and simulation results (summarized in Table 2) for the study size of </w:t>
      </w:r>
      <w:r w:rsidR="00706BCC">
        <w:t>a</w:t>
      </w:r>
      <w:r w:rsidR="00F32357">
        <w:t xml:space="preserve"> community survey </w:t>
      </w:r>
      <w:r w:rsidR="00706BCC">
        <w:t xml:space="preserve"> </w:t>
      </w:r>
      <w:r w:rsidR="00E1774B">
        <w:t>to collect prospective impact evaluation data</w:t>
      </w:r>
      <w:r w:rsidR="00386AD0">
        <w:t>.</w:t>
      </w:r>
      <w:r w:rsidR="004D7BD3">
        <w:t xml:space="preserve"> </w:t>
      </w:r>
    </w:p>
    <w:p w14:paraId="5224079B" w14:textId="10E61D3F" w:rsidR="008C5E16" w:rsidRDefault="00242C0C" w:rsidP="00E1774B">
      <w:r>
        <w:t>A second analys</w:t>
      </w:r>
      <w:r w:rsidR="008C5E16">
        <w:t>i</w:t>
      </w:r>
      <w:r>
        <w:t xml:space="preserve">s, summarized in Table 3, </w:t>
      </w:r>
      <w:r w:rsidR="00F32357">
        <w:t>was</w:t>
      </w:r>
      <w:r>
        <w:t xml:space="preserve"> carried out </w:t>
      </w:r>
      <w:r w:rsidRPr="00242C0C">
        <w:t xml:space="preserve">to inform study size </w:t>
      </w:r>
      <w:r w:rsidR="00706BCC">
        <w:t xml:space="preserve">of </w:t>
      </w:r>
      <w:r w:rsidR="004B6049">
        <w:t>the facility survey</w:t>
      </w:r>
      <w:r w:rsidR="00F90B8F">
        <w:t xml:space="preserve">, including the </w:t>
      </w:r>
      <w:r w:rsidR="004B6049">
        <w:t xml:space="preserve">administrative data extraction </w:t>
      </w:r>
      <w:r w:rsidR="00F90B8F">
        <w:t xml:space="preserve">of </w:t>
      </w:r>
      <w:r w:rsidRPr="00242C0C">
        <w:t>birth weight</w:t>
      </w:r>
      <w:r w:rsidR="00F90B8F">
        <w:t>s</w:t>
      </w:r>
      <w:r>
        <w:t xml:space="preserve">. As previously mentioned, this outcome of interest differs from the other prospectively collected impact evaluation outcomes, as it will be retrospectively extracted from health center administrative data </w:t>
      </w:r>
      <w:r w:rsidR="00706BCC">
        <w:t>at the facility (rather than community) level</w:t>
      </w:r>
      <w:r>
        <w:t>.</w:t>
      </w:r>
      <w:r w:rsidR="008C5E16">
        <w:t xml:space="preserve"> </w:t>
      </w:r>
    </w:p>
    <w:p w14:paraId="639C70E7" w14:textId="74FACC23" w:rsidR="001F4A11" w:rsidRDefault="00F32357" w:rsidP="005E45C3">
      <w:r>
        <w:rPr>
          <w:b/>
          <w:bCs/>
        </w:rPr>
        <w:t>Community</w:t>
      </w:r>
      <w:r w:rsidR="008C5E16" w:rsidRPr="008C5E16">
        <w:rPr>
          <w:b/>
          <w:bCs/>
        </w:rPr>
        <w:t xml:space="preserve"> survey power analysis</w:t>
      </w:r>
      <w:r w:rsidR="00807AB2">
        <w:rPr>
          <w:b/>
          <w:bCs/>
        </w:rPr>
        <w:t xml:space="preserve"> </w:t>
      </w:r>
      <w:bookmarkStart w:id="18" w:name="_Hlk85805165"/>
      <w:r w:rsidR="008C5E16">
        <w:t xml:space="preserve">Four scenarios using the HAZ score for children under 24 months were considered for the </w:t>
      </w:r>
      <w:r>
        <w:t>community</w:t>
      </w:r>
      <w:r w:rsidR="008C5E16">
        <w:t xml:space="preserve"> survey power analysis, and each was simulated 10000 times. </w:t>
      </w:r>
      <w:r w:rsidR="00A77F79">
        <w:t xml:space="preserve"> In all simulations, various</w:t>
      </w:r>
      <w:r w:rsidR="00C24E36">
        <w:t xml:space="preserve"> </w:t>
      </w:r>
      <w:r w:rsidR="000D7A78">
        <w:t xml:space="preserve">conservative </w:t>
      </w:r>
      <w:r w:rsidR="00C24E36">
        <w:t>assumptions around</w:t>
      </w:r>
      <w:r w:rsidR="00A77F79">
        <w:t xml:space="preserve"> study</w:t>
      </w:r>
      <w:r w:rsidR="003A1758">
        <w:t xml:space="preserve"> design</w:t>
      </w:r>
      <w:r w:rsidR="00A77F79">
        <w:t xml:space="preserve"> and </w:t>
      </w:r>
      <w:r w:rsidR="003A1758">
        <w:t xml:space="preserve">population </w:t>
      </w:r>
      <w:r w:rsidR="002638F6">
        <w:t>parameters are made</w:t>
      </w:r>
      <w:r w:rsidR="00A77F79">
        <w:t xml:space="preserve">. These include: (a) </w:t>
      </w:r>
      <w:r w:rsidR="002638F6">
        <w:t xml:space="preserve">the study conducts </w:t>
      </w:r>
      <w:r w:rsidR="00A77F79">
        <w:t>one baseline survey round and one follow-up round,</w:t>
      </w:r>
      <w:r w:rsidR="002370C0">
        <w:t xml:space="preserve"> and</w:t>
      </w:r>
      <w:r w:rsidR="00A77F79">
        <w:t xml:space="preserve"> (b) </w:t>
      </w:r>
      <w:r w:rsidR="00B53C15">
        <w:t xml:space="preserve">the </w:t>
      </w:r>
      <w:r w:rsidR="001F4A11">
        <w:t xml:space="preserve">parameter values regarding the attribution of variance are informed by values </w:t>
      </w:r>
      <w:r w:rsidR="00465F39">
        <w:t>from</w:t>
      </w:r>
      <w:r w:rsidR="001F4A11">
        <w:t xml:space="preserve"> the </w:t>
      </w:r>
      <w:r w:rsidR="00C15B4E">
        <w:t>2018 baseline survey.</w:t>
      </w:r>
      <w:r w:rsidR="001F4A11">
        <w:t xml:space="preserve"> </w:t>
      </w:r>
      <w:r w:rsidR="00C15B4E">
        <w:t>The baseline data followed the pre-specified sampling rules to include:</w:t>
      </w:r>
      <w:r w:rsidR="00884475">
        <w:t xml:space="preserve"> </w:t>
      </w:r>
      <w:r w:rsidR="00B53C15">
        <w:t>7</w:t>
      </w:r>
      <w:r w:rsidR="0046260F">
        <w:t xml:space="preserve"> children under 24 months from</w:t>
      </w:r>
      <w:r w:rsidR="00C81010">
        <w:t xml:space="preserve"> Ubudehe 1 households</w:t>
      </w:r>
      <w:r w:rsidR="000D7A78">
        <w:t>,</w:t>
      </w:r>
      <w:r w:rsidR="00C81010">
        <w:t xml:space="preserve"> </w:t>
      </w:r>
      <w:r w:rsidR="00B53C15">
        <w:t>1</w:t>
      </w:r>
      <w:r w:rsidR="00884475">
        <w:t>0</w:t>
      </w:r>
      <w:r w:rsidR="00C81010">
        <w:t xml:space="preserve"> </w:t>
      </w:r>
      <w:r w:rsidR="00884475">
        <w:t xml:space="preserve">children in the same age range from </w:t>
      </w:r>
      <w:r w:rsidR="00C81010">
        <w:t>Ubudehe 2 household</w:t>
      </w:r>
      <w:r w:rsidR="00465F39">
        <w:t>s</w:t>
      </w:r>
      <w:r w:rsidR="000D7A78">
        <w:t xml:space="preserve">, and </w:t>
      </w:r>
      <w:r w:rsidR="00884475">
        <w:t xml:space="preserve">11 children from </w:t>
      </w:r>
      <w:r w:rsidR="000D7A78">
        <w:t xml:space="preserve">Ubudehe 3 </w:t>
      </w:r>
      <w:r w:rsidR="00884475">
        <w:t xml:space="preserve">households and </w:t>
      </w:r>
      <w:r w:rsidR="0066501D">
        <w:t xml:space="preserve">from </w:t>
      </w:r>
      <w:r w:rsidR="00884475">
        <w:t>households with unknown Ubudehe categorization</w:t>
      </w:r>
      <w:r w:rsidR="00C81010">
        <w:t>.</w:t>
      </w:r>
      <w:r w:rsidR="00884475">
        <w:t xml:space="preserve"> </w:t>
      </w:r>
    </w:p>
    <w:p w14:paraId="75EDB361" w14:textId="10405274" w:rsidR="00232FE9" w:rsidRDefault="007D46F8" w:rsidP="005E45C3">
      <w:r>
        <w:t>The power analysis for e</w:t>
      </w:r>
      <w:r w:rsidR="00232FE9">
        <w:t xml:space="preserve">valuation question 1 is explored </w:t>
      </w:r>
      <w:r w:rsidR="009F0113">
        <w:t>for both sub-questions</w:t>
      </w:r>
      <w:r w:rsidR="00232FE9">
        <w:t xml:space="preserve">. </w:t>
      </w:r>
      <w:r w:rsidR="0034327A">
        <w:t>I</w:t>
      </w:r>
      <w:r w:rsidR="00232FE9">
        <w:t>n terms of identifying the overall net impact of the program</w:t>
      </w:r>
      <w:r w:rsidR="00706BCC">
        <w:t xml:space="preserve"> on prospective outcomes</w:t>
      </w:r>
      <w:r w:rsidR="00232FE9">
        <w:t xml:space="preserve">, we first simulate the impact on </w:t>
      </w:r>
      <w:r w:rsidR="00232FE9">
        <w:lastRenderedPageBreak/>
        <w:t>Ubudehe 1</w:t>
      </w:r>
      <w:r w:rsidR="00884475">
        <w:t xml:space="preserve"> and Ubudehe 2</w:t>
      </w:r>
      <w:r w:rsidR="00232FE9">
        <w:t xml:space="preserve"> children only</w:t>
      </w:r>
      <w:r w:rsidR="00981DD1">
        <w:t>.</w:t>
      </w:r>
      <w:r w:rsidR="00232FE9">
        <w:t xml:space="preserve"> </w:t>
      </w:r>
      <w:r w:rsidR="00981DD1">
        <w:t xml:space="preserve">While Ubudehe 1 was the group originally targeted for the CT payments, Ubudehe 2 children have also started receiving the transfers. </w:t>
      </w:r>
      <w:r w:rsidR="00C15B4E">
        <w:t>As these payments are</w:t>
      </w:r>
      <w:r w:rsidR="00981DD1">
        <w:t xml:space="preserve"> one of the main components of the SPaR </w:t>
      </w:r>
      <w:r w:rsidR="00C15B4E">
        <w:t>program</w:t>
      </w:r>
      <w:r w:rsidR="00981DD1">
        <w:t>, children from both Ubudehe 1 and 2 represent a key population of interest</w:t>
      </w:r>
      <w:r w:rsidR="008D27FF">
        <w:t>. We also simulate the impact on all children (</w:t>
      </w:r>
      <w:r w:rsidR="009F0113">
        <w:t>distributed</w:t>
      </w:r>
      <w:r w:rsidR="008D27FF">
        <w:t xml:space="preserve"> across Ubudehes 1, 2, 3</w:t>
      </w:r>
      <w:r w:rsidR="00884475">
        <w:t>, and from households with unknown status</w:t>
      </w:r>
      <w:r w:rsidR="008D27FF">
        <w:t>)</w:t>
      </w:r>
      <w:r w:rsidR="00A77F79">
        <w:t xml:space="preserve"> as many program activities </w:t>
      </w:r>
      <w:r w:rsidR="00A43651">
        <w:t>are expected to</w:t>
      </w:r>
      <w:r w:rsidR="00A77F79">
        <w:t xml:space="preserve"> benefit all children living in the target areas.</w:t>
      </w:r>
    </w:p>
    <w:p w14:paraId="107029FF" w14:textId="634778E0" w:rsidR="00C81010" w:rsidRDefault="00C81010" w:rsidP="005E45C3">
      <w:r>
        <w:t>Evaluation question 2 is also explored in two ways. First</w:t>
      </w:r>
      <w:r w:rsidR="0034327A">
        <w:t>,</w:t>
      </w:r>
      <w:r>
        <w:t xml:space="preserve"> we estimate study size necessary to identify an impact of the </w:t>
      </w:r>
      <w:r w:rsidR="00D77C07">
        <w:t>CT</w:t>
      </w:r>
      <w:r>
        <w:t xml:space="preserve"> program offered in the 13 districts against the coun</w:t>
      </w:r>
      <w:r w:rsidR="007D46F8">
        <w:t>terfactu</w:t>
      </w:r>
      <w:r>
        <w:t>al of the 1</w:t>
      </w:r>
      <w:r w:rsidR="00E302DB">
        <w:t>2</w:t>
      </w:r>
      <w:r>
        <w:t xml:space="preserve"> districts that are not in the </w:t>
      </w:r>
      <w:r w:rsidR="008A21C0">
        <w:t>SPaR program. Secondly</w:t>
      </w:r>
      <w:r w:rsidR="0034327A">
        <w:t>,</w:t>
      </w:r>
      <w:r w:rsidR="008A21C0">
        <w:t xml:space="preserve"> we estimate </w:t>
      </w:r>
      <w:r w:rsidR="007D46F8">
        <w:t xml:space="preserve">any differential effect of the </w:t>
      </w:r>
      <w:r w:rsidR="00D77C07">
        <w:t>CT</w:t>
      </w:r>
      <w:r w:rsidR="007D46F8">
        <w:t xml:space="preserve"> program in the 13 districts that also receive health system strengthening investments (the SPR</w:t>
      </w:r>
      <w:r w:rsidR="00905A5C">
        <w:t>P</w:t>
      </w:r>
      <w:r w:rsidR="007D46F8">
        <w:t xml:space="preserve"> activities) and </w:t>
      </w:r>
      <w:r w:rsidR="003A1758">
        <w:t xml:space="preserve">the </w:t>
      </w:r>
      <w:r w:rsidR="002C7E79">
        <w:t>4</w:t>
      </w:r>
      <w:r w:rsidR="003A1758">
        <w:t xml:space="preserve"> districts that offer the </w:t>
      </w:r>
      <w:r w:rsidR="00D77C07">
        <w:t>CT</w:t>
      </w:r>
      <w:r w:rsidR="003A1758">
        <w:t xml:space="preserve"> in the absence of such investments.</w:t>
      </w:r>
    </w:p>
    <w:p w14:paraId="01A7C6B7" w14:textId="4348246D" w:rsidR="00A43651" w:rsidRDefault="006F70DA" w:rsidP="005E45C3">
      <w:r>
        <w:t>T</w:t>
      </w:r>
      <w:r w:rsidR="007469A3">
        <w:t>he simulations suggest a</w:t>
      </w:r>
      <w:r w:rsidR="00A43651">
        <w:t xml:space="preserve"> study design that </w:t>
      </w:r>
      <w:r w:rsidR="009F0113">
        <w:t>selects</w:t>
      </w:r>
      <w:r w:rsidR="00A43651">
        <w:t xml:space="preserve"> </w:t>
      </w:r>
      <w:r w:rsidR="002C7E79">
        <w:t>15</w:t>
      </w:r>
      <w:r w:rsidR="00440384">
        <w:t xml:space="preserve"> </w:t>
      </w:r>
      <w:r w:rsidR="00A43651">
        <w:t>enumeration areas</w:t>
      </w:r>
      <w:r w:rsidR="002C7E79">
        <w:t xml:space="preserve"> per district</w:t>
      </w:r>
      <w:r w:rsidR="009F0113">
        <w:t>. A study of this size</w:t>
      </w:r>
      <w:r w:rsidR="00A43651">
        <w:t xml:space="preserve"> </w:t>
      </w:r>
      <w:r w:rsidR="007469A3">
        <w:t>will be</w:t>
      </w:r>
      <w:r w:rsidR="00A43651">
        <w:t xml:space="preserve"> powered to identify relatively small gains in HAZ </w:t>
      </w:r>
      <w:r w:rsidR="00E11F9B">
        <w:t>all</w:t>
      </w:r>
      <w:r w:rsidR="00A43651">
        <w:t xml:space="preserve"> 4 scenarios considered. For evaluation question 1, an MDES (minimum detectable effect size) of 0.</w:t>
      </w:r>
      <w:r w:rsidR="00440384">
        <w:t>071</w:t>
      </w:r>
      <w:r w:rsidR="00A43651">
        <w:t xml:space="preserve"> standard deviations is</w:t>
      </w:r>
      <w:r w:rsidR="0034327A">
        <w:t xml:space="preserve"> estimated</w:t>
      </w:r>
      <w:r w:rsidR="00A43651">
        <w:t xml:space="preserve"> </w:t>
      </w:r>
      <w:r w:rsidR="007469A3">
        <w:t xml:space="preserve">for </w:t>
      </w:r>
      <w:r w:rsidR="005F0887">
        <w:t>the first</w:t>
      </w:r>
      <w:r w:rsidR="007469A3">
        <w:t xml:space="preserve"> scenario</w:t>
      </w:r>
      <w:r w:rsidR="005F0887">
        <w:t>, and 0.</w:t>
      </w:r>
      <w:r w:rsidR="00440384">
        <w:t xml:space="preserve">063 </w:t>
      </w:r>
      <w:r w:rsidR="005F0887">
        <w:t>standard deviations for the second scenario,</w:t>
      </w:r>
      <w:r w:rsidR="007469A3">
        <w:t xml:space="preserve"> </w:t>
      </w:r>
      <w:r w:rsidR="00A43651">
        <w:t>at a significance of 0.05 and a power of 0.8</w:t>
      </w:r>
      <w:r w:rsidR="00440384">
        <w:t>-0.9</w:t>
      </w:r>
      <w:r w:rsidR="00A43651">
        <w:t xml:space="preserve">. For the first scenario of question 2, the same </w:t>
      </w:r>
      <w:r w:rsidR="007469A3">
        <w:t xml:space="preserve">design </w:t>
      </w:r>
      <w:r w:rsidR="005F0887">
        <w:t>choices yield an MDES of 0.0</w:t>
      </w:r>
      <w:r w:rsidR="00440384">
        <w:t>83, while for the second scenario, an MDES of 0.117 standard deviations is estimated</w:t>
      </w:r>
      <w:r w:rsidR="00A43651">
        <w:t xml:space="preserve">. These effect sizes are </w:t>
      </w:r>
      <w:r w:rsidR="002C7E79">
        <w:t xml:space="preserve">quite </w:t>
      </w:r>
      <w:r w:rsidR="00A43651">
        <w:t>small</w:t>
      </w:r>
      <w:r w:rsidR="003733DA">
        <w:t xml:space="preserve"> compared to the </w:t>
      </w:r>
      <w:r w:rsidR="000004F4">
        <w:t>broader evaluative literatur</w:t>
      </w:r>
      <w:r w:rsidR="007469A3">
        <w:t xml:space="preserve">e yet </w:t>
      </w:r>
      <w:r w:rsidR="009F0113">
        <w:t>gains of this magnitude are stil</w:t>
      </w:r>
      <w:r w:rsidR="005F0887">
        <w:t xml:space="preserve">l </w:t>
      </w:r>
      <w:r w:rsidR="007469A3">
        <w:t>of</w:t>
      </w:r>
      <w:r w:rsidR="00A43651">
        <w:t xml:space="preserve"> policy significance</w:t>
      </w:r>
      <w:r w:rsidR="00135F84">
        <w:t xml:space="preserve">, and stakeholders </w:t>
      </w:r>
      <w:r w:rsidR="00020C02">
        <w:t>have stated a</w:t>
      </w:r>
      <w:r w:rsidR="005F0887">
        <w:t xml:space="preserve"> </w:t>
      </w:r>
      <w:r w:rsidR="00135F84">
        <w:t>wish to identify an impact of this</w:t>
      </w:r>
      <w:r w:rsidR="009F0113">
        <w:t xml:space="preserve"> relatively small</w:t>
      </w:r>
      <w:r w:rsidR="00135F84">
        <w:t xml:space="preserve"> magnitude. </w:t>
      </w:r>
    </w:p>
    <w:p w14:paraId="4A648C30" w14:textId="4FD88808" w:rsidR="008C5E16" w:rsidRDefault="00135F84" w:rsidP="005E45C3">
      <w:r>
        <w:t>Also note that the assumptions in this exercise are deliberately conservative. For example</w:t>
      </w:r>
      <w:r w:rsidR="009F0113">
        <w:t>,</w:t>
      </w:r>
      <w:r>
        <w:t xml:space="preserve"> there is only one follow-up s</w:t>
      </w:r>
      <w:r w:rsidR="007469A3">
        <w:t xml:space="preserve">urvey simulated. </w:t>
      </w:r>
      <w:r w:rsidR="008A33AF">
        <w:t>However,</w:t>
      </w:r>
      <w:r>
        <w:t xml:space="preserve"> power</w:t>
      </w:r>
      <w:r w:rsidR="007469A3">
        <w:t xml:space="preserve"> can</w:t>
      </w:r>
      <w:r>
        <w:t xml:space="preserve"> be increased through repeated observation</w:t>
      </w:r>
      <w:r w:rsidR="00020C02">
        <w:rPr>
          <w:rStyle w:val="FootnoteReference"/>
        </w:rPr>
        <w:footnoteReference w:id="9"/>
      </w:r>
      <w:r>
        <w:t xml:space="preserve"> and severa</w:t>
      </w:r>
      <w:r w:rsidR="000004F4">
        <w:t>l follow-up rounds are proposed in the study design.</w:t>
      </w:r>
      <w:r w:rsidR="00282E88">
        <w:t xml:space="preserve"> In addition, the use of cluster and individual level controls or propensity weights are expected to yield further power gains.</w:t>
      </w:r>
      <w:r w:rsidR="009F0113">
        <w:t xml:space="preserve"> </w:t>
      </w:r>
      <w:bookmarkEnd w:id="18"/>
    </w:p>
    <w:p w14:paraId="4463C8A0" w14:textId="504A3874" w:rsidR="008C5E16" w:rsidRDefault="008C5E16" w:rsidP="005E45C3">
      <w:pPr>
        <w:sectPr w:rsidR="008C5E16">
          <w:pgSz w:w="12240" w:h="15840"/>
          <w:pgMar w:top="1440" w:right="1440" w:bottom="1440" w:left="1440" w:header="720" w:footer="720" w:gutter="0"/>
          <w:cols w:space="720"/>
          <w:docGrid w:linePitch="360"/>
        </w:sectPr>
      </w:pPr>
    </w:p>
    <w:p w14:paraId="562861B1" w14:textId="27FCC243" w:rsidR="006D187D" w:rsidRDefault="00656EAD" w:rsidP="005E45C3">
      <w:r>
        <w:lastRenderedPageBreak/>
        <w:t xml:space="preserve">Table </w:t>
      </w:r>
      <w:r w:rsidR="00462A14">
        <w:t>2</w:t>
      </w:r>
      <w:r>
        <w:t xml:space="preserve">. </w:t>
      </w:r>
      <w:r w:rsidR="00BC2931">
        <w:t>Community survey p</w:t>
      </w:r>
      <w:r>
        <w:t>ower analysis summary results</w:t>
      </w:r>
      <w:r w:rsidR="00E51EC3" w:rsidRPr="00E51EC3">
        <w:t>, all outcomes measured in HAZ</w:t>
      </w:r>
    </w:p>
    <w:tbl>
      <w:tblPr>
        <w:tblW w:w="12960" w:type="dxa"/>
        <w:tblLook w:val="04A0" w:firstRow="1" w:lastRow="0" w:firstColumn="1" w:lastColumn="0" w:noHBand="0" w:noVBand="1"/>
      </w:tblPr>
      <w:tblGrid>
        <w:gridCol w:w="12960"/>
      </w:tblGrid>
      <w:tr w:rsidR="00386AD0" w:rsidRPr="00E51EC3" w14:paraId="41EE7F8A" w14:textId="77777777" w:rsidTr="00E52986">
        <w:trPr>
          <w:trHeight w:val="288"/>
        </w:trPr>
        <w:tc>
          <w:tcPr>
            <w:tcW w:w="12960" w:type="dxa"/>
            <w:tcBorders>
              <w:top w:val="nil"/>
              <w:left w:val="nil"/>
              <w:bottom w:val="nil"/>
              <w:right w:val="nil"/>
            </w:tcBorders>
            <w:shd w:val="clear" w:color="auto" w:fill="auto"/>
            <w:noWrap/>
            <w:vAlign w:val="bottom"/>
            <w:hideMark/>
          </w:tcPr>
          <w:tbl>
            <w:tblPr>
              <w:tblW w:w="12790" w:type="dxa"/>
              <w:tblLook w:val="04A0" w:firstRow="1" w:lastRow="0" w:firstColumn="1" w:lastColumn="0" w:noHBand="0" w:noVBand="1"/>
            </w:tblPr>
            <w:tblGrid>
              <w:gridCol w:w="1354"/>
              <w:gridCol w:w="1354"/>
              <w:gridCol w:w="1354"/>
              <w:gridCol w:w="1354"/>
              <w:gridCol w:w="1354"/>
              <w:gridCol w:w="1354"/>
              <w:gridCol w:w="1354"/>
              <w:gridCol w:w="1345"/>
              <w:gridCol w:w="1699"/>
              <w:gridCol w:w="222"/>
            </w:tblGrid>
            <w:tr w:rsidR="00E52986" w:rsidRPr="00E52986" w14:paraId="7BC2F512" w14:textId="77777777" w:rsidTr="00E52986">
              <w:trPr>
                <w:gridAfter w:val="1"/>
                <w:wAfter w:w="36" w:type="dxa"/>
                <w:trHeight w:val="450"/>
              </w:trPr>
              <w:tc>
                <w:tcPr>
                  <w:tcW w:w="1379" w:type="dxa"/>
                  <w:vMerge w:val="restart"/>
                  <w:tcBorders>
                    <w:top w:val="nil"/>
                    <w:left w:val="nil"/>
                    <w:bottom w:val="double" w:sz="6" w:space="0" w:color="000000"/>
                    <w:right w:val="nil"/>
                  </w:tcBorders>
                  <w:shd w:val="clear" w:color="auto" w:fill="auto"/>
                  <w:vAlign w:val="center"/>
                  <w:hideMark/>
                </w:tcPr>
                <w:p w14:paraId="54471A89" w14:textId="77777777" w:rsidR="00E52986" w:rsidRPr="00E52986" w:rsidRDefault="00E52986" w:rsidP="00E52986">
                  <w:pPr>
                    <w:spacing w:after="0"/>
                    <w:jc w:val="center"/>
                    <w:rPr>
                      <w:rFonts w:ascii="Calibri" w:eastAsia="Times New Roman" w:hAnsi="Calibri" w:cs="Calibri"/>
                      <w:b/>
                      <w:bCs/>
                      <w:color w:val="000000"/>
                    </w:rPr>
                  </w:pPr>
                  <w:r w:rsidRPr="00E52986">
                    <w:rPr>
                      <w:rFonts w:ascii="Calibri" w:eastAsia="Times New Roman" w:hAnsi="Calibri" w:cs="Calibri"/>
                      <w:b/>
                      <w:bCs/>
                      <w:color w:val="000000"/>
                    </w:rPr>
                    <w:t>Treatment districts</w:t>
                  </w:r>
                </w:p>
              </w:tc>
              <w:tc>
                <w:tcPr>
                  <w:tcW w:w="1379" w:type="dxa"/>
                  <w:vMerge w:val="restart"/>
                  <w:tcBorders>
                    <w:top w:val="nil"/>
                    <w:left w:val="nil"/>
                    <w:bottom w:val="double" w:sz="6" w:space="0" w:color="000000"/>
                    <w:right w:val="nil"/>
                  </w:tcBorders>
                  <w:shd w:val="clear" w:color="auto" w:fill="auto"/>
                  <w:vAlign w:val="center"/>
                  <w:hideMark/>
                </w:tcPr>
                <w:p w14:paraId="46D1D94E" w14:textId="77777777" w:rsidR="00E52986" w:rsidRPr="00E52986" w:rsidRDefault="00E52986" w:rsidP="00E52986">
                  <w:pPr>
                    <w:spacing w:after="0"/>
                    <w:jc w:val="center"/>
                    <w:rPr>
                      <w:rFonts w:ascii="Calibri" w:eastAsia="Times New Roman" w:hAnsi="Calibri" w:cs="Calibri"/>
                      <w:b/>
                      <w:bCs/>
                      <w:color w:val="000000"/>
                    </w:rPr>
                  </w:pPr>
                  <w:r w:rsidRPr="00E52986">
                    <w:rPr>
                      <w:rFonts w:ascii="Calibri" w:eastAsia="Times New Roman" w:hAnsi="Calibri" w:cs="Calibri"/>
                      <w:b/>
                      <w:bCs/>
                      <w:color w:val="000000"/>
                    </w:rPr>
                    <w:t>Control districts</w:t>
                  </w:r>
                </w:p>
              </w:tc>
              <w:tc>
                <w:tcPr>
                  <w:tcW w:w="1379" w:type="dxa"/>
                  <w:vMerge w:val="restart"/>
                  <w:tcBorders>
                    <w:top w:val="nil"/>
                    <w:left w:val="nil"/>
                    <w:bottom w:val="double" w:sz="6" w:space="0" w:color="000000"/>
                    <w:right w:val="nil"/>
                  </w:tcBorders>
                  <w:shd w:val="clear" w:color="auto" w:fill="auto"/>
                  <w:vAlign w:val="center"/>
                  <w:hideMark/>
                </w:tcPr>
                <w:p w14:paraId="7B8A4F83" w14:textId="77777777" w:rsidR="00E52986" w:rsidRPr="00E52986" w:rsidRDefault="00E52986" w:rsidP="00E52986">
                  <w:pPr>
                    <w:spacing w:after="0"/>
                    <w:jc w:val="center"/>
                    <w:rPr>
                      <w:rFonts w:ascii="Calibri" w:eastAsia="Times New Roman" w:hAnsi="Calibri" w:cs="Calibri"/>
                      <w:b/>
                      <w:bCs/>
                      <w:color w:val="000000"/>
                    </w:rPr>
                  </w:pPr>
                  <w:r w:rsidRPr="00E52986">
                    <w:rPr>
                      <w:rFonts w:ascii="Calibri" w:eastAsia="Times New Roman" w:hAnsi="Calibri" w:cs="Calibri"/>
                      <w:b/>
                      <w:bCs/>
                      <w:color w:val="000000"/>
                    </w:rPr>
                    <w:t>Treatment PSUs (villages) per district</w:t>
                  </w:r>
                </w:p>
              </w:tc>
              <w:tc>
                <w:tcPr>
                  <w:tcW w:w="1379" w:type="dxa"/>
                  <w:vMerge w:val="restart"/>
                  <w:tcBorders>
                    <w:top w:val="nil"/>
                    <w:left w:val="nil"/>
                    <w:bottom w:val="double" w:sz="6" w:space="0" w:color="000000"/>
                    <w:right w:val="nil"/>
                  </w:tcBorders>
                  <w:shd w:val="clear" w:color="auto" w:fill="auto"/>
                  <w:vAlign w:val="center"/>
                  <w:hideMark/>
                </w:tcPr>
                <w:p w14:paraId="04194E0D" w14:textId="77777777" w:rsidR="00E52986" w:rsidRPr="00E52986" w:rsidRDefault="00E52986" w:rsidP="00E52986">
                  <w:pPr>
                    <w:spacing w:after="0"/>
                    <w:jc w:val="center"/>
                    <w:rPr>
                      <w:rFonts w:ascii="Calibri" w:eastAsia="Times New Roman" w:hAnsi="Calibri" w:cs="Calibri"/>
                      <w:b/>
                      <w:bCs/>
                      <w:color w:val="000000"/>
                    </w:rPr>
                  </w:pPr>
                  <w:r w:rsidRPr="00E52986">
                    <w:rPr>
                      <w:rFonts w:ascii="Calibri" w:eastAsia="Times New Roman" w:hAnsi="Calibri" w:cs="Calibri"/>
                      <w:b/>
                      <w:bCs/>
                      <w:color w:val="000000"/>
                    </w:rPr>
                    <w:t>Control PSUs (villages) per district</w:t>
                  </w:r>
                </w:p>
              </w:tc>
              <w:tc>
                <w:tcPr>
                  <w:tcW w:w="1379" w:type="dxa"/>
                  <w:vMerge w:val="restart"/>
                  <w:tcBorders>
                    <w:top w:val="nil"/>
                    <w:left w:val="nil"/>
                    <w:bottom w:val="double" w:sz="6" w:space="0" w:color="000000"/>
                    <w:right w:val="nil"/>
                  </w:tcBorders>
                  <w:shd w:val="clear" w:color="auto" w:fill="auto"/>
                  <w:vAlign w:val="center"/>
                  <w:hideMark/>
                </w:tcPr>
                <w:p w14:paraId="59D40D22" w14:textId="77777777" w:rsidR="00E52986" w:rsidRPr="00E52986" w:rsidRDefault="00E52986" w:rsidP="00E52986">
                  <w:pPr>
                    <w:spacing w:after="0"/>
                    <w:jc w:val="center"/>
                    <w:rPr>
                      <w:rFonts w:ascii="Calibri" w:eastAsia="Times New Roman" w:hAnsi="Calibri" w:cs="Calibri"/>
                      <w:b/>
                      <w:bCs/>
                      <w:color w:val="000000"/>
                    </w:rPr>
                  </w:pPr>
                  <w:r w:rsidRPr="00E52986">
                    <w:rPr>
                      <w:rFonts w:ascii="Calibri" w:eastAsia="Times New Roman" w:hAnsi="Calibri" w:cs="Calibri"/>
                      <w:b/>
                      <w:bCs/>
                      <w:color w:val="000000"/>
                    </w:rPr>
                    <w:t xml:space="preserve">U1, Target children per PSU </w:t>
                  </w:r>
                </w:p>
              </w:tc>
              <w:tc>
                <w:tcPr>
                  <w:tcW w:w="1379" w:type="dxa"/>
                  <w:vMerge w:val="restart"/>
                  <w:tcBorders>
                    <w:top w:val="nil"/>
                    <w:left w:val="nil"/>
                    <w:bottom w:val="double" w:sz="6" w:space="0" w:color="000000"/>
                    <w:right w:val="nil"/>
                  </w:tcBorders>
                  <w:shd w:val="clear" w:color="auto" w:fill="auto"/>
                  <w:vAlign w:val="center"/>
                  <w:hideMark/>
                </w:tcPr>
                <w:p w14:paraId="3708A4F9" w14:textId="77777777" w:rsidR="00E52986" w:rsidRPr="00E52986" w:rsidRDefault="00E52986" w:rsidP="00E52986">
                  <w:pPr>
                    <w:spacing w:after="0"/>
                    <w:jc w:val="center"/>
                    <w:rPr>
                      <w:rFonts w:ascii="Calibri" w:eastAsia="Times New Roman" w:hAnsi="Calibri" w:cs="Calibri"/>
                      <w:b/>
                      <w:bCs/>
                      <w:color w:val="000000"/>
                    </w:rPr>
                  </w:pPr>
                  <w:r w:rsidRPr="00E52986">
                    <w:rPr>
                      <w:rFonts w:ascii="Calibri" w:eastAsia="Times New Roman" w:hAnsi="Calibri" w:cs="Calibri"/>
                      <w:b/>
                      <w:bCs/>
                      <w:color w:val="000000"/>
                    </w:rPr>
                    <w:t>U2 target children per PSU</w:t>
                  </w:r>
                </w:p>
              </w:tc>
              <w:tc>
                <w:tcPr>
                  <w:tcW w:w="1379" w:type="dxa"/>
                  <w:vMerge w:val="restart"/>
                  <w:tcBorders>
                    <w:top w:val="nil"/>
                    <w:left w:val="nil"/>
                    <w:bottom w:val="double" w:sz="6" w:space="0" w:color="000000"/>
                    <w:right w:val="nil"/>
                  </w:tcBorders>
                  <w:shd w:val="clear" w:color="auto" w:fill="auto"/>
                  <w:vAlign w:val="center"/>
                  <w:hideMark/>
                </w:tcPr>
                <w:p w14:paraId="61ADB334" w14:textId="44DAE894" w:rsidR="00E52986" w:rsidRPr="00E52986" w:rsidRDefault="00E52986" w:rsidP="00E52986">
                  <w:pPr>
                    <w:spacing w:after="0"/>
                    <w:jc w:val="center"/>
                    <w:rPr>
                      <w:rFonts w:ascii="Calibri" w:eastAsia="Times New Roman" w:hAnsi="Calibri" w:cs="Calibri"/>
                      <w:b/>
                      <w:bCs/>
                      <w:color w:val="000000"/>
                    </w:rPr>
                  </w:pPr>
                  <w:r w:rsidRPr="00E52986">
                    <w:rPr>
                      <w:rFonts w:ascii="Calibri" w:eastAsia="Times New Roman" w:hAnsi="Calibri" w:cs="Calibri"/>
                      <w:b/>
                      <w:bCs/>
                      <w:color w:val="000000"/>
                    </w:rPr>
                    <w:t xml:space="preserve">U3 </w:t>
                  </w:r>
                  <w:r w:rsidR="00DD016E">
                    <w:rPr>
                      <w:rFonts w:ascii="Calibri" w:eastAsia="Times New Roman" w:hAnsi="Calibri" w:cs="Calibri"/>
                      <w:b/>
                      <w:bCs/>
                      <w:color w:val="000000"/>
                    </w:rPr>
                    <w:t xml:space="preserve">and U unknown </w:t>
                  </w:r>
                  <w:r w:rsidRPr="00E52986">
                    <w:rPr>
                      <w:rFonts w:ascii="Calibri" w:eastAsia="Times New Roman" w:hAnsi="Calibri" w:cs="Calibri"/>
                      <w:b/>
                      <w:bCs/>
                      <w:color w:val="000000"/>
                    </w:rPr>
                    <w:t>target children per PSU</w:t>
                  </w:r>
                </w:p>
              </w:tc>
              <w:tc>
                <w:tcPr>
                  <w:tcW w:w="1370" w:type="dxa"/>
                  <w:vMerge w:val="restart"/>
                  <w:tcBorders>
                    <w:top w:val="nil"/>
                    <w:left w:val="nil"/>
                    <w:bottom w:val="double" w:sz="6" w:space="0" w:color="000000"/>
                    <w:right w:val="nil"/>
                  </w:tcBorders>
                  <w:shd w:val="clear" w:color="auto" w:fill="auto"/>
                  <w:vAlign w:val="center"/>
                  <w:hideMark/>
                </w:tcPr>
                <w:p w14:paraId="5FC0CE6B" w14:textId="77777777" w:rsidR="00E52986" w:rsidRPr="00E52986" w:rsidRDefault="00E52986" w:rsidP="00E52986">
                  <w:pPr>
                    <w:spacing w:after="0"/>
                    <w:jc w:val="center"/>
                    <w:rPr>
                      <w:rFonts w:ascii="Calibri" w:eastAsia="Times New Roman" w:hAnsi="Calibri" w:cs="Calibri"/>
                      <w:b/>
                      <w:bCs/>
                      <w:color w:val="000000"/>
                    </w:rPr>
                  </w:pPr>
                  <w:r w:rsidRPr="00E52986">
                    <w:rPr>
                      <w:rFonts w:ascii="Calibri" w:eastAsia="Times New Roman" w:hAnsi="Calibri" w:cs="Calibri"/>
                      <w:b/>
                      <w:bCs/>
                      <w:color w:val="000000"/>
                    </w:rPr>
                    <w:t>Mean HAZ at baseline</w:t>
                  </w:r>
                </w:p>
              </w:tc>
              <w:tc>
                <w:tcPr>
                  <w:tcW w:w="1731" w:type="dxa"/>
                  <w:vMerge w:val="restart"/>
                  <w:tcBorders>
                    <w:top w:val="nil"/>
                    <w:left w:val="nil"/>
                    <w:bottom w:val="double" w:sz="6" w:space="0" w:color="000000"/>
                    <w:right w:val="nil"/>
                  </w:tcBorders>
                  <w:shd w:val="clear" w:color="auto" w:fill="auto"/>
                  <w:vAlign w:val="center"/>
                  <w:hideMark/>
                </w:tcPr>
                <w:p w14:paraId="02BBDABB" w14:textId="77777777" w:rsidR="00E52986" w:rsidRPr="00E52986" w:rsidRDefault="00E52986" w:rsidP="00E52986">
                  <w:pPr>
                    <w:spacing w:after="0"/>
                    <w:jc w:val="center"/>
                    <w:rPr>
                      <w:rFonts w:ascii="Calibri" w:eastAsia="Times New Roman" w:hAnsi="Calibri" w:cs="Calibri"/>
                      <w:b/>
                      <w:bCs/>
                      <w:color w:val="000000"/>
                    </w:rPr>
                  </w:pPr>
                  <w:r w:rsidRPr="00E52986">
                    <w:rPr>
                      <w:rFonts w:ascii="Calibri" w:eastAsia="Times New Roman" w:hAnsi="Calibri" w:cs="Calibri"/>
                      <w:b/>
                      <w:bCs/>
                      <w:color w:val="000000"/>
                    </w:rPr>
                    <w:t>Variability of outcome due to district</w:t>
                  </w:r>
                </w:p>
              </w:tc>
            </w:tr>
            <w:tr w:rsidR="00E52986" w:rsidRPr="00E52986" w14:paraId="3E8DB424" w14:textId="77777777" w:rsidTr="00E52986">
              <w:trPr>
                <w:trHeight w:val="288"/>
              </w:trPr>
              <w:tc>
                <w:tcPr>
                  <w:tcW w:w="1379" w:type="dxa"/>
                  <w:vMerge/>
                  <w:tcBorders>
                    <w:top w:val="nil"/>
                    <w:left w:val="nil"/>
                    <w:bottom w:val="double" w:sz="6" w:space="0" w:color="000000"/>
                    <w:right w:val="nil"/>
                  </w:tcBorders>
                  <w:vAlign w:val="center"/>
                  <w:hideMark/>
                </w:tcPr>
                <w:p w14:paraId="0140BC24" w14:textId="77777777" w:rsidR="00E52986" w:rsidRPr="00E52986" w:rsidRDefault="00E52986" w:rsidP="00E52986">
                  <w:pPr>
                    <w:spacing w:after="0"/>
                    <w:rPr>
                      <w:rFonts w:ascii="Calibri" w:eastAsia="Times New Roman" w:hAnsi="Calibri" w:cs="Calibri"/>
                      <w:b/>
                      <w:bCs/>
                      <w:color w:val="000000"/>
                    </w:rPr>
                  </w:pPr>
                </w:p>
              </w:tc>
              <w:tc>
                <w:tcPr>
                  <w:tcW w:w="1379" w:type="dxa"/>
                  <w:vMerge/>
                  <w:tcBorders>
                    <w:top w:val="nil"/>
                    <w:left w:val="nil"/>
                    <w:bottom w:val="double" w:sz="6" w:space="0" w:color="000000"/>
                    <w:right w:val="nil"/>
                  </w:tcBorders>
                  <w:vAlign w:val="center"/>
                  <w:hideMark/>
                </w:tcPr>
                <w:p w14:paraId="2B7E5A37" w14:textId="77777777" w:rsidR="00E52986" w:rsidRPr="00E52986" w:rsidRDefault="00E52986" w:rsidP="00E52986">
                  <w:pPr>
                    <w:spacing w:after="0"/>
                    <w:rPr>
                      <w:rFonts w:ascii="Calibri" w:eastAsia="Times New Roman" w:hAnsi="Calibri" w:cs="Calibri"/>
                      <w:b/>
                      <w:bCs/>
                      <w:color w:val="000000"/>
                    </w:rPr>
                  </w:pPr>
                </w:p>
              </w:tc>
              <w:tc>
                <w:tcPr>
                  <w:tcW w:w="1379" w:type="dxa"/>
                  <w:vMerge/>
                  <w:tcBorders>
                    <w:top w:val="nil"/>
                    <w:left w:val="nil"/>
                    <w:bottom w:val="double" w:sz="6" w:space="0" w:color="000000"/>
                    <w:right w:val="nil"/>
                  </w:tcBorders>
                  <w:vAlign w:val="center"/>
                  <w:hideMark/>
                </w:tcPr>
                <w:p w14:paraId="2957BF1C" w14:textId="77777777" w:rsidR="00E52986" w:rsidRPr="00E52986" w:rsidRDefault="00E52986" w:rsidP="00E52986">
                  <w:pPr>
                    <w:spacing w:after="0"/>
                    <w:rPr>
                      <w:rFonts w:ascii="Calibri" w:eastAsia="Times New Roman" w:hAnsi="Calibri" w:cs="Calibri"/>
                      <w:b/>
                      <w:bCs/>
                      <w:color w:val="000000"/>
                    </w:rPr>
                  </w:pPr>
                </w:p>
              </w:tc>
              <w:tc>
                <w:tcPr>
                  <w:tcW w:w="1379" w:type="dxa"/>
                  <w:vMerge/>
                  <w:tcBorders>
                    <w:top w:val="nil"/>
                    <w:left w:val="nil"/>
                    <w:bottom w:val="double" w:sz="6" w:space="0" w:color="000000"/>
                    <w:right w:val="nil"/>
                  </w:tcBorders>
                  <w:vAlign w:val="center"/>
                  <w:hideMark/>
                </w:tcPr>
                <w:p w14:paraId="264B4CF5" w14:textId="77777777" w:rsidR="00E52986" w:rsidRPr="00E52986" w:rsidRDefault="00E52986" w:rsidP="00E52986">
                  <w:pPr>
                    <w:spacing w:after="0"/>
                    <w:rPr>
                      <w:rFonts w:ascii="Calibri" w:eastAsia="Times New Roman" w:hAnsi="Calibri" w:cs="Calibri"/>
                      <w:b/>
                      <w:bCs/>
                      <w:color w:val="000000"/>
                    </w:rPr>
                  </w:pPr>
                </w:p>
              </w:tc>
              <w:tc>
                <w:tcPr>
                  <w:tcW w:w="1379" w:type="dxa"/>
                  <w:vMerge/>
                  <w:tcBorders>
                    <w:top w:val="nil"/>
                    <w:left w:val="nil"/>
                    <w:bottom w:val="double" w:sz="6" w:space="0" w:color="000000"/>
                    <w:right w:val="nil"/>
                  </w:tcBorders>
                  <w:vAlign w:val="center"/>
                  <w:hideMark/>
                </w:tcPr>
                <w:p w14:paraId="31D4228B" w14:textId="77777777" w:rsidR="00E52986" w:rsidRPr="00E52986" w:rsidRDefault="00E52986" w:rsidP="00E52986">
                  <w:pPr>
                    <w:spacing w:after="0"/>
                    <w:rPr>
                      <w:rFonts w:ascii="Calibri" w:eastAsia="Times New Roman" w:hAnsi="Calibri" w:cs="Calibri"/>
                      <w:b/>
                      <w:bCs/>
                      <w:color w:val="000000"/>
                    </w:rPr>
                  </w:pPr>
                </w:p>
              </w:tc>
              <w:tc>
                <w:tcPr>
                  <w:tcW w:w="1379" w:type="dxa"/>
                  <w:vMerge/>
                  <w:tcBorders>
                    <w:top w:val="nil"/>
                    <w:left w:val="nil"/>
                    <w:bottom w:val="double" w:sz="6" w:space="0" w:color="000000"/>
                    <w:right w:val="nil"/>
                  </w:tcBorders>
                  <w:vAlign w:val="center"/>
                  <w:hideMark/>
                </w:tcPr>
                <w:p w14:paraId="323DEDED" w14:textId="77777777" w:rsidR="00E52986" w:rsidRPr="00E52986" w:rsidRDefault="00E52986" w:rsidP="00E52986">
                  <w:pPr>
                    <w:spacing w:after="0"/>
                    <w:rPr>
                      <w:rFonts w:ascii="Calibri" w:eastAsia="Times New Roman" w:hAnsi="Calibri" w:cs="Calibri"/>
                      <w:b/>
                      <w:bCs/>
                      <w:color w:val="000000"/>
                    </w:rPr>
                  </w:pPr>
                </w:p>
              </w:tc>
              <w:tc>
                <w:tcPr>
                  <w:tcW w:w="1379" w:type="dxa"/>
                  <w:vMerge/>
                  <w:tcBorders>
                    <w:top w:val="nil"/>
                    <w:left w:val="nil"/>
                    <w:bottom w:val="double" w:sz="6" w:space="0" w:color="000000"/>
                    <w:right w:val="nil"/>
                  </w:tcBorders>
                  <w:vAlign w:val="center"/>
                  <w:hideMark/>
                </w:tcPr>
                <w:p w14:paraId="0CDD5A81" w14:textId="77777777" w:rsidR="00E52986" w:rsidRPr="00E52986" w:rsidRDefault="00E52986" w:rsidP="00E52986">
                  <w:pPr>
                    <w:spacing w:after="0"/>
                    <w:rPr>
                      <w:rFonts w:ascii="Calibri" w:eastAsia="Times New Roman" w:hAnsi="Calibri" w:cs="Calibri"/>
                      <w:b/>
                      <w:bCs/>
                      <w:color w:val="000000"/>
                    </w:rPr>
                  </w:pPr>
                </w:p>
              </w:tc>
              <w:tc>
                <w:tcPr>
                  <w:tcW w:w="1370" w:type="dxa"/>
                  <w:vMerge/>
                  <w:tcBorders>
                    <w:top w:val="nil"/>
                    <w:left w:val="nil"/>
                    <w:bottom w:val="double" w:sz="6" w:space="0" w:color="000000"/>
                    <w:right w:val="nil"/>
                  </w:tcBorders>
                  <w:vAlign w:val="center"/>
                  <w:hideMark/>
                </w:tcPr>
                <w:p w14:paraId="22E5C7F1" w14:textId="77777777" w:rsidR="00E52986" w:rsidRPr="00E52986" w:rsidRDefault="00E52986" w:rsidP="00E52986">
                  <w:pPr>
                    <w:spacing w:after="0"/>
                    <w:rPr>
                      <w:rFonts w:ascii="Calibri" w:eastAsia="Times New Roman" w:hAnsi="Calibri" w:cs="Calibri"/>
                      <w:b/>
                      <w:bCs/>
                      <w:color w:val="000000"/>
                    </w:rPr>
                  </w:pPr>
                </w:p>
              </w:tc>
              <w:tc>
                <w:tcPr>
                  <w:tcW w:w="1731" w:type="dxa"/>
                  <w:vMerge/>
                  <w:tcBorders>
                    <w:top w:val="nil"/>
                    <w:left w:val="nil"/>
                    <w:bottom w:val="double" w:sz="6" w:space="0" w:color="000000"/>
                    <w:right w:val="nil"/>
                  </w:tcBorders>
                  <w:vAlign w:val="center"/>
                  <w:hideMark/>
                </w:tcPr>
                <w:p w14:paraId="643425CE" w14:textId="77777777" w:rsidR="00E52986" w:rsidRPr="00E52986" w:rsidRDefault="00E52986" w:rsidP="00E52986">
                  <w:pPr>
                    <w:spacing w:after="0"/>
                    <w:rPr>
                      <w:rFonts w:ascii="Calibri" w:eastAsia="Times New Roman" w:hAnsi="Calibri" w:cs="Calibri"/>
                      <w:b/>
                      <w:bCs/>
                      <w:color w:val="000000"/>
                    </w:rPr>
                  </w:pPr>
                </w:p>
              </w:tc>
              <w:tc>
                <w:tcPr>
                  <w:tcW w:w="36" w:type="dxa"/>
                  <w:tcBorders>
                    <w:top w:val="nil"/>
                    <w:left w:val="nil"/>
                    <w:bottom w:val="nil"/>
                    <w:right w:val="nil"/>
                  </w:tcBorders>
                  <w:shd w:val="clear" w:color="auto" w:fill="auto"/>
                  <w:noWrap/>
                  <w:vAlign w:val="bottom"/>
                  <w:hideMark/>
                </w:tcPr>
                <w:p w14:paraId="3F9B2957" w14:textId="77777777" w:rsidR="00E52986" w:rsidRPr="00E52986" w:rsidRDefault="00E52986" w:rsidP="00E52986">
                  <w:pPr>
                    <w:spacing w:after="0"/>
                    <w:jc w:val="center"/>
                    <w:rPr>
                      <w:rFonts w:ascii="Calibri" w:eastAsia="Times New Roman" w:hAnsi="Calibri" w:cs="Calibri"/>
                      <w:b/>
                      <w:bCs/>
                      <w:color w:val="000000"/>
                    </w:rPr>
                  </w:pPr>
                </w:p>
              </w:tc>
            </w:tr>
            <w:tr w:rsidR="00E52986" w:rsidRPr="00E52986" w14:paraId="3D4AFB96" w14:textId="77777777" w:rsidTr="00E52986">
              <w:trPr>
                <w:trHeight w:val="300"/>
              </w:trPr>
              <w:tc>
                <w:tcPr>
                  <w:tcW w:w="1379" w:type="dxa"/>
                  <w:vMerge/>
                  <w:tcBorders>
                    <w:top w:val="nil"/>
                    <w:left w:val="nil"/>
                    <w:bottom w:val="double" w:sz="6" w:space="0" w:color="000000"/>
                    <w:right w:val="nil"/>
                  </w:tcBorders>
                  <w:vAlign w:val="center"/>
                  <w:hideMark/>
                </w:tcPr>
                <w:p w14:paraId="5D449222" w14:textId="77777777" w:rsidR="00E52986" w:rsidRPr="00E52986" w:rsidRDefault="00E52986" w:rsidP="00E52986">
                  <w:pPr>
                    <w:spacing w:after="0"/>
                    <w:rPr>
                      <w:rFonts w:ascii="Calibri" w:eastAsia="Times New Roman" w:hAnsi="Calibri" w:cs="Calibri"/>
                      <w:b/>
                      <w:bCs/>
                      <w:color w:val="000000"/>
                    </w:rPr>
                  </w:pPr>
                </w:p>
              </w:tc>
              <w:tc>
                <w:tcPr>
                  <w:tcW w:w="1379" w:type="dxa"/>
                  <w:vMerge/>
                  <w:tcBorders>
                    <w:top w:val="nil"/>
                    <w:left w:val="nil"/>
                    <w:bottom w:val="double" w:sz="6" w:space="0" w:color="000000"/>
                    <w:right w:val="nil"/>
                  </w:tcBorders>
                  <w:vAlign w:val="center"/>
                  <w:hideMark/>
                </w:tcPr>
                <w:p w14:paraId="2AA70003" w14:textId="77777777" w:rsidR="00E52986" w:rsidRPr="00E52986" w:rsidRDefault="00E52986" w:rsidP="00E52986">
                  <w:pPr>
                    <w:spacing w:after="0"/>
                    <w:rPr>
                      <w:rFonts w:ascii="Calibri" w:eastAsia="Times New Roman" w:hAnsi="Calibri" w:cs="Calibri"/>
                      <w:b/>
                      <w:bCs/>
                      <w:color w:val="000000"/>
                    </w:rPr>
                  </w:pPr>
                </w:p>
              </w:tc>
              <w:tc>
                <w:tcPr>
                  <w:tcW w:w="1379" w:type="dxa"/>
                  <w:vMerge/>
                  <w:tcBorders>
                    <w:top w:val="nil"/>
                    <w:left w:val="nil"/>
                    <w:bottom w:val="double" w:sz="6" w:space="0" w:color="000000"/>
                    <w:right w:val="nil"/>
                  </w:tcBorders>
                  <w:vAlign w:val="center"/>
                  <w:hideMark/>
                </w:tcPr>
                <w:p w14:paraId="63B84EE0" w14:textId="77777777" w:rsidR="00E52986" w:rsidRPr="00E52986" w:rsidRDefault="00E52986" w:rsidP="00E52986">
                  <w:pPr>
                    <w:spacing w:after="0"/>
                    <w:rPr>
                      <w:rFonts w:ascii="Calibri" w:eastAsia="Times New Roman" w:hAnsi="Calibri" w:cs="Calibri"/>
                      <w:b/>
                      <w:bCs/>
                      <w:color w:val="000000"/>
                    </w:rPr>
                  </w:pPr>
                </w:p>
              </w:tc>
              <w:tc>
                <w:tcPr>
                  <w:tcW w:w="1379" w:type="dxa"/>
                  <w:vMerge/>
                  <w:tcBorders>
                    <w:top w:val="nil"/>
                    <w:left w:val="nil"/>
                    <w:bottom w:val="double" w:sz="6" w:space="0" w:color="000000"/>
                    <w:right w:val="nil"/>
                  </w:tcBorders>
                  <w:vAlign w:val="center"/>
                  <w:hideMark/>
                </w:tcPr>
                <w:p w14:paraId="30B6D4C6" w14:textId="77777777" w:rsidR="00E52986" w:rsidRPr="00E52986" w:rsidRDefault="00E52986" w:rsidP="00E52986">
                  <w:pPr>
                    <w:spacing w:after="0"/>
                    <w:rPr>
                      <w:rFonts w:ascii="Calibri" w:eastAsia="Times New Roman" w:hAnsi="Calibri" w:cs="Calibri"/>
                      <w:b/>
                      <w:bCs/>
                      <w:color w:val="000000"/>
                    </w:rPr>
                  </w:pPr>
                </w:p>
              </w:tc>
              <w:tc>
                <w:tcPr>
                  <w:tcW w:w="1379" w:type="dxa"/>
                  <w:vMerge/>
                  <w:tcBorders>
                    <w:top w:val="nil"/>
                    <w:left w:val="nil"/>
                    <w:bottom w:val="double" w:sz="6" w:space="0" w:color="000000"/>
                    <w:right w:val="nil"/>
                  </w:tcBorders>
                  <w:vAlign w:val="center"/>
                  <w:hideMark/>
                </w:tcPr>
                <w:p w14:paraId="710D6AE5" w14:textId="77777777" w:rsidR="00E52986" w:rsidRPr="00E52986" w:rsidRDefault="00E52986" w:rsidP="00E52986">
                  <w:pPr>
                    <w:spacing w:after="0"/>
                    <w:rPr>
                      <w:rFonts w:ascii="Calibri" w:eastAsia="Times New Roman" w:hAnsi="Calibri" w:cs="Calibri"/>
                      <w:b/>
                      <w:bCs/>
                      <w:color w:val="000000"/>
                    </w:rPr>
                  </w:pPr>
                </w:p>
              </w:tc>
              <w:tc>
                <w:tcPr>
                  <w:tcW w:w="1379" w:type="dxa"/>
                  <w:vMerge/>
                  <w:tcBorders>
                    <w:top w:val="nil"/>
                    <w:left w:val="nil"/>
                    <w:bottom w:val="double" w:sz="6" w:space="0" w:color="000000"/>
                    <w:right w:val="nil"/>
                  </w:tcBorders>
                  <w:vAlign w:val="center"/>
                  <w:hideMark/>
                </w:tcPr>
                <w:p w14:paraId="2ACAD186" w14:textId="77777777" w:rsidR="00E52986" w:rsidRPr="00E52986" w:rsidRDefault="00E52986" w:rsidP="00E52986">
                  <w:pPr>
                    <w:spacing w:after="0"/>
                    <w:rPr>
                      <w:rFonts w:ascii="Calibri" w:eastAsia="Times New Roman" w:hAnsi="Calibri" w:cs="Calibri"/>
                      <w:b/>
                      <w:bCs/>
                      <w:color w:val="000000"/>
                    </w:rPr>
                  </w:pPr>
                </w:p>
              </w:tc>
              <w:tc>
                <w:tcPr>
                  <w:tcW w:w="1379" w:type="dxa"/>
                  <w:vMerge/>
                  <w:tcBorders>
                    <w:top w:val="nil"/>
                    <w:left w:val="nil"/>
                    <w:bottom w:val="double" w:sz="6" w:space="0" w:color="000000"/>
                    <w:right w:val="nil"/>
                  </w:tcBorders>
                  <w:vAlign w:val="center"/>
                  <w:hideMark/>
                </w:tcPr>
                <w:p w14:paraId="41D4BEBF" w14:textId="77777777" w:rsidR="00E52986" w:rsidRPr="00E52986" w:rsidRDefault="00E52986" w:rsidP="00E52986">
                  <w:pPr>
                    <w:spacing w:after="0"/>
                    <w:rPr>
                      <w:rFonts w:ascii="Calibri" w:eastAsia="Times New Roman" w:hAnsi="Calibri" w:cs="Calibri"/>
                      <w:b/>
                      <w:bCs/>
                      <w:color w:val="000000"/>
                    </w:rPr>
                  </w:pPr>
                </w:p>
              </w:tc>
              <w:tc>
                <w:tcPr>
                  <w:tcW w:w="1370" w:type="dxa"/>
                  <w:vMerge/>
                  <w:tcBorders>
                    <w:top w:val="nil"/>
                    <w:left w:val="nil"/>
                    <w:bottom w:val="double" w:sz="6" w:space="0" w:color="000000"/>
                    <w:right w:val="nil"/>
                  </w:tcBorders>
                  <w:vAlign w:val="center"/>
                  <w:hideMark/>
                </w:tcPr>
                <w:p w14:paraId="19A680A7" w14:textId="77777777" w:rsidR="00E52986" w:rsidRPr="00E52986" w:rsidRDefault="00E52986" w:rsidP="00E52986">
                  <w:pPr>
                    <w:spacing w:after="0"/>
                    <w:rPr>
                      <w:rFonts w:ascii="Calibri" w:eastAsia="Times New Roman" w:hAnsi="Calibri" w:cs="Calibri"/>
                      <w:b/>
                      <w:bCs/>
                      <w:color w:val="000000"/>
                    </w:rPr>
                  </w:pPr>
                </w:p>
              </w:tc>
              <w:tc>
                <w:tcPr>
                  <w:tcW w:w="1731" w:type="dxa"/>
                  <w:vMerge/>
                  <w:tcBorders>
                    <w:top w:val="nil"/>
                    <w:left w:val="nil"/>
                    <w:bottom w:val="double" w:sz="6" w:space="0" w:color="000000"/>
                    <w:right w:val="nil"/>
                  </w:tcBorders>
                  <w:vAlign w:val="center"/>
                  <w:hideMark/>
                </w:tcPr>
                <w:p w14:paraId="23A24349" w14:textId="77777777" w:rsidR="00E52986" w:rsidRPr="00E52986" w:rsidRDefault="00E52986" w:rsidP="00E52986">
                  <w:pPr>
                    <w:spacing w:after="0"/>
                    <w:rPr>
                      <w:rFonts w:ascii="Calibri" w:eastAsia="Times New Roman" w:hAnsi="Calibri" w:cs="Calibri"/>
                      <w:b/>
                      <w:bCs/>
                      <w:color w:val="000000"/>
                    </w:rPr>
                  </w:pPr>
                </w:p>
              </w:tc>
              <w:tc>
                <w:tcPr>
                  <w:tcW w:w="36" w:type="dxa"/>
                  <w:tcBorders>
                    <w:top w:val="nil"/>
                    <w:left w:val="nil"/>
                    <w:bottom w:val="nil"/>
                    <w:right w:val="nil"/>
                  </w:tcBorders>
                  <w:shd w:val="clear" w:color="auto" w:fill="auto"/>
                  <w:noWrap/>
                  <w:vAlign w:val="bottom"/>
                  <w:hideMark/>
                </w:tcPr>
                <w:p w14:paraId="22FC1F56" w14:textId="77777777" w:rsidR="00E52986" w:rsidRPr="00E52986" w:rsidRDefault="00E52986" w:rsidP="00E52986">
                  <w:pPr>
                    <w:spacing w:after="0"/>
                    <w:rPr>
                      <w:rFonts w:ascii="Times New Roman" w:eastAsia="Times New Roman" w:hAnsi="Times New Roman" w:cs="Times New Roman"/>
                      <w:sz w:val="20"/>
                      <w:szCs w:val="20"/>
                    </w:rPr>
                  </w:pPr>
                </w:p>
              </w:tc>
            </w:tr>
            <w:tr w:rsidR="00E52986" w:rsidRPr="00E52986" w14:paraId="1CE37225" w14:textId="77777777" w:rsidTr="00E52986">
              <w:trPr>
                <w:trHeight w:val="300"/>
              </w:trPr>
              <w:tc>
                <w:tcPr>
                  <w:tcW w:w="9653" w:type="dxa"/>
                  <w:gridSpan w:val="7"/>
                  <w:tcBorders>
                    <w:top w:val="nil"/>
                    <w:left w:val="nil"/>
                    <w:bottom w:val="nil"/>
                    <w:right w:val="nil"/>
                  </w:tcBorders>
                  <w:shd w:val="clear" w:color="auto" w:fill="auto"/>
                  <w:noWrap/>
                  <w:vAlign w:val="bottom"/>
                  <w:hideMark/>
                </w:tcPr>
                <w:p w14:paraId="00A27F11" w14:textId="77777777" w:rsidR="00E52986" w:rsidRPr="00E52986" w:rsidRDefault="00E52986" w:rsidP="00E52986">
                  <w:pPr>
                    <w:spacing w:after="0"/>
                    <w:rPr>
                      <w:rFonts w:ascii="Calibri" w:eastAsia="Times New Roman" w:hAnsi="Calibri" w:cs="Calibri"/>
                      <w:color w:val="000000"/>
                    </w:rPr>
                  </w:pPr>
                  <w:r w:rsidRPr="00E52986">
                    <w:rPr>
                      <w:rFonts w:ascii="Calibri" w:eastAsia="Times New Roman" w:hAnsi="Calibri" w:cs="Calibri"/>
                      <w:color w:val="000000"/>
                    </w:rPr>
                    <w:t>Evaluation question 1, scenario 1, only Ubudehe-1 and Ubudehe-2 children</w:t>
                  </w:r>
                </w:p>
              </w:tc>
              <w:tc>
                <w:tcPr>
                  <w:tcW w:w="1370" w:type="dxa"/>
                  <w:tcBorders>
                    <w:top w:val="nil"/>
                    <w:left w:val="nil"/>
                    <w:bottom w:val="nil"/>
                    <w:right w:val="nil"/>
                  </w:tcBorders>
                  <w:shd w:val="clear" w:color="auto" w:fill="auto"/>
                  <w:noWrap/>
                  <w:vAlign w:val="bottom"/>
                  <w:hideMark/>
                </w:tcPr>
                <w:p w14:paraId="74F14CEB" w14:textId="77777777" w:rsidR="00E52986" w:rsidRPr="00E52986" w:rsidRDefault="00E52986" w:rsidP="00E52986">
                  <w:pPr>
                    <w:spacing w:after="0"/>
                    <w:rPr>
                      <w:rFonts w:ascii="Calibri" w:eastAsia="Times New Roman" w:hAnsi="Calibri" w:cs="Calibri"/>
                      <w:color w:val="000000"/>
                    </w:rPr>
                  </w:pPr>
                </w:p>
              </w:tc>
              <w:tc>
                <w:tcPr>
                  <w:tcW w:w="1731" w:type="dxa"/>
                  <w:tcBorders>
                    <w:top w:val="nil"/>
                    <w:left w:val="nil"/>
                    <w:bottom w:val="nil"/>
                    <w:right w:val="nil"/>
                  </w:tcBorders>
                  <w:shd w:val="clear" w:color="auto" w:fill="auto"/>
                  <w:noWrap/>
                  <w:vAlign w:val="bottom"/>
                  <w:hideMark/>
                </w:tcPr>
                <w:p w14:paraId="6820D7D8" w14:textId="77777777" w:rsidR="00E52986" w:rsidRPr="00E52986" w:rsidRDefault="00E52986" w:rsidP="00E52986">
                  <w:pPr>
                    <w:spacing w:after="0"/>
                    <w:rPr>
                      <w:rFonts w:ascii="Times New Roman" w:eastAsia="Times New Roman" w:hAnsi="Times New Roman" w:cs="Times New Roman"/>
                      <w:sz w:val="20"/>
                      <w:szCs w:val="20"/>
                    </w:rPr>
                  </w:pPr>
                </w:p>
              </w:tc>
              <w:tc>
                <w:tcPr>
                  <w:tcW w:w="36" w:type="dxa"/>
                  <w:vAlign w:val="center"/>
                  <w:hideMark/>
                </w:tcPr>
                <w:p w14:paraId="4F05643E" w14:textId="77777777" w:rsidR="00E52986" w:rsidRPr="00E52986" w:rsidRDefault="00E52986" w:rsidP="00E52986">
                  <w:pPr>
                    <w:spacing w:after="0"/>
                    <w:rPr>
                      <w:rFonts w:ascii="Times New Roman" w:eastAsia="Times New Roman" w:hAnsi="Times New Roman" w:cs="Times New Roman"/>
                      <w:sz w:val="20"/>
                      <w:szCs w:val="20"/>
                    </w:rPr>
                  </w:pPr>
                </w:p>
              </w:tc>
            </w:tr>
            <w:tr w:rsidR="00E52986" w:rsidRPr="00E52986" w14:paraId="79983275" w14:textId="77777777" w:rsidTr="00E52986">
              <w:trPr>
                <w:trHeight w:val="288"/>
              </w:trPr>
              <w:tc>
                <w:tcPr>
                  <w:tcW w:w="1379" w:type="dxa"/>
                  <w:tcBorders>
                    <w:top w:val="nil"/>
                    <w:left w:val="nil"/>
                    <w:bottom w:val="nil"/>
                    <w:right w:val="nil"/>
                  </w:tcBorders>
                  <w:shd w:val="clear" w:color="auto" w:fill="auto"/>
                  <w:noWrap/>
                  <w:vAlign w:val="bottom"/>
                  <w:hideMark/>
                </w:tcPr>
                <w:p w14:paraId="5C9EC431" w14:textId="77777777" w:rsidR="00E52986" w:rsidRPr="00E52986" w:rsidRDefault="00E52986" w:rsidP="00E52986">
                  <w:pPr>
                    <w:spacing w:after="0"/>
                    <w:jc w:val="center"/>
                    <w:rPr>
                      <w:rFonts w:ascii="Calibri" w:eastAsia="Times New Roman" w:hAnsi="Calibri" w:cs="Calibri"/>
                      <w:color w:val="000000"/>
                    </w:rPr>
                  </w:pPr>
                  <w:r w:rsidRPr="00E52986">
                    <w:rPr>
                      <w:rFonts w:ascii="Calibri" w:eastAsia="Times New Roman" w:hAnsi="Calibri" w:cs="Calibri"/>
                      <w:color w:val="000000"/>
                    </w:rPr>
                    <w:t>13</w:t>
                  </w:r>
                </w:p>
              </w:tc>
              <w:tc>
                <w:tcPr>
                  <w:tcW w:w="1379" w:type="dxa"/>
                  <w:tcBorders>
                    <w:top w:val="nil"/>
                    <w:left w:val="nil"/>
                    <w:bottom w:val="nil"/>
                    <w:right w:val="nil"/>
                  </w:tcBorders>
                  <w:shd w:val="clear" w:color="auto" w:fill="auto"/>
                  <w:noWrap/>
                  <w:vAlign w:val="bottom"/>
                  <w:hideMark/>
                </w:tcPr>
                <w:p w14:paraId="51D961F8" w14:textId="77777777" w:rsidR="00E52986" w:rsidRPr="00E52986" w:rsidRDefault="00E52986" w:rsidP="00E52986">
                  <w:pPr>
                    <w:spacing w:after="0"/>
                    <w:jc w:val="center"/>
                    <w:rPr>
                      <w:rFonts w:ascii="Calibri" w:eastAsia="Times New Roman" w:hAnsi="Calibri" w:cs="Calibri"/>
                      <w:color w:val="000000"/>
                    </w:rPr>
                  </w:pPr>
                  <w:r w:rsidRPr="00E52986">
                    <w:rPr>
                      <w:rFonts w:ascii="Calibri" w:eastAsia="Times New Roman" w:hAnsi="Calibri" w:cs="Calibri"/>
                      <w:color w:val="000000"/>
                    </w:rPr>
                    <w:t>12</w:t>
                  </w:r>
                </w:p>
              </w:tc>
              <w:tc>
                <w:tcPr>
                  <w:tcW w:w="1379" w:type="dxa"/>
                  <w:tcBorders>
                    <w:top w:val="nil"/>
                    <w:left w:val="nil"/>
                    <w:bottom w:val="nil"/>
                    <w:right w:val="nil"/>
                  </w:tcBorders>
                  <w:shd w:val="clear" w:color="auto" w:fill="auto"/>
                  <w:noWrap/>
                  <w:vAlign w:val="bottom"/>
                  <w:hideMark/>
                </w:tcPr>
                <w:p w14:paraId="1B903C97" w14:textId="77777777" w:rsidR="00E52986" w:rsidRPr="00E52986" w:rsidRDefault="00E52986" w:rsidP="00E52986">
                  <w:pPr>
                    <w:spacing w:after="0"/>
                    <w:jc w:val="center"/>
                    <w:rPr>
                      <w:rFonts w:ascii="Calibri" w:eastAsia="Times New Roman" w:hAnsi="Calibri" w:cs="Calibri"/>
                      <w:color w:val="000000"/>
                    </w:rPr>
                  </w:pPr>
                  <w:r w:rsidRPr="00E52986">
                    <w:rPr>
                      <w:rFonts w:ascii="Calibri" w:eastAsia="Times New Roman" w:hAnsi="Calibri" w:cs="Calibri"/>
                      <w:color w:val="000000"/>
                    </w:rPr>
                    <w:t>15</w:t>
                  </w:r>
                </w:p>
              </w:tc>
              <w:tc>
                <w:tcPr>
                  <w:tcW w:w="1379" w:type="dxa"/>
                  <w:tcBorders>
                    <w:top w:val="nil"/>
                    <w:left w:val="nil"/>
                    <w:bottom w:val="nil"/>
                    <w:right w:val="nil"/>
                  </w:tcBorders>
                  <w:shd w:val="clear" w:color="auto" w:fill="auto"/>
                  <w:noWrap/>
                  <w:vAlign w:val="bottom"/>
                  <w:hideMark/>
                </w:tcPr>
                <w:p w14:paraId="07712A00" w14:textId="77777777" w:rsidR="00E52986" w:rsidRPr="00E52986" w:rsidRDefault="00E52986" w:rsidP="00E52986">
                  <w:pPr>
                    <w:spacing w:after="0"/>
                    <w:jc w:val="center"/>
                    <w:rPr>
                      <w:rFonts w:ascii="Calibri" w:eastAsia="Times New Roman" w:hAnsi="Calibri" w:cs="Calibri"/>
                      <w:color w:val="000000"/>
                    </w:rPr>
                  </w:pPr>
                  <w:r w:rsidRPr="00E52986">
                    <w:rPr>
                      <w:rFonts w:ascii="Calibri" w:eastAsia="Times New Roman" w:hAnsi="Calibri" w:cs="Calibri"/>
                      <w:color w:val="000000"/>
                    </w:rPr>
                    <w:t>15</w:t>
                  </w:r>
                </w:p>
              </w:tc>
              <w:tc>
                <w:tcPr>
                  <w:tcW w:w="1379" w:type="dxa"/>
                  <w:tcBorders>
                    <w:top w:val="nil"/>
                    <w:left w:val="nil"/>
                    <w:bottom w:val="nil"/>
                    <w:right w:val="nil"/>
                  </w:tcBorders>
                  <w:shd w:val="clear" w:color="auto" w:fill="auto"/>
                  <w:noWrap/>
                  <w:vAlign w:val="bottom"/>
                  <w:hideMark/>
                </w:tcPr>
                <w:p w14:paraId="1B64FDDF" w14:textId="77777777" w:rsidR="00E52986" w:rsidRPr="00E52986" w:rsidRDefault="00E52986" w:rsidP="00E52986">
                  <w:pPr>
                    <w:spacing w:after="0"/>
                    <w:jc w:val="center"/>
                    <w:rPr>
                      <w:rFonts w:ascii="Calibri" w:eastAsia="Times New Roman" w:hAnsi="Calibri" w:cs="Calibri"/>
                      <w:color w:val="000000"/>
                    </w:rPr>
                  </w:pPr>
                  <w:r w:rsidRPr="00E52986">
                    <w:rPr>
                      <w:rFonts w:ascii="Calibri" w:eastAsia="Times New Roman" w:hAnsi="Calibri" w:cs="Calibri"/>
                      <w:color w:val="000000"/>
                    </w:rPr>
                    <w:t>7</w:t>
                  </w:r>
                </w:p>
              </w:tc>
              <w:tc>
                <w:tcPr>
                  <w:tcW w:w="1379" w:type="dxa"/>
                  <w:tcBorders>
                    <w:top w:val="nil"/>
                    <w:left w:val="nil"/>
                    <w:bottom w:val="nil"/>
                    <w:right w:val="nil"/>
                  </w:tcBorders>
                  <w:shd w:val="clear" w:color="auto" w:fill="auto"/>
                  <w:noWrap/>
                  <w:vAlign w:val="bottom"/>
                  <w:hideMark/>
                </w:tcPr>
                <w:p w14:paraId="0C6C0C83" w14:textId="77777777" w:rsidR="00E52986" w:rsidRPr="00E52986" w:rsidRDefault="00E52986" w:rsidP="00E52986">
                  <w:pPr>
                    <w:spacing w:after="0"/>
                    <w:jc w:val="center"/>
                    <w:rPr>
                      <w:rFonts w:ascii="Calibri" w:eastAsia="Times New Roman" w:hAnsi="Calibri" w:cs="Calibri"/>
                      <w:color w:val="000000"/>
                    </w:rPr>
                  </w:pPr>
                  <w:r w:rsidRPr="00E52986">
                    <w:rPr>
                      <w:rFonts w:ascii="Calibri" w:eastAsia="Times New Roman" w:hAnsi="Calibri" w:cs="Calibri"/>
                      <w:color w:val="000000"/>
                    </w:rPr>
                    <w:t>10</w:t>
                  </w:r>
                </w:p>
              </w:tc>
              <w:tc>
                <w:tcPr>
                  <w:tcW w:w="1379" w:type="dxa"/>
                  <w:tcBorders>
                    <w:top w:val="nil"/>
                    <w:left w:val="nil"/>
                    <w:bottom w:val="nil"/>
                    <w:right w:val="nil"/>
                  </w:tcBorders>
                  <w:shd w:val="clear" w:color="auto" w:fill="auto"/>
                  <w:noWrap/>
                  <w:vAlign w:val="bottom"/>
                  <w:hideMark/>
                </w:tcPr>
                <w:p w14:paraId="2828AF6B" w14:textId="77777777" w:rsidR="00E52986" w:rsidRPr="00E52986" w:rsidRDefault="00E52986" w:rsidP="00E52986">
                  <w:pPr>
                    <w:spacing w:after="0"/>
                    <w:jc w:val="center"/>
                    <w:rPr>
                      <w:rFonts w:ascii="Calibri" w:eastAsia="Times New Roman" w:hAnsi="Calibri" w:cs="Calibri"/>
                      <w:color w:val="000000"/>
                    </w:rPr>
                  </w:pPr>
                  <w:r w:rsidRPr="00E52986">
                    <w:rPr>
                      <w:rFonts w:ascii="Calibri" w:eastAsia="Times New Roman" w:hAnsi="Calibri" w:cs="Calibri"/>
                      <w:color w:val="000000"/>
                    </w:rPr>
                    <w:t>--</w:t>
                  </w:r>
                </w:p>
              </w:tc>
              <w:tc>
                <w:tcPr>
                  <w:tcW w:w="1370" w:type="dxa"/>
                  <w:tcBorders>
                    <w:top w:val="nil"/>
                    <w:left w:val="nil"/>
                    <w:bottom w:val="nil"/>
                    <w:right w:val="nil"/>
                  </w:tcBorders>
                  <w:shd w:val="clear" w:color="auto" w:fill="auto"/>
                  <w:noWrap/>
                  <w:vAlign w:val="bottom"/>
                  <w:hideMark/>
                </w:tcPr>
                <w:p w14:paraId="3BDE6DB2" w14:textId="77777777" w:rsidR="00E52986" w:rsidRPr="00E52986" w:rsidRDefault="00E52986" w:rsidP="00E52986">
                  <w:pPr>
                    <w:spacing w:after="0"/>
                    <w:jc w:val="center"/>
                    <w:rPr>
                      <w:rFonts w:ascii="Calibri" w:eastAsia="Times New Roman" w:hAnsi="Calibri" w:cs="Calibri"/>
                      <w:color w:val="000000"/>
                    </w:rPr>
                  </w:pPr>
                  <w:r w:rsidRPr="00E52986">
                    <w:rPr>
                      <w:rFonts w:ascii="Calibri" w:eastAsia="Times New Roman" w:hAnsi="Calibri" w:cs="Calibri"/>
                      <w:color w:val="000000"/>
                    </w:rPr>
                    <w:t>-1.29</w:t>
                  </w:r>
                </w:p>
              </w:tc>
              <w:tc>
                <w:tcPr>
                  <w:tcW w:w="1731" w:type="dxa"/>
                  <w:tcBorders>
                    <w:top w:val="nil"/>
                    <w:left w:val="nil"/>
                    <w:bottom w:val="nil"/>
                    <w:right w:val="nil"/>
                  </w:tcBorders>
                  <w:shd w:val="clear" w:color="auto" w:fill="auto"/>
                  <w:noWrap/>
                  <w:vAlign w:val="bottom"/>
                  <w:hideMark/>
                </w:tcPr>
                <w:p w14:paraId="5F2306A0" w14:textId="77777777" w:rsidR="00E52986" w:rsidRPr="00E52986" w:rsidRDefault="00E52986" w:rsidP="00E52986">
                  <w:pPr>
                    <w:spacing w:after="0"/>
                    <w:jc w:val="center"/>
                    <w:rPr>
                      <w:rFonts w:ascii="Calibri" w:eastAsia="Times New Roman" w:hAnsi="Calibri" w:cs="Calibri"/>
                      <w:color w:val="000000"/>
                    </w:rPr>
                  </w:pPr>
                  <w:r w:rsidRPr="00E52986">
                    <w:rPr>
                      <w:rFonts w:ascii="Calibri" w:eastAsia="Times New Roman" w:hAnsi="Calibri" w:cs="Calibri"/>
                      <w:color w:val="000000"/>
                    </w:rPr>
                    <w:t>0.02</w:t>
                  </w:r>
                </w:p>
              </w:tc>
              <w:tc>
                <w:tcPr>
                  <w:tcW w:w="36" w:type="dxa"/>
                  <w:vAlign w:val="center"/>
                  <w:hideMark/>
                </w:tcPr>
                <w:p w14:paraId="5DC21478" w14:textId="77777777" w:rsidR="00E52986" w:rsidRPr="00E52986" w:rsidRDefault="00E52986" w:rsidP="00E52986">
                  <w:pPr>
                    <w:spacing w:after="0"/>
                    <w:rPr>
                      <w:rFonts w:ascii="Times New Roman" w:eastAsia="Times New Roman" w:hAnsi="Times New Roman" w:cs="Times New Roman"/>
                      <w:sz w:val="20"/>
                      <w:szCs w:val="20"/>
                    </w:rPr>
                  </w:pPr>
                </w:p>
              </w:tc>
            </w:tr>
            <w:tr w:rsidR="00E52986" w:rsidRPr="00E52986" w14:paraId="7E9BC6D9" w14:textId="77777777" w:rsidTr="00E52986">
              <w:trPr>
                <w:trHeight w:val="288"/>
              </w:trPr>
              <w:tc>
                <w:tcPr>
                  <w:tcW w:w="5516" w:type="dxa"/>
                  <w:gridSpan w:val="4"/>
                  <w:tcBorders>
                    <w:top w:val="nil"/>
                    <w:left w:val="nil"/>
                    <w:bottom w:val="nil"/>
                    <w:right w:val="nil"/>
                  </w:tcBorders>
                  <w:shd w:val="clear" w:color="auto" w:fill="auto"/>
                  <w:noWrap/>
                  <w:vAlign w:val="bottom"/>
                  <w:hideMark/>
                </w:tcPr>
                <w:p w14:paraId="5ED49DCD" w14:textId="77777777" w:rsidR="00E52986" w:rsidRPr="00E52986" w:rsidRDefault="00E52986" w:rsidP="00E52986">
                  <w:pPr>
                    <w:spacing w:after="0"/>
                    <w:rPr>
                      <w:rFonts w:ascii="Calibri" w:eastAsia="Times New Roman" w:hAnsi="Calibri" w:cs="Calibri"/>
                      <w:color w:val="000000"/>
                    </w:rPr>
                  </w:pPr>
                  <w:r w:rsidRPr="00E52986">
                    <w:rPr>
                      <w:rFonts w:ascii="Calibri" w:eastAsia="Times New Roman" w:hAnsi="Calibri" w:cs="Calibri"/>
                      <w:color w:val="000000"/>
                    </w:rPr>
                    <w:t>Evaluation question 1, scenario 2, all children</w:t>
                  </w:r>
                </w:p>
              </w:tc>
              <w:tc>
                <w:tcPr>
                  <w:tcW w:w="1379" w:type="dxa"/>
                  <w:tcBorders>
                    <w:top w:val="nil"/>
                    <w:left w:val="nil"/>
                    <w:bottom w:val="nil"/>
                    <w:right w:val="nil"/>
                  </w:tcBorders>
                  <w:shd w:val="clear" w:color="auto" w:fill="auto"/>
                  <w:noWrap/>
                  <w:vAlign w:val="bottom"/>
                  <w:hideMark/>
                </w:tcPr>
                <w:p w14:paraId="1DB69F83" w14:textId="77777777" w:rsidR="00E52986" w:rsidRPr="00E52986" w:rsidRDefault="00E52986" w:rsidP="00E52986">
                  <w:pPr>
                    <w:spacing w:after="0"/>
                    <w:rPr>
                      <w:rFonts w:ascii="Calibri" w:eastAsia="Times New Roman" w:hAnsi="Calibri" w:cs="Calibri"/>
                      <w:color w:val="000000"/>
                    </w:rPr>
                  </w:pPr>
                </w:p>
              </w:tc>
              <w:tc>
                <w:tcPr>
                  <w:tcW w:w="1379" w:type="dxa"/>
                  <w:tcBorders>
                    <w:top w:val="nil"/>
                    <w:left w:val="nil"/>
                    <w:bottom w:val="nil"/>
                    <w:right w:val="nil"/>
                  </w:tcBorders>
                  <w:shd w:val="clear" w:color="auto" w:fill="auto"/>
                  <w:noWrap/>
                  <w:vAlign w:val="bottom"/>
                  <w:hideMark/>
                </w:tcPr>
                <w:p w14:paraId="0212167F" w14:textId="77777777" w:rsidR="00E52986" w:rsidRPr="00E52986" w:rsidRDefault="00E52986" w:rsidP="00E52986">
                  <w:pPr>
                    <w:spacing w:after="0"/>
                    <w:rPr>
                      <w:rFonts w:ascii="Times New Roman" w:eastAsia="Times New Roman" w:hAnsi="Times New Roman" w:cs="Times New Roman"/>
                      <w:sz w:val="20"/>
                      <w:szCs w:val="20"/>
                    </w:rPr>
                  </w:pPr>
                </w:p>
              </w:tc>
              <w:tc>
                <w:tcPr>
                  <w:tcW w:w="1379" w:type="dxa"/>
                  <w:tcBorders>
                    <w:top w:val="nil"/>
                    <w:left w:val="nil"/>
                    <w:bottom w:val="nil"/>
                    <w:right w:val="nil"/>
                  </w:tcBorders>
                  <w:shd w:val="clear" w:color="auto" w:fill="auto"/>
                  <w:noWrap/>
                  <w:vAlign w:val="bottom"/>
                  <w:hideMark/>
                </w:tcPr>
                <w:p w14:paraId="0AF5B891" w14:textId="77777777" w:rsidR="00E52986" w:rsidRPr="00E52986" w:rsidRDefault="00E52986" w:rsidP="00E52986">
                  <w:pPr>
                    <w:spacing w:after="0"/>
                    <w:rPr>
                      <w:rFonts w:ascii="Times New Roman" w:eastAsia="Times New Roman" w:hAnsi="Times New Roman" w:cs="Times New Roman"/>
                      <w:sz w:val="20"/>
                      <w:szCs w:val="20"/>
                    </w:rPr>
                  </w:pPr>
                </w:p>
              </w:tc>
              <w:tc>
                <w:tcPr>
                  <w:tcW w:w="1370" w:type="dxa"/>
                  <w:tcBorders>
                    <w:top w:val="nil"/>
                    <w:left w:val="nil"/>
                    <w:bottom w:val="nil"/>
                    <w:right w:val="nil"/>
                  </w:tcBorders>
                  <w:shd w:val="clear" w:color="auto" w:fill="auto"/>
                  <w:noWrap/>
                  <w:vAlign w:val="bottom"/>
                  <w:hideMark/>
                </w:tcPr>
                <w:p w14:paraId="0FB64F86" w14:textId="77777777" w:rsidR="00E52986" w:rsidRPr="00E52986" w:rsidRDefault="00E52986" w:rsidP="00E52986">
                  <w:pPr>
                    <w:spacing w:after="0"/>
                    <w:rPr>
                      <w:rFonts w:ascii="Times New Roman" w:eastAsia="Times New Roman" w:hAnsi="Times New Roman" w:cs="Times New Roman"/>
                      <w:sz w:val="20"/>
                      <w:szCs w:val="20"/>
                    </w:rPr>
                  </w:pPr>
                </w:p>
              </w:tc>
              <w:tc>
                <w:tcPr>
                  <w:tcW w:w="1731" w:type="dxa"/>
                  <w:tcBorders>
                    <w:top w:val="nil"/>
                    <w:left w:val="nil"/>
                    <w:bottom w:val="nil"/>
                    <w:right w:val="nil"/>
                  </w:tcBorders>
                  <w:shd w:val="clear" w:color="auto" w:fill="auto"/>
                  <w:noWrap/>
                  <w:vAlign w:val="bottom"/>
                  <w:hideMark/>
                </w:tcPr>
                <w:p w14:paraId="60157EAB" w14:textId="77777777" w:rsidR="00E52986" w:rsidRPr="00E52986" w:rsidRDefault="00E52986" w:rsidP="00E52986">
                  <w:pPr>
                    <w:spacing w:after="0"/>
                    <w:rPr>
                      <w:rFonts w:ascii="Times New Roman" w:eastAsia="Times New Roman" w:hAnsi="Times New Roman" w:cs="Times New Roman"/>
                      <w:sz w:val="20"/>
                      <w:szCs w:val="20"/>
                    </w:rPr>
                  </w:pPr>
                </w:p>
              </w:tc>
              <w:tc>
                <w:tcPr>
                  <w:tcW w:w="36" w:type="dxa"/>
                  <w:vAlign w:val="center"/>
                  <w:hideMark/>
                </w:tcPr>
                <w:p w14:paraId="33A93D27" w14:textId="77777777" w:rsidR="00E52986" w:rsidRPr="00E52986" w:rsidRDefault="00E52986" w:rsidP="00E52986">
                  <w:pPr>
                    <w:spacing w:after="0"/>
                    <w:rPr>
                      <w:rFonts w:ascii="Times New Roman" w:eastAsia="Times New Roman" w:hAnsi="Times New Roman" w:cs="Times New Roman"/>
                      <w:sz w:val="20"/>
                      <w:szCs w:val="20"/>
                    </w:rPr>
                  </w:pPr>
                </w:p>
              </w:tc>
            </w:tr>
            <w:tr w:rsidR="00E52986" w:rsidRPr="00E52986" w14:paraId="42009AC5" w14:textId="77777777" w:rsidTr="00E52986">
              <w:trPr>
                <w:trHeight w:val="288"/>
              </w:trPr>
              <w:tc>
                <w:tcPr>
                  <w:tcW w:w="1379" w:type="dxa"/>
                  <w:tcBorders>
                    <w:top w:val="nil"/>
                    <w:left w:val="nil"/>
                    <w:bottom w:val="nil"/>
                    <w:right w:val="nil"/>
                  </w:tcBorders>
                  <w:shd w:val="clear" w:color="auto" w:fill="auto"/>
                  <w:noWrap/>
                  <w:vAlign w:val="bottom"/>
                  <w:hideMark/>
                </w:tcPr>
                <w:p w14:paraId="39287030" w14:textId="77777777" w:rsidR="00E52986" w:rsidRPr="00E52986" w:rsidRDefault="00E52986" w:rsidP="00E52986">
                  <w:pPr>
                    <w:spacing w:after="0"/>
                    <w:jc w:val="center"/>
                    <w:rPr>
                      <w:rFonts w:ascii="Calibri" w:eastAsia="Times New Roman" w:hAnsi="Calibri" w:cs="Calibri"/>
                      <w:color w:val="000000"/>
                    </w:rPr>
                  </w:pPr>
                  <w:r w:rsidRPr="00E52986">
                    <w:rPr>
                      <w:rFonts w:ascii="Calibri" w:eastAsia="Times New Roman" w:hAnsi="Calibri" w:cs="Calibri"/>
                      <w:color w:val="000000"/>
                    </w:rPr>
                    <w:t>13</w:t>
                  </w:r>
                </w:p>
              </w:tc>
              <w:tc>
                <w:tcPr>
                  <w:tcW w:w="1379" w:type="dxa"/>
                  <w:tcBorders>
                    <w:top w:val="nil"/>
                    <w:left w:val="nil"/>
                    <w:bottom w:val="nil"/>
                    <w:right w:val="nil"/>
                  </w:tcBorders>
                  <w:shd w:val="clear" w:color="auto" w:fill="auto"/>
                  <w:noWrap/>
                  <w:vAlign w:val="bottom"/>
                  <w:hideMark/>
                </w:tcPr>
                <w:p w14:paraId="5F64B6EE" w14:textId="77777777" w:rsidR="00E52986" w:rsidRPr="00E52986" w:rsidRDefault="00E52986" w:rsidP="00E52986">
                  <w:pPr>
                    <w:spacing w:after="0"/>
                    <w:jc w:val="center"/>
                    <w:rPr>
                      <w:rFonts w:ascii="Calibri" w:eastAsia="Times New Roman" w:hAnsi="Calibri" w:cs="Calibri"/>
                      <w:color w:val="000000"/>
                    </w:rPr>
                  </w:pPr>
                  <w:r w:rsidRPr="00E52986">
                    <w:rPr>
                      <w:rFonts w:ascii="Calibri" w:eastAsia="Times New Roman" w:hAnsi="Calibri" w:cs="Calibri"/>
                      <w:color w:val="000000"/>
                    </w:rPr>
                    <w:t>12</w:t>
                  </w:r>
                </w:p>
              </w:tc>
              <w:tc>
                <w:tcPr>
                  <w:tcW w:w="1379" w:type="dxa"/>
                  <w:tcBorders>
                    <w:top w:val="nil"/>
                    <w:left w:val="nil"/>
                    <w:bottom w:val="nil"/>
                    <w:right w:val="nil"/>
                  </w:tcBorders>
                  <w:shd w:val="clear" w:color="auto" w:fill="auto"/>
                  <w:noWrap/>
                  <w:vAlign w:val="bottom"/>
                  <w:hideMark/>
                </w:tcPr>
                <w:p w14:paraId="35CAABF7" w14:textId="29F28651" w:rsidR="00E52986" w:rsidRPr="00E52986" w:rsidRDefault="00E52986" w:rsidP="00E52986">
                  <w:pPr>
                    <w:spacing w:after="0"/>
                    <w:jc w:val="center"/>
                    <w:rPr>
                      <w:rFonts w:ascii="Calibri" w:eastAsia="Times New Roman" w:hAnsi="Calibri" w:cs="Calibri"/>
                      <w:color w:val="000000"/>
                    </w:rPr>
                  </w:pPr>
                  <w:r w:rsidRPr="00E52986">
                    <w:rPr>
                      <w:rFonts w:ascii="Calibri" w:eastAsia="Times New Roman" w:hAnsi="Calibri" w:cs="Calibri"/>
                      <w:color w:val="000000"/>
                    </w:rPr>
                    <w:t>1</w:t>
                  </w:r>
                  <w:r w:rsidR="002C7E79">
                    <w:rPr>
                      <w:rFonts w:ascii="Calibri" w:eastAsia="Times New Roman" w:hAnsi="Calibri" w:cs="Calibri"/>
                      <w:color w:val="000000"/>
                    </w:rPr>
                    <w:t>5</w:t>
                  </w:r>
                </w:p>
              </w:tc>
              <w:tc>
                <w:tcPr>
                  <w:tcW w:w="1379" w:type="dxa"/>
                  <w:tcBorders>
                    <w:top w:val="nil"/>
                    <w:left w:val="nil"/>
                    <w:bottom w:val="nil"/>
                    <w:right w:val="nil"/>
                  </w:tcBorders>
                  <w:shd w:val="clear" w:color="auto" w:fill="auto"/>
                  <w:noWrap/>
                  <w:vAlign w:val="bottom"/>
                  <w:hideMark/>
                </w:tcPr>
                <w:p w14:paraId="3B3404F6" w14:textId="1FF0EE70" w:rsidR="00E52986" w:rsidRPr="00E52986" w:rsidRDefault="00E52986" w:rsidP="00E52986">
                  <w:pPr>
                    <w:spacing w:after="0"/>
                    <w:jc w:val="center"/>
                    <w:rPr>
                      <w:rFonts w:ascii="Calibri" w:eastAsia="Times New Roman" w:hAnsi="Calibri" w:cs="Calibri"/>
                      <w:color w:val="000000"/>
                    </w:rPr>
                  </w:pPr>
                  <w:r w:rsidRPr="00E52986">
                    <w:rPr>
                      <w:rFonts w:ascii="Calibri" w:eastAsia="Times New Roman" w:hAnsi="Calibri" w:cs="Calibri"/>
                      <w:color w:val="000000"/>
                    </w:rPr>
                    <w:t>1</w:t>
                  </w:r>
                  <w:r w:rsidR="002C7E79">
                    <w:rPr>
                      <w:rFonts w:ascii="Calibri" w:eastAsia="Times New Roman" w:hAnsi="Calibri" w:cs="Calibri"/>
                      <w:color w:val="000000"/>
                    </w:rPr>
                    <w:t>5</w:t>
                  </w:r>
                </w:p>
              </w:tc>
              <w:tc>
                <w:tcPr>
                  <w:tcW w:w="1379" w:type="dxa"/>
                  <w:tcBorders>
                    <w:top w:val="nil"/>
                    <w:left w:val="nil"/>
                    <w:bottom w:val="nil"/>
                    <w:right w:val="nil"/>
                  </w:tcBorders>
                  <w:shd w:val="clear" w:color="auto" w:fill="auto"/>
                  <w:noWrap/>
                  <w:vAlign w:val="bottom"/>
                  <w:hideMark/>
                </w:tcPr>
                <w:p w14:paraId="55AF303A" w14:textId="77777777" w:rsidR="00E52986" w:rsidRPr="00E52986" w:rsidRDefault="00E52986" w:rsidP="00E52986">
                  <w:pPr>
                    <w:spacing w:after="0"/>
                    <w:jc w:val="center"/>
                    <w:rPr>
                      <w:rFonts w:ascii="Calibri" w:eastAsia="Times New Roman" w:hAnsi="Calibri" w:cs="Calibri"/>
                      <w:color w:val="000000"/>
                    </w:rPr>
                  </w:pPr>
                  <w:r w:rsidRPr="00E52986">
                    <w:rPr>
                      <w:rFonts w:ascii="Calibri" w:eastAsia="Times New Roman" w:hAnsi="Calibri" w:cs="Calibri"/>
                      <w:color w:val="000000"/>
                    </w:rPr>
                    <w:t>7</w:t>
                  </w:r>
                </w:p>
              </w:tc>
              <w:tc>
                <w:tcPr>
                  <w:tcW w:w="1379" w:type="dxa"/>
                  <w:tcBorders>
                    <w:top w:val="nil"/>
                    <w:left w:val="nil"/>
                    <w:bottom w:val="nil"/>
                    <w:right w:val="nil"/>
                  </w:tcBorders>
                  <w:shd w:val="clear" w:color="auto" w:fill="auto"/>
                  <w:noWrap/>
                  <w:vAlign w:val="bottom"/>
                  <w:hideMark/>
                </w:tcPr>
                <w:p w14:paraId="3CD9F943" w14:textId="77777777" w:rsidR="00E52986" w:rsidRPr="00E52986" w:rsidRDefault="00E52986" w:rsidP="00E52986">
                  <w:pPr>
                    <w:spacing w:after="0"/>
                    <w:jc w:val="center"/>
                    <w:rPr>
                      <w:rFonts w:ascii="Calibri" w:eastAsia="Times New Roman" w:hAnsi="Calibri" w:cs="Calibri"/>
                      <w:color w:val="000000"/>
                    </w:rPr>
                  </w:pPr>
                  <w:r w:rsidRPr="00E52986">
                    <w:rPr>
                      <w:rFonts w:ascii="Calibri" w:eastAsia="Times New Roman" w:hAnsi="Calibri" w:cs="Calibri"/>
                      <w:color w:val="000000"/>
                    </w:rPr>
                    <w:t>10</w:t>
                  </w:r>
                </w:p>
              </w:tc>
              <w:tc>
                <w:tcPr>
                  <w:tcW w:w="1379" w:type="dxa"/>
                  <w:tcBorders>
                    <w:top w:val="nil"/>
                    <w:left w:val="nil"/>
                    <w:bottom w:val="nil"/>
                    <w:right w:val="nil"/>
                  </w:tcBorders>
                  <w:shd w:val="clear" w:color="auto" w:fill="auto"/>
                  <w:noWrap/>
                  <w:vAlign w:val="bottom"/>
                  <w:hideMark/>
                </w:tcPr>
                <w:p w14:paraId="113C512A" w14:textId="77777777" w:rsidR="00E52986" w:rsidRPr="00E52986" w:rsidRDefault="00E52986" w:rsidP="00E52986">
                  <w:pPr>
                    <w:spacing w:after="0"/>
                    <w:jc w:val="center"/>
                    <w:rPr>
                      <w:rFonts w:ascii="Calibri" w:eastAsia="Times New Roman" w:hAnsi="Calibri" w:cs="Calibri"/>
                      <w:color w:val="000000"/>
                    </w:rPr>
                  </w:pPr>
                  <w:r w:rsidRPr="00E52986">
                    <w:rPr>
                      <w:rFonts w:ascii="Calibri" w:eastAsia="Times New Roman" w:hAnsi="Calibri" w:cs="Calibri"/>
                      <w:color w:val="000000"/>
                    </w:rPr>
                    <w:t>11</w:t>
                  </w:r>
                </w:p>
              </w:tc>
              <w:tc>
                <w:tcPr>
                  <w:tcW w:w="1370" w:type="dxa"/>
                  <w:tcBorders>
                    <w:top w:val="nil"/>
                    <w:left w:val="nil"/>
                    <w:bottom w:val="nil"/>
                    <w:right w:val="nil"/>
                  </w:tcBorders>
                  <w:shd w:val="clear" w:color="auto" w:fill="auto"/>
                  <w:noWrap/>
                  <w:vAlign w:val="bottom"/>
                  <w:hideMark/>
                </w:tcPr>
                <w:p w14:paraId="52027938" w14:textId="77777777" w:rsidR="00E52986" w:rsidRPr="00E52986" w:rsidRDefault="00E52986" w:rsidP="00E52986">
                  <w:pPr>
                    <w:spacing w:after="0"/>
                    <w:jc w:val="center"/>
                    <w:rPr>
                      <w:rFonts w:ascii="Calibri" w:eastAsia="Times New Roman" w:hAnsi="Calibri" w:cs="Calibri"/>
                      <w:color w:val="000000"/>
                    </w:rPr>
                  </w:pPr>
                  <w:r w:rsidRPr="00E52986">
                    <w:rPr>
                      <w:rFonts w:ascii="Calibri" w:eastAsia="Times New Roman" w:hAnsi="Calibri" w:cs="Calibri"/>
                      <w:color w:val="000000"/>
                    </w:rPr>
                    <w:t>-1.29</w:t>
                  </w:r>
                </w:p>
              </w:tc>
              <w:tc>
                <w:tcPr>
                  <w:tcW w:w="1731" w:type="dxa"/>
                  <w:tcBorders>
                    <w:top w:val="nil"/>
                    <w:left w:val="nil"/>
                    <w:bottom w:val="nil"/>
                    <w:right w:val="nil"/>
                  </w:tcBorders>
                  <w:shd w:val="clear" w:color="auto" w:fill="auto"/>
                  <w:noWrap/>
                  <w:vAlign w:val="bottom"/>
                  <w:hideMark/>
                </w:tcPr>
                <w:p w14:paraId="43F145B1" w14:textId="77777777" w:rsidR="00E52986" w:rsidRPr="00E52986" w:rsidRDefault="00E52986" w:rsidP="00E52986">
                  <w:pPr>
                    <w:spacing w:after="0"/>
                    <w:jc w:val="center"/>
                    <w:rPr>
                      <w:rFonts w:ascii="Calibri" w:eastAsia="Times New Roman" w:hAnsi="Calibri" w:cs="Calibri"/>
                      <w:color w:val="000000"/>
                    </w:rPr>
                  </w:pPr>
                  <w:r w:rsidRPr="00E52986">
                    <w:rPr>
                      <w:rFonts w:ascii="Calibri" w:eastAsia="Times New Roman" w:hAnsi="Calibri" w:cs="Calibri"/>
                      <w:color w:val="000000"/>
                    </w:rPr>
                    <w:t>0.02</w:t>
                  </w:r>
                </w:p>
              </w:tc>
              <w:tc>
                <w:tcPr>
                  <w:tcW w:w="36" w:type="dxa"/>
                  <w:vAlign w:val="center"/>
                  <w:hideMark/>
                </w:tcPr>
                <w:p w14:paraId="1A0B63CE" w14:textId="77777777" w:rsidR="00E52986" w:rsidRPr="00E52986" w:rsidRDefault="00E52986" w:rsidP="00E52986">
                  <w:pPr>
                    <w:spacing w:after="0"/>
                    <w:rPr>
                      <w:rFonts w:ascii="Times New Roman" w:eastAsia="Times New Roman" w:hAnsi="Times New Roman" w:cs="Times New Roman"/>
                      <w:sz w:val="20"/>
                      <w:szCs w:val="20"/>
                    </w:rPr>
                  </w:pPr>
                </w:p>
              </w:tc>
            </w:tr>
            <w:tr w:rsidR="00E52986" w:rsidRPr="00E52986" w14:paraId="78DB6967" w14:textId="77777777" w:rsidTr="00E52986">
              <w:trPr>
                <w:trHeight w:val="288"/>
              </w:trPr>
              <w:tc>
                <w:tcPr>
                  <w:tcW w:w="12754" w:type="dxa"/>
                  <w:gridSpan w:val="9"/>
                  <w:tcBorders>
                    <w:top w:val="nil"/>
                    <w:left w:val="nil"/>
                    <w:bottom w:val="nil"/>
                    <w:right w:val="nil"/>
                  </w:tcBorders>
                  <w:shd w:val="clear" w:color="auto" w:fill="auto"/>
                  <w:noWrap/>
                  <w:vAlign w:val="bottom"/>
                  <w:hideMark/>
                </w:tcPr>
                <w:p w14:paraId="2C3E559A" w14:textId="77777777" w:rsidR="00E52986" w:rsidRPr="00E52986" w:rsidRDefault="00E52986" w:rsidP="00E52986">
                  <w:pPr>
                    <w:spacing w:after="0"/>
                    <w:rPr>
                      <w:rFonts w:ascii="Calibri" w:eastAsia="Times New Roman" w:hAnsi="Calibri" w:cs="Calibri"/>
                      <w:color w:val="000000"/>
                    </w:rPr>
                  </w:pPr>
                  <w:r w:rsidRPr="00E52986">
                    <w:rPr>
                      <w:rFonts w:ascii="Calibri" w:eastAsia="Times New Roman" w:hAnsi="Calibri" w:cs="Calibri"/>
                      <w:color w:val="000000"/>
                    </w:rPr>
                    <w:t>Evaluation question 2, scenario 1, relative gain in Ubudehe 1 +2 compared to Ubudehe 3 as a result of CCT</w:t>
                  </w:r>
                </w:p>
              </w:tc>
              <w:tc>
                <w:tcPr>
                  <w:tcW w:w="36" w:type="dxa"/>
                  <w:vAlign w:val="center"/>
                  <w:hideMark/>
                </w:tcPr>
                <w:p w14:paraId="6E66CD35" w14:textId="77777777" w:rsidR="00E52986" w:rsidRPr="00E52986" w:rsidRDefault="00E52986" w:rsidP="00E52986">
                  <w:pPr>
                    <w:spacing w:after="0"/>
                    <w:rPr>
                      <w:rFonts w:ascii="Times New Roman" w:eastAsia="Times New Roman" w:hAnsi="Times New Roman" w:cs="Times New Roman"/>
                      <w:sz w:val="20"/>
                      <w:szCs w:val="20"/>
                    </w:rPr>
                  </w:pPr>
                </w:p>
              </w:tc>
            </w:tr>
            <w:tr w:rsidR="00E52986" w:rsidRPr="00E52986" w14:paraId="63BBC84C" w14:textId="77777777" w:rsidTr="00E52986">
              <w:trPr>
                <w:trHeight w:val="288"/>
              </w:trPr>
              <w:tc>
                <w:tcPr>
                  <w:tcW w:w="1379" w:type="dxa"/>
                  <w:tcBorders>
                    <w:top w:val="nil"/>
                    <w:left w:val="nil"/>
                    <w:bottom w:val="nil"/>
                    <w:right w:val="nil"/>
                  </w:tcBorders>
                  <w:shd w:val="clear" w:color="auto" w:fill="auto"/>
                  <w:noWrap/>
                  <w:vAlign w:val="bottom"/>
                  <w:hideMark/>
                </w:tcPr>
                <w:p w14:paraId="14679E10" w14:textId="77777777" w:rsidR="00E52986" w:rsidRPr="00E52986" w:rsidRDefault="00E52986" w:rsidP="00E52986">
                  <w:pPr>
                    <w:spacing w:after="0"/>
                    <w:jc w:val="center"/>
                    <w:rPr>
                      <w:rFonts w:ascii="Calibri" w:eastAsia="Times New Roman" w:hAnsi="Calibri" w:cs="Calibri"/>
                      <w:color w:val="000000"/>
                    </w:rPr>
                  </w:pPr>
                  <w:r w:rsidRPr="00E52986">
                    <w:rPr>
                      <w:rFonts w:ascii="Calibri" w:eastAsia="Times New Roman" w:hAnsi="Calibri" w:cs="Calibri"/>
                      <w:color w:val="000000"/>
                    </w:rPr>
                    <w:t>13</w:t>
                  </w:r>
                </w:p>
              </w:tc>
              <w:tc>
                <w:tcPr>
                  <w:tcW w:w="1379" w:type="dxa"/>
                  <w:tcBorders>
                    <w:top w:val="nil"/>
                    <w:left w:val="nil"/>
                    <w:bottom w:val="nil"/>
                    <w:right w:val="nil"/>
                  </w:tcBorders>
                  <w:shd w:val="clear" w:color="auto" w:fill="auto"/>
                  <w:noWrap/>
                  <w:vAlign w:val="bottom"/>
                  <w:hideMark/>
                </w:tcPr>
                <w:p w14:paraId="66279936" w14:textId="77777777" w:rsidR="00E52986" w:rsidRPr="00E52986" w:rsidRDefault="00E52986" w:rsidP="00E52986">
                  <w:pPr>
                    <w:spacing w:after="0"/>
                    <w:jc w:val="center"/>
                    <w:rPr>
                      <w:rFonts w:ascii="Calibri" w:eastAsia="Times New Roman" w:hAnsi="Calibri" w:cs="Calibri"/>
                      <w:color w:val="000000"/>
                    </w:rPr>
                  </w:pPr>
                  <w:r w:rsidRPr="00E52986">
                    <w:rPr>
                      <w:rFonts w:ascii="Calibri" w:eastAsia="Times New Roman" w:hAnsi="Calibri" w:cs="Calibri"/>
                      <w:color w:val="000000"/>
                    </w:rPr>
                    <w:t>12</w:t>
                  </w:r>
                </w:p>
              </w:tc>
              <w:tc>
                <w:tcPr>
                  <w:tcW w:w="1379" w:type="dxa"/>
                  <w:tcBorders>
                    <w:top w:val="nil"/>
                    <w:left w:val="nil"/>
                    <w:bottom w:val="nil"/>
                    <w:right w:val="nil"/>
                  </w:tcBorders>
                  <w:shd w:val="clear" w:color="auto" w:fill="auto"/>
                  <w:noWrap/>
                  <w:vAlign w:val="bottom"/>
                  <w:hideMark/>
                </w:tcPr>
                <w:p w14:paraId="182D9ED0" w14:textId="78F8135A" w:rsidR="00E52986" w:rsidRPr="00E52986" w:rsidRDefault="00E52986" w:rsidP="00E52986">
                  <w:pPr>
                    <w:spacing w:after="0"/>
                    <w:jc w:val="center"/>
                    <w:rPr>
                      <w:rFonts w:ascii="Calibri" w:eastAsia="Times New Roman" w:hAnsi="Calibri" w:cs="Calibri"/>
                      <w:color w:val="000000"/>
                    </w:rPr>
                  </w:pPr>
                  <w:r w:rsidRPr="00E52986">
                    <w:rPr>
                      <w:rFonts w:ascii="Calibri" w:eastAsia="Times New Roman" w:hAnsi="Calibri" w:cs="Calibri"/>
                      <w:color w:val="000000"/>
                    </w:rPr>
                    <w:t>1</w:t>
                  </w:r>
                  <w:r w:rsidR="002C7E79">
                    <w:rPr>
                      <w:rFonts w:ascii="Calibri" w:eastAsia="Times New Roman" w:hAnsi="Calibri" w:cs="Calibri"/>
                      <w:color w:val="000000"/>
                    </w:rPr>
                    <w:t>5</w:t>
                  </w:r>
                </w:p>
              </w:tc>
              <w:tc>
                <w:tcPr>
                  <w:tcW w:w="1379" w:type="dxa"/>
                  <w:tcBorders>
                    <w:top w:val="nil"/>
                    <w:left w:val="nil"/>
                    <w:bottom w:val="nil"/>
                    <w:right w:val="nil"/>
                  </w:tcBorders>
                  <w:shd w:val="clear" w:color="auto" w:fill="auto"/>
                  <w:noWrap/>
                  <w:vAlign w:val="bottom"/>
                  <w:hideMark/>
                </w:tcPr>
                <w:p w14:paraId="29323E26" w14:textId="600B6DA3" w:rsidR="00E52986" w:rsidRPr="00E52986" w:rsidRDefault="00E52986" w:rsidP="00E52986">
                  <w:pPr>
                    <w:spacing w:after="0"/>
                    <w:jc w:val="center"/>
                    <w:rPr>
                      <w:rFonts w:ascii="Calibri" w:eastAsia="Times New Roman" w:hAnsi="Calibri" w:cs="Calibri"/>
                      <w:color w:val="000000"/>
                    </w:rPr>
                  </w:pPr>
                  <w:r w:rsidRPr="00E52986">
                    <w:rPr>
                      <w:rFonts w:ascii="Calibri" w:eastAsia="Times New Roman" w:hAnsi="Calibri" w:cs="Calibri"/>
                      <w:color w:val="000000"/>
                    </w:rPr>
                    <w:t>1</w:t>
                  </w:r>
                  <w:r w:rsidR="002C7E79">
                    <w:rPr>
                      <w:rFonts w:ascii="Calibri" w:eastAsia="Times New Roman" w:hAnsi="Calibri" w:cs="Calibri"/>
                      <w:color w:val="000000"/>
                    </w:rPr>
                    <w:t>5</w:t>
                  </w:r>
                </w:p>
              </w:tc>
              <w:tc>
                <w:tcPr>
                  <w:tcW w:w="1379" w:type="dxa"/>
                  <w:tcBorders>
                    <w:top w:val="nil"/>
                    <w:left w:val="nil"/>
                    <w:bottom w:val="nil"/>
                    <w:right w:val="nil"/>
                  </w:tcBorders>
                  <w:shd w:val="clear" w:color="auto" w:fill="auto"/>
                  <w:noWrap/>
                  <w:vAlign w:val="bottom"/>
                  <w:hideMark/>
                </w:tcPr>
                <w:p w14:paraId="0786EE35" w14:textId="77777777" w:rsidR="00E52986" w:rsidRPr="00E52986" w:rsidRDefault="00E52986" w:rsidP="00E52986">
                  <w:pPr>
                    <w:spacing w:after="0"/>
                    <w:jc w:val="center"/>
                    <w:rPr>
                      <w:rFonts w:ascii="Calibri" w:eastAsia="Times New Roman" w:hAnsi="Calibri" w:cs="Calibri"/>
                      <w:color w:val="000000"/>
                    </w:rPr>
                  </w:pPr>
                  <w:r w:rsidRPr="00E52986">
                    <w:rPr>
                      <w:rFonts w:ascii="Calibri" w:eastAsia="Times New Roman" w:hAnsi="Calibri" w:cs="Calibri"/>
                      <w:color w:val="000000"/>
                    </w:rPr>
                    <w:t>7</w:t>
                  </w:r>
                </w:p>
              </w:tc>
              <w:tc>
                <w:tcPr>
                  <w:tcW w:w="1379" w:type="dxa"/>
                  <w:tcBorders>
                    <w:top w:val="nil"/>
                    <w:left w:val="nil"/>
                    <w:bottom w:val="nil"/>
                    <w:right w:val="nil"/>
                  </w:tcBorders>
                  <w:shd w:val="clear" w:color="auto" w:fill="auto"/>
                  <w:noWrap/>
                  <w:vAlign w:val="bottom"/>
                  <w:hideMark/>
                </w:tcPr>
                <w:p w14:paraId="5E6D15C8" w14:textId="77777777" w:rsidR="00E52986" w:rsidRPr="00E52986" w:rsidRDefault="00E52986" w:rsidP="00E52986">
                  <w:pPr>
                    <w:spacing w:after="0"/>
                    <w:jc w:val="center"/>
                    <w:rPr>
                      <w:rFonts w:ascii="Calibri" w:eastAsia="Times New Roman" w:hAnsi="Calibri" w:cs="Calibri"/>
                      <w:color w:val="000000"/>
                    </w:rPr>
                  </w:pPr>
                  <w:r w:rsidRPr="00E52986">
                    <w:rPr>
                      <w:rFonts w:ascii="Calibri" w:eastAsia="Times New Roman" w:hAnsi="Calibri" w:cs="Calibri"/>
                      <w:color w:val="000000"/>
                    </w:rPr>
                    <w:t>10</w:t>
                  </w:r>
                </w:p>
              </w:tc>
              <w:tc>
                <w:tcPr>
                  <w:tcW w:w="1379" w:type="dxa"/>
                  <w:tcBorders>
                    <w:top w:val="nil"/>
                    <w:left w:val="nil"/>
                    <w:bottom w:val="nil"/>
                    <w:right w:val="nil"/>
                  </w:tcBorders>
                  <w:shd w:val="clear" w:color="auto" w:fill="auto"/>
                  <w:noWrap/>
                  <w:vAlign w:val="bottom"/>
                  <w:hideMark/>
                </w:tcPr>
                <w:p w14:paraId="19E99225" w14:textId="77777777" w:rsidR="00E52986" w:rsidRPr="00E52986" w:rsidRDefault="00E52986" w:rsidP="00E52986">
                  <w:pPr>
                    <w:spacing w:after="0"/>
                    <w:jc w:val="center"/>
                    <w:rPr>
                      <w:rFonts w:ascii="Calibri" w:eastAsia="Times New Roman" w:hAnsi="Calibri" w:cs="Calibri"/>
                      <w:color w:val="000000"/>
                    </w:rPr>
                  </w:pPr>
                  <w:r w:rsidRPr="00E52986">
                    <w:rPr>
                      <w:rFonts w:ascii="Calibri" w:eastAsia="Times New Roman" w:hAnsi="Calibri" w:cs="Calibri"/>
                      <w:color w:val="000000"/>
                    </w:rPr>
                    <w:t>--</w:t>
                  </w:r>
                </w:p>
              </w:tc>
              <w:tc>
                <w:tcPr>
                  <w:tcW w:w="1370" w:type="dxa"/>
                  <w:tcBorders>
                    <w:top w:val="nil"/>
                    <w:left w:val="nil"/>
                    <w:bottom w:val="nil"/>
                    <w:right w:val="nil"/>
                  </w:tcBorders>
                  <w:shd w:val="clear" w:color="auto" w:fill="auto"/>
                  <w:noWrap/>
                  <w:vAlign w:val="bottom"/>
                  <w:hideMark/>
                </w:tcPr>
                <w:p w14:paraId="30984BEA" w14:textId="77777777" w:rsidR="00E52986" w:rsidRPr="00E52986" w:rsidRDefault="00E52986" w:rsidP="00E52986">
                  <w:pPr>
                    <w:spacing w:after="0"/>
                    <w:jc w:val="center"/>
                    <w:rPr>
                      <w:rFonts w:ascii="Calibri" w:eastAsia="Times New Roman" w:hAnsi="Calibri" w:cs="Calibri"/>
                      <w:color w:val="000000"/>
                    </w:rPr>
                  </w:pPr>
                  <w:r w:rsidRPr="00E52986">
                    <w:rPr>
                      <w:rFonts w:ascii="Calibri" w:eastAsia="Times New Roman" w:hAnsi="Calibri" w:cs="Calibri"/>
                      <w:color w:val="000000"/>
                    </w:rPr>
                    <w:t>-1.29</w:t>
                  </w:r>
                </w:p>
              </w:tc>
              <w:tc>
                <w:tcPr>
                  <w:tcW w:w="1731" w:type="dxa"/>
                  <w:tcBorders>
                    <w:top w:val="nil"/>
                    <w:left w:val="nil"/>
                    <w:bottom w:val="nil"/>
                    <w:right w:val="nil"/>
                  </w:tcBorders>
                  <w:shd w:val="clear" w:color="auto" w:fill="auto"/>
                  <w:noWrap/>
                  <w:vAlign w:val="bottom"/>
                  <w:hideMark/>
                </w:tcPr>
                <w:p w14:paraId="5DA52BDE" w14:textId="77777777" w:rsidR="00E52986" w:rsidRPr="00E52986" w:rsidRDefault="00E52986" w:rsidP="00E52986">
                  <w:pPr>
                    <w:spacing w:after="0"/>
                    <w:jc w:val="center"/>
                    <w:rPr>
                      <w:rFonts w:ascii="Calibri" w:eastAsia="Times New Roman" w:hAnsi="Calibri" w:cs="Calibri"/>
                      <w:color w:val="000000"/>
                    </w:rPr>
                  </w:pPr>
                  <w:r w:rsidRPr="00E52986">
                    <w:rPr>
                      <w:rFonts w:ascii="Calibri" w:eastAsia="Times New Roman" w:hAnsi="Calibri" w:cs="Calibri"/>
                      <w:color w:val="000000"/>
                    </w:rPr>
                    <w:t>0.02</w:t>
                  </w:r>
                </w:p>
              </w:tc>
              <w:tc>
                <w:tcPr>
                  <w:tcW w:w="36" w:type="dxa"/>
                  <w:vAlign w:val="center"/>
                  <w:hideMark/>
                </w:tcPr>
                <w:p w14:paraId="2490D804" w14:textId="77777777" w:rsidR="00E52986" w:rsidRPr="00E52986" w:rsidRDefault="00E52986" w:rsidP="00E52986">
                  <w:pPr>
                    <w:spacing w:after="0"/>
                    <w:rPr>
                      <w:rFonts w:ascii="Times New Roman" w:eastAsia="Times New Roman" w:hAnsi="Times New Roman" w:cs="Times New Roman"/>
                      <w:sz w:val="20"/>
                      <w:szCs w:val="20"/>
                    </w:rPr>
                  </w:pPr>
                </w:p>
              </w:tc>
            </w:tr>
            <w:tr w:rsidR="00E52986" w:rsidRPr="00E52986" w14:paraId="07461D60" w14:textId="77777777" w:rsidTr="00E52986">
              <w:trPr>
                <w:trHeight w:val="288"/>
              </w:trPr>
              <w:tc>
                <w:tcPr>
                  <w:tcW w:w="12754" w:type="dxa"/>
                  <w:gridSpan w:val="9"/>
                  <w:tcBorders>
                    <w:top w:val="nil"/>
                    <w:left w:val="nil"/>
                    <w:right w:val="nil"/>
                  </w:tcBorders>
                  <w:shd w:val="clear" w:color="auto" w:fill="auto"/>
                  <w:noWrap/>
                  <w:vAlign w:val="bottom"/>
                  <w:hideMark/>
                </w:tcPr>
                <w:p w14:paraId="36000A50" w14:textId="77777777" w:rsidR="00E52986" w:rsidRPr="00E52986" w:rsidRDefault="00E52986" w:rsidP="00E52986">
                  <w:pPr>
                    <w:spacing w:after="0"/>
                    <w:rPr>
                      <w:rFonts w:ascii="Calibri" w:eastAsia="Times New Roman" w:hAnsi="Calibri" w:cs="Calibri"/>
                      <w:color w:val="000000"/>
                    </w:rPr>
                  </w:pPr>
                  <w:r w:rsidRPr="00E52986">
                    <w:rPr>
                      <w:rFonts w:ascii="Calibri" w:eastAsia="Times New Roman" w:hAnsi="Calibri" w:cs="Calibri"/>
                      <w:color w:val="000000"/>
                    </w:rPr>
                    <w:t>Evaluation question 2, scenario 2, relative gain in Ubudehe 1+2 compared to Ubudehe 3, in districts with and without SPaR health investments</w:t>
                  </w:r>
                </w:p>
              </w:tc>
              <w:tc>
                <w:tcPr>
                  <w:tcW w:w="36" w:type="dxa"/>
                  <w:vAlign w:val="center"/>
                  <w:hideMark/>
                </w:tcPr>
                <w:p w14:paraId="3A987ED2" w14:textId="77777777" w:rsidR="00E52986" w:rsidRPr="00E52986" w:rsidRDefault="00E52986" w:rsidP="00E52986">
                  <w:pPr>
                    <w:spacing w:after="0"/>
                    <w:rPr>
                      <w:rFonts w:ascii="Times New Roman" w:eastAsia="Times New Roman" w:hAnsi="Times New Roman" w:cs="Times New Roman"/>
                      <w:sz w:val="20"/>
                      <w:szCs w:val="20"/>
                    </w:rPr>
                  </w:pPr>
                </w:p>
              </w:tc>
            </w:tr>
            <w:tr w:rsidR="00E52986" w:rsidRPr="00E52986" w14:paraId="1EB2D939" w14:textId="77777777" w:rsidTr="00E52986">
              <w:trPr>
                <w:trHeight w:val="288"/>
              </w:trPr>
              <w:tc>
                <w:tcPr>
                  <w:tcW w:w="1379" w:type="dxa"/>
                  <w:tcBorders>
                    <w:top w:val="nil"/>
                    <w:left w:val="nil"/>
                    <w:bottom w:val="single" w:sz="4" w:space="0" w:color="auto"/>
                    <w:right w:val="nil"/>
                  </w:tcBorders>
                  <w:shd w:val="clear" w:color="auto" w:fill="auto"/>
                  <w:noWrap/>
                  <w:vAlign w:val="bottom"/>
                  <w:hideMark/>
                </w:tcPr>
                <w:p w14:paraId="27E1B29C" w14:textId="77777777" w:rsidR="00E52986" w:rsidRPr="00E52986" w:rsidRDefault="00E52986" w:rsidP="00E52986">
                  <w:pPr>
                    <w:spacing w:after="0"/>
                    <w:jc w:val="center"/>
                    <w:rPr>
                      <w:rFonts w:ascii="Calibri" w:eastAsia="Times New Roman" w:hAnsi="Calibri" w:cs="Calibri"/>
                      <w:color w:val="000000"/>
                    </w:rPr>
                  </w:pPr>
                  <w:r w:rsidRPr="00E52986">
                    <w:rPr>
                      <w:rFonts w:ascii="Calibri" w:eastAsia="Times New Roman" w:hAnsi="Calibri" w:cs="Calibri"/>
                      <w:color w:val="000000"/>
                    </w:rPr>
                    <w:t>13</w:t>
                  </w:r>
                </w:p>
              </w:tc>
              <w:tc>
                <w:tcPr>
                  <w:tcW w:w="1379" w:type="dxa"/>
                  <w:tcBorders>
                    <w:top w:val="nil"/>
                    <w:left w:val="nil"/>
                    <w:bottom w:val="single" w:sz="4" w:space="0" w:color="auto"/>
                    <w:right w:val="nil"/>
                  </w:tcBorders>
                  <w:shd w:val="clear" w:color="auto" w:fill="auto"/>
                  <w:noWrap/>
                  <w:vAlign w:val="bottom"/>
                  <w:hideMark/>
                </w:tcPr>
                <w:p w14:paraId="188DD022" w14:textId="77777777" w:rsidR="00E52986" w:rsidRPr="00E52986" w:rsidRDefault="00E52986" w:rsidP="00E52986">
                  <w:pPr>
                    <w:spacing w:after="0"/>
                    <w:jc w:val="center"/>
                    <w:rPr>
                      <w:rFonts w:ascii="Calibri" w:eastAsia="Times New Roman" w:hAnsi="Calibri" w:cs="Calibri"/>
                      <w:color w:val="000000"/>
                    </w:rPr>
                  </w:pPr>
                  <w:r w:rsidRPr="00E52986">
                    <w:rPr>
                      <w:rFonts w:ascii="Calibri" w:eastAsia="Times New Roman" w:hAnsi="Calibri" w:cs="Calibri"/>
                      <w:color w:val="000000"/>
                    </w:rPr>
                    <w:t>4</w:t>
                  </w:r>
                </w:p>
              </w:tc>
              <w:tc>
                <w:tcPr>
                  <w:tcW w:w="1379" w:type="dxa"/>
                  <w:tcBorders>
                    <w:top w:val="nil"/>
                    <w:left w:val="nil"/>
                    <w:bottom w:val="single" w:sz="4" w:space="0" w:color="auto"/>
                    <w:right w:val="nil"/>
                  </w:tcBorders>
                  <w:shd w:val="clear" w:color="auto" w:fill="auto"/>
                  <w:noWrap/>
                  <w:vAlign w:val="bottom"/>
                  <w:hideMark/>
                </w:tcPr>
                <w:p w14:paraId="13766A71" w14:textId="3179EF7E" w:rsidR="00E52986" w:rsidRPr="00E52986" w:rsidRDefault="00E52986" w:rsidP="00E52986">
                  <w:pPr>
                    <w:spacing w:after="0"/>
                    <w:jc w:val="center"/>
                    <w:rPr>
                      <w:rFonts w:ascii="Calibri" w:eastAsia="Times New Roman" w:hAnsi="Calibri" w:cs="Calibri"/>
                      <w:color w:val="000000"/>
                    </w:rPr>
                  </w:pPr>
                  <w:r w:rsidRPr="00E52986">
                    <w:rPr>
                      <w:rFonts w:ascii="Calibri" w:eastAsia="Times New Roman" w:hAnsi="Calibri" w:cs="Calibri"/>
                      <w:color w:val="000000"/>
                    </w:rPr>
                    <w:t>1</w:t>
                  </w:r>
                  <w:r w:rsidR="002C7E79">
                    <w:rPr>
                      <w:rFonts w:ascii="Calibri" w:eastAsia="Times New Roman" w:hAnsi="Calibri" w:cs="Calibri"/>
                      <w:color w:val="000000"/>
                    </w:rPr>
                    <w:t>5</w:t>
                  </w:r>
                </w:p>
              </w:tc>
              <w:tc>
                <w:tcPr>
                  <w:tcW w:w="1379" w:type="dxa"/>
                  <w:tcBorders>
                    <w:top w:val="nil"/>
                    <w:left w:val="nil"/>
                    <w:bottom w:val="single" w:sz="4" w:space="0" w:color="auto"/>
                    <w:right w:val="nil"/>
                  </w:tcBorders>
                  <w:shd w:val="clear" w:color="auto" w:fill="auto"/>
                  <w:noWrap/>
                  <w:vAlign w:val="bottom"/>
                  <w:hideMark/>
                </w:tcPr>
                <w:p w14:paraId="40DE2C78" w14:textId="2DE5701E" w:rsidR="00E52986" w:rsidRPr="00E52986" w:rsidRDefault="00E52986" w:rsidP="00E52986">
                  <w:pPr>
                    <w:spacing w:after="0"/>
                    <w:jc w:val="center"/>
                    <w:rPr>
                      <w:rFonts w:ascii="Calibri" w:eastAsia="Times New Roman" w:hAnsi="Calibri" w:cs="Calibri"/>
                      <w:color w:val="000000"/>
                    </w:rPr>
                  </w:pPr>
                  <w:r w:rsidRPr="00E52986">
                    <w:rPr>
                      <w:rFonts w:ascii="Calibri" w:eastAsia="Times New Roman" w:hAnsi="Calibri" w:cs="Calibri"/>
                      <w:color w:val="000000"/>
                    </w:rPr>
                    <w:t>1</w:t>
                  </w:r>
                  <w:r w:rsidR="002C7E79">
                    <w:rPr>
                      <w:rFonts w:ascii="Calibri" w:eastAsia="Times New Roman" w:hAnsi="Calibri" w:cs="Calibri"/>
                      <w:color w:val="000000"/>
                    </w:rPr>
                    <w:t>5</w:t>
                  </w:r>
                </w:p>
              </w:tc>
              <w:tc>
                <w:tcPr>
                  <w:tcW w:w="1379" w:type="dxa"/>
                  <w:tcBorders>
                    <w:top w:val="nil"/>
                    <w:left w:val="nil"/>
                    <w:bottom w:val="single" w:sz="4" w:space="0" w:color="auto"/>
                    <w:right w:val="nil"/>
                  </w:tcBorders>
                  <w:shd w:val="clear" w:color="auto" w:fill="auto"/>
                  <w:noWrap/>
                  <w:vAlign w:val="bottom"/>
                  <w:hideMark/>
                </w:tcPr>
                <w:p w14:paraId="265CD302" w14:textId="77777777" w:rsidR="00E52986" w:rsidRPr="00E52986" w:rsidRDefault="00E52986" w:rsidP="00E52986">
                  <w:pPr>
                    <w:spacing w:after="0"/>
                    <w:jc w:val="center"/>
                    <w:rPr>
                      <w:rFonts w:ascii="Calibri" w:eastAsia="Times New Roman" w:hAnsi="Calibri" w:cs="Calibri"/>
                      <w:color w:val="000000"/>
                    </w:rPr>
                  </w:pPr>
                  <w:r w:rsidRPr="00E52986">
                    <w:rPr>
                      <w:rFonts w:ascii="Calibri" w:eastAsia="Times New Roman" w:hAnsi="Calibri" w:cs="Calibri"/>
                      <w:color w:val="000000"/>
                    </w:rPr>
                    <w:t>7</w:t>
                  </w:r>
                </w:p>
              </w:tc>
              <w:tc>
                <w:tcPr>
                  <w:tcW w:w="1379" w:type="dxa"/>
                  <w:tcBorders>
                    <w:top w:val="nil"/>
                    <w:left w:val="nil"/>
                    <w:bottom w:val="single" w:sz="4" w:space="0" w:color="auto"/>
                    <w:right w:val="nil"/>
                  </w:tcBorders>
                  <w:shd w:val="clear" w:color="auto" w:fill="auto"/>
                  <w:noWrap/>
                  <w:vAlign w:val="bottom"/>
                  <w:hideMark/>
                </w:tcPr>
                <w:p w14:paraId="5217BE48" w14:textId="77777777" w:rsidR="00E52986" w:rsidRPr="00E52986" w:rsidRDefault="00E52986" w:rsidP="00E52986">
                  <w:pPr>
                    <w:spacing w:after="0"/>
                    <w:jc w:val="center"/>
                    <w:rPr>
                      <w:rFonts w:ascii="Calibri" w:eastAsia="Times New Roman" w:hAnsi="Calibri" w:cs="Calibri"/>
                      <w:color w:val="000000"/>
                    </w:rPr>
                  </w:pPr>
                  <w:r w:rsidRPr="00E52986">
                    <w:rPr>
                      <w:rFonts w:ascii="Calibri" w:eastAsia="Times New Roman" w:hAnsi="Calibri" w:cs="Calibri"/>
                      <w:color w:val="000000"/>
                    </w:rPr>
                    <w:t>10</w:t>
                  </w:r>
                </w:p>
              </w:tc>
              <w:tc>
                <w:tcPr>
                  <w:tcW w:w="1379" w:type="dxa"/>
                  <w:tcBorders>
                    <w:top w:val="nil"/>
                    <w:left w:val="nil"/>
                    <w:bottom w:val="single" w:sz="4" w:space="0" w:color="auto"/>
                    <w:right w:val="nil"/>
                  </w:tcBorders>
                  <w:shd w:val="clear" w:color="auto" w:fill="auto"/>
                  <w:noWrap/>
                  <w:vAlign w:val="bottom"/>
                  <w:hideMark/>
                </w:tcPr>
                <w:p w14:paraId="73EB9FBA" w14:textId="77777777" w:rsidR="00E52986" w:rsidRPr="00E52986" w:rsidRDefault="00E52986" w:rsidP="00E52986">
                  <w:pPr>
                    <w:spacing w:after="0"/>
                    <w:jc w:val="center"/>
                    <w:rPr>
                      <w:rFonts w:ascii="Calibri" w:eastAsia="Times New Roman" w:hAnsi="Calibri" w:cs="Calibri"/>
                      <w:color w:val="000000"/>
                    </w:rPr>
                  </w:pPr>
                  <w:r w:rsidRPr="00E52986">
                    <w:rPr>
                      <w:rFonts w:ascii="Calibri" w:eastAsia="Times New Roman" w:hAnsi="Calibri" w:cs="Calibri"/>
                      <w:color w:val="000000"/>
                    </w:rPr>
                    <w:t>11</w:t>
                  </w:r>
                </w:p>
              </w:tc>
              <w:tc>
                <w:tcPr>
                  <w:tcW w:w="1370" w:type="dxa"/>
                  <w:tcBorders>
                    <w:top w:val="nil"/>
                    <w:left w:val="nil"/>
                    <w:bottom w:val="single" w:sz="4" w:space="0" w:color="auto"/>
                    <w:right w:val="nil"/>
                  </w:tcBorders>
                  <w:shd w:val="clear" w:color="auto" w:fill="auto"/>
                  <w:noWrap/>
                  <w:vAlign w:val="bottom"/>
                  <w:hideMark/>
                </w:tcPr>
                <w:p w14:paraId="315B9F07" w14:textId="77777777" w:rsidR="00E52986" w:rsidRPr="00E52986" w:rsidRDefault="00E52986" w:rsidP="00E52986">
                  <w:pPr>
                    <w:spacing w:after="0"/>
                    <w:jc w:val="center"/>
                    <w:rPr>
                      <w:rFonts w:ascii="Calibri" w:eastAsia="Times New Roman" w:hAnsi="Calibri" w:cs="Calibri"/>
                      <w:color w:val="000000"/>
                    </w:rPr>
                  </w:pPr>
                  <w:r w:rsidRPr="00E52986">
                    <w:rPr>
                      <w:rFonts w:ascii="Calibri" w:eastAsia="Times New Roman" w:hAnsi="Calibri" w:cs="Calibri"/>
                      <w:color w:val="000000"/>
                    </w:rPr>
                    <w:t>-1.29</w:t>
                  </w:r>
                </w:p>
              </w:tc>
              <w:tc>
                <w:tcPr>
                  <w:tcW w:w="1731" w:type="dxa"/>
                  <w:tcBorders>
                    <w:top w:val="nil"/>
                    <w:left w:val="nil"/>
                    <w:bottom w:val="single" w:sz="4" w:space="0" w:color="auto"/>
                    <w:right w:val="nil"/>
                  </w:tcBorders>
                  <w:shd w:val="clear" w:color="auto" w:fill="auto"/>
                  <w:noWrap/>
                  <w:vAlign w:val="bottom"/>
                  <w:hideMark/>
                </w:tcPr>
                <w:p w14:paraId="22F09E25" w14:textId="77777777" w:rsidR="00E52986" w:rsidRPr="00E52986" w:rsidRDefault="00E52986" w:rsidP="00E52986">
                  <w:pPr>
                    <w:spacing w:after="0"/>
                    <w:jc w:val="center"/>
                    <w:rPr>
                      <w:rFonts w:ascii="Calibri" w:eastAsia="Times New Roman" w:hAnsi="Calibri" w:cs="Calibri"/>
                      <w:color w:val="000000"/>
                    </w:rPr>
                  </w:pPr>
                  <w:r w:rsidRPr="00E52986">
                    <w:rPr>
                      <w:rFonts w:ascii="Calibri" w:eastAsia="Times New Roman" w:hAnsi="Calibri" w:cs="Calibri"/>
                      <w:color w:val="000000"/>
                    </w:rPr>
                    <w:t>0.02</w:t>
                  </w:r>
                </w:p>
              </w:tc>
              <w:tc>
                <w:tcPr>
                  <w:tcW w:w="36" w:type="dxa"/>
                  <w:vAlign w:val="center"/>
                  <w:hideMark/>
                </w:tcPr>
                <w:p w14:paraId="03EFB9AD" w14:textId="77777777" w:rsidR="00E52986" w:rsidRPr="00E52986" w:rsidRDefault="00E52986" w:rsidP="00E52986">
                  <w:pPr>
                    <w:spacing w:after="0"/>
                    <w:rPr>
                      <w:rFonts w:ascii="Times New Roman" w:eastAsia="Times New Roman" w:hAnsi="Times New Roman" w:cs="Times New Roman"/>
                      <w:sz w:val="20"/>
                      <w:szCs w:val="20"/>
                    </w:rPr>
                  </w:pPr>
                </w:p>
              </w:tc>
            </w:tr>
          </w:tbl>
          <w:p w14:paraId="2145EAAA" w14:textId="77777777" w:rsidR="00E52986" w:rsidRPr="00E51EC3" w:rsidRDefault="00E52986" w:rsidP="00E51EC3">
            <w:pPr>
              <w:spacing w:after="0"/>
              <w:jc w:val="center"/>
              <w:rPr>
                <w:rFonts w:ascii="Calibri" w:eastAsia="Times New Roman" w:hAnsi="Calibri" w:cs="Calibri"/>
                <w:b/>
                <w:bCs/>
                <w:color w:val="000000"/>
              </w:rPr>
            </w:pPr>
          </w:p>
        </w:tc>
      </w:tr>
    </w:tbl>
    <w:p w14:paraId="18216D72" w14:textId="1229DD58" w:rsidR="00E51EC3" w:rsidRDefault="00E51EC3">
      <w:pPr>
        <w:spacing w:after="160" w:line="259" w:lineRule="auto"/>
      </w:pPr>
    </w:p>
    <w:tbl>
      <w:tblPr>
        <w:tblW w:w="12780" w:type="dxa"/>
        <w:tblLook w:val="04A0" w:firstRow="1" w:lastRow="0" w:firstColumn="1" w:lastColumn="0" w:noHBand="0" w:noVBand="1"/>
      </w:tblPr>
      <w:tblGrid>
        <w:gridCol w:w="2070"/>
        <w:gridCol w:w="1530"/>
        <w:gridCol w:w="1350"/>
        <w:gridCol w:w="1350"/>
        <w:gridCol w:w="1800"/>
        <w:gridCol w:w="1980"/>
        <w:gridCol w:w="360"/>
        <w:gridCol w:w="2340"/>
      </w:tblGrid>
      <w:tr w:rsidR="00E52986" w:rsidRPr="00E52986" w14:paraId="2A6D25E7" w14:textId="77777777" w:rsidTr="00E52986">
        <w:trPr>
          <w:gridAfter w:val="2"/>
          <w:wAfter w:w="2700" w:type="dxa"/>
          <w:trHeight w:val="450"/>
        </w:trPr>
        <w:tc>
          <w:tcPr>
            <w:tcW w:w="2070" w:type="dxa"/>
            <w:vMerge w:val="restart"/>
            <w:tcBorders>
              <w:top w:val="nil"/>
              <w:left w:val="nil"/>
              <w:bottom w:val="double" w:sz="6" w:space="0" w:color="000000"/>
              <w:right w:val="nil"/>
            </w:tcBorders>
            <w:shd w:val="clear" w:color="auto" w:fill="auto"/>
            <w:vAlign w:val="center"/>
            <w:hideMark/>
          </w:tcPr>
          <w:p w14:paraId="1EC40C1A" w14:textId="77777777" w:rsidR="00E52986" w:rsidRPr="00E52986" w:rsidRDefault="00E52986" w:rsidP="00E52986">
            <w:pPr>
              <w:spacing w:after="0"/>
              <w:jc w:val="center"/>
              <w:rPr>
                <w:rFonts w:ascii="Calibri" w:eastAsia="Times New Roman" w:hAnsi="Calibri" w:cs="Calibri"/>
                <w:b/>
                <w:bCs/>
                <w:color w:val="000000"/>
              </w:rPr>
            </w:pPr>
            <w:r w:rsidRPr="00E52986">
              <w:rPr>
                <w:rFonts w:ascii="Calibri" w:eastAsia="Times New Roman" w:hAnsi="Calibri" w:cs="Calibri"/>
                <w:b/>
                <w:bCs/>
                <w:color w:val="000000"/>
              </w:rPr>
              <w:t>Variability of outcome due to PSU</w:t>
            </w:r>
          </w:p>
        </w:tc>
        <w:tc>
          <w:tcPr>
            <w:tcW w:w="1530" w:type="dxa"/>
            <w:vMerge w:val="restart"/>
            <w:tcBorders>
              <w:top w:val="nil"/>
              <w:left w:val="nil"/>
              <w:bottom w:val="double" w:sz="6" w:space="0" w:color="000000"/>
              <w:right w:val="nil"/>
            </w:tcBorders>
            <w:shd w:val="clear" w:color="auto" w:fill="auto"/>
            <w:vAlign w:val="center"/>
            <w:hideMark/>
          </w:tcPr>
          <w:p w14:paraId="62110301" w14:textId="77777777" w:rsidR="00E52986" w:rsidRPr="00E52986" w:rsidRDefault="00E52986" w:rsidP="00E52986">
            <w:pPr>
              <w:spacing w:after="0"/>
              <w:jc w:val="center"/>
              <w:rPr>
                <w:rFonts w:ascii="Calibri" w:eastAsia="Times New Roman" w:hAnsi="Calibri" w:cs="Calibri"/>
                <w:b/>
                <w:bCs/>
                <w:color w:val="000000"/>
              </w:rPr>
            </w:pPr>
            <w:r w:rsidRPr="00E52986">
              <w:rPr>
                <w:rFonts w:ascii="Calibri" w:eastAsia="Times New Roman" w:hAnsi="Calibri" w:cs="Calibri"/>
                <w:b/>
                <w:bCs/>
                <w:color w:val="000000"/>
              </w:rPr>
              <w:t>Residual variability</w:t>
            </w:r>
          </w:p>
        </w:tc>
        <w:tc>
          <w:tcPr>
            <w:tcW w:w="1350" w:type="dxa"/>
            <w:vMerge w:val="restart"/>
            <w:tcBorders>
              <w:top w:val="nil"/>
              <w:left w:val="nil"/>
              <w:bottom w:val="double" w:sz="6" w:space="0" w:color="000000"/>
              <w:right w:val="nil"/>
            </w:tcBorders>
            <w:shd w:val="clear" w:color="auto" w:fill="auto"/>
            <w:vAlign w:val="center"/>
            <w:hideMark/>
          </w:tcPr>
          <w:p w14:paraId="41AD3B18" w14:textId="77777777" w:rsidR="00E52986" w:rsidRPr="00E52986" w:rsidRDefault="00E52986" w:rsidP="00E52986">
            <w:pPr>
              <w:spacing w:after="0"/>
              <w:jc w:val="center"/>
              <w:rPr>
                <w:rFonts w:ascii="Calibri" w:eastAsia="Times New Roman" w:hAnsi="Calibri" w:cs="Calibri"/>
                <w:b/>
                <w:bCs/>
                <w:color w:val="000000"/>
              </w:rPr>
            </w:pPr>
            <w:r w:rsidRPr="00E52986">
              <w:rPr>
                <w:rFonts w:ascii="Calibri" w:eastAsia="Times New Roman" w:hAnsi="Calibri" w:cs="Calibri"/>
                <w:b/>
                <w:bCs/>
                <w:color w:val="000000"/>
              </w:rPr>
              <w:t>Effect size (in HAZ)</w:t>
            </w:r>
          </w:p>
        </w:tc>
        <w:tc>
          <w:tcPr>
            <w:tcW w:w="1350" w:type="dxa"/>
            <w:vMerge w:val="restart"/>
            <w:tcBorders>
              <w:top w:val="nil"/>
              <w:left w:val="nil"/>
              <w:bottom w:val="double" w:sz="6" w:space="0" w:color="000000"/>
              <w:right w:val="nil"/>
            </w:tcBorders>
            <w:shd w:val="clear" w:color="auto" w:fill="auto"/>
            <w:vAlign w:val="center"/>
            <w:hideMark/>
          </w:tcPr>
          <w:p w14:paraId="2DC0D99E" w14:textId="77777777" w:rsidR="00E52986" w:rsidRPr="00E52986" w:rsidRDefault="00E52986" w:rsidP="00E52986">
            <w:pPr>
              <w:spacing w:after="0"/>
              <w:jc w:val="center"/>
              <w:rPr>
                <w:rFonts w:ascii="Calibri" w:eastAsia="Times New Roman" w:hAnsi="Calibri" w:cs="Calibri"/>
                <w:b/>
                <w:bCs/>
                <w:color w:val="000000"/>
              </w:rPr>
            </w:pPr>
            <w:r w:rsidRPr="00E52986">
              <w:rPr>
                <w:rFonts w:ascii="Calibri" w:eastAsia="Times New Roman" w:hAnsi="Calibri" w:cs="Calibri"/>
                <w:b/>
                <w:bCs/>
                <w:color w:val="000000"/>
              </w:rPr>
              <w:t>MDES</w:t>
            </w:r>
          </w:p>
        </w:tc>
        <w:tc>
          <w:tcPr>
            <w:tcW w:w="1800" w:type="dxa"/>
            <w:vMerge w:val="restart"/>
            <w:tcBorders>
              <w:top w:val="nil"/>
              <w:left w:val="nil"/>
              <w:bottom w:val="double" w:sz="6" w:space="0" w:color="000000"/>
              <w:right w:val="nil"/>
            </w:tcBorders>
            <w:shd w:val="clear" w:color="auto" w:fill="auto"/>
            <w:vAlign w:val="center"/>
            <w:hideMark/>
          </w:tcPr>
          <w:p w14:paraId="5A694A54" w14:textId="77777777" w:rsidR="00E52986" w:rsidRPr="00E52986" w:rsidRDefault="00E52986" w:rsidP="00E52986">
            <w:pPr>
              <w:spacing w:after="0"/>
              <w:jc w:val="center"/>
              <w:rPr>
                <w:rFonts w:ascii="Calibri" w:eastAsia="Times New Roman" w:hAnsi="Calibri" w:cs="Calibri"/>
                <w:b/>
                <w:bCs/>
                <w:color w:val="000000"/>
              </w:rPr>
            </w:pPr>
            <w:r w:rsidRPr="00E52986">
              <w:rPr>
                <w:rFonts w:ascii="Calibri" w:eastAsia="Times New Roman" w:hAnsi="Calibri" w:cs="Calibri"/>
                <w:b/>
                <w:bCs/>
                <w:color w:val="000000"/>
              </w:rPr>
              <w:t>Signficance level</w:t>
            </w:r>
          </w:p>
        </w:tc>
        <w:tc>
          <w:tcPr>
            <w:tcW w:w="1980" w:type="dxa"/>
            <w:vMerge w:val="restart"/>
            <w:tcBorders>
              <w:top w:val="nil"/>
              <w:left w:val="nil"/>
              <w:bottom w:val="double" w:sz="6" w:space="0" w:color="000000"/>
              <w:right w:val="nil"/>
            </w:tcBorders>
            <w:shd w:val="clear" w:color="auto" w:fill="auto"/>
            <w:vAlign w:val="center"/>
            <w:hideMark/>
          </w:tcPr>
          <w:p w14:paraId="145560BE" w14:textId="77777777" w:rsidR="00E52986" w:rsidRPr="00E52986" w:rsidRDefault="00E52986" w:rsidP="00E52986">
            <w:pPr>
              <w:spacing w:after="0"/>
              <w:jc w:val="center"/>
              <w:rPr>
                <w:rFonts w:ascii="Calibri" w:eastAsia="Times New Roman" w:hAnsi="Calibri" w:cs="Calibri"/>
                <w:b/>
                <w:bCs/>
                <w:color w:val="000000"/>
              </w:rPr>
            </w:pPr>
            <w:r w:rsidRPr="00E52986">
              <w:rPr>
                <w:rFonts w:ascii="Calibri" w:eastAsia="Times New Roman" w:hAnsi="Calibri" w:cs="Calibri"/>
                <w:b/>
                <w:bCs/>
                <w:color w:val="000000"/>
              </w:rPr>
              <w:t>Power</w:t>
            </w:r>
          </w:p>
        </w:tc>
      </w:tr>
      <w:tr w:rsidR="00E52986" w:rsidRPr="00E52986" w14:paraId="35702AE7" w14:textId="77777777" w:rsidTr="00E52986">
        <w:trPr>
          <w:gridAfter w:val="1"/>
          <w:wAfter w:w="2340" w:type="dxa"/>
          <w:trHeight w:val="288"/>
        </w:trPr>
        <w:tc>
          <w:tcPr>
            <w:tcW w:w="2070" w:type="dxa"/>
            <w:vMerge/>
            <w:tcBorders>
              <w:top w:val="nil"/>
              <w:left w:val="nil"/>
              <w:bottom w:val="double" w:sz="6" w:space="0" w:color="000000"/>
              <w:right w:val="nil"/>
            </w:tcBorders>
            <w:vAlign w:val="center"/>
            <w:hideMark/>
          </w:tcPr>
          <w:p w14:paraId="3853D055" w14:textId="77777777" w:rsidR="00E52986" w:rsidRPr="00E52986" w:rsidRDefault="00E52986" w:rsidP="00E52986">
            <w:pPr>
              <w:spacing w:after="0"/>
              <w:rPr>
                <w:rFonts w:ascii="Calibri" w:eastAsia="Times New Roman" w:hAnsi="Calibri" w:cs="Calibri"/>
                <w:b/>
                <w:bCs/>
                <w:color w:val="000000"/>
              </w:rPr>
            </w:pPr>
          </w:p>
        </w:tc>
        <w:tc>
          <w:tcPr>
            <w:tcW w:w="1530" w:type="dxa"/>
            <w:vMerge/>
            <w:tcBorders>
              <w:top w:val="nil"/>
              <w:left w:val="nil"/>
              <w:bottom w:val="double" w:sz="6" w:space="0" w:color="000000"/>
              <w:right w:val="nil"/>
            </w:tcBorders>
            <w:vAlign w:val="center"/>
            <w:hideMark/>
          </w:tcPr>
          <w:p w14:paraId="026C1650" w14:textId="77777777" w:rsidR="00E52986" w:rsidRPr="00E52986" w:rsidRDefault="00E52986" w:rsidP="00E52986">
            <w:pPr>
              <w:spacing w:after="0"/>
              <w:rPr>
                <w:rFonts w:ascii="Calibri" w:eastAsia="Times New Roman" w:hAnsi="Calibri" w:cs="Calibri"/>
                <w:b/>
                <w:bCs/>
                <w:color w:val="000000"/>
              </w:rPr>
            </w:pPr>
          </w:p>
        </w:tc>
        <w:tc>
          <w:tcPr>
            <w:tcW w:w="1350" w:type="dxa"/>
            <w:vMerge/>
            <w:tcBorders>
              <w:top w:val="nil"/>
              <w:left w:val="nil"/>
              <w:bottom w:val="double" w:sz="6" w:space="0" w:color="000000"/>
              <w:right w:val="nil"/>
            </w:tcBorders>
            <w:vAlign w:val="center"/>
            <w:hideMark/>
          </w:tcPr>
          <w:p w14:paraId="07A0AED7" w14:textId="77777777" w:rsidR="00E52986" w:rsidRPr="00E52986" w:rsidRDefault="00E52986" w:rsidP="00E52986">
            <w:pPr>
              <w:spacing w:after="0"/>
              <w:rPr>
                <w:rFonts w:ascii="Calibri" w:eastAsia="Times New Roman" w:hAnsi="Calibri" w:cs="Calibri"/>
                <w:b/>
                <w:bCs/>
                <w:color w:val="000000"/>
              </w:rPr>
            </w:pPr>
          </w:p>
        </w:tc>
        <w:tc>
          <w:tcPr>
            <w:tcW w:w="1350" w:type="dxa"/>
            <w:vMerge/>
            <w:tcBorders>
              <w:top w:val="nil"/>
              <w:left w:val="nil"/>
              <w:bottom w:val="double" w:sz="6" w:space="0" w:color="000000"/>
              <w:right w:val="nil"/>
            </w:tcBorders>
            <w:vAlign w:val="center"/>
            <w:hideMark/>
          </w:tcPr>
          <w:p w14:paraId="3A60354A" w14:textId="77777777" w:rsidR="00E52986" w:rsidRPr="00E52986" w:rsidRDefault="00E52986" w:rsidP="00E52986">
            <w:pPr>
              <w:spacing w:after="0"/>
              <w:rPr>
                <w:rFonts w:ascii="Calibri" w:eastAsia="Times New Roman" w:hAnsi="Calibri" w:cs="Calibri"/>
                <w:b/>
                <w:bCs/>
                <w:color w:val="000000"/>
              </w:rPr>
            </w:pPr>
          </w:p>
        </w:tc>
        <w:tc>
          <w:tcPr>
            <w:tcW w:w="1800" w:type="dxa"/>
            <w:vMerge/>
            <w:tcBorders>
              <w:top w:val="nil"/>
              <w:left w:val="nil"/>
              <w:bottom w:val="double" w:sz="6" w:space="0" w:color="000000"/>
              <w:right w:val="nil"/>
            </w:tcBorders>
            <w:vAlign w:val="center"/>
            <w:hideMark/>
          </w:tcPr>
          <w:p w14:paraId="17E937C9" w14:textId="77777777" w:rsidR="00E52986" w:rsidRPr="00E52986" w:rsidRDefault="00E52986" w:rsidP="00E52986">
            <w:pPr>
              <w:spacing w:after="0"/>
              <w:rPr>
                <w:rFonts w:ascii="Calibri" w:eastAsia="Times New Roman" w:hAnsi="Calibri" w:cs="Calibri"/>
                <w:b/>
                <w:bCs/>
                <w:color w:val="000000"/>
              </w:rPr>
            </w:pPr>
          </w:p>
        </w:tc>
        <w:tc>
          <w:tcPr>
            <w:tcW w:w="1980" w:type="dxa"/>
            <w:vMerge/>
            <w:tcBorders>
              <w:top w:val="nil"/>
              <w:left w:val="nil"/>
              <w:bottom w:val="double" w:sz="6" w:space="0" w:color="000000"/>
              <w:right w:val="nil"/>
            </w:tcBorders>
            <w:vAlign w:val="center"/>
            <w:hideMark/>
          </w:tcPr>
          <w:p w14:paraId="690DD164" w14:textId="77777777" w:rsidR="00E52986" w:rsidRPr="00E52986" w:rsidRDefault="00E52986" w:rsidP="00E52986">
            <w:pPr>
              <w:spacing w:after="0"/>
              <w:rPr>
                <w:rFonts w:ascii="Calibri" w:eastAsia="Times New Roman" w:hAnsi="Calibri" w:cs="Calibri"/>
                <w:b/>
                <w:bCs/>
                <w:color w:val="000000"/>
              </w:rPr>
            </w:pPr>
          </w:p>
        </w:tc>
        <w:tc>
          <w:tcPr>
            <w:tcW w:w="360" w:type="dxa"/>
            <w:tcBorders>
              <w:top w:val="nil"/>
              <w:left w:val="nil"/>
              <w:bottom w:val="nil"/>
              <w:right w:val="nil"/>
            </w:tcBorders>
            <w:shd w:val="clear" w:color="auto" w:fill="auto"/>
            <w:noWrap/>
            <w:vAlign w:val="bottom"/>
            <w:hideMark/>
          </w:tcPr>
          <w:p w14:paraId="5226CC15" w14:textId="77777777" w:rsidR="00E52986" w:rsidRPr="00E52986" w:rsidRDefault="00E52986" w:rsidP="00E52986">
            <w:pPr>
              <w:spacing w:after="0"/>
              <w:jc w:val="center"/>
              <w:rPr>
                <w:rFonts w:ascii="Calibri" w:eastAsia="Times New Roman" w:hAnsi="Calibri" w:cs="Calibri"/>
                <w:b/>
                <w:bCs/>
                <w:color w:val="000000"/>
              </w:rPr>
            </w:pPr>
          </w:p>
        </w:tc>
      </w:tr>
      <w:tr w:rsidR="00E52986" w:rsidRPr="00E52986" w14:paraId="5032353F" w14:textId="77777777" w:rsidTr="00E52986">
        <w:trPr>
          <w:gridAfter w:val="1"/>
          <w:wAfter w:w="2340" w:type="dxa"/>
          <w:trHeight w:val="35"/>
        </w:trPr>
        <w:tc>
          <w:tcPr>
            <w:tcW w:w="2070" w:type="dxa"/>
            <w:vMerge/>
            <w:tcBorders>
              <w:top w:val="nil"/>
              <w:left w:val="nil"/>
              <w:bottom w:val="double" w:sz="6" w:space="0" w:color="000000"/>
              <w:right w:val="nil"/>
            </w:tcBorders>
            <w:vAlign w:val="center"/>
            <w:hideMark/>
          </w:tcPr>
          <w:p w14:paraId="2B2AC1A0" w14:textId="77777777" w:rsidR="00E52986" w:rsidRPr="00E52986" w:rsidRDefault="00E52986" w:rsidP="00E52986">
            <w:pPr>
              <w:spacing w:after="0"/>
              <w:rPr>
                <w:rFonts w:ascii="Calibri" w:eastAsia="Times New Roman" w:hAnsi="Calibri" w:cs="Calibri"/>
                <w:b/>
                <w:bCs/>
                <w:color w:val="000000"/>
              </w:rPr>
            </w:pPr>
          </w:p>
        </w:tc>
        <w:tc>
          <w:tcPr>
            <w:tcW w:w="1530" w:type="dxa"/>
            <w:vMerge/>
            <w:tcBorders>
              <w:top w:val="nil"/>
              <w:left w:val="nil"/>
              <w:bottom w:val="double" w:sz="6" w:space="0" w:color="000000"/>
              <w:right w:val="nil"/>
            </w:tcBorders>
            <w:vAlign w:val="center"/>
            <w:hideMark/>
          </w:tcPr>
          <w:p w14:paraId="2252EB92" w14:textId="77777777" w:rsidR="00E52986" w:rsidRPr="00E52986" w:rsidRDefault="00E52986" w:rsidP="00E52986">
            <w:pPr>
              <w:spacing w:after="0"/>
              <w:rPr>
                <w:rFonts w:ascii="Calibri" w:eastAsia="Times New Roman" w:hAnsi="Calibri" w:cs="Calibri"/>
                <w:b/>
                <w:bCs/>
                <w:color w:val="000000"/>
              </w:rPr>
            </w:pPr>
          </w:p>
        </w:tc>
        <w:tc>
          <w:tcPr>
            <w:tcW w:w="1350" w:type="dxa"/>
            <w:vMerge/>
            <w:tcBorders>
              <w:top w:val="nil"/>
              <w:left w:val="nil"/>
              <w:bottom w:val="double" w:sz="6" w:space="0" w:color="000000"/>
              <w:right w:val="nil"/>
            </w:tcBorders>
            <w:vAlign w:val="center"/>
            <w:hideMark/>
          </w:tcPr>
          <w:p w14:paraId="62240EB6" w14:textId="77777777" w:rsidR="00E52986" w:rsidRPr="00E52986" w:rsidRDefault="00E52986" w:rsidP="00E52986">
            <w:pPr>
              <w:spacing w:after="0"/>
              <w:rPr>
                <w:rFonts w:ascii="Calibri" w:eastAsia="Times New Roman" w:hAnsi="Calibri" w:cs="Calibri"/>
                <w:b/>
                <w:bCs/>
                <w:color w:val="000000"/>
              </w:rPr>
            </w:pPr>
          </w:p>
        </w:tc>
        <w:tc>
          <w:tcPr>
            <w:tcW w:w="1350" w:type="dxa"/>
            <w:vMerge/>
            <w:tcBorders>
              <w:top w:val="nil"/>
              <w:left w:val="nil"/>
              <w:bottom w:val="double" w:sz="6" w:space="0" w:color="000000"/>
              <w:right w:val="nil"/>
            </w:tcBorders>
            <w:vAlign w:val="center"/>
            <w:hideMark/>
          </w:tcPr>
          <w:p w14:paraId="1C5551AF" w14:textId="77777777" w:rsidR="00E52986" w:rsidRPr="00E52986" w:rsidRDefault="00E52986" w:rsidP="00E52986">
            <w:pPr>
              <w:spacing w:after="0"/>
              <w:rPr>
                <w:rFonts w:ascii="Calibri" w:eastAsia="Times New Roman" w:hAnsi="Calibri" w:cs="Calibri"/>
                <w:b/>
                <w:bCs/>
                <w:color w:val="000000"/>
              </w:rPr>
            </w:pPr>
          </w:p>
        </w:tc>
        <w:tc>
          <w:tcPr>
            <w:tcW w:w="1800" w:type="dxa"/>
            <w:vMerge/>
            <w:tcBorders>
              <w:top w:val="nil"/>
              <w:left w:val="nil"/>
              <w:bottom w:val="double" w:sz="6" w:space="0" w:color="000000"/>
              <w:right w:val="nil"/>
            </w:tcBorders>
            <w:vAlign w:val="center"/>
            <w:hideMark/>
          </w:tcPr>
          <w:p w14:paraId="102B59D4" w14:textId="77777777" w:rsidR="00E52986" w:rsidRPr="00E52986" w:rsidRDefault="00E52986" w:rsidP="00E52986">
            <w:pPr>
              <w:spacing w:after="0"/>
              <w:rPr>
                <w:rFonts w:ascii="Calibri" w:eastAsia="Times New Roman" w:hAnsi="Calibri" w:cs="Calibri"/>
                <w:b/>
                <w:bCs/>
                <w:color w:val="000000"/>
              </w:rPr>
            </w:pPr>
          </w:p>
        </w:tc>
        <w:tc>
          <w:tcPr>
            <w:tcW w:w="1980" w:type="dxa"/>
            <w:vMerge/>
            <w:tcBorders>
              <w:top w:val="nil"/>
              <w:left w:val="nil"/>
              <w:bottom w:val="double" w:sz="6" w:space="0" w:color="000000"/>
              <w:right w:val="nil"/>
            </w:tcBorders>
            <w:vAlign w:val="center"/>
            <w:hideMark/>
          </w:tcPr>
          <w:p w14:paraId="6A21D6C8" w14:textId="77777777" w:rsidR="00E52986" w:rsidRPr="00E52986" w:rsidRDefault="00E52986" w:rsidP="00E52986">
            <w:pPr>
              <w:spacing w:after="0"/>
              <w:rPr>
                <w:rFonts w:ascii="Calibri" w:eastAsia="Times New Roman" w:hAnsi="Calibri" w:cs="Calibri"/>
                <w:b/>
                <w:bCs/>
                <w:color w:val="000000"/>
              </w:rPr>
            </w:pPr>
          </w:p>
        </w:tc>
        <w:tc>
          <w:tcPr>
            <w:tcW w:w="360" w:type="dxa"/>
            <w:tcBorders>
              <w:top w:val="nil"/>
              <w:left w:val="nil"/>
              <w:bottom w:val="nil"/>
              <w:right w:val="nil"/>
            </w:tcBorders>
            <w:shd w:val="clear" w:color="auto" w:fill="auto"/>
            <w:noWrap/>
            <w:vAlign w:val="bottom"/>
            <w:hideMark/>
          </w:tcPr>
          <w:p w14:paraId="2F399C69" w14:textId="77777777" w:rsidR="00E52986" w:rsidRPr="00E52986" w:rsidRDefault="00E52986" w:rsidP="00E52986">
            <w:pPr>
              <w:spacing w:after="0"/>
              <w:rPr>
                <w:rFonts w:ascii="Times New Roman" w:eastAsia="Times New Roman" w:hAnsi="Times New Roman" w:cs="Times New Roman"/>
                <w:sz w:val="20"/>
                <w:szCs w:val="20"/>
              </w:rPr>
            </w:pPr>
          </w:p>
        </w:tc>
      </w:tr>
      <w:tr w:rsidR="00E52986" w:rsidRPr="00E52986" w14:paraId="2CBC230E" w14:textId="77777777" w:rsidTr="00E52986">
        <w:trPr>
          <w:gridAfter w:val="1"/>
          <w:wAfter w:w="2340" w:type="dxa"/>
          <w:trHeight w:val="300"/>
        </w:trPr>
        <w:tc>
          <w:tcPr>
            <w:tcW w:w="10080" w:type="dxa"/>
            <w:gridSpan w:val="6"/>
            <w:tcBorders>
              <w:top w:val="nil"/>
              <w:left w:val="nil"/>
              <w:bottom w:val="nil"/>
              <w:right w:val="nil"/>
            </w:tcBorders>
            <w:shd w:val="clear" w:color="auto" w:fill="auto"/>
            <w:noWrap/>
            <w:vAlign w:val="bottom"/>
            <w:hideMark/>
          </w:tcPr>
          <w:p w14:paraId="31318835" w14:textId="77777777" w:rsidR="00E52986" w:rsidRPr="00E52986" w:rsidRDefault="00E52986" w:rsidP="00E52986">
            <w:pPr>
              <w:spacing w:after="0"/>
              <w:rPr>
                <w:rFonts w:ascii="Calibri" w:eastAsia="Times New Roman" w:hAnsi="Calibri" w:cs="Calibri"/>
                <w:color w:val="000000"/>
              </w:rPr>
            </w:pPr>
            <w:r w:rsidRPr="00E52986">
              <w:rPr>
                <w:rFonts w:ascii="Calibri" w:eastAsia="Times New Roman" w:hAnsi="Calibri" w:cs="Calibri"/>
                <w:color w:val="000000"/>
              </w:rPr>
              <w:t>Evaluation question 1, scenario 1, only Ubudehe-1 and Ubudehe-2 children</w:t>
            </w:r>
          </w:p>
        </w:tc>
        <w:tc>
          <w:tcPr>
            <w:tcW w:w="360" w:type="dxa"/>
            <w:vAlign w:val="center"/>
            <w:hideMark/>
          </w:tcPr>
          <w:p w14:paraId="54431652" w14:textId="77777777" w:rsidR="00E52986" w:rsidRPr="00E52986" w:rsidRDefault="00E52986" w:rsidP="00E52986">
            <w:pPr>
              <w:spacing w:after="0"/>
              <w:rPr>
                <w:rFonts w:ascii="Times New Roman" w:eastAsia="Times New Roman" w:hAnsi="Times New Roman" w:cs="Times New Roman"/>
                <w:sz w:val="20"/>
                <w:szCs w:val="20"/>
              </w:rPr>
            </w:pPr>
          </w:p>
        </w:tc>
      </w:tr>
      <w:tr w:rsidR="00E52986" w:rsidRPr="00E52986" w14:paraId="39E03ABA" w14:textId="77777777" w:rsidTr="00E52986">
        <w:trPr>
          <w:gridAfter w:val="1"/>
          <w:wAfter w:w="2340" w:type="dxa"/>
          <w:trHeight w:val="288"/>
        </w:trPr>
        <w:tc>
          <w:tcPr>
            <w:tcW w:w="2070" w:type="dxa"/>
            <w:tcBorders>
              <w:top w:val="nil"/>
              <w:left w:val="nil"/>
              <w:bottom w:val="nil"/>
              <w:right w:val="nil"/>
            </w:tcBorders>
            <w:shd w:val="clear" w:color="auto" w:fill="auto"/>
            <w:noWrap/>
            <w:vAlign w:val="bottom"/>
            <w:hideMark/>
          </w:tcPr>
          <w:p w14:paraId="48998CB4" w14:textId="77777777" w:rsidR="00E52986" w:rsidRPr="00E52986" w:rsidRDefault="00E52986" w:rsidP="00E52986">
            <w:pPr>
              <w:spacing w:after="0"/>
              <w:jc w:val="center"/>
              <w:rPr>
                <w:rFonts w:ascii="Calibri" w:eastAsia="Times New Roman" w:hAnsi="Calibri" w:cs="Calibri"/>
                <w:color w:val="000000"/>
              </w:rPr>
            </w:pPr>
            <w:r w:rsidRPr="00E52986">
              <w:rPr>
                <w:rFonts w:ascii="Calibri" w:eastAsia="Times New Roman" w:hAnsi="Calibri" w:cs="Calibri"/>
                <w:color w:val="000000"/>
              </w:rPr>
              <w:t>0.06</w:t>
            </w:r>
          </w:p>
        </w:tc>
        <w:tc>
          <w:tcPr>
            <w:tcW w:w="1530" w:type="dxa"/>
            <w:tcBorders>
              <w:top w:val="nil"/>
              <w:left w:val="nil"/>
              <w:bottom w:val="nil"/>
              <w:right w:val="nil"/>
            </w:tcBorders>
            <w:shd w:val="clear" w:color="auto" w:fill="auto"/>
            <w:noWrap/>
            <w:vAlign w:val="bottom"/>
            <w:hideMark/>
          </w:tcPr>
          <w:p w14:paraId="45B7AD35" w14:textId="77777777" w:rsidR="00E52986" w:rsidRPr="00E52986" w:rsidRDefault="00E52986" w:rsidP="00E52986">
            <w:pPr>
              <w:spacing w:after="0"/>
              <w:jc w:val="center"/>
              <w:rPr>
                <w:rFonts w:ascii="Calibri" w:eastAsia="Times New Roman" w:hAnsi="Calibri" w:cs="Calibri"/>
                <w:color w:val="000000"/>
              </w:rPr>
            </w:pPr>
            <w:r w:rsidRPr="00E52986">
              <w:rPr>
                <w:rFonts w:ascii="Calibri" w:eastAsia="Times New Roman" w:hAnsi="Calibri" w:cs="Calibri"/>
                <w:color w:val="000000"/>
              </w:rPr>
              <w:t>1.12</w:t>
            </w:r>
          </w:p>
        </w:tc>
        <w:tc>
          <w:tcPr>
            <w:tcW w:w="1350" w:type="dxa"/>
            <w:tcBorders>
              <w:top w:val="nil"/>
              <w:left w:val="nil"/>
              <w:bottom w:val="nil"/>
              <w:right w:val="nil"/>
            </w:tcBorders>
            <w:shd w:val="clear" w:color="auto" w:fill="auto"/>
            <w:noWrap/>
            <w:vAlign w:val="bottom"/>
            <w:hideMark/>
          </w:tcPr>
          <w:p w14:paraId="327C9F99" w14:textId="77777777" w:rsidR="00E52986" w:rsidRPr="00E52986" w:rsidRDefault="00E52986" w:rsidP="00E52986">
            <w:pPr>
              <w:spacing w:after="0"/>
              <w:jc w:val="center"/>
              <w:rPr>
                <w:rFonts w:ascii="Calibri" w:eastAsia="Times New Roman" w:hAnsi="Calibri" w:cs="Calibri"/>
                <w:b/>
                <w:bCs/>
                <w:color w:val="000000"/>
              </w:rPr>
            </w:pPr>
            <w:r w:rsidRPr="00E52986">
              <w:rPr>
                <w:rFonts w:ascii="Calibri" w:eastAsia="Times New Roman" w:hAnsi="Calibri" w:cs="Calibri"/>
                <w:b/>
                <w:bCs/>
                <w:color w:val="000000"/>
              </w:rPr>
              <w:t>0.085</w:t>
            </w:r>
          </w:p>
        </w:tc>
        <w:tc>
          <w:tcPr>
            <w:tcW w:w="1350" w:type="dxa"/>
            <w:tcBorders>
              <w:top w:val="nil"/>
              <w:left w:val="nil"/>
              <w:bottom w:val="nil"/>
              <w:right w:val="nil"/>
            </w:tcBorders>
            <w:shd w:val="clear" w:color="auto" w:fill="auto"/>
            <w:noWrap/>
            <w:vAlign w:val="bottom"/>
            <w:hideMark/>
          </w:tcPr>
          <w:p w14:paraId="72038626" w14:textId="77777777" w:rsidR="00E52986" w:rsidRPr="00E52986" w:rsidRDefault="00E52986" w:rsidP="00E52986">
            <w:pPr>
              <w:spacing w:after="0"/>
              <w:jc w:val="center"/>
              <w:rPr>
                <w:rFonts w:ascii="Calibri" w:eastAsia="Times New Roman" w:hAnsi="Calibri" w:cs="Calibri"/>
                <w:b/>
                <w:bCs/>
                <w:color w:val="000000"/>
              </w:rPr>
            </w:pPr>
            <w:r w:rsidRPr="00E52986">
              <w:rPr>
                <w:rFonts w:ascii="Calibri" w:eastAsia="Times New Roman" w:hAnsi="Calibri" w:cs="Calibri"/>
                <w:b/>
                <w:bCs/>
                <w:color w:val="000000"/>
              </w:rPr>
              <w:t>0.071</w:t>
            </w:r>
          </w:p>
        </w:tc>
        <w:tc>
          <w:tcPr>
            <w:tcW w:w="1800" w:type="dxa"/>
            <w:tcBorders>
              <w:top w:val="nil"/>
              <w:left w:val="nil"/>
              <w:bottom w:val="nil"/>
              <w:right w:val="nil"/>
            </w:tcBorders>
            <w:shd w:val="clear" w:color="auto" w:fill="auto"/>
            <w:noWrap/>
            <w:vAlign w:val="bottom"/>
            <w:hideMark/>
          </w:tcPr>
          <w:p w14:paraId="0C3E4A48" w14:textId="77777777" w:rsidR="00E52986" w:rsidRPr="00E52986" w:rsidRDefault="00E52986" w:rsidP="00E52986">
            <w:pPr>
              <w:spacing w:after="0"/>
              <w:jc w:val="center"/>
              <w:rPr>
                <w:rFonts w:ascii="Calibri" w:eastAsia="Times New Roman" w:hAnsi="Calibri" w:cs="Calibri"/>
                <w:color w:val="000000"/>
              </w:rPr>
            </w:pPr>
            <w:r w:rsidRPr="00E52986">
              <w:rPr>
                <w:rFonts w:ascii="Calibri" w:eastAsia="Times New Roman" w:hAnsi="Calibri" w:cs="Calibri"/>
                <w:color w:val="000000"/>
              </w:rPr>
              <w:t>0.05</w:t>
            </w:r>
          </w:p>
        </w:tc>
        <w:tc>
          <w:tcPr>
            <w:tcW w:w="1980" w:type="dxa"/>
            <w:tcBorders>
              <w:top w:val="nil"/>
              <w:left w:val="nil"/>
              <w:bottom w:val="nil"/>
              <w:right w:val="nil"/>
            </w:tcBorders>
            <w:shd w:val="clear" w:color="auto" w:fill="auto"/>
            <w:noWrap/>
            <w:vAlign w:val="bottom"/>
            <w:hideMark/>
          </w:tcPr>
          <w:p w14:paraId="4CB463FA" w14:textId="77777777" w:rsidR="00E52986" w:rsidRPr="00E52986" w:rsidRDefault="00E52986" w:rsidP="00E52986">
            <w:pPr>
              <w:spacing w:after="0"/>
              <w:jc w:val="center"/>
              <w:rPr>
                <w:rFonts w:ascii="Calibri" w:eastAsia="Times New Roman" w:hAnsi="Calibri" w:cs="Calibri"/>
                <w:b/>
                <w:bCs/>
                <w:color w:val="000000"/>
              </w:rPr>
            </w:pPr>
            <w:r w:rsidRPr="00E52986">
              <w:rPr>
                <w:rFonts w:ascii="Calibri" w:eastAsia="Times New Roman" w:hAnsi="Calibri" w:cs="Calibri"/>
                <w:b/>
                <w:bCs/>
                <w:color w:val="000000"/>
              </w:rPr>
              <w:t>0.843</w:t>
            </w:r>
          </w:p>
        </w:tc>
        <w:tc>
          <w:tcPr>
            <w:tcW w:w="360" w:type="dxa"/>
            <w:vAlign w:val="center"/>
            <w:hideMark/>
          </w:tcPr>
          <w:p w14:paraId="3F6C5406" w14:textId="77777777" w:rsidR="00E52986" w:rsidRPr="00E52986" w:rsidRDefault="00E52986" w:rsidP="00E52986">
            <w:pPr>
              <w:spacing w:after="0"/>
              <w:rPr>
                <w:rFonts w:ascii="Times New Roman" w:eastAsia="Times New Roman" w:hAnsi="Times New Roman" w:cs="Times New Roman"/>
                <w:sz w:val="20"/>
                <w:szCs w:val="20"/>
              </w:rPr>
            </w:pPr>
          </w:p>
        </w:tc>
      </w:tr>
      <w:tr w:rsidR="00E52986" w:rsidRPr="00E52986" w14:paraId="12CC313D" w14:textId="77777777" w:rsidTr="00E52986">
        <w:trPr>
          <w:gridAfter w:val="1"/>
          <w:wAfter w:w="2340" w:type="dxa"/>
          <w:trHeight w:val="288"/>
        </w:trPr>
        <w:tc>
          <w:tcPr>
            <w:tcW w:w="6300" w:type="dxa"/>
            <w:gridSpan w:val="4"/>
            <w:tcBorders>
              <w:top w:val="nil"/>
              <w:left w:val="nil"/>
              <w:bottom w:val="nil"/>
              <w:right w:val="nil"/>
            </w:tcBorders>
            <w:shd w:val="clear" w:color="auto" w:fill="auto"/>
            <w:noWrap/>
            <w:vAlign w:val="bottom"/>
            <w:hideMark/>
          </w:tcPr>
          <w:p w14:paraId="6A39D586" w14:textId="77777777" w:rsidR="00E52986" w:rsidRPr="00E52986" w:rsidRDefault="00E52986" w:rsidP="00E52986">
            <w:pPr>
              <w:spacing w:after="0"/>
              <w:rPr>
                <w:rFonts w:ascii="Calibri" w:eastAsia="Times New Roman" w:hAnsi="Calibri" w:cs="Calibri"/>
                <w:color w:val="000000"/>
              </w:rPr>
            </w:pPr>
            <w:r w:rsidRPr="00E52986">
              <w:rPr>
                <w:rFonts w:ascii="Calibri" w:eastAsia="Times New Roman" w:hAnsi="Calibri" w:cs="Calibri"/>
                <w:color w:val="000000"/>
              </w:rPr>
              <w:t>Evaluation question 1, scenario 2, all children</w:t>
            </w:r>
          </w:p>
        </w:tc>
        <w:tc>
          <w:tcPr>
            <w:tcW w:w="1800" w:type="dxa"/>
            <w:tcBorders>
              <w:top w:val="nil"/>
              <w:left w:val="nil"/>
              <w:bottom w:val="nil"/>
              <w:right w:val="nil"/>
            </w:tcBorders>
            <w:shd w:val="clear" w:color="auto" w:fill="auto"/>
            <w:noWrap/>
            <w:vAlign w:val="bottom"/>
            <w:hideMark/>
          </w:tcPr>
          <w:p w14:paraId="47C15B5B" w14:textId="77777777" w:rsidR="00E52986" w:rsidRPr="00E52986" w:rsidRDefault="00E52986" w:rsidP="00E52986">
            <w:pPr>
              <w:spacing w:after="0"/>
              <w:rPr>
                <w:rFonts w:ascii="Calibri" w:eastAsia="Times New Roman" w:hAnsi="Calibri" w:cs="Calibri"/>
                <w:color w:val="000000"/>
              </w:rPr>
            </w:pPr>
          </w:p>
        </w:tc>
        <w:tc>
          <w:tcPr>
            <w:tcW w:w="1980" w:type="dxa"/>
            <w:tcBorders>
              <w:top w:val="nil"/>
              <w:left w:val="nil"/>
              <w:bottom w:val="nil"/>
              <w:right w:val="nil"/>
            </w:tcBorders>
            <w:shd w:val="clear" w:color="auto" w:fill="auto"/>
            <w:noWrap/>
            <w:vAlign w:val="bottom"/>
            <w:hideMark/>
          </w:tcPr>
          <w:p w14:paraId="5FDA9E8E" w14:textId="77777777" w:rsidR="00E52986" w:rsidRPr="00E52986" w:rsidRDefault="00E52986" w:rsidP="00E52986">
            <w:pPr>
              <w:spacing w:after="0"/>
              <w:rPr>
                <w:rFonts w:ascii="Times New Roman" w:eastAsia="Times New Roman" w:hAnsi="Times New Roman" w:cs="Times New Roman"/>
                <w:sz w:val="20"/>
                <w:szCs w:val="20"/>
              </w:rPr>
            </w:pPr>
          </w:p>
        </w:tc>
        <w:tc>
          <w:tcPr>
            <w:tcW w:w="360" w:type="dxa"/>
            <w:vAlign w:val="center"/>
            <w:hideMark/>
          </w:tcPr>
          <w:p w14:paraId="61018806" w14:textId="77777777" w:rsidR="00E52986" w:rsidRPr="00E52986" w:rsidRDefault="00E52986" w:rsidP="00E52986">
            <w:pPr>
              <w:spacing w:after="0"/>
              <w:rPr>
                <w:rFonts w:ascii="Times New Roman" w:eastAsia="Times New Roman" w:hAnsi="Times New Roman" w:cs="Times New Roman"/>
                <w:sz w:val="20"/>
                <w:szCs w:val="20"/>
              </w:rPr>
            </w:pPr>
          </w:p>
        </w:tc>
      </w:tr>
      <w:tr w:rsidR="00E52986" w:rsidRPr="00E52986" w14:paraId="23ABB9D9" w14:textId="77777777" w:rsidTr="00E52986">
        <w:trPr>
          <w:gridAfter w:val="1"/>
          <w:wAfter w:w="2340" w:type="dxa"/>
          <w:trHeight w:val="288"/>
        </w:trPr>
        <w:tc>
          <w:tcPr>
            <w:tcW w:w="2070" w:type="dxa"/>
            <w:tcBorders>
              <w:top w:val="nil"/>
              <w:left w:val="nil"/>
              <w:bottom w:val="nil"/>
              <w:right w:val="nil"/>
            </w:tcBorders>
            <w:shd w:val="clear" w:color="auto" w:fill="auto"/>
            <w:noWrap/>
            <w:vAlign w:val="bottom"/>
            <w:hideMark/>
          </w:tcPr>
          <w:p w14:paraId="3E89A995" w14:textId="77777777" w:rsidR="00E52986" w:rsidRPr="00E52986" w:rsidRDefault="00E52986" w:rsidP="00E52986">
            <w:pPr>
              <w:spacing w:after="0"/>
              <w:jc w:val="center"/>
              <w:rPr>
                <w:rFonts w:ascii="Calibri" w:eastAsia="Times New Roman" w:hAnsi="Calibri" w:cs="Calibri"/>
                <w:color w:val="000000"/>
              </w:rPr>
            </w:pPr>
            <w:r w:rsidRPr="00E52986">
              <w:rPr>
                <w:rFonts w:ascii="Calibri" w:eastAsia="Times New Roman" w:hAnsi="Calibri" w:cs="Calibri"/>
                <w:color w:val="000000"/>
              </w:rPr>
              <w:t>0.06</w:t>
            </w:r>
          </w:p>
        </w:tc>
        <w:tc>
          <w:tcPr>
            <w:tcW w:w="1530" w:type="dxa"/>
            <w:tcBorders>
              <w:top w:val="nil"/>
              <w:left w:val="nil"/>
              <w:bottom w:val="nil"/>
              <w:right w:val="nil"/>
            </w:tcBorders>
            <w:shd w:val="clear" w:color="auto" w:fill="auto"/>
            <w:noWrap/>
            <w:vAlign w:val="bottom"/>
            <w:hideMark/>
          </w:tcPr>
          <w:p w14:paraId="423B8A5A" w14:textId="77777777" w:rsidR="00E52986" w:rsidRPr="00E52986" w:rsidRDefault="00E52986" w:rsidP="00E52986">
            <w:pPr>
              <w:spacing w:after="0"/>
              <w:jc w:val="center"/>
              <w:rPr>
                <w:rFonts w:ascii="Calibri" w:eastAsia="Times New Roman" w:hAnsi="Calibri" w:cs="Calibri"/>
                <w:color w:val="000000"/>
              </w:rPr>
            </w:pPr>
            <w:r w:rsidRPr="00E52986">
              <w:rPr>
                <w:rFonts w:ascii="Calibri" w:eastAsia="Times New Roman" w:hAnsi="Calibri" w:cs="Calibri"/>
                <w:color w:val="000000"/>
              </w:rPr>
              <w:t>1.12</w:t>
            </w:r>
          </w:p>
        </w:tc>
        <w:tc>
          <w:tcPr>
            <w:tcW w:w="1350" w:type="dxa"/>
            <w:tcBorders>
              <w:top w:val="nil"/>
              <w:left w:val="nil"/>
              <w:bottom w:val="nil"/>
              <w:right w:val="nil"/>
            </w:tcBorders>
            <w:shd w:val="clear" w:color="auto" w:fill="auto"/>
            <w:noWrap/>
            <w:vAlign w:val="bottom"/>
            <w:hideMark/>
          </w:tcPr>
          <w:p w14:paraId="013774A4" w14:textId="77777777" w:rsidR="00E52986" w:rsidRPr="00E52986" w:rsidRDefault="00E52986" w:rsidP="00E52986">
            <w:pPr>
              <w:spacing w:after="0"/>
              <w:jc w:val="center"/>
              <w:rPr>
                <w:rFonts w:ascii="Calibri" w:eastAsia="Times New Roman" w:hAnsi="Calibri" w:cs="Calibri"/>
                <w:b/>
                <w:bCs/>
                <w:color w:val="000000"/>
              </w:rPr>
            </w:pPr>
            <w:r w:rsidRPr="00E52986">
              <w:rPr>
                <w:rFonts w:ascii="Calibri" w:eastAsia="Times New Roman" w:hAnsi="Calibri" w:cs="Calibri"/>
                <w:b/>
                <w:bCs/>
                <w:color w:val="000000"/>
              </w:rPr>
              <w:t>0.075</w:t>
            </w:r>
          </w:p>
        </w:tc>
        <w:tc>
          <w:tcPr>
            <w:tcW w:w="1350" w:type="dxa"/>
            <w:tcBorders>
              <w:top w:val="nil"/>
              <w:left w:val="nil"/>
              <w:bottom w:val="nil"/>
              <w:right w:val="nil"/>
            </w:tcBorders>
            <w:shd w:val="clear" w:color="auto" w:fill="auto"/>
            <w:noWrap/>
            <w:vAlign w:val="bottom"/>
            <w:hideMark/>
          </w:tcPr>
          <w:p w14:paraId="4782782B" w14:textId="77777777" w:rsidR="00E52986" w:rsidRPr="00E52986" w:rsidRDefault="00E52986" w:rsidP="00E52986">
            <w:pPr>
              <w:spacing w:after="0"/>
              <w:jc w:val="center"/>
              <w:rPr>
                <w:rFonts w:ascii="Calibri" w:eastAsia="Times New Roman" w:hAnsi="Calibri" w:cs="Calibri"/>
                <w:b/>
                <w:bCs/>
                <w:color w:val="000000"/>
              </w:rPr>
            </w:pPr>
            <w:r w:rsidRPr="00E52986">
              <w:rPr>
                <w:rFonts w:ascii="Calibri" w:eastAsia="Times New Roman" w:hAnsi="Calibri" w:cs="Calibri"/>
                <w:b/>
                <w:bCs/>
                <w:color w:val="000000"/>
              </w:rPr>
              <w:t>0.063</w:t>
            </w:r>
          </w:p>
        </w:tc>
        <w:tc>
          <w:tcPr>
            <w:tcW w:w="1800" w:type="dxa"/>
            <w:tcBorders>
              <w:top w:val="nil"/>
              <w:left w:val="nil"/>
              <w:bottom w:val="nil"/>
              <w:right w:val="nil"/>
            </w:tcBorders>
            <w:shd w:val="clear" w:color="auto" w:fill="auto"/>
            <w:noWrap/>
            <w:vAlign w:val="bottom"/>
            <w:hideMark/>
          </w:tcPr>
          <w:p w14:paraId="7348D320" w14:textId="77777777" w:rsidR="00E52986" w:rsidRPr="00E52986" w:rsidRDefault="00E52986" w:rsidP="00E52986">
            <w:pPr>
              <w:spacing w:after="0"/>
              <w:jc w:val="center"/>
              <w:rPr>
                <w:rFonts w:ascii="Calibri" w:eastAsia="Times New Roman" w:hAnsi="Calibri" w:cs="Calibri"/>
                <w:color w:val="000000"/>
              </w:rPr>
            </w:pPr>
            <w:r w:rsidRPr="00E52986">
              <w:rPr>
                <w:rFonts w:ascii="Calibri" w:eastAsia="Times New Roman" w:hAnsi="Calibri" w:cs="Calibri"/>
                <w:color w:val="000000"/>
              </w:rPr>
              <w:t>0.05</w:t>
            </w:r>
          </w:p>
        </w:tc>
        <w:tc>
          <w:tcPr>
            <w:tcW w:w="1980" w:type="dxa"/>
            <w:tcBorders>
              <w:top w:val="nil"/>
              <w:left w:val="nil"/>
              <w:bottom w:val="nil"/>
              <w:right w:val="nil"/>
            </w:tcBorders>
            <w:shd w:val="clear" w:color="auto" w:fill="auto"/>
            <w:noWrap/>
            <w:vAlign w:val="bottom"/>
            <w:hideMark/>
          </w:tcPr>
          <w:p w14:paraId="4BD85F32" w14:textId="77777777" w:rsidR="00E52986" w:rsidRPr="00E52986" w:rsidRDefault="00E52986" w:rsidP="00E52986">
            <w:pPr>
              <w:spacing w:after="0"/>
              <w:jc w:val="center"/>
              <w:rPr>
                <w:rFonts w:ascii="Calibri" w:eastAsia="Times New Roman" w:hAnsi="Calibri" w:cs="Calibri"/>
                <w:b/>
                <w:bCs/>
                <w:color w:val="000000"/>
              </w:rPr>
            </w:pPr>
            <w:r w:rsidRPr="00E52986">
              <w:rPr>
                <w:rFonts w:ascii="Calibri" w:eastAsia="Times New Roman" w:hAnsi="Calibri" w:cs="Calibri"/>
                <w:b/>
                <w:bCs/>
                <w:color w:val="000000"/>
              </w:rPr>
              <w:t>0.905</w:t>
            </w:r>
          </w:p>
        </w:tc>
        <w:tc>
          <w:tcPr>
            <w:tcW w:w="360" w:type="dxa"/>
            <w:vAlign w:val="center"/>
            <w:hideMark/>
          </w:tcPr>
          <w:p w14:paraId="46C8E2A5" w14:textId="77777777" w:rsidR="00E52986" w:rsidRPr="00E52986" w:rsidRDefault="00E52986" w:rsidP="00E52986">
            <w:pPr>
              <w:spacing w:after="0"/>
              <w:rPr>
                <w:rFonts w:ascii="Times New Roman" w:eastAsia="Times New Roman" w:hAnsi="Times New Roman" w:cs="Times New Roman"/>
                <w:sz w:val="20"/>
                <w:szCs w:val="20"/>
              </w:rPr>
            </w:pPr>
          </w:p>
        </w:tc>
      </w:tr>
      <w:tr w:rsidR="00E52986" w:rsidRPr="00E52986" w14:paraId="57225127" w14:textId="77777777" w:rsidTr="00E52986">
        <w:trPr>
          <w:gridAfter w:val="1"/>
          <w:wAfter w:w="2340" w:type="dxa"/>
          <w:trHeight w:val="288"/>
        </w:trPr>
        <w:tc>
          <w:tcPr>
            <w:tcW w:w="10080" w:type="dxa"/>
            <w:gridSpan w:val="6"/>
            <w:tcBorders>
              <w:top w:val="nil"/>
              <w:left w:val="nil"/>
              <w:bottom w:val="nil"/>
              <w:right w:val="nil"/>
            </w:tcBorders>
            <w:shd w:val="clear" w:color="auto" w:fill="auto"/>
            <w:noWrap/>
            <w:vAlign w:val="bottom"/>
            <w:hideMark/>
          </w:tcPr>
          <w:p w14:paraId="0E056E83" w14:textId="77777777" w:rsidR="00E52986" w:rsidRPr="00E52986" w:rsidRDefault="00E52986" w:rsidP="00E52986">
            <w:pPr>
              <w:spacing w:after="0"/>
              <w:rPr>
                <w:rFonts w:ascii="Calibri" w:eastAsia="Times New Roman" w:hAnsi="Calibri" w:cs="Calibri"/>
                <w:color w:val="000000"/>
              </w:rPr>
            </w:pPr>
            <w:r w:rsidRPr="00E52986">
              <w:rPr>
                <w:rFonts w:ascii="Calibri" w:eastAsia="Times New Roman" w:hAnsi="Calibri" w:cs="Calibri"/>
                <w:color w:val="000000"/>
              </w:rPr>
              <w:t>Evaluation question 2, scenario 1, relative gain in Ubudehe 1 +2 compared to Ubudehe 3 as a result of CCT</w:t>
            </w:r>
          </w:p>
        </w:tc>
        <w:tc>
          <w:tcPr>
            <w:tcW w:w="360" w:type="dxa"/>
            <w:vAlign w:val="center"/>
            <w:hideMark/>
          </w:tcPr>
          <w:p w14:paraId="016D3F4E" w14:textId="77777777" w:rsidR="00E52986" w:rsidRPr="00E52986" w:rsidRDefault="00E52986" w:rsidP="00E52986">
            <w:pPr>
              <w:spacing w:after="0"/>
              <w:rPr>
                <w:rFonts w:ascii="Times New Roman" w:eastAsia="Times New Roman" w:hAnsi="Times New Roman" w:cs="Times New Roman"/>
                <w:sz w:val="20"/>
                <w:szCs w:val="20"/>
              </w:rPr>
            </w:pPr>
          </w:p>
        </w:tc>
      </w:tr>
      <w:tr w:rsidR="00E52986" w:rsidRPr="00E52986" w14:paraId="262384F9" w14:textId="77777777" w:rsidTr="00E52986">
        <w:trPr>
          <w:gridAfter w:val="1"/>
          <w:wAfter w:w="2340" w:type="dxa"/>
          <w:trHeight w:val="288"/>
        </w:trPr>
        <w:tc>
          <w:tcPr>
            <w:tcW w:w="2070" w:type="dxa"/>
            <w:tcBorders>
              <w:top w:val="nil"/>
              <w:left w:val="nil"/>
              <w:bottom w:val="nil"/>
              <w:right w:val="nil"/>
            </w:tcBorders>
            <w:shd w:val="clear" w:color="auto" w:fill="auto"/>
            <w:noWrap/>
            <w:vAlign w:val="bottom"/>
            <w:hideMark/>
          </w:tcPr>
          <w:p w14:paraId="5A901963" w14:textId="77777777" w:rsidR="00E52986" w:rsidRPr="00E52986" w:rsidRDefault="00E52986" w:rsidP="00E52986">
            <w:pPr>
              <w:spacing w:after="0"/>
              <w:jc w:val="center"/>
              <w:rPr>
                <w:rFonts w:ascii="Calibri" w:eastAsia="Times New Roman" w:hAnsi="Calibri" w:cs="Calibri"/>
                <w:color w:val="000000"/>
              </w:rPr>
            </w:pPr>
            <w:r w:rsidRPr="00E52986">
              <w:rPr>
                <w:rFonts w:ascii="Calibri" w:eastAsia="Times New Roman" w:hAnsi="Calibri" w:cs="Calibri"/>
                <w:color w:val="000000"/>
              </w:rPr>
              <w:t>0.06</w:t>
            </w:r>
          </w:p>
        </w:tc>
        <w:tc>
          <w:tcPr>
            <w:tcW w:w="1530" w:type="dxa"/>
            <w:tcBorders>
              <w:top w:val="nil"/>
              <w:left w:val="nil"/>
              <w:bottom w:val="nil"/>
              <w:right w:val="nil"/>
            </w:tcBorders>
            <w:shd w:val="clear" w:color="auto" w:fill="auto"/>
            <w:noWrap/>
            <w:vAlign w:val="bottom"/>
            <w:hideMark/>
          </w:tcPr>
          <w:p w14:paraId="652AD68F" w14:textId="77777777" w:rsidR="00E52986" w:rsidRPr="00E52986" w:rsidRDefault="00E52986" w:rsidP="00E52986">
            <w:pPr>
              <w:spacing w:after="0"/>
              <w:jc w:val="center"/>
              <w:rPr>
                <w:rFonts w:ascii="Calibri" w:eastAsia="Times New Roman" w:hAnsi="Calibri" w:cs="Calibri"/>
                <w:color w:val="000000"/>
              </w:rPr>
            </w:pPr>
            <w:r w:rsidRPr="00E52986">
              <w:rPr>
                <w:rFonts w:ascii="Calibri" w:eastAsia="Times New Roman" w:hAnsi="Calibri" w:cs="Calibri"/>
                <w:color w:val="000000"/>
              </w:rPr>
              <w:t>1.12</w:t>
            </w:r>
          </w:p>
        </w:tc>
        <w:tc>
          <w:tcPr>
            <w:tcW w:w="1350" w:type="dxa"/>
            <w:tcBorders>
              <w:top w:val="nil"/>
              <w:left w:val="nil"/>
              <w:bottom w:val="nil"/>
              <w:right w:val="nil"/>
            </w:tcBorders>
            <w:shd w:val="clear" w:color="auto" w:fill="auto"/>
            <w:noWrap/>
            <w:vAlign w:val="bottom"/>
            <w:hideMark/>
          </w:tcPr>
          <w:p w14:paraId="377625DC" w14:textId="77777777" w:rsidR="00E52986" w:rsidRPr="00E52986" w:rsidRDefault="00E52986" w:rsidP="00E52986">
            <w:pPr>
              <w:spacing w:after="0"/>
              <w:jc w:val="center"/>
              <w:rPr>
                <w:rFonts w:ascii="Calibri" w:eastAsia="Times New Roman" w:hAnsi="Calibri" w:cs="Calibri"/>
                <w:b/>
                <w:bCs/>
                <w:color w:val="000000"/>
              </w:rPr>
            </w:pPr>
            <w:r w:rsidRPr="00E52986">
              <w:rPr>
                <w:rFonts w:ascii="Calibri" w:eastAsia="Times New Roman" w:hAnsi="Calibri" w:cs="Calibri"/>
                <w:b/>
                <w:bCs/>
                <w:color w:val="000000"/>
              </w:rPr>
              <w:t>0.100</w:t>
            </w:r>
          </w:p>
        </w:tc>
        <w:tc>
          <w:tcPr>
            <w:tcW w:w="1350" w:type="dxa"/>
            <w:tcBorders>
              <w:top w:val="nil"/>
              <w:left w:val="nil"/>
              <w:bottom w:val="nil"/>
              <w:right w:val="nil"/>
            </w:tcBorders>
            <w:shd w:val="clear" w:color="auto" w:fill="auto"/>
            <w:noWrap/>
            <w:vAlign w:val="bottom"/>
            <w:hideMark/>
          </w:tcPr>
          <w:p w14:paraId="4A9730B4" w14:textId="77777777" w:rsidR="00E52986" w:rsidRPr="00E52986" w:rsidRDefault="00E52986" w:rsidP="00E52986">
            <w:pPr>
              <w:spacing w:after="0"/>
              <w:jc w:val="center"/>
              <w:rPr>
                <w:rFonts w:ascii="Calibri" w:eastAsia="Times New Roman" w:hAnsi="Calibri" w:cs="Calibri"/>
                <w:b/>
                <w:bCs/>
                <w:color w:val="000000"/>
              </w:rPr>
            </w:pPr>
            <w:r w:rsidRPr="00E52986">
              <w:rPr>
                <w:rFonts w:ascii="Calibri" w:eastAsia="Times New Roman" w:hAnsi="Calibri" w:cs="Calibri"/>
                <w:b/>
                <w:bCs/>
                <w:color w:val="000000"/>
              </w:rPr>
              <w:t>0.083</w:t>
            </w:r>
          </w:p>
        </w:tc>
        <w:tc>
          <w:tcPr>
            <w:tcW w:w="1800" w:type="dxa"/>
            <w:tcBorders>
              <w:top w:val="nil"/>
              <w:left w:val="nil"/>
              <w:bottom w:val="nil"/>
              <w:right w:val="nil"/>
            </w:tcBorders>
            <w:shd w:val="clear" w:color="auto" w:fill="auto"/>
            <w:noWrap/>
            <w:vAlign w:val="bottom"/>
            <w:hideMark/>
          </w:tcPr>
          <w:p w14:paraId="253443AE" w14:textId="77777777" w:rsidR="00E52986" w:rsidRPr="00E52986" w:rsidRDefault="00E52986" w:rsidP="00E52986">
            <w:pPr>
              <w:spacing w:after="0"/>
              <w:jc w:val="center"/>
              <w:rPr>
                <w:rFonts w:ascii="Calibri" w:eastAsia="Times New Roman" w:hAnsi="Calibri" w:cs="Calibri"/>
                <w:color w:val="000000"/>
              </w:rPr>
            </w:pPr>
            <w:r w:rsidRPr="00E52986">
              <w:rPr>
                <w:rFonts w:ascii="Calibri" w:eastAsia="Times New Roman" w:hAnsi="Calibri" w:cs="Calibri"/>
                <w:color w:val="000000"/>
              </w:rPr>
              <w:t>0.05</w:t>
            </w:r>
          </w:p>
        </w:tc>
        <w:tc>
          <w:tcPr>
            <w:tcW w:w="1980" w:type="dxa"/>
            <w:tcBorders>
              <w:top w:val="nil"/>
              <w:left w:val="nil"/>
              <w:bottom w:val="nil"/>
              <w:right w:val="nil"/>
            </w:tcBorders>
            <w:shd w:val="clear" w:color="auto" w:fill="auto"/>
            <w:noWrap/>
            <w:vAlign w:val="bottom"/>
            <w:hideMark/>
          </w:tcPr>
          <w:p w14:paraId="61153F54" w14:textId="77777777" w:rsidR="00E52986" w:rsidRPr="00E52986" w:rsidRDefault="00E52986" w:rsidP="00E52986">
            <w:pPr>
              <w:spacing w:after="0"/>
              <w:jc w:val="center"/>
              <w:rPr>
                <w:rFonts w:ascii="Calibri" w:eastAsia="Times New Roman" w:hAnsi="Calibri" w:cs="Calibri"/>
                <w:b/>
                <w:bCs/>
                <w:color w:val="000000"/>
              </w:rPr>
            </w:pPr>
            <w:r w:rsidRPr="00E52986">
              <w:rPr>
                <w:rFonts w:ascii="Calibri" w:eastAsia="Times New Roman" w:hAnsi="Calibri" w:cs="Calibri"/>
                <w:b/>
                <w:bCs/>
                <w:color w:val="000000"/>
              </w:rPr>
              <w:t>0.821</w:t>
            </w:r>
          </w:p>
        </w:tc>
        <w:tc>
          <w:tcPr>
            <w:tcW w:w="360" w:type="dxa"/>
            <w:vAlign w:val="center"/>
            <w:hideMark/>
          </w:tcPr>
          <w:p w14:paraId="072B608C" w14:textId="77777777" w:rsidR="00E52986" w:rsidRPr="00E52986" w:rsidRDefault="00E52986" w:rsidP="00E52986">
            <w:pPr>
              <w:spacing w:after="0"/>
              <w:rPr>
                <w:rFonts w:ascii="Times New Roman" w:eastAsia="Times New Roman" w:hAnsi="Times New Roman" w:cs="Times New Roman"/>
                <w:sz w:val="20"/>
                <w:szCs w:val="20"/>
              </w:rPr>
            </w:pPr>
          </w:p>
        </w:tc>
      </w:tr>
      <w:tr w:rsidR="00E52986" w:rsidRPr="00E52986" w14:paraId="18B109F0" w14:textId="77777777" w:rsidTr="00E52986">
        <w:trPr>
          <w:gridAfter w:val="1"/>
          <w:wAfter w:w="2340" w:type="dxa"/>
          <w:trHeight w:val="288"/>
        </w:trPr>
        <w:tc>
          <w:tcPr>
            <w:tcW w:w="10080" w:type="dxa"/>
            <w:gridSpan w:val="6"/>
            <w:tcBorders>
              <w:top w:val="nil"/>
              <w:left w:val="nil"/>
              <w:right w:val="nil"/>
            </w:tcBorders>
            <w:shd w:val="clear" w:color="auto" w:fill="auto"/>
            <w:noWrap/>
            <w:vAlign w:val="bottom"/>
            <w:hideMark/>
          </w:tcPr>
          <w:p w14:paraId="3BB0FB15" w14:textId="77777777" w:rsidR="00E52986" w:rsidRPr="00E52986" w:rsidRDefault="00E52986" w:rsidP="00E52986">
            <w:pPr>
              <w:spacing w:after="0"/>
              <w:rPr>
                <w:rFonts w:ascii="Calibri" w:eastAsia="Times New Roman" w:hAnsi="Calibri" w:cs="Calibri"/>
                <w:color w:val="000000"/>
              </w:rPr>
            </w:pPr>
            <w:r w:rsidRPr="00E52986">
              <w:rPr>
                <w:rFonts w:ascii="Calibri" w:eastAsia="Times New Roman" w:hAnsi="Calibri" w:cs="Calibri"/>
                <w:color w:val="000000"/>
              </w:rPr>
              <w:t>Evaluation question 2, scenario 2, relative gain in Ubudehe 1+2 compared to Ubudehe 3, in districts with and without SPaR health investments</w:t>
            </w:r>
          </w:p>
        </w:tc>
        <w:tc>
          <w:tcPr>
            <w:tcW w:w="360" w:type="dxa"/>
            <w:vAlign w:val="center"/>
            <w:hideMark/>
          </w:tcPr>
          <w:p w14:paraId="0F9D1811" w14:textId="77777777" w:rsidR="00E52986" w:rsidRPr="00E52986" w:rsidRDefault="00E52986" w:rsidP="00E52986">
            <w:pPr>
              <w:spacing w:after="0"/>
              <w:rPr>
                <w:rFonts w:ascii="Times New Roman" w:eastAsia="Times New Roman" w:hAnsi="Times New Roman" w:cs="Times New Roman"/>
                <w:sz w:val="20"/>
                <w:szCs w:val="20"/>
              </w:rPr>
            </w:pPr>
          </w:p>
        </w:tc>
      </w:tr>
      <w:tr w:rsidR="00E52986" w:rsidRPr="00E52986" w14:paraId="4569A172" w14:textId="77777777" w:rsidTr="00E52986">
        <w:trPr>
          <w:gridAfter w:val="1"/>
          <w:wAfter w:w="2340" w:type="dxa"/>
          <w:trHeight w:val="288"/>
        </w:trPr>
        <w:tc>
          <w:tcPr>
            <w:tcW w:w="2070" w:type="dxa"/>
            <w:tcBorders>
              <w:top w:val="nil"/>
              <w:left w:val="nil"/>
              <w:bottom w:val="single" w:sz="4" w:space="0" w:color="auto"/>
              <w:right w:val="nil"/>
            </w:tcBorders>
            <w:shd w:val="clear" w:color="auto" w:fill="auto"/>
            <w:noWrap/>
            <w:vAlign w:val="bottom"/>
            <w:hideMark/>
          </w:tcPr>
          <w:p w14:paraId="5AD6F3C8" w14:textId="77777777" w:rsidR="00E52986" w:rsidRPr="00E52986" w:rsidRDefault="00E52986" w:rsidP="00E52986">
            <w:pPr>
              <w:spacing w:after="0"/>
              <w:jc w:val="center"/>
              <w:rPr>
                <w:rFonts w:ascii="Calibri" w:eastAsia="Times New Roman" w:hAnsi="Calibri" w:cs="Calibri"/>
                <w:color w:val="000000"/>
              </w:rPr>
            </w:pPr>
            <w:r w:rsidRPr="00E52986">
              <w:rPr>
                <w:rFonts w:ascii="Calibri" w:eastAsia="Times New Roman" w:hAnsi="Calibri" w:cs="Calibri"/>
                <w:color w:val="000000"/>
              </w:rPr>
              <w:t>0.06</w:t>
            </w:r>
          </w:p>
        </w:tc>
        <w:tc>
          <w:tcPr>
            <w:tcW w:w="1530" w:type="dxa"/>
            <w:tcBorders>
              <w:top w:val="nil"/>
              <w:left w:val="nil"/>
              <w:bottom w:val="single" w:sz="4" w:space="0" w:color="auto"/>
              <w:right w:val="nil"/>
            </w:tcBorders>
            <w:shd w:val="clear" w:color="auto" w:fill="auto"/>
            <w:noWrap/>
            <w:vAlign w:val="bottom"/>
            <w:hideMark/>
          </w:tcPr>
          <w:p w14:paraId="03533752" w14:textId="77777777" w:rsidR="00E52986" w:rsidRPr="00E52986" w:rsidRDefault="00E52986" w:rsidP="00E52986">
            <w:pPr>
              <w:spacing w:after="0"/>
              <w:jc w:val="center"/>
              <w:rPr>
                <w:rFonts w:ascii="Calibri" w:eastAsia="Times New Roman" w:hAnsi="Calibri" w:cs="Calibri"/>
                <w:color w:val="000000"/>
              </w:rPr>
            </w:pPr>
            <w:r w:rsidRPr="00E52986">
              <w:rPr>
                <w:rFonts w:ascii="Calibri" w:eastAsia="Times New Roman" w:hAnsi="Calibri" w:cs="Calibri"/>
                <w:color w:val="000000"/>
              </w:rPr>
              <w:t>1.12</w:t>
            </w:r>
          </w:p>
        </w:tc>
        <w:tc>
          <w:tcPr>
            <w:tcW w:w="1350" w:type="dxa"/>
            <w:tcBorders>
              <w:top w:val="nil"/>
              <w:left w:val="nil"/>
              <w:bottom w:val="single" w:sz="4" w:space="0" w:color="auto"/>
              <w:right w:val="nil"/>
            </w:tcBorders>
            <w:shd w:val="clear" w:color="auto" w:fill="auto"/>
            <w:noWrap/>
            <w:vAlign w:val="bottom"/>
            <w:hideMark/>
          </w:tcPr>
          <w:p w14:paraId="2A7DFB57" w14:textId="77777777" w:rsidR="00E52986" w:rsidRPr="00E52986" w:rsidRDefault="00E52986" w:rsidP="00E52986">
            <w:pPr>
              <w:spacing w:after="0"/>
              <w:jc w:val="center"/>
              <w:rPr>
                <w:rFonts w:ascii="Calibri" w:eastAsia="Times New Roman" w:hAnsi="Calibri" w:cs="Calibri"/>
                <w:b/>
                <w:bCs/>
                <w:color w:val="000000"/>
              </w:rPr>
            </w:pPr>
            <w:r w:rsidRPr="00E52986">
              <w:rPr>
                <w:rFonts w:ascii="Calibri" w:eastAsia="Times New Roman" w:hAnsi="Calibri" w:cs="Calibri"/>
                <w:b/>
                <w:bCs/>
                <w:color w:val="000000"/>
              </w:rPr>
              <w:t>0.140</w:t>
            </w:r>
          </w:p>
        </w:tc>
        <w:tc>
          <w:tcPr>
            <w:tcW w:w="1350" w:type="dxa"/>
            <w:tcBorders>
              <w:top w:val="nil"/>
              <w:left w:val="nil"/>
              <w:bottom w:val="single" w:sz="4" w:space="0" w:color="auto"/>
              <w:right w:val="nil"/>
            </w:tcBorders>
            <w:shd w:val="clear" w:color="auto" w:fill="auto"/>
            <w:noWrap/>
            <w:vAlign w:val="bottom"/>
            <w:hideMark/>
          </w:tcPr>
          <w:p w14:paraId="3E1FF513" w14:textId="77777777" w:rsidR="00E52986" w:rsidRPr="00E52986" w:rsidRDefault="00E52986" w:rsidP="00E52986">
            <w:pPr>
              <w:spacing w:after="0"/>
              <w:jc w:val="center"/>
              <w:rPr>
                <w:rFonts w:ascii="Calibri" w:eastAsia="Times New Roman" w:hAnsi="Calibri" w:cs="Calibri"/>
                <w:b/>
                <w:bCs/>
                <w:color w:val="000000"/>
              </w:rPr>
            </w:pPr>
            <w:r w:rsidRPr="00E52986">
              <w:rPr>
                <w:rFonts w:ascii="Calibri" w:eastAsia="Times New Roman" w:hAnsi="Calibri" w:cs="Calibri"/>
                <w:b/>
                <w:bCs/>
                <w:color w:val="000000"/>
              </w:rPr>
              <w:t>0.117</w:t>
            </w:r>
          </w:p>
        </w:tc>
        <w:tc>
          <w:tcPr>
            <w:tcW w:w="1800" w:type="dxa"/>
            <w:tcBorders>
              <w:top w:val="nil"/>
              <w:left w:val="nil"/>
              <w:bottom w:val="single" w:sz="4" w:space="0" w:color="auto"/>
              <w:right w:val="nil"/>
            </w:tcBorders>
            <w:shd w:val="clear" w:color="auto" w:fill="auto"/>
            <w:noWrap/>
            <w:vAlign w:val="bottom"/>
            <w:hideMark/>
          </w:tcPr>
          <w:p w14:paraId="6B09BAC8" w14:textId="77777777" w:rsidR="00E52986" w:rsidRPr="00E52986" w:rsidRDefault="00E52986" w:rsidP="00E52986">
            <w:pPr>
              <w:spacing w:after="0"/>
              <w:jc w:val="center"/>
              <w:rPr>
                <w:rFonts w:ascii="Calibri" w:eastAsia="Times New Roman" w:hAnsi="Calibri" w:cs="Calibri"/>
                <w:color w:val="000000"/>
              </w:rPr>
            </w:pPr>
            <w:r w:rsidRPr="00E52986">
              <w:rPr>
                <w:rFonts w:ascii="Calibri" w:eastAsia="Times New Roman" w:hAnsi="Calibri" w:cs="Calibri"/>
                <w:color w:val="000000"/>
              </w:rPr>
              <w:t>0.05</w:t>
            </w:r>
          </w:p>
        </w:tc>
        <w:tc>
          <w:tcPr>
            <w:tcW w:w="1980" w:type="dxa"/>
            <w:tcBorders>
              <w:top w:val="nil"/>
              <w:left w:val="nil"/>
              <w:bottom w:val="single" w:sz="4" w:space="0" w:color="auto"/>
              <w:right w:val="nil"/>
            </w:tcBorders>
            <w:shd w:val="clear" w:color="auto" w:fill="auto"/>
            <w:noWrap/>
            <w:vAlign w:val="bottom"/>
            <w:hideMark/>
          </w:tcPr>
          <w:p w14:paraId="6F4F8589" w14:textId="77777777" w:rsidR="00E52986" w:rsidRPr="00E52986" w:rsidRDefault="00E52986" w:rsidP="00E52986">
            <w:pPr>
              <w:spacing w:after="0"/>
              <w:jc w:val="center"/>
              <w:rPr>
                <w:rFonts w:ascii="Calibri" w:eastAsia="Times New Roman" w:hAnsi="Calibri" w:cs="Calibri"/>
                <w:b/>
                <w:bCs/>
                <w:color w:val="000000"/>
              </w:rPr>
            </w:pPr>
            <w:r w:rsidRPr="00E52986">
              <w:rPr>
                <w:rFonts w:ascii="Calibri" w:eastAsia="Times New Roman" w:hAnsi="Calibri" w:cs="Calibri"/>
                <w:b/>
                <w:bCs/>
                <w:color w:val="000000"/>
              </w:rPr>
              <w:t>0.827</w:t>
            </w:r>
          </w:p>
        </w:tc>
        <w:tc>
          <w:tcPr>
            <w:tcW w:w="360" w:type="dxa"/>
            <w:vAlign w:val="center"/>
            <w:hideMark/>
          </w:tcPr>
          <w:p w14:paraId="58C2D4C6" w14:textId="77777777" w:rsidR="00E52986" w:rsidRPr="00E52986" w:rsidRDefault="00E52986" w:rsidP="00E52986">
            <w:pPr>
              <w:spacing w:after="0"/>
              <w:rPr>
                <w:rFonts w:ascii="Times New Roman" w:eastAsia="Times New Roman" w:hAnsi="Times New Roman" w:cs="Times New Roman"/>
                <w:sz w:val="20"/>
                <w:szCs w:val="20"/>
              </w:rPr>
            </w:pPr>
          </w:p>
        </w:tc>
      </w:tr>
      <w:tr w:rsidR="00E52986" w:rsidRPr="00E52986" w14:paraId="1FBA6405" w14:textId="77777777" w:rsidTr="00E52986">
        <w:trPr>
          <w:trHeight w:val="288"/>
        </w:trPr>
        <w:tc>
          <w:tcPr>
            <w:tcW w:w="12780" w:type="dxa"/>
            <w:gridSpan w:val="8"/>
            <w:tcBorders>
              <w:top w:val="nil"/>
              <w:left w:val="nil"/>
              <w:bottom w:val="nil"/>
              <w:right w:val="nil"/>
            </w:tcBorders>
            <w:shd w:val="clear" w:color="auto" w:fill="auto"/>
            <w:noWrap/>
            <w:vAlign w:val="bottom"/>
            <w:hideMark/>
          </w:tcPr>
          <w:p w14:paraId="165A429E" w14:textId="6BC6346F" w:rsidR="00E52986" w:rsidRPr="00E52986" w:rsidRDefault="00E52986" w:rsidP="00E52986">
            <w:pPr>
              <w:spacing w:after="0"/>
              <w:rPr>
                <w:rFonts w:ascii="Calibri" w:eastAsia="Times New Roman" w:hAnsi="Calibri" w:cs="Calibri"/>
                <w:color w:val="000000"/>
                <w:sz w:val="18"/>
                <w:szCs w:val="18"/>
              </w:rPr>
            </w:pPr>
            <w:r>
              <w:rPr>
                <w:rFonts w:ascii="Calibri" w:eastAsia="Times New Roman" w:hAnsi="Calibri" w:cs="Calibri"/>
                <w:color w:val="000000"/>
                <w:sz w:val="18"/>
                <w:szCs w:val="18"/>
              </w:rPr>
              <w:br/>
            </w:r>
            <w:r w:rsidRPr="00E52986">
              <w:rPr>
                <w:rFonts w:ascii="Calibri" w:eastAsia="Times New Roman" w:hAnsi="Calibri" w:cs="Calibri"/>
                <w:color w:val="000000"/>
                <w:sz w:val="18"/>
                <w:szCs w:val="18"/>
              </w:rPr>
              <w:t>Notes:</w:t>
            </w:r>
            <w:r w:rsidRPr="00E52986">
              <w:rPr>
                <w:rFonts w:ascii="Calibri" w:eastAsia="Times New Roman" w:hAnsi="Calibri" w:cs="Calibri"/>
                <w:color w:val="000000"/>
                <w:sz w:val="18"/>
                <w:szCs w:val="18"/>
              </w:rPr>
              <w:br/>
              <w:t xml:space="preserve">Following Arnold et al. 2011 BMC MRM, mean and overall variability from 2015 Rwanda DHS, apportion of variance from results in Arnold et al. PNAS 2010 </w:t>
            </w:r>
          </w:p>
        </w:tc>
      </w:tr>
      <w:tr w:rsidR="00E52986" w:rsidRPr="00E52986" w14:paraId="0EEBBD6A" w14:textId="77777777" w:rsidTr="00E52986">
        <w:trPr>
          <w:trHeight w:val="288"/>
        </w:trPr>
        <w:tc>
          <w:tcPr>
            <w:tcW w:w="12780" w:type="dxa"/>
            <w:gridSpan w:val="8"/>
            <w:tcBorders>
              <w:top w:val="nil"/>
              <w:left w:val="nil"/>
              <w:bottom w:val="nil"/>
              <w:right w:val="nil"/>
            </w:tcBorders>
            <w:shd w:val="clear" w:color="auto" w:fill="auto"/>
            <w:noWrap/>
            <w:vAlign w:val="bottom"/>
            <w:hideMark/>
          </w:tcPr>
          <w:p w14:paraId="4C9BC545" w14:textId="27F2323B" w:rsidR="00E52986" w:rsidRPr="00E52986" w:rsidRDefault="00E52986" w:rsidP="00E52986">
            <w:pPr>
              <w:spacing w:after="0"/>
              <w:rPr>
                <w:rFonts w:ascii="Calibri" w:eastAsia="Times New Roman" w:hAnsi="Calibri" w:cs="Calibri"/>
                <w:color w:val="000000"/>
                <w:sz w:val="18"/>
                <w:szCs w:val="18"/>
              </w:rPr>
            </w:pPr>
            <w:r w:rsidRPr="00E52986">
              <w:rPr>
                <w:rFonts w:ascii="Calibri" w:eastAsia="Times New Roman" w:hAnsi="Calibri" w:cs="Calibri"/>
                <w:color w:val="000000"/>
                <w:sz w:val="18"/>
                <w:szCs w:val="18"/>
              </w:rPr>
              <w:t>Additional expected power gains from: repeated measurement post-baseline, cluster and individual level controls or propensity weights</w:t>
            </w:r>
          </w:p>
        </w:tc>
      </w:tr>
    </w:tbl>
    <w:p w14:paraId="7EBD1B84" w14:textId="77777777" w:rsidR="00656EAD" w:rsidRDefault="00656EAD" w:rsidP="005E45C3">
      <w:pPr>
        <w:sectPr w:rsidR="00656EAD" w:rsidSect="006D187D">
          <w:pgSz w:w="15840" w:h="12240" w:orient="landscape"/>
          <w:pgMar w:top="1440" w:right="1440" w:bottom="1440" w:left="1440" w:header="720" w:footer="720" w:gutter="0"/>
          <w:cols w:space="720"/>
          <w:docGrid w:linePitch="360"/>
        </w:sectPr>
      </w:pPr>
    </w:p>
    <w:p w14:paraId="7CEE4870" w14:textId="05D79245" w:rsidR="00F32357" w:rsidRPr="00F32357" w:rsidRDefault="008E5F8A" w:rsidP="00F32357">
      <w:pPr>
        <w:rPr>
          <w:b/>
          <w:bCs/>
        </w:rPr>
      </w:pPr>
      <w:bookmarkStart w:id="19" w:name="_Toc520742199"/>
      <w:bookmarkStart w:id="20" w:name="_Toc69728396"/>
      <w:r>
        <w:rPr>
          <w:b/>
          <w:bCs/>
        </w:rPr>
        <w:lastRenderedPageBreak/>
        <w:t>Birth weight</w:t>
      </w:r>
      <w:r w:rsidR="00A957CD">
        <w:rPr>
          <w:b/>
          <w:bCs/>
        </w:rPr>
        <w:t xml:space="preserve"> extraction</w:t>
      </w:r>
      <w:r w:rsidR="00F32357" w:rsidRPr="00F32357">
        <w:rPr>
          <w:b/>
          <w:bCs/>
        </w:rPr>
        <w:t xml:space="preserve"> power analysis</w:t>
      </w:r>
    </w:p>
    <w:p w14:paraId="0A26C440" w14:textId="455FA583" w:rsidR="005A10CA" w:rsidRDefault="00BD1DB4" w:rsidP="005A10CA">
      <w:pPr>
        <w:autoSpaceDE w:val="0"/>
        <w:autoSpaceDN w:val="0"/>
        <w:adjustRightInd w:val="0"/>
      </w:pPr>
      <w:r>
        <w:t xml:space="preserve">Since birth weight data </w:t>
      </w:r>
      <w:r w:rsidR="0005016D">
        <w:t>extracted retrospectively from administrative data cannot be</w:t>
      </w:r>
      <w:r>
        <w:t xml:space="preserve"> linked to Ubudehe status, the </w:t>
      </w:r>
      <w:r w:rsidR="00180233">
        <w:t>original evaluation</w:t>
      </w:r>
      <w:r w:rsidR="005A10CA">
        <w:t xml:space="preserve"> questions </w:t>
      </w:r>
      <w:r w:rsidR="00180233">
        <w:t>were simplified</w:t>
      </w:r>
      <w:r w:rsidR="00C6232D">
        <w:t xml:space="preserve"> </w:t>
      </w:r>
      <w:r>
        <w:t>for th</w:t>
      </w:r>
      <w:r w:rsidR="0005016D">
        <w:t>is study size</w:t>
      </w:r>
      <w:r>
        <w:t>.</w:t>
      </w:r>
      <w:r w:rsidR="0053102B">
        <w:t xml:space="preserve">  </w:t>
      </w:r>
      <w:r>
        <w:t xml:space="preserve">The questions, </w:t>
      </w:r>
      <w:r w:rsidR="0005016D">
        <w:t xml:space="preserve">which are </w:t>
      </w:r>
      <w:r>
        <w:t>referred to as question 1a and 2a</w:t>
      </w:r>
      <w:r w:rsidR="0005016D">
        <w:t xml:space="preserve"> in Table </w:t>
      </w:r>
      <w:r w:rsidR="00912312">
        <w:t>3</w:t>
      </w:r>
      <w:r w:rsidR="0005016D">
        <w:t xml:space="preserve"> below</w:t>
      </w:r>
      <w:r>
        <w:t xml:space="preserve">, </w:t>
      </w:r>
      <w:r w:rsidR="005A10CA">
        <w:t>include</w:t>
      </w:r>
      <w:r>
        <w:t>:</w:t>
      </w:r>
      <w:r w:rsidR="005A10CA">
        <w:t xml:space="preserve"> a</w:t>
      </w:r>
      <w:r w:rsidR="00C6232D">
        <w:t>n overall</w:t>
      </w:r>
      <w:r w:rsidR="005A10CA">
        <w:t xml:space="preserve"> comparison between treatment and control districts</w:t>
      </w:r>
      <w:r w:rsidR="00180233">
        <w:t xml:space="preserve"> (1a)</w:t>
      </w:r>
      <w:r w:rsidR="005A10CA">
        <w:t xml:space="preserve">, </w:t>
      </w:r>
      <w:r w:rsidR="0005016D">
        <w:t>and</w:t>
      </w:r>
      <w:r w:rsidR="005A10CA">
        <w:t xml:space="preserve"> an estimation of any differential effect of the CT program in the 13 districts that also receive health system strengthening investments (the SPRP activities) and </w:t>
      </w:r>
      <w:r w:rsidR="00C6232D">
        <w:t>4</w:t>
      </w:r>
      <w:r w:rsidR="005A10CA">
        <w:t xml:space="preserve"> districts that offer only CT without the SPRP component of health investments</w:t>
      </w:r>
      <w:r w:rsidR="00180233">
        <w:t xml:space="preserve"> (2a)</w:t>
      </w:r>
      <w:r w:rsidR="005A10CA">
        <w:t xml:space="preserve">. The power analysis was conducted </w:t>
      </w:r>
      <w:r w:rsidR="00A957CD">
        <w:t xml:space="preserve">using birth weight as the outcome, </w:t>
      </w:r>
      <w:r w:rsidR="005A10CA">
        <w:t xml:space="preserve">with simulation methods equivalent to the </w:t>
      </w:r>
      <w:r w:rsidR="00C6232D">
        <w:t>community</w:t>
      </w:r>
      <w:r w:rsidR="005A10CA">
        <w:t xml:space="preserve"> study analysis</w:t>
      </w:r>
      <w:r w:rsidR="0005016D">
        <w:t xml:space="preserve"> previously</w:t>
      </w:r>
      <w:r w:rsidR="005A10CA">
        <w:t xml:space="preserve"> displayed in </w:t>
      </w:r>
      <w:r w:rsidR="0005016D">
        <w:t>T</w:t>
      </w:r>
      <w:r w:rsidR="005A10CA">
        <w:t>able 2</w:t>
      </w:r>
      <w:r w:rsidR="00C6232D">
        <w:t>.</w:t>
      </w:r>
    </w:p>
    <w:p w14:paraId="0C438DA4" w14:textId="0185EEF7" w:rsidR="005A10CA" w:rsidRDefault="005A10CA" w:rsidP="005A10CA">
      <w:pPr>
        <w:autoSpaceDE w:val="0"/>
        <w:autoSpaceDN w:val="0"/>
        <w:adjustRightInd w:val="0"/>
      </w:pPr>
      <w:r>
        <w:t xml:space="preserve">The parameters used included mean birth weight and estimated variance due to District and PSU, which were informed by records extracted from the health cards of young children whose caregivers were interviewed for the community baseline data collection. </w:t>
      </w:r>
    </w:p>
    <w:p w14:paraId="169D7D82" w14:textId="35EA1682" w:rsidR="005A10CA" w:rsidRDefault="005A10CA" w:rsidP="005A10CA">
      <w:pPr>
        <w:autoSpaceDE w:val="0"/>
        <w:autoSpaceDN w:val="0"/>
        <w:adjustRightInd w:val="0"/>
      </w:pPr>
      <w:r>
        <w:t xml:space="preserve">The simulations suggest a study design that includes </w:t>
      </w:r>
      <w:r w:rsidR="00BD1DB4">
        <w:t>96</w:t>
      </w:r>
      <w:r>
        <w:t xml:space="preserve"> birth cases to be extracted for estimation of birth weight per facility</w:t>
      </w:r>
      <w:r w:rsidR="00912312">
        <w:t xml:space="preserve"> for the period before the introduction of the SPAR program, and 96 birth cases after the introduction</w:t>
      </w:r>
      <w:r w:rsidR="00C6232D">
        <w:t xml:space="preserve">. </w:t>
      </w:r>
      <w:r>
        <w:t xml:space="preserve">A study of this size will be powered to identify relatively small gains in birth weight </w:t>
      </w:r>
      <w:r w:rsidR="00C6232D">
        <w:t>for</w:t>
      </w:r>
      <w:r>
        <w:t xml:space="preserve"> both </w:t>
      </w:r>
      <w:r w:rsidR="00C6232D">
        <w:t>questions</w:t>
      </w:r>
      <w:r>
        <w:t xml:space="preserve"> considered</w:t>
      </w:r>
      <w:r w:rsidR="00C6232D">
        <w:t>.</w:t>
      </w:r>
      <w:r>
        <w:t xml:space="preserve"> </w:t>
      </w:r>
    </w:p>
    <w:p w14:paraId="567BDBB7" w14:textId="79553578" w:rsidR="005A10CA" w:rsidRDefault="005A10CA" w:rsidP="005A10CA">
      <w:pPr>
        <w:autoSpaceDE w:val="0"/>
        <w:autoSpaceDN w:val="0"/>
        <w:adjustRightInd w:val="0"/>
        <w:sectPr w:rsidR="005A10CA">
          <w:pgSz w:w="12240" w:h="15840"/>
          <w:pgMar w:top="1440" w:right="1440" w:bottom="1440" w:left="1440" w:header="720" w:footer="720" w:gutter="0"/>
          <w:cols w:space="720"/>
          <w:docGrid w:linePitch="360"/>
        </w:sectPr>
      </w:pPr>
    </w:p>
    <w:p w14:paraId="23195D8D" w14:textId="374579A2" w:rsidR="005A10CA" w:rsidRDefault="005A10CA" w:rsidP="005A10CA">
      <w:r>
        <w:lastRenderedPageBreak/>
        <w:t xml:space="preserve">Table </w:t>
      </w:r>
      <w:r w:rsidR="00BC2931">
        <w:t>3</w:t>
      </w:r>
      <w:r>
        <w:t xml:space="preserve">. </w:t>
      </w:r>
      <w:r w:rsidR="009C0625">
        <w:t>Birth weight</w:t>
      </w:r>
      <w:r w:rsidR="00BC2931">
        <w:t xml:space="preserve"> power analysis summary results</w:t>
      </w:r>
      <w:r w:rsidR="00BC2931" w:rsidRPr="00E51EC3">
        <w:t xml:space="preserve">, </w:t>
      </w:r>
    </w:p>
    <w:tbl>
      <w:tblPr>
        <w:tblW w:w="13046" w:type="dxa"/>
        <w:tblLayout w:type="fixed"/>
        <w:tblLook w:val="04A0" w:firstRow="1" w:lastRow="0" w:firstColumn="1" w:lastColumn="0" w:noHBand="0" w:noVBand="1"/>
      </w:tblPr>
      <w:tblGrid>
        <w:gridCol w:w="1440"/>
        <w:gridCol w:w="1440"/>
        <w:gridCol w:w="2053"/>
        <w:gridCol w:w="1841"/>
        <w:gridCol w:w="1929"/>
        <w:gridCol w:w="2019"/>
        <w:gridCol w:w="2070"/>
        <w:gridCol w:w="18"/>
        <w:gridCol w:w="218"/>
        <w:gridCol w:w="18"/>
      </w:tblGrid>
      <w:tr w:rsidR="005A10CA" w:rsidRPr="009B58E0" w14:paraId="3C5552B6" w14:textId="77777777" w:rsidTr="004A0697">
        <w:trPr>
          <w:gridAfter w:val="3"/>
          <w:wAfter w:w="254" w:type="dxa"/>
          <w:trHeight w:val="450"/>
        </w:trPr>
        <w:tc>
          <w:tcPr>
            <w:tcW w:w="1440" w:type="dxa"/>
            <w:vMerge w:val="restart"/>
            <w:tcBorders>
              <w:top w:val="nil"/>
              <w:left w:val="nil"/>
              <w:bottom w:val="double" w:sz="6" w:space="0" w:color="000000"/>
              <w:right w:val="nil"/>
            </w:tcBorders>
            <w:shd w:val="clear" w:color="auto" w:fill="auto"/>
            <w:vAlign w:val="center"/>
            <w:hideMark/>
          </w:tcPr>
          <w:p w14:paraId="1F26A8CA" w14:textId="77777777" w:rsidR="005A10CA" w:rsidRPr="009B58E0" w:rsidRDefault="005A10CA" w:rsidP="004A0697">
            <w:pPr>
              <w:spacing w:after="0"/>
              <w:ind w:left="-75"/>
              <w:jc w:val="center"/>
              <w:rPr>
                <w:rFonts w:ascii="Calibri" w:eastAsia="Times New Roman" w:hAnsi="Calibri" w:cs="Calibri"/>
                <w:b/>
                <w:bCs/>
                <w:color w:val="000000"/>
              </w:rPr>
            </w:pPr>
            <w:r w:rsidRPr="009B58E0">
              <w:rPr>
                <w:rFonts w:ascii="Calibri" w:eastAsia="Times New Roman" w:hAnsi="Calibri" w:cs="Calibri"/>
                <w:b/>
                <w:bCs/>
                <w:color w:val="000000"/>
              </w:rPr>
              <w:t>Treatment districts</w:t>
            </w:r>
          </w:p>
        </w:tc>
        <w:tc>
          <w:tcPr>
            <w:tcW w:w="1440" w:type="dxa"/>
            <w:vMerge w:val="restart"/>
            <w:tcBorders>
              <w:top w:val="nil"/>
              <w:left w:val="nil"/>
              <w:bottom w:val="double" w:sz="6" w:space="0" w:color="000000"/>
              <w:right w:val="nil"/>
            </w:tcBorders>
            <w:shd w:val="clear" w:color="auto" w:fill="auto"/>
            <w:vAlign w:val="center"/>
            <w:hideMark/>
          </w:tcPr>
          <w:p w14:paraId="29261A90" w14:textId="77777777" w:rsidR="005A10CA" w:rsidRPr="009B58E0" w:rsidRDefault="005A10CA" w:rsidP="004A0697">
            <w:pPr>
              <w:spacing w:after="0"/>
              <w:ind w:left="-75"/>
              <w:jc w:val="center"/>
              <w:rPr>
                <w:rFonts w:ascii="Calibri" w:eastAsia="Times New Roman" w:hAnsi="Calibri" w:cs="Calibri"/>
                <w:b/>
                <w:bCs/>
                <w:color w:val="000000"/>
              </w:rPr>
            </w:pPr>
            <w:r w:rsidRPr="009B58E0">
              <w:rPr>
                <w:rFonts w:ascii="Calibri" w:eastAsia="Times New Roman" w:hAnsi="Calibri" w:cs="Calibri"/>
                <w:b/>
                <w:bCs/>
                <w:color w:val="000000"/>
              </w:rPr>
              <w:t>Control districts</w:t>
            </w:r>
          </w:p>
        </w:tc>
        <w:tc>
          <w:tcPr>
            <w:tcW w:w="2053" w:type="dxa"/>
            <w:vMerge w:val="restart"/>
            <w:tcBorders>
              <w:top w:val="nil"/>
              <w:left w:val="nil"/>
              <w:bottom w:val="double" w:sz="6" w:space="0" w:color="000000"/>
              <w:right w:val="nil"/>
            </w:tcBorders>
            <w:shd w:val="clear" w:color="auto" w:fill="auto"/>
            <w:vAlign w:val="center"/>
            <w:hideMark/>
          </w:tcPr>
          <w:p w14:paraId="35D5BD3C" w14:textId="77777777" w:rsidR="005A10CA" w:rsidRPr="009B58E0" w:rsidRDefault="005A10CA" w:rsidP="004A0697">
            <w:pPr>
              <w:spacing w:after="0"/>
              <w:ind w:left="-75"/>
              <w:jc w:val="center"/>
              <w:rPr>
                <w:rFonts w:ascii="Calibri" w:eastAsia="Times New Roman" w:hAnsi="Calibri" w:cs="Calibri"/>
                <w:b/>
                <w:bCs/>
                <w:color w:val="000000"/>
              </w:rPr>
            </w:pPr>
            <w:r w:rsidRPr="009B58E0">
              <w:rPr>
                <w:rFonts w:ascii="Calibri" w:eastAsia="Times New Roman" w:hAnsi="Calibri" w:cs="Calibri"/>
                <w:b/>
                <w:bCs/>
                <w:color w:val="000000"/>
              </w:rPr>
              <w:t>Treatment facilities per district</w:t>
            </w:r>
          </w:p>
        </w:tc>
        <w:tc>
          <w:tcPr>
            <w:tcW w:w="1841" w:type="dxa"/>
            <w:vMerge w:val="restart"/>
            <w:tcBorders>
              <w:top w:val="nil"/>
              <w:left w:val="nil"/>
              <w:bottom w:val="double" w:sz="6" w:space="0" w:color="000000"/>
              <w:right w:val="nil"/>
            </w:tcBorders>
            <w:shd w:val="clear" w:color="auto" w:fill="auto"/>
            <w:vAlign w:val="center"/>
            <w:hideMark/>
          </w:tcPr>
          <w:p w14:paraId="63C9861B" w14:textId="77777777" w:rsidR="005A10CA" w:rsidRPr="009B58E0" w:rsidRDefault="005A10CA" w:rsidP="004A0697">
            <w:pPr>
              <w:spacing w:after="0"/>
              <w:ind w:left="-75"/>
              <w:jc w:val="center"/>
              <w:rPr>
                <w:rFonts w:ascii="Calibri" w:eastAsia="Times New Roman" w:hAnsi="Calibri" w:cs="Calibri"/>
                <w:b/>
                <w:bCs/>
                <w:color w:val="000000"/>
              </w:rPr>
            </w:pPr>
            <w:r w:rsidRPr="009B58E0">
              <w:rPr>
                <w:rFonts w:ascii="Calibri" w:eastAsia="Times New Roman" w:hAnsi="Calibri" w:cs="Calibri"/>
                <w:b/>
                <w:bCs/>
                <w:color w:val="000000"/>
              </w:rPr>
              <w:t>Control facilities per district</w:t>
            </w:r>
          </w:p>
        </w:tc>
        <w:tc>
          <w:tcPr>
            <w:tcW w:w="1929" w:type="dxa"/>
            <w:vMerge w:val="restart"/>
            <w:tcBorders>
              <w:top w:val="nil"/>
              <w:left w:val="nil"/>
              <w:bottom w:val="double" w:sz="6" w:space="0" w:color="000000"/>
              <w:right w:val="nil"/>
            </w:tcBorders>
            <w:shd w:val="clear" w:color="auto" w:fill="auto"/>
            <w:vAlign w:val="center"/>
            <w:hideMark/>
          </w:tcPr>
          <w:p w14:paraId="452A9572" w14:textId="77777777" w:rsidR="005A10CA" w:rsidRPr="009B58E0" w:rsidRDefault="005A10CA" w:rsidP="004A0697">
            <w:pPr>
              <w:spacing w:after="0"/>
              <w:ind w:left="-75"/>
              <w:jc w:val="center"/>
              <w:rPr>
                <w:rFonts w:ascii="Calibri" w:eastAsia="Times New Roman" w:hAnsi="Calibri" w:cs="Calibri"/>
                <w:b/>
                <w:bCs/>
                <w:color w:val="000000"/>
              </w:rPr>
            </w:pPr>
            <w:r w:rsidRPr="009B58E0">
              <w:rPr>
                <w:rFonts w:ascii="Calibri" w:eastAsia="Times New Roman" w:hAnsi="Calibri" w:cs="Calibri"/>
                <w:b/>
                <w:bCs/>
                <w:color w:val="000000"/>
              </w:rPr>
              <w:t>Individual outcome per facility (service or birth)</w:t>
            </w:r>
          </w:p>
        </w:tc>
        <w:tc>
          <w:tcPr>
            <w:tcW w:w="2019" w:type="dxa"/>
            <w:vMerge w:val="restart"/>
            <w:tcBorders>
              <w:top w:val="nil"/>
              <w:left w:val="nil"/>
              <w:bottom w:val="double" w:sz="6" w:space="0" w:color="000000"/>
              <w:right w:val="nil"/>
            </w:tcBorders>
            <w:shd w:val="clear" w:color="auto" w:fill="auto"/>
            <w:vAlign w:val="center"/>
            <w:hideMark/>
          </w:tcPr>
          <w:p w14:paraId="0DB415E0" w14:textId="77777777" w:rsidR="005A10CA" w:rsidRPr="009B58E0" w:rsidRDefault="005A10CA" w:rsidP="004A0697">
            <w:pPr>
              <w:spacing w:after="0"/>
              <w:ind w:left="-75"/>
              <w:jc w:val="center"/>
              <w:rPr>
                <w:rFonts w:ascii="Calibri" w:eastAsia="Times New Roman" w:hAnsi="Calibri" w:cs="Calibri"/>
                <w:b/>
                <w:bCs/>
                <w:color w:val="000000"/>
              </w:rPr>
            </w:pPr>
            <w:r w:rsidRPr="009B58E0">
              <w:rPr>
                <w:rFonts w:ascii="Calibri" w:eastAsia="Times New Roman" w:hAnsi="Calibri" w:cs="Calibri"/>
                <w:b/>
                <w:bCs/>
                <w:color w:val="000000"/>
              </w:rPr>
              <w:t>Mean outcome at baseline</w:t>
            </w:r>
          </w:p>
        </w:tc>
        <w:tc>
          <w:tcPr>
            <w:tcW w:w="2070" w:type="dxa"/>
            <w:vMerge w:val="restart"/>
            <w:tcBorders>
              <w:top w:val="nil"/>
              <w:left w:val="nil"/>
              <w:bottom w:val="double" w:sz="6" w:space="0" w:color="000000"/>
              <w:right w:val="nil"/>
            </w:tcBorders>
            <w:shd w:val="clear" w:color="auto" w:fill="auto"/>
            <w:vAlign w:val="center"/>
            <w:hideMark/>
          </w:tcPr>
          <w:p w14:paraId="50B7F596" w14:textId="77777777" w:rsidR="005A10CA" w:rsidRPr="009B58E0" w:rsidRDefault="005A10CA" w:rsidP="004A0697">
            <w:pPr>
              <w:spacing w:after="0"/>
              <w:ind w:left="-75"/>
              <w:jc w:val="center"/>
              <w:rPr>
                <w:rFonts w:ascii="Calibri" w:eastAsia="Times New Roman" w:hAnsi="Calibri" w:cs="Calibri"/>
                <w:b/>
                <w:bCs/>
                <w:color w:val="000000"/>
              </w:rPr>
            </w:pPr>
            <w:r w:rsidRPr="009B58E0">
              <w:rPr>
                <w:rFonts w:ascii="Calibri" w:eastAsia="Times New Roman" w:hAnsi="Calibri" w:cs="Calibri"/>
                <w:b/>
                <w:bCs/>
                <w:color w:val="000000"/>
              </w:rPr>
              <w:t>Variability of outcome due to district</w:t>
            </w:r>
          </w:p>
        </w:tc>
      </w:tr>
      <w:tr w:rsidR="005A10CA" w:rsidRPr="009B58E0" w14:paraId="4733C572" w14:textId="77777777" w:rsidTr="004A0697">
        <w:trPr>
          <w:gridAfter w:val="1"/>
          <w:wAfter w:w="18" w:type="dxa"/>
          <w:trHeight w:val="288"/>
        </w:trPr>
        <w:tc>
          <w:tcPr>
            <w:tcW w:w="1440" w:type="dxa"/>
            <w:vMerge/>
            <w:tcBorders>
              <w:top w:val="nil"/>
              <w:left w:val="nil"/>
              <w:bottom w:val="double" w:sz="6" w:space="0" w:color="000000"/>
              <w:right w:val="nil"/>
            </w:tcBorders>
            <w:vAlign w:val="center"/>
            <w:hideMark/>
          </w:tcPr>
          <w:p w14:paraId="3052D414" w14:textId="77777777" w:rsidR="005A10CA" w:rsidRPr="009B58E0" w:rsidRDefault="005A10CA" w:rsidP="004A0697">
            <w:pPr>
              <w:spacing w:after="0"/>
              <w:ind w:left="-75"/>
              <w:rPr>
                <w:rFonts w:ascii="Calibri" w:eastAsia="Times New Roman" w:hAnsi="Calibri" w:cs="Calibri"/>
                <w:b/>
                <w:bCs/>
                <w:color w:val="000000"/>
              </w:rPr>
            </w:pPr>
          </w:p>
        </w:tc>
        <w:tc>
          <w:tcPr>
            <w:tcW w:w="1440" w:type="dxa"/>
            <w:vMerge/>
            <w:tcBorders>
              <w:top w:val="nil"/>
              <w:left w:val="nil"/>
              <w:bottom w:val="double" w:sz="6" w:space="0" w:color="000000"/>
              <w:right w:val="nil"/>
            </w:tcBorders>
            <w:vAlign w:val="center"/>
            <w:hideMark/>
          </w:tcPr>
          <w:p w14:paraId="749ED370" w14:textId="77777777" w:rsidR="005A10CA" w:rsidRPr="009B58E0" w:rsidRDefault="005A10CA" w:rsidP="004A0697">
            <w:pPr>
              <w:spacing w:after="0"/>
              <w:ind w:left="-75"/>
              <w:rPr>
                <w:rFonts w:ascii="Calibri" w:eastAsia="Times New Roman" w:hAnsi="Calibri" w:cs="Calibri"/>
                <w:b/>
                <w:bCs/>
                <w:color w:val="000000"/>
              </w:rPr>
            </w:pPr>
          </w:p>
        </w:tc>
        <w:tc>
          <w:tcPr>
            <w:tcW w:w="2053" w:type="dxa"/>
            <w:vMerge/>
            <w:tcBorders>
              <w:top w:val="nil"/>
              <w:left w:val="nil"/>
              <w:bottom w:val="double" w:sz="6" w:space="0" w:color="000000"/>
              <w:right w:val="nil"/>
            </w:tcBorders>
            <w:vAlign w:val="center"/>
            <w:hideMark/>
          </w:tcPr>
          <w:p w14:paraId="0C22572B" w14:textId="77777777" w:rsidR="005A10CA" w:rsidRPr="009B58E0" w:rsidRDefault="005A10CA" w:rsidP="004A0697">
            <w:pPr>
              <w:spacing w:after="0"/>
              <w:ind w:left="-75"/>
              <w:rPr>
                <w:rFonts w:ascii="Calibri" w:eastAsia="Times New Roman" w:hAnsi="Calibri" w:cs="Calibri"/>
                <w:b/>
                <w:bCs/>
                <w:color w:val="000000"/>
              </w:rPr>
            </w:pPr>
          </w:p>
        </w:tc>
        <w:tc>
          <w:tcPr>
            <w:tcW w:w="1841" w:type="dxa"/>
            <w:vMerge/>
            <w:tcBorders>
              <w:top w:val="nil"/>
              <w:left w:val="nil"/>
              <w:bottom w:val="double" w:sz="6" w:space="0" w:color="000000"/>
              <w:right w:val="nil"/>
            </w:tcBorders>
            <w:vAlign w:val="center"/>
            <w:hideMark/>
          </w:tcPr>
          <w:p w14:paraId="1C76BA41" w14:textId="77777777" w:rsidR="005A10CA" w:rsidRPr="009B58E0" w:rsidRDefault="005A10CA" w:rsidP="004A0697">
            <w:pPr>
              <w:spacing w:after="0"/>
              <w:ind w:left="-75"/>
              <w:rPr>
                <w:rFonts w:ascii="Calibri" w:eastAsia="Times New Roman" w:hAnsi="Calibri" w:cs="Calibri"/>
                <w:b/>
                <w:bCs/>
                <w:color w:val="000000"/>
              </w:rPr>
            </w:pPr>
          </w:p>
        </w:tc>
        <w:tc>
          <w:tcPr>
            <w:tcW w:w="1929" w:type="dxa"/>
            <w:vMerge/>
            <w:tcBorders>
              <w:top w:val="nil"/>
              <w:left w:val="nil"/>
              <w:bottom w:val="double" w:sz="6" w:space="0" w:color="000000"/>
              <w:right w:val="nil"/>
            </w:tcBorders>
            <w:vAlign w:val="center"/>
            <w:hideMark/>
          </w:tcPr>
          <w:p w14:paraId="11D41AD8" w14:textId="77777777" w:rsidR="005A10CA" w:rsidRPr="009B58E0" w:rsidRDefault="005A10CA" w:rsidP="004A0697">
            <w:pPr>
              <w:spacing w:after="0"/>
              <w:ind w:left="-75"/>
              <w:rPr>
                <w:rFonts w:ascii="Calibri" w:eastAsia="Times New Roman" w:hAnsi="Calibri" w:cs="Calibri"/>
                <w:b/>
                <w:bCs/>
                <w:color w:val="000000"/>
              </w:rPr>
            </w:pPr>
          </w:p>
        </w:tc>
        <w:tc>
          <w:tcPr>
            <w:tcW w:w="2019" w:type="dxa"/>
            <w:vMerge/>
            <w:tcBorders>
              <w:top w:val="nil"/>
              <w:left w:val="nil"/>
              <w:bottom w:val="double" w:sz="6" w:space="0" w:color="000000"/>
              <w:right w:val="nil"/>
            </w:tcBorders>
            <w:vAlign w:val="center"/>
            <w:hideMark/>
          </w:tcPr>
          <w:p w14:paraId="11169209" w14:textId="77777777" w:rsidR="005A10CA" w:rsidRPr="009B58E0" w:rsidRDefault="005A10CA" w:rsidP="004A0697">
            <w:pPr>
              <w:spacing w:after="0"/>
              <w:ind w:left="-75"/>
              <w:rPr>
                <w:rFonts w:ascii="Calibri" w:eastAsia="Times New Roman" w:hAnsi="Calibri" w:cs="Calibri"/>
                <w:b/>
                <w:bCs/>
                <w:color w:val="000000"/>
              </w:rPr>
            </w:pPr>
          </w:p>
        </w:tc>
        <w:tc>
          <w:tcPr>
            <w:tcW w:w="2070" w:type="dxa"/>
            <w:vMerge/>
            <w:tcBorders>
              <w:top w:val="nil"/>
              <w:left w:val="nil"/>
              <w:bottom w:val="double" w:sz="6" w:space="0" w:color="000000"/>
              <w:right w:val="nil"/>
            </w:tcBorders>
            <w:vAlign w:val="center"/>
            <w:hideMark/>
          </w:tcPr>
          <w:p w14:paraId="29ED1446" w14:textId="77777777" w:rsidR="005A10CA" w:rsidRPr="009B58E0" w:rsidRDefault="005A10CA" w:rsidP="004A0697">
            <w:pPr>
              <w:spacing w:after="0"/>
              <w:ind w:left="-75"/>
              <w:rPr>
                <w:rFonts w:ascii="Calibri" w:eastAsia="Times New Roman" w:hAnsi="Calibri" w:cs="Calibri"/>
                <w:b/>
                <w:bCs/>
                <w:color w:val="000000"/>
              </w:rPr>
            </w:pPr>
          </w:p>
        </w:tc>
        <w:tc>
          <w:tcPr>
            <w:tcW w:w="236" w:type="dxa"/>
            <w:gridSpan w:val="2"/>
            <w:tcBorders>
              <w:top w:val="nil"/>
              <w:left w:val="nil"/>
              <w:bottom w:val="nil"/>
              <w:right w:val="nil"/>
            </w:tcBorders>
            <w:shd w:val="clear" w:color="auto" w:fill="auto"/>
            <w:noWrap/>
            <w:vAlign w:val="bottom"/>
            <w:hideMark/>
          </w:tcPr>
          <w:p w14:paraId="072F9355" w14:textId="77777777" w:rsidR="005A10CA" w:rsidRPr="009B58E0" w:rsidRDefault="005A10CA" w:rsidP="004A0697">
            <w:pPr>
              <w:spacing w:after="0"/>
              <w:ind w:left="-75"/>
              <w:jc w:val="center"/>
              <w:rPr>
                <w:rFonts w:ascii="Calibri" w:eastAsia="Times New Roman" w:hAnsi="Calibri" w:cs="Calibri"/>
                <w:b/>
                <w:bCs/>
                <w:color w:val="000000"/>
              </w:rPr>
            </w:pPr>
          </w:p>
        </w:tc>
      </w:tr>
      <w:tr w:rsidR="005A10CA" w:rsidRPr="009B58E0" w14:paraId="48419E7C" w14:textId="77777777" w:rsidTr="004A0697">
        <w:trPr>
          <w:gridAfter w:val="1"/>
          <w:wAfter w:w="18" w:type="dxa"/>
          <w:trHeight w:val="90"/>
        </w:trPr>
        <w:tc>
          <w:tcPr>
            <w:tcW w:w="1440" w:type="dxa"/>
            <w:vMerge/>
            <w:tcBorders>
              <w:top w:val="nil"/>
              <w:left w:val="nil"/>
              <w:bottom w:val="double" w:sz="6" w:space="0" w:color="000000"/>
              <w:right w:val="nil"/>
            </w:tcBorders>
            <w:vAlign w:val="center"/>
            <w:hideMark/>
          </w:tcPr>
          <w:p w14:paraId="282A8EA4" w14:textId="77777777" w:rsidR="005A10CA" w:rsidRPr="009B58E0" w:rsidRDefault="005A10CA" w:rsidP="004A0697">
            <w:pPr>
              <w:spacing w:after="0"/>
              <w:ind w:left="-75"/>
              <w:rPr>
                <w:rFonts w:ascii="Calibri" w:eastAsia="Times New Roman" w:hAnsi="Calibri" w:cs="Calibri"/>
                <w:b/>
                <w:bCs/>
                <w:color w:val="000000"/>
              </w:rPr>
            </w:pPr>
          </w:p>
        </w:tc>
        <w:tc>
          <w:tcPr>
            <w:tcW w:w="1440" w:type="dxa"/>
            <w:vMerge/>
            <w:tcBorders>
              <w:top w:val="nil"/>
              <w:left w:val="nil"/>
              <w:bottom w:val="double" w:sz="6" w:space="0" w:color="000000"/>
              <w:right w:val="nil"/>
            </w:tcBorders>
            <w:vAlign w:val="center"/>
            <w:hideMark/>
          </w:tcPr>
          <w:p w14:paraId="03AEF675" w14:textId="77777777" w:rsidR="005A10CA" w:rsidRPr="009B58E0" w:rsidRDefault="005A10CA" w:rsidP="004A0697">
            <w:pPr>
              <w:spacing w:after="0"/>
              <w:ind w:left="-75"/>
              <w:rPr>
                <w:rFonts w:ascii="Calibri" w:eastAsia="Times New Roman" w:hAnsi="Calibri" w:cs="Calibri"/>
                <w:b/>
                <w:bCs/>
                <w:color w:val="000000"/>
              </w:rPr>
            </w:pPr>
          </w:p>
        </w:tc>
        <w:tc>
          <w:tcPr>
            <w:tcW w:w="2053" w:type="dxa"/>
            <w:vMerge/>
            <w:tcBorders>
              <w:top w:val="nil"/>
              <w:left w:val="nil"/>
              <w:bottom w:val="double" w:sz="6" w:space="0" w:color="000000"/>
              <w:right w:val="nil"/>
            </w:tcBorders>
            <w:vAlign w:val="center"/>
            <w:hideMark/>
          </w:tcPr>
          <w:p w14:paraId="6A31A7EA" w14:textId="77777777" w:rsidR="005A10CA" w:rsidRPr="009B58E0" w:rsidRDefault="005A10CA" w:rsidP="004A0697">
            <w:pPr>
              <w:spacing w:after="0"/>
              <w:ind w:left="-75"/>
              <w:rPr>
                <w:rFonts w:ascii="Calibri" w:eastAsia="Times New Roman" w:hAnsi="Calibri" w:cs="Calibri"/>
                <w:b/>
                <w:bCs/>
                <w:color w:val="000000"/>
              </w:rPr>
            </w:pPr>
          </w:p>
        </w:tc>
        <w:tc>
          <w:tcPr>
            <w:tcW w:w="1841" w:type="dxa"/>
            <w:vMerge/>
            <w:tcBorders>
              <w:top w:val="nil"/>
              <w:left w:val="nil"/>
              <w:bottom w:val="double" w:sz="6" w:space="0" w:color="000000"/>
              <w:right w:val="nil"/>
            </w:tcBorders>
            <w:vAlign w:val="center"/>
            <w:hideMark/>
          </w:tcPr>
          <w:p w14:paraId="0E03ABCE" w14:textId="77777777" w:rsidR="005A10CA" w:rsidRPr="009B58E0" w:rsidRDefault="005A10CA" w:rsidP="004A0697">
            <w:pPr>
              <w:spacing w:after="0"/>
              <w:ind w:left="-75"/>
              <w:rPr>
                <w:rFonts w:ascii="Calibri" w:eastAsia="Times New Roman" w:hAnsi="Calibri" w:cs="Calibri"/>
                <w:b/>
                <w:bCs/>
                <w:color w:val="000000"/>
              </w:rPr>
            </w:pPr>
          </w:p>
        </w:tc>
        <w:tc>
          <w:tcPr>
            <w:tcW w:w="1929" w:type="dxa"/>
            <w:vMerge/>
            <w:tcBorders>
              <w:top w:val="nil"/>
              <w:left w:val="nil"/>
              <w:bottom w:val="double" w:sz="6" w:space="0" w:color="000000"/>
              <w:right w:val="nil"/>
            </w:tcBorders>
            <w:vAlign w:val="center"/>
            <w:hideMark/>
          </w:tcPr>
          <w:p w14:paraId="3DE2B19D" w14:textId="77777777" w:rsidR="005A10CA" w:rsidRPr="009B58E0" w:rsidRDefault="005A10CA" w:rsidP="004A0697">
            <w:pPr>
              <w:spacing w:after="0"/>
              <w:ind w:left="-75"/>
              <w:rPr>
                <w:rFonts w:ascii="Calibri" w:eastAsia="Times New Roman" w:hAnsi="Calibri" w:cs="Calibri"/>
                <w:b/>
                <w:bCs/>
                <w:color w:val="000000"/>
              </w:rPr>
            </w:pPr>
          </w:p>
        </w:tc>
        <w:tc>
          <w:tcPr>
            <w:tcW w:w="2019" w:type="dxa"/>
            <w:vMerge/>
            <w:tcBorders>
              <w:top w:val="nil"/>
              <w:left w:val="nil"/>
              <w:bottom w:val="double" w:sz="6" w:space="0" w:color="000000"/>
              <w:right w:val="nil"/>
            </w:tcBorders>
            <w:vAlign w:val="center"/>
            <w:hideMark/>
          </w:tcPr>
          <w:p w14:paraId="3CC49B38" w14:textId="77777777" w:rsidR="005A10CA" w:rsidRPr="009B58E0" w:rsidRDefault="005A10CA" w:rsidP="004A0697">
            <w:pPr>
              <w:spacing w:after="0"/>
              <w:ind w:left="-75"/>
              <w:rPr>
                <w:rFonts w:ascii="Calibri" w:eastAsia="Times New Roman" w:hAnsi="Calibri" w:cs="Calibri"/>
                <w:b/>
                <w:bCs/>
                <w:color w:val="000000"/>
              </w:rPr>
            </w:pPr>
          </w:p>
        </w:tc>
        <w:tc>
          <w:tcPr>
            <w:tcW w:w="2070" w:type="dxa"/>
            <w:vMerge/>
            <w:tcBorders>
              <w:top w:val="nil"/>
              <w:left w:val="nil"/>
              <w:bottom w:val="double" w:sz="6" w:space="0" w:color="000000"/>
              <w:right w:val="nil"/>
            </w:tcBorders>
            <w:vAlign w:val="center"/>
            <w:hideMark/>
          </w:tcPr>
          <w:p w14:paraId="5D837C3F" w14:textId="77777777" w:rsidR="005A10CA" w:rsidRPr="009B58E0" w:rsidRDefault="005A10CA" w:rsidP="004A0697">
            <w:pPr>
              <w:spacing w:after="0"/>
              <w:ind w:left="-75"/>
              <w:rPr>
                <w:rFonts w:ascii="Calibri" w:eastAsia="Times New Roman" w:hAnsi="Calibri" w:cs="Calibri"/>
                <w:b/>
                <w:bCs/>
                <w:color w:val="000000"/>
              </w:rPr>
            </w:pPr>
          </w:p>
        </w:tc>
        <w:tc>
          <w:tcPr>
            <w:tcW w:w="236" w:type="dxa"/>
            <w:gridSpan w:val="2"/>
            <w:tcBorders>
              <w:top w:val="nil"/>
              <w:left w:val="nil"/>
              <w:bottom w:val="nil"/>
              <w:right w:val="nil"/>
            </w:tcBorders>
            <w:shd w:val="clear" w:color="auto" w:fill="auto"/>
            <w:noWrap/>
            <w:vAlign w:val="bottom"/>
            <w:hideMark/>
          </w:tcPr>
          <w:p w14:paraId="184272FA" w14:textId="77777777" w:rsidR="005A10CA" w:rsidRPr="009B58E0" w:rsidRDefault="005A10CA" w:rsidP="004A0697">
            <w:pPr>
              <w:spacing w:after="0"/>
              <w:ind w:left="-75"/>
              <w:rPr>
                <w:rFonts w:ascii="Times New Roman" w:eastAsia="Times New Roman" w:hAnsi="Times New Roman" w:cs="Times New Roman"/>
                <w:sz w:val="20"/>
                <w:szCs w:val="20"/>
              </w:rPr>
            </w:pPr>
          </w:p>
        </w:tc>
      </w:tr>
      <w:tr w:rsidR="005A10CA" w:rsidRPr="009B58E0" w14:paraId="067F1CAA" w14:textId="77777777" w:rsidTr="004A0697">
        <w:trPr>
          <w:trHeight w:val="300"/>
        </w:trPr>
        <w:tc>
          <w:tcPr>
            <w:tcW w:w="12810" w:type="dxa"/>
            <w:gridSpan w:val="8"/>
            <w:tcBorders>
              <w:top w:val="nil"/>
              <w:left w:val="nil"/>
              <w:bottom w:val="nil"/>
              <w:right w:val="nil"/>
            </w:tcBorders>
            <w:shd w:val="clear" w:color="auto" w:fill="auto"/>
            <w:noWrap/>
            <w:vAlign w:val="center"/>
            <w:hideMark/>
          </w:tcPr>
          <w:p w14:paraId="1869E7B2" w14:textId="57561216" w:rsidR="005A10CA" w:rsidRPr="009B58E0" w:rsidRDefault="005A10CA" w:rsidP="004A0697">
            <w:pPr>
              <w:spacing w:after="0"/>
              <w:ind w:left="-75"/>
              <w:rPr>
                <w:rFonts w:ascii="Calibri" w:eastAsia="Times New Roman" w:hAnsi="Calibri" w:cs="Calibri"/>
                <w:color w:val="000000"/>
              </w:rPr>
            </w:pPr>
            <w:r w:rsidRPr="009B58E0">
              <w:rPr>
                <w:rFonts w:ascii="Calibri" w:eastAsia="Times New Roman" w:hAnsi="Calibri" w:cs="Calibri"/>
                <w:color w:val="000000"/>
              </w:rPr>
              <w:t xml:space="preserve">Evaluation question </w:t>
            </w:r>
            <w:r w:rsidR="00180233">
              <w:rPr>
                <w:rFonts w:ascii="Calibri" w:eastAsia="Times New Roman" w:hAnsi="Calibri" w:cs="Calibri"/>
                <w:color w:val="000000"/>
              </w:rPr>
              <w:t>1</w:t>
            </w:r>
            <w:r w:rsidRPr="009B58E0">
              <w:rPr>
                <w:rFonts w:ascii="Calibri" w:eastAsia="Times New Roman" w:hAnsi="Calibri" w:cs="Calibri"/>
                <w:color w:val="000000"/>
              </w:rPr>
              <w:t>a, birth weights (kgs) in SPAR vs comparison districts</w:t>
            </w:r>
          </w:p>
        </w:tc>
        <w:tc>
          <w:tcPr>
            <w:tcW w:w="236" w:type="dxa"/>
            <w:gridSpan w:val="2"/>
            <w:vAlign w:val="center"/>
            <w:hideMark/>
          </w:tcPr>
          <w:p w14:paraId="31EA59AD" w14:textId="77777777" w:rsidR="005A10CA" w:rsidRPr="009B58E0" w:rsidRDefault="005A10CA" w:rsidP="004A0697">
            <w:pPr>
              <w:spacing w:after="0"/>
              <w:ind w:left="-75"/>
              <w:rPr>
                <w:rFonts w:ascii="Times New Roman" w:eastAsia="Times New Roman" w:hAnsi="Times New Roman" w:cs="Times New Roman"/>
                <w:sz w:val="20"/>
                <w:szCs w:val="20"/>
              </w:rPr>
            </w:pPr>
          </w:p>
        </w:tc>
      </w:tr>
      <w:tr w:rsidR="009C0625" w:rsidRPr="009B58E0" w14:paraId="0A5AEDE0" w14:textId="77777777" w:rsidTr="00612C7F">
        <w:trPr>
          <w:gridAfter w:val="1"/>
          <w:wAfter w:w="18" w:type="dxa"/>
          <w:trHeight w:val="288"/>
        </w:trPr>
        <w:tc>
          <w:tcPr>
            <w:tcW w:w="1440" w:type="dxa"/>
            <w:tcBorders>
              <w:top w:val="nil"/>
              <w:left w:val="nil"/>
              <w:bottom w:val="nil"/>
              <w:right w:val="nil"/>
            </w:tcBorders>
            <w:shd w:val="clear" w:color="auto" w:fill="auto"/>
            <w:noWrap/>
            <w:vAlign w:val="bottom"/>
            <w:hideMark/>
          </w:tcPr>
          <w:p w14:paraId="557B5EED" w14:textId="31DB21B3" w:rsidR="009C0625" w:rsidRPr="009B58E0" w:rsidRDefault="009C0625" w:rsidP="009C0625">
            <w:pPr>
              <w:spacing w:after="0"/>
              <w:ind w:left="-75"/>
              <w:jc w:val="center"/>
              <w:rPr>
                <w:rFonts w:ascii="Calibri" w:eastAsia="Times New Roman" w:hAnsi="Calibri" w:cs="Calibri"/>
                <w:color w:val="000000"/>
              </w:rPr>
            </w:pPr>
            <w:r>
              <w:rPr>
                <w:rFonts w:ascii="Calibri" w:hAnsi="Calibri" w:cs="Calibri"/>
                <w:color w:val="000000"/>
              </w:rPr>
              <w:t>13</w:t>
            </w:r>
          </w:p>
        </w:tc>
        <w:tc>
          <w:tcPr>
            <w:tcW w:w="1440" w:type="dxa"/>
            <w:tcBorders>
              <w:top w:val="nil"/>
              <w:left w:val="nil"/>
              <w:bottom w:val="nil"/>
              <w:right w:val="nil"/>
            </w:tcBorders>
            <w:shd w:val="clear" w:color="auto" w:fill="auto"/>
            <w:noWrap/>
            <w:vAlign w:val="bottom"/>
            <w:hideMark/>
          </w:tcPr>
          <w:p w14:paraId="78F59AA3" w14:textId="63A40832" w:rsidR="009C0625" w:rsidRPr="009B58E0" w:rsidRDefault="009C0625" w:rsidP="009C0625">
            <w:pPr>
              <w:spacing w:after="0"/>
              <w:ind w:left="-75"/>
              <w:jc w:val="center"/>
              <w:rPr>
                <w:rFonts w:ascii="Calibri" w:eastAsia="Times New Roman" w:hAnsi="Calibri" w:cs="Calibri"/>
                <w:color w:val="000000"/>
              </w:rPr>
            </w:pPr>
            <w:r>
              <w:rPr>
                <w:rFonts w:ascii="Calibri" w:hAnsi="Calibri" w:cs="Calibri"/>
                <w:color w:val="000000"/>
              </w:rPr>
              <w:t>12</w:t>
            </w:r>
          </w:p>
        </w:tc>
        <w:tc>
          <w:tcPr>
            <w:tcW w:w="2053" w:type="dxa"/>
            <w:tcBorders>
              <w:top w:val="nil"/>
              <w:left w:val="nil"/>
              <w:bottom w:val="nil"/>
              <w:right w:val="nil"/>
            </w:tcBorders>
            <w:shd w:val="clear" w:color="auto" w:fill="auto"/>
            <w:noWrap/>
            <w:vAlign w:val="bottom"/>
            <w:hideMark/>
          </w:tcPr>
          <w:p w14:paraId="013A58AE" w14:textId="45B74693" w:rsidR="009C0625" w:rsidRPr="009B58E0" w:rsidRDefault="009C0625" w:rsidP="009C0625">
            <w:pPr>
              <w:spacing w:after="0"/>
              <w:ind w:left="-75"/>
              <w:jc w:val="center"/>
              <w:rPr>
                <w:rFonts w:ascii="Calibri" w:eastAsia="Times New Roman" w:hAnsi="Calibri" w:cs="Calibri"/>
                <w:color w:val="000000"/>
              </w:rPr>
            </w:pPr>
            <w:r>
              <w:rPr>
                <w:rFonts w:ascii="Calibri" w:hAnsi="Calibri" w:cs="Calibri"/>
                <w:color w:val="000000"/>
              </w:rPr>
              <w:t>15</w:t>
            </w:r>
          </w:p>
        </w:tc>
        <w:tc>
          <w:tcPr>
            <w:tcW w:w="1841" w:type="dxa"/>
            <w:tcBorders>
              <w:top w:val="nil"/>
              <w:left w:val="nil"/>
              <w:bottom w:val="nil"/>
              <w:right w:val="nil"/>
            </w:tcBorders>
            <w:shd w:val="clear" w:color="auto" w:fill="auto"/>
            <w:noWrap/>
            <w:vAlign w:val="bottom"/>
            <w:hideMark/>
          </w:tcPr>
          <w:p w14:paraId="3668A942" w14:textId="6C878EFE" w:rsidR="009C0625" w:rsidRPr="009B58E0" w:rsidRDefault="009C0625" w:rsidP="009C0625">
            <w:pPr>
              <w:spacing w:after="0"/>
              <w:ind w:left="-75"/>
              <w:jc w:val="center"/>
              <w:rPr>
                <w:rFonts w:ascii="Calibri" w:eastAsia="Times New Roman" w:hAnsi="Calibri" w:cs="Calibri"/>
                <w:color w:val="000000"/>
              </w:rPr>
            </w:pPr>
            <w:r>
              <w:rPr>
                <w:rFonts w:ascii="Calibri" w:hAnsi="Calibri" w:cs="Calibri"/>
                <w:color w:val="000000"/>
              </w:rPr>
              <w:t>15</w:t>
            </w:r>
          </w:p>
        </w:tc>
        <w:tc>
          <w:tcPr>
            <w:tcW w:w="1929" w:type="dxa"/>
            <w:tcBorders>
              <w:top w:val="nil"/>
              <w:left w:val="nil"/>
              <w:bottom w:val="nil"/>
              <w:right w:val="nil"/>
            </w:tcBorders>
            <w:shd w:val="clear" w:color="auto" w:fill="auto"/>
            <w:noWrap/>
            <w:vAlign w:val="bottom"/>
            <w:hideMark/>
          </w:tcPr>
          <w:p w14:paraId="68321C98" w14:textId="48F23A73" w:rsidR="009C0625" w:rsidRPr="009B58E0" w:rsidRDefault="009C0625" w:rsidP="009C0625">
            <w:pPr>
              <w:spacing w:after="0"/>
              <w:ind w:left="-75"/>
              <w:jc w:val="center"/>
              <w:rPr>
                <w:rFonts w:ascii="Calibri" w:eastAsia="Times New Roman" w:hAnsi="Calibri" w:cs="Calibri"/>
                <w:color w:val="000000"/>
              </w:rPr>
            </w:pPr>
            <w:r>
              <w:rPr>
                <w:rFonts w:ascii="Calibri" w:hAnsi="Calibri" w:cs="Calibri"/>
                <w:color w:val="000000"/>
              </w:rPr>
              <w:t>96</w:t>
            </w:r>
          </w:p>
        </w:tc>
        <w:tc>
          <w:tcPr>
            <w:tcW w:w="2019" w:type="dxa"/>
            <w:tcBorders>
              <w:top w:val="nil"/>
              <w:left w:val="nil"/>
              <w:bottom w:val="nil"/>
              <w:right w:val="nil"/>
            </w:tcBorders>
            <w:shd w:val="clear" w:color="auto" w:fill="auto"/>
            <w:noWrap/>
            <w:vAlign w:val="bottom"/>
            <w:hideMark/>
          </w:tcPr>
          <w:p w14:paraId="657FF3CB" w14:textId="4DFDC0E3" w:rsidR="009C0625" w:rsidRPr="009B58E0" w:rsidRDefault="009C0625" w:rsidP="009C0625">
            <w:pPr>
              <w:spacing w:after="0"/>
              <w:ind w:left="-75"/>
              <w:jc w:val="center"/>
              <w:rPr>
                <w:rFonts w:ascii="Calibri" w:eastAsia="Times New Roman" w:hAnsi="Calibri" w:cs="Calibri"/>
                <w:color w:val="000000"/>
              </w:rPr>
            </w:pPr>
            <w:r>
              <w:rPr>
                <w:rFonts w:ascii="Calibri" w:hAnsi="Calibri" w:cs="Calibri"/>
                <w:color w:val="000000"/>
              </w:rPr>
              <w:t>3.18</w:t>
            </w:r>
          </w:p>
        </w:tc>
        <w:tc>
          <w:tcPr>
            <w:tcW w:w="2070" w:type="dxa"/>
            <w:tcBorders>
              <w:top w:val="nil"/>
              <w:left w:val="nil"/>
              <w:bottom w:val="nil"/>
              <w:right w:val="nil"/>
            </w:tcBorders>
            <w:shd w:val="clear" w:color="auto" w:fill="auto"/>
            <w:noWrap/>
            <w:vAlign w:val="bottom"/>
            <w:hideMark/>
          </w:tcPr>
          <w:p w14:paraId="78B8A742" w14:textId="4522B015" w:rsidR="009C0625" w:rsidRPr="009B58E0" w:rsidRDefault="009C0625" w:rsidP="009C0625">
            <w:pPr>
              <w:spacing w:after="0"/>
              <w:ind w:left="-75"/>
              <w:jc w:val="center"/>
              <w:rPr>
                <w:rFonts w:ascii="Calibri" w:eastAsia="Times New Roman" w:hAnsi="Calibri" w:cs="Calibri"/>
                <w:color w:val="000000"/>
              </w:rPr>
            </w:pPr>
            <w:r>
              <w:rPr>
                <w:rFonts w:ascii="Calibri" w:hAnsi="Calibri" w:cs="Calibri"/>
                <w:color w:val="000000"/>
              </w:rPr>
              <w:t>0.04</w:t>
            </w:r>
          </w:p>
        </w:tc>
        <w:tc>
          <w:tcPr>
            <w:tcW w:w="236" w:type="dxa"/>
            <w:gridSpan w:val="2"/>
            <w:vAlign w:val="center"/>
            <w:hideMark/>
          </w:tcPr>
          <w:p w14:paraId="5EF57A1F" w14:textId="77777777" w:rsidR="009C0625" w:rsidRPr="009B58E0" w:rsidRDefault="009C0625" w:rsidP="009C0625">
            <w:pPr>
              <w:spacing w:after="0"/>
              <w:ind w:left="-75"/>
              <w:rPr>
                <w:rFonts w:ascii="Times New Roman" w:eastAsia="Times New Roman" w:hAnsi="Times New Roman" w:cs="Times New Roman"/>
                <w:sz w:val="20"/>
                <w:szCs w:val="20"/>
              </w:rPr>
            </w:pPr>
          </w:p>
        </w:tc>
      </w:tr>
      <w:tr w:rsidR="005A10CA" w:rsidRPr="009B58E0" w14:paraId="0035EEF9" w14:textId="77777777" w:rsidTr="004A0697">
        <w:trPr>
          <w:trHeight w:val="288"/>
        </w:trPr>
        <w:tc>
          <w:tcPr>
            <w:tcW w:w="12810" w:type="dxa"/>
            <w:gridSpan w:val="8"/>
            <w:tcBorders>
              <w:top w:val="nil"/>
              <w:left w:val="nil"/>
              <w:bottom w:val="nil"/>
              <w:right w:val="nil"/>
            </w:tcBorders>
            <w:shd w:val="clear" w:color="auto" w:fill="auto"/>
            <w:noWrap/>
            <w:vAlign w:val="center"/>
            <w:hideMark/>
          </w:tcPr>
          <w:p w14:paraId="5D647274" w14:textId="414BCD2B" w:rsidR="005A10CA" w:rsidRPr="009B58E0" w:rsidRDefault="005A10CA" w:rsidP="004A0697">
            <w:pPr>
              <w:spacing w:after="0"/>
              <w:ind w:left="-75"/>
              <w:rPr>
                <w:rFonts w:ascii="Calibri" w:eastAsia="Times New Roman" w:hAnsi="Calibri" w:cs="Calibri"/>
                <w:color w:val="000000"/>
              </w:rPr>
            </w:pPr>
            <w:r w:rsidRPr="009B58E0">
              <w:rPr>
                <w:rFonts w:ascii="Calibri" w:eastAsia="Times New Roman" w:hAnsi="Calibri" w:cs="Calibri"/>
                <w:color w:val="000000"/>
              </w:rPr>
              <w:t xml:space="preserve">Evaluation question </w:t>
            </w:r>
            <w:r w:rsidR="00180233">
              <w:rPr>
                <w:rFonts w:ascii="Calibri" w:eastAsia="Times New Roman" w:hAnsi="Calibri" w:cs="Calibri"/>
                <w:color w:val="000000"/>
              </w:rPr>
              <w:t>2a</w:t>
            </w:r>
            <w:r w:rsidRPr="009B58E0">
              <w:rPr>
                <w:rFonts w:ascii="Calibri" w:eastAsia="Times New Roman" w:hAnsi="Calibri" w:cs="Calibri"/>
                <w:color w:val="000000"/>
              </w:rPr>
              <w:t>, birth weights (kgs) in districts with and without SPaR health investments</w:t>
            </w:r>
          </w:p>
        </w:tc>
        <w:tc>
          <w:tcPr>
            <w:tcW w:w="236" w:type="dxa"/>
            <w:gridSpan w:val="2"/>
            <w:vAlign w:val="center"/>
            <w:hideMark/>
          </w:tcPr>
          <w:p w14:paraId="7187C24D" w14:textId="77777777" w:rsidR="005A10CA" w:rsidRPr="009B58E0" w:rsidRDefault="005A10CA" w:rsidP="004A0697">
            <w:pPr>
              <w:spacing w:after="0"/>
              <w:ind w:left="-75"/>
              <w:rPr>
                <w:rFonts w:ascii="Times New Roman" w:eastAsia="Times New Roman" w:hAnsi="Times New Roman" w:cs="Times New Roman"/>
                <w:sz w:val="20"/>
                <w:szCs w:val="20"/>
              </w:rPr>
            </w:pPr>
          </w:p>
        </w:tc>
      </w:tr>
      <w:tr w:rsidR="00222D73" w:rsidRPr="009B58E0" w14:paraId="2A4723E9" w14:textId="77777777" w:rsidTr="00612C7F">
        <w:trPr>
          <w:gridAfter w:val="1"/>
          <w:wAfter w:w="18" w:type="dxa"/>
          <w:trHeight w:val="288"/>
        </w:trPr>
        <w:tc>
          <w:tcPr>
            <w:tcW w:w="1440" w:type="dxa"/>
            <w:tcBorders>
              <w:top w:val="nil"/>
              <w:left w:val="nil"/>
              <w:bottom w:val="nil"/>
              <w:right w:val="nil"/>
            </w:tcBorders>
            <w:shd w:val="clear" w:color="auto" w:fill="auto"/>
            <w:noWrap/>
            <w:vAlign w:val="bottom"/>
            <w:hideMark/>
          </w:tcPr>
          <w:p w14:paraId="301D889F" w14:textId="22349D0B" w:rsidR="00222D73" w:rsidRPr="009B58E0" w:rsidRDefault="00222D73" w:rsidP="00222D73">
            <w:pPr>
              <w:spacing w:after="0"/>
              <w:ind w:left="-75"/>
              <w:jc w:val="center"/>
              <w:rPr>
                <w:rFonts w:ascii="Calibri" w:eastAsia="Times New Roman" w:hAnsi="Calibri" w:cs="Calibri"/>
                <w:color w:val="000000"/>
              </w:rPr>
            </w:pPr>
            <w:r>
              <w:rPr>
                <w:rFonts w:ascii="Calibri" w:hAnsi="Calibri" w:cs="Calibri"/>
                <w:color w:val="000000"/>
              </w:rPr>
              <w:t>13</w:t>
            </w:r>
          </w:p>
        </w:tc>
        <w:tc>
          <w:tcPr>
            <w:tcW w:w="1440" w:type="dxa"/>
            <w:tcBorders>
              <w:top w:val="nil"/>
              <w:left w:val="nil"/>
              <w:bottom w:val="nil"/>
              <w:right w:val="nil"/>
            </w:tcBorders>
            <w:shd w:val="clear" w:color="auto" w:fill="auto"/>
            <w:noWrap/>
            <w:vAlign w:val="bottom"/>
            <w:hideMark/>
          </w:tcPr>
          <w:p w14:paraId="780EFE26" w14:textId="6A3605EC" w:rsidR="00222D73" w:rsidRPr="009B58E0" w:rsidRDefault="00222D73" w:rsidP="00222D73">
            <w:pPr>
              <w:spacing w:after="0"/>
              <w:ind w:left="-75"/>
              <w:jc w:val="center"/>
              <w:rPr>
                <w:rFonts w:ascii="Calibri" w:eastAsia="Times New Roman" w:hAnsi="Calibri" w:cs="Calibri"/>
                <w:color w:val="000000"/>
              </w:rPr>
            </w:pPr>
            <w:r>
              <w:rPr>
                <w:rFonts w:ascii="Calibri" w:hAnsi="Calibri" w:cs="Calibri"/>
                <w:color w:val="000000"/>
              </w:rPr>
              <w:t>4</w:t>
            </w:r>
          </w:p>
        </w:tc>
        <w:tc>
          <w:tcPr>
            <w:tcW w:w="2053" w:type="dxa"/>
            <w:tcBorders>
              <w:top w:val="nil"/>
              <w:left w:val="nil"/>
              <w:bottom w:val="nil"/>
              <w:right w:val="nil"/>
            </w:tcBorders>
            <w:shd w:val="clear" w:color="auto" w:fill="auto"/>
            <w:noWrap/>
            <w:vAlign w:val="bottom"/>
            <w:hideMark/>
          </w:tcPr>
          <w:p w14:paraId="7238DD7B" w14:textId="2AB9DE37" w:rsidR="00222D73" w:rsidRPr="009B58E0" w:rsidRDefault="00222D73" w:rsidP="00222D73">
            <w:pPr>
              <w:spacing w:after="0"/>
              <w:ind w:left="-75"/>
              <w:jc w:val="center"/>
              <w:rPr>
                <w:rFonts w:ascii="Calibri" w:eastAsia="Times New Roman" w:hAnsi="Calibri" w:cs="Calibri"/>
                <w:color w:val="000000"/>
              </w:rPr>
            </w:pPr>
            <w:r>
              <w:rPr>
                <w:rFonts w:ascii="Calibri" w:hAnsi="Calibri" w:cs="Calibri"/>
                <w:color w:val="000000"/>
              </w:rPr>
              <w:t>15</w:t>
            </w:r>
          </w:p>
        </w:tc>
        <w:tc>
          <w:tcPr>
            <w:tcW w:w="1841" w:type="dxa"/>
            <w:tcBorders>
              <w:top w:val="nil"/>
              <w:left w:val="nil"/>
              <w:bottom w:val="nil"/>
              <w:right w:val="nil"/>
            </w:tcBorders>
            <w:shd w:val="clear" w:color="auto" w:fill="auto"/>
            <w:noWrap/>
            <w:vAlign w:val="bottom"/>
            <w:hideMark/>
          </w:tcPr>
          <w:p w14:paraId="0A95A442" w14:textId="76ED374C" w:rsidR="00222D73" w:rsidRPr="009B58E0" w:rsidRDefault="00222D73" w:rsidP="00222D73">
            <w:pPr>
              <w:spacing w:after="0"/>
              <w:ind w:left="-75"/>
              <w:jc w:val="center"/>
              <w:rPr>
                <w:rFonts w:ascii="Calibri" w:eastAsia="Times New Roman" w:hAnsi="Calibri" w:cs="Calibri"/>
                <w:color w:val="000000"/>
              </w:rPr>
            </w:pPr>
            <w:r>
              <w:rPr>
                <w:rFonts w:ascii="Calibri" w:hAnsi="Calibri" w:cs="Calibri"/>
                <w:color w:val="000000"/>
              </w:rPr>
              <w:t>15</w:t>
            </w:r>
          </w:p>
        </w:tc>
        <w:tc>
          <w:tcPr>
            <w:tcW w:w="1929" w:type="dxa"/>
            <w:tcBorders>
              <w:top w:val="nil"/>
              <w:left w:val="nil"/>
              <w:bottom w:val="nil"/>
              <w:right w:val="nil"/>
            </w:tcBorders>
            <w:shd w:val="clear" w:color="auto" w:fill="auto"/>
            <w:noWrap/>
            <w:vAlign w:val="bottom"/>
            <w:hideMark/>
          </w:tcPr>
          <w:p w14:paraId="29CB3319" w14:textId="1D94F7BA" w:rsidR="00222D73" w:rsidRPr="009B58E0" w:rsidRDefault="00222D73" w:rsidP="00222D73">
            <w:pPr>
              <w:spacing w:after="0"/>
              <w:ind w:left="-75"/>
              <w:jc w:val="center"/>
              <w:rPr>
                <w:rFonts w:ascii="Calibri" w:eastAsia="Times New Roman" w:hAnsi="Calibri" w:cs="Calibri"/>
                <w:color w:val="000000"/>
              </w:rPr>
            </w:pPr>
            <w:r>
              <w:rPr>
                <w:rFonts w:ascii="Calibri" w:hAnsi="Calibri" w:cs="Calibri"/>
                <w:color w:val="000000"/>
              </w:rPr>
              <w:t>96</w:t>
            </w:r>
          </w:p>
        </w:tc>
        <w:tc>
          <w:tcPr>
            <w:tcW w:w="2019" w:type="dxa"/>
            <w:tcBorders>
              <w:top w:val="nil"/>
              <w:left w:val="nil"/>
              <w:bottom w:val="nil"/>
              <w:right w:val="nil"/>
            </w:tcBorders>
            <w:shd w:val="clear" w:color="auto" w:fill="auto"/>
            <w:noWrap/>
            <w:vAlign w:val="bottom"/>
            <w:hideMark/>
          </w:tcPr>
          <w:p w14:paraId="7374059E" w14:textId="7E6477B5" w:rsidR="00222D73" w:rsidRPr="009B58E0" w:rsidRDefault="00222D73" w:rsidP="00222D73">
            <w:pPr>
              <w:spacing w:after="0"/>
              <w:ind w:left="-75"/>
              <w:jc w:val="center"/>
              <w:rPr>
                <w:rFonts w:ascii="Calibri" w:eastAsia="Times New Roman" w:hAnsi="Calibri" w:cs="Calibri"/>
                <w:color w:val="000000"/>
              </w:rPr>
            </w:pPr>
            <w:r>
              <w:rPr>
                <w:rFonts w:ascii="Calibri" w:hAnsi="Calibri" w:cs="Calibri"/>
                <w:color w:val="000000"/>
              </w:rPr>
              <w:t>3.18</w:t>
            </w:r>
          </w:p>
        </w:tc>
        <w:tc>
          <w:tcPr>
            <w:tcW w:w="2070" w:type="dxa"/>
            <w:tcBorders>
              <w:top w:val="nil"/>
              <w:left w:val="nil"/>
              <w:bottom w:val="nil"/>
              <w:right w:val="nil"/>
            </w:tcBorders>
            <w:shd w:val="clear" w:color="auto" w:fill="auto"/>
            <w:noWrap/>
            <w:vAlign w:val="bottom"/>
            <w:hideMark/>
          </w:tcPr>
          <w:p w14:paraId="45087FCD" w14:textId="1C079E30" w:rsidR="00222D73" w:rsidRPr="009B58E0" w:rsidRDefault="00222D73" w:rsidP="00222D73">
            <w:pPr>
              <w:spacing w:after="0"/>
              <w:ind w:left="-75"/>
              <w:jc w:val="center"/>
              <w:rPr>
                <w:rFonts w:ascii="Calibri" w:eastAsia="Times New Roman" w:hAnsi="Calibri" w:cs="Calibri"/>
                <w:color w:val="000000"/>
              </w:rPr>
            </w:pPr>
            <w:r>
              <w:rPr>
                <w:rFonts w:ascii="Calibri" w:hAnsi="Calibri" w:cs="Calibri"/>
                <w:color w:val="000000"/>
              </w:rPr>
              <w:t>0.04</w:t>
            </w:r>
          </w:p>
        </w:tc>
        <w:tc>
          <w:tcPr>
            <w:tcW w:w="236" w:type="dxa"/>
            <w:gridSpan w:val="2"/>
            <w:vAlign w:val="center"/>
            <w:hideMark/>
          </w:tcPr>
          <w:p w14:paraId="721BA99F" w14:textId="77777777" w:rsidR="00222D73" w:rsidRPr="009B58E0" w:rsidRDefault="00222D73" w:rsidP="00222D73">
            <w:pPr>
              <w:spacing w:after="0"/>
              <w:ind w:left="-75"/>
              <w:rPr>
                <w:rFonts w:ascii="Times New Roman" w:eastAsia="Times New Roman" w:hAnsi="Times New Roman" w:cs="Times New Roman"/>
                <w:sz w:val="20"/>
                <w:szCs w:val="20"/>
              </w:rPr>
            </w:pPr>
          </w:p>
        </w:tc>
      </w:tr>
    </w:tbl>
    <w:p w14:paraId="7B65A3B2" w14:textId="77777777" w:rsidR="005A10CA" w:rsidRDefault="005A10CA" w:rsidP="005A10CA"/>
    <w:tbl>
      <w:tblPr>
        <w:tblW w:w="9326" w:type="dxa"/>
        <w:tblLayout w:type="fixed"/>
        <w:tblLook w:val="04A0" w:firstRow="1" w:lastRow="0" w:firstColumn="1" w:lastColumn="0" w:noHBand="0" w:noVBand="1"/>
      </w:tblPr>
      <w:tblGrid>
        <w:gridCol w:w="1710"/>
        <w:gridCol w:w="1890"/>
        <w:gridCol w:w="1350"/>
        <w:gridCol w:w="1128"/>
        <w:gridCol w:w="1572"/>
        <w:gridCol w:w="1440"/>
        <w:gridCol w:w="236"/>
      </w:tblGrid>
      <w:tr w:rsidR="005A10CA" w:rsidRPr="00AD5D80" w14:paraId="512505C8" w14:textId="77777777" w:rsidTr="004A0697">
        <w:trPr>
          <w:gridAfter w:val="1"/>
          <w:wAfter w:w="236" w:type="dxa"/>
          <w:trHeight w:val="450"/>
        </w:trPr>
        <w:tc>
          <w:tcPr>
            <w:tcW w:w="1710" w:type="dxa"/>
            <w:vMerge w:val="restart"/>
            <w:tcBorders>
              <w:top w:val="nil"/>
              <w:left w:val="nil"/>
              <w:bottom w:val="double" w:sz="6" w:space="0" w:color="000000"/>
              <w:right w:val="nil"/>
            </w:tcBorders>
            <w:shd w:val="clear" w:color="auto" w:fill="auto"/>
            <w:vAlign w:val="center"/>
            <w:hideMark/>
          </w:tcPr>
          <w:p w14:paraId="0545F075" w14:textId="77777777" w:rsidR="005A10CA" w:rsidRPr="00AD5D80" w:rsidRDefault="005A10CA" w:rsidP="004A0697">
            <w:pPr>
              <w:spacing w:after="0"/>
              <w:jc w:val="center"/>
              <w:rPr>
                <w:rFonts w:ascii="Calibri" w:eastAsia="Times New Roman" w:hAnsi="Calibri" w:cs="Calibri"/>
                <w:b/>
                <w:bCs/>
                <w:color w:val="000000"/>
              </w:rPr>
            </w:pPr>
            <w:r w:rsidRPr="00AD5D80">
              <w:rPr>
                <w:rFonts w:ascii="Calibri" w:eastAsia="Times New Roman" w:hAnsi="Calibri" w:cs="Calibri"/>
                <w:b/>
                <w:bCs/>
                <w:color w:val="000000"/>
              </w:rPr>
              <w:t>Variability of outcome due to PSU</w:t>
            </w:r>
          </w:p>
        </w:tc>
        <w:tc>
          <w:tcPr>
            <w:tcW w:w="1890" w:type="dxa"/>
            <w:vMerge w:val="restart"/>
            <w:tcBorders>
              <w:top w:val="nil"/>
              <w:left w:val="nil"/>
              <w:bottom w:val="double" w:sz="6" w:space="0" w:color="000000"/>
              <w:right w:val="nil"/>
            </w:tcBorders>
            <w:shd w:val="clear" w:color="auto" w:fill="auto"/>
            <w:vAlign w:val="center"/>
            <w:hideMark/>
          </w:tcPr>
          <w:p w14:paraId="672677AB" w14:textId="77777777" w:rsidR="005A10CA" w:rsidRPr="00AD5D80" w:rsidRDefault="005A10CA" w:rsidP="004A0697">
            <w:pPr>
              <w:spacing w:after="0"/>
              <w:jc w:val="center"/>
              <w:rPr>
                <w:rFonts w:ascii="Calibri" w:eastAsia="Times New Roman" w:hAnsi="Calibri" w:cs="Calibri"/>
                <w:b/>
                <w:bCs/>
                <w:color w:val="000000"/>
              </w:rPr>
            </w:pPr>
            <w:r w:rsidRPr="00AD5D80">
              <w:rPr>
                <w:rFonts w:ascii="Calibri" w:eastAsia="Times New Roman" w:hAnsi="Calibri" w:cs="Calibri"/>
                <w:b/>
                <w:bCs/>
                <w:color w:val="000000"/>
              </w:rPr>
              <w:t>Residual variability</w:t>
            </w:r>
          </w:p>
        </w:tc>
        <w:tc>
          <w:tcPr>
            <w:tcW w:w="1350" w:type="dxa"/>
            <w:vMerge w:val="restart"/>
            <w:tcBorders>
              <w:top w:val="nil"/>
              <w:left w:val="nil"/>
              <w:bottom w:val="double" w:sz="6" w:space="0" w:color="000000"/>
              <w:right w:val="nil"/>
            </w:tcBorders>
            <w:shd w:val="clear" w:color="auto" w:fill="auto"/>
            <w:vAlign w:val="center"/>
            <w:hideMark/>
          </w:tcPr>
          <w:p w14:paraId="49C9B9AE" w14:textId="77777777" w:rsidR="005A10CA" w:rsidRPr="00AD5D80" w:rsidRDefault="005A10CA" w:rsidP="004A0697">
            <w:pPr>
              <w:spacing w:after="0"/>
              <w:jc w:val="center"/>
              <w:rPr>
                <w:rFonts w:ascii="Calibri" w:eastAsia="Times New Roman" w:hAnsi="Calibri" w:cs="Calibri"/>
                <w:b/>
                <w:bCs/>
                <w:color w:val="000000"/>
              </w:rPr>
            </w:pPr>
            <w:r w:rsidRPr="00AD5D80">
              <w:rPr>
                <w:rFonts w:ascii="Calibri" w:eastAsia="Times New Roman" w:hAnsi="Calibri" w:cs="Calibri"/>
                <w:b/>
                <w:bCs/>
                <w:color w:val="000000"/>
              </w:rPr>
              <w:t>Effect size</w:t>
            </w:r>
          </w:p>
        </w:tc>
        <w:tc>
          <w:tcPr>
            <w:tcW w:w="1128" w:type="dxa"/>
            <w:vMerge w:val="restart"/>
            <w:tcBorders>
              <w:top w:val="nil"/>
              <w:left w:val="nil"/>
              <w:bottom w:val="double" w:sz="6" w:space="0" w:color="000000"/>
              <w:right w:val="nil"/>
            </w:tcBorders>
            <w:shd w:val="clear" w:color="auto" w:fill="auto"/>
            <w:vAlign w:val="center"/>
            <w:hideMark/>
          </w:tcPr>
          <w:p w14:paraId="5AE52AE4" w14:textId="77777777" w:rsidR="005A10CA" w:rsidRPr="00AD5D80" w:rsidRDefault="005A10CA" w:rsidP="004A0697">
            <w:pPr>
              <w:spacing w:after="0"/>
              <w:jc w:val="center"/>
              <w:rPr>
                <w:rFonts w:ascii="Calibri" w:eastAsia="Times New Roman" w:hAnsi="Calibri" w:cs="Calibri"/>
                <w:b/>
                <w:bCs/>
                <w:color w:val="000000"/>
              </w:rPr>
            </w:pPr>
            <w:r w:rsidRPr="00AD5D80">
              <w:rPr>
                <w:rFonts w:ascii="Calibri" w:eastAsia="Times New Roman" w:hAnsi="Calibri" w:cs="Calibri"/>
                <w:b/>
                <w:bCs/>
                <w:color w:val="000000"/>
              </w:rPr>
              <w:t>MDES</w:t>
            </w:r>
          </w:p>
        </w:tc>
        <w:tc>
          <w:tcPr>
            <w:tcW w:w="1572" w:type="dxa"/>
            <w:vMerge w:val="restart"/>
            <w:tcBorders>
              <w:top w:val="nil"/>
              <w:left w:val="nil"/>
              <w:bottom w:val="double" w:sz="6" w:space="0" w:color="000000"/>
              <w:right w:val="nil"/>
            </w:tcBorders>
            <w:shd w:val="clear" w:color="auto" w:fill="auto"/>
            <w:vAlign w:val="center"/>
            <w:hideMark/>
          </w:tcPr>
          <w:p w14:paraId="24AB4F23" w14:textId="09C41763" w:rsidR="005A10CA" w:rsidRPr="00AD5D80" w:rsidRDefault="009C0625" w:rsidP="004A0697">
            <w:pPr>
              <w:spacing w:after="0"/>
              <w:jc w:val="center"/>
              <w:rPr>
                <w:rFonts w:ascii="Calibri" w:eastAsia="Times New Roman" w:hAnsi="Calibri" w:cs="Calibri"/>
                <w:b/>
                <w:bCs/>
                <w:color w:val="000000"/>
              </w:rPr>
            </w:pPr>
            <w:r w:rsidRPr="00AD5D80">
              <w:rPr>
                <w:rFonts w:ascii="Calibri" w:eastAsia="Times New Roman" w:hAnsi="Calibri" w:cs="Calibri"/>
                <w:b/>
                <w:bCs/>
                <w:color w:val="000000"/>
              </w:rPr>
              <w:t>Significance</w:t>
            </w:r>
            <w:r w:rsidR="005A10CA" w:rsidRPr="00AD5D80">
              <w:rPr>
                <w:rFonts w:ascii="Calibri" w:eastAsia="Times New Roman" w:hAnsi="Calibri" w:cs="Calibri"/>
                <w:b/>
                <w:bCs/>
                <w:color w:val="000000"/>
              </w:rPr>
              <w:t xml:space="preserve"> level</w:t>
            </w:r>
          </w:p>
        </w:tc>
        <w:tc>
          <w:tcPr>
            <w:tcW w:w="1440" w:type="dxa"/>
            <w:vMerge w:val="restart"/>
            <w:tcBorders>
              <w:top w:val="nil"/>
              <w:left w:val="nil"/>
              <w:bottom w:val="double" w:sz="6" w:space="0" w:color="000000"/>
              <w:right w:val="nil"/>
            </w:tcBorders>
            <w:shd w:val="clear" w:color="auto" w:fill="auto"/>
            <w:vAlign w:val="center"/>
            <w:hideMark/>
          </w:tcPr>
          <w:p w14:paraId="5B07B12E" w14:textId="77777777" w:rsidR="005A10CA" w:rsidRPr="00AD5D80" w:rsidRDefault="005A10CA" w:rsidP="004A0697">
            <w:pPr>
              <w:spacing w:after="0"/>
              <w:jc w:val="center"/>
              <w:rPr>
                <w:rFonts w:ascii="Calibri" w:eastAsia="Times New Roman" w:hAnsi="Calibri" w:cs="Calibri"/>
                <w:b/>
                <w:bCs/>
                <w:color w:val="000000"/>
              </w:rPr>
            </w:pPr>
            <w:r w:rsidRPr="00AD5D80">
              <w:rPr>
                <w:rFonts w:ascii="Calibri" w:eastAsia="Times New Roman" w:hAnsi="Calibri" w:cs="Calibri"/>
                <w:b/>
                <w:bCs/>
                <w:color w:val="000000"/>
              </w:rPr>
              <w:t>Power</w:t>
            </w:r>
          </w:p>
        </w:tc>
      </w:tr>
      <w:tr w:rsidR="005A10CA" w:rsidRPr="00AD5D80" w14:paraId="2FF94CAD" w14:textId="77777777" w:rsidTr="004A0697">
        <w:trPr>
          <w:trHeight w:val="288"/>
        </w:trPr>
        <w:tc>
          <w:tcPr>
            <w:tcW w:w="1710" w:type="dxa"/>
            <w:vMerge/>
            <w:tcBorders>
              <w:top w:val="nil"/>
              <w:left w:val="nil"/>
              <w:bottom w:val="double" w:sz="6" w:space="0" w:color="000000"/>
              <w:right w:val="nil"/>
            </w:tcBorders>
            <w:vAlign w:val="center"/>
            <w:hideMark/>
          </w:tcPr>
          <w:p w14:paraId="145B9BDB" w14:textId="77777777" w:rsidR="005A10CA" w:rsidRPr="00AD5D80" w:rsidRDefault="005A10CA" w:rsidP="004A0697">
            <w:pPr>
              <w:spacing w:after="0"/>
              <w:rPr>
                <w:rFonts w:ascii="Calibri" w:eastAsia="Times New Roman" w:hAnsi="Calibri" w:cs="Calibri"/>
                <w:b/>
                <w:bCs/>
                <w:color w:val="000000"/>
              </w:rPr>
            </w:pPr>
          </w:p>
        </w:tc>
        <w:tc>
          <w:tcPr>
            <w:tcW w:w="1890" w:type="dxa"/>
            <w:vMerge/>
            <w:tcBorders>
              <w:top w:val="nil"/>
              <w:left w:val="nil"/>
              <w:bottom w:val="double" w:sz="6" w:space="0" w:color="000000"/>
              <w:right w:val="nil"/>
            </w:tcBorders>
            <w:vAlign w:val="center"/>
            <w:hideMark/>
          </w:tcPr>
          <w:p w14:paraId="1976DE01" w14:textId="77777777" w:rsidR="005A10CA" w:rsidRPr="00AD5D80" w:rsidRDefault="005A10CA" w:rsidP="004A0697">
            <w:pPr>
              <w:spacing w:after="0"/>
              <w:rPr>
                <w:rFonts w:ascii="Calibri" w:eastAsia="Times New Roman" w:hAnsi="Calibri" w:cs="Calibri"/>
                <w:b/>
                <w:bCs/>
                <w:color w:val="000000"/>
              </w:rPr>
            </w:pPr>
          </w:p>
        </w:tc>
        <w:tc>
          <w:tcPr>
            <w:tcW w:w="1350" w:type="dxa"/>
            <w:vMerge/>
            <w:tcBorders>
              <w:top w:val="nil"/>
              <w:left w:val="nil"/>
              <w:bottom w:val="double" w:sz="6" w:space="0" w:color="000000"/>
              <w:right w:val="nil"/>
            </w:tcBorders>
            <w:vAlign w:val="center"/>
            <w:hideMark/>
          </w:tcPr>
          <w:p w14:paraId="002F7DBF" w14:textId="77777777" w:rsidR="005A10CA" w:rsidRPr="00AD5D80" w:rsidRDefault="005A10CA" w:rsidP="004A0697">
            <w:pPr>
              <w:spacing w:after="0"/>
              <w:rPr>
                <w:rFonts w:ascii="Calibri" w:eastAsia="Times New Roman" w:hAnsi="Calibri" w:cs="Calibri"/>
                <w:b/>
                <w:bCs/>
                <w:color w:val="000000"/>
              </w:rPr>
            </w:pPr>
          </w:p>
        </w:tc>
        <w:tc>
          <w:tcPr>
            <w:tcW w:w="1128" w:type="dxa"/>
            <w:vMerge/>
            <w:tcBorders>
              <w:top w:val="nil"/>
              <w:left w:val="nil"/>
              <w:bottom w:val="double" w:sz="6" w:space="0" w:color="000000"/>
              <w:right w:val="nil"/>
            </w:tcBorders>
            <w:vAlign w:val="center"/>
            <w:hideMark/>
          </w:tcPr>
          <w:p w14:paraId="38F7B066" w14:textId="77777777" w:rsidR="005A10CA" w:rsidRPr="00AD5D80" w:rsidRDefault="005A10CA" w:rsidP="004A0697">
            <w:pPr>
              <w:spacing w:after="0"/>
              <w:rPr>
                <w:rFonts w:ascii="Calibri" w:eastAsia="Times New Roman" w:hAnsi="Calibri" w:cs="Calibri"/>
                <w:b/>
                <w:bCs/>
                <w:color w:val="000000"/>
              </w:rPr>
            </w:pPr>
          </w:p>
        </w:tc>
        <w:tc>
          <w:tcPr>
            <w:tcW w:w="1572" w:type="dxa"/>
            <w:vMerge/>
            <w:tcBorders>
              <w:top w:val="nil"/>
              <w:left w:val="nil"/>
              <w:bottom w:val="double" w:sz="6" w:space="0" w:color="000000"/>
              <w:right w:val="nil"/>
            </w:tcBorders>
            <w:vAlign w:val="center"/>
            <w:hideMark/>
          </w:tcPr>
          <w:p w14:paraId="113712C0" w14:textId="77777777" w:rsidR="005A10CA" w:rsidRPr="00AD5D80" w:rsidRDefault="005A10CA" w:rsidP="004A0697">
            <w:pPr>
              <w:spacing w:after="0"/>
              <w:rPr>
                <w:rFonts w:ascii="Calibri" w:eastAsia="Times New Roman" w:hAnsi="Calibri" w:cs="Calibri"/>
                <w:b/>
                <w:bCs/>
                <w:color w:val="000000"/>
              </w:rPr>
            </w:pPr>
          </w:p>
        </w:tc>
        <w:tc>
          <w:tcPr>
            <w:tcW w:w="1440" w:type="dxa"/>
            <w:vMerge/>
            <w:tcBorders>
              <w:top w:val="nil"/>
              <w:left w:val="nil"/>
              <w:bottom w:val="double" w:sz="6" w:space="0" w:color="000000"/>
              <w:right w:val="nil"/>
            </w:tcBorders>
            <w:vAlign w:val="center"/>
            <w:hideMark/>
          </w:tcPr>
          <w:p w14:paraId="08D6FB83" w14:textId="77777777" w:rsidR="005A10CA" w:rsidRPr="00AD5D80" w:rsidRDefault="005A10CA" w:rsidP="004A0697">
            <w:pPr>
              <w:spacing w:after="0"/>
              <w:rPr>
                <w:rFonts w:ascii="Calibri" w:eastAsia="Times New Roman" w:hAnsi="Calibri" w:cs="Calibri"/>
                <w:b/>
                <w:bCs/>
                <w:color w:val="000000"/>
              </w:rPr>
            </w:pPr>
          </w:p>
        </w:tc>
        <w:tc>
          <w:tcPr>
            <w:tcW w:w="236" w:type="dxa"/>
            <w:tcBorders>
              <w:top w:val="nil"/>
              <w:left w:val="nil"/>
              <w:bottom w:val="nil"/>
              <w:right w:val="nil"/>
            </w:tcBorders>
            <w:shd w:val="clear" w:color="auto" w:fill="auto"/>
            <w:noWrap/>
            <w:vAlign w:val="bottom"/>
            <w:hideMark/>
          </w:tcPr>
          <w:p w14:paraId="3A7B8710" w14:textId="77777777" w:rsidR="005A10CA" w:rsidRPr="00AD5D80" w:rsidRDefault="005A10CA" w:rsidP="004A0697">
            <w:pPr>
              <w:spacing w:after="0"/>
              <w:jc w:val="center"/>
              <w:rPr>
                <w:rFonts w:ascii="Calibri" w:eastAsia="Times New Roman" w:hAnsi="Calibri" w:cs="Calibri"/>
                <w:b/>
                <w:bCs/>
                <w:color w:val="000000"/>
              </w:rPr>
            </w:pPr>
          </w:p>
        </w:tc>
      </w:tr>
      <w:tr w:rsidR="005A10CA" w:rsidRPr="00AD5D80" w14:paraId="2FAADBFF" w14:textId="77777777" w:rsidTr="004A0697">
        <w:trPr>
          <w:trHeight w:val="153"/>
        </w:trPr>
        <w:tc>
          <w:tcPr>
            <w:tcW w:w="1710" w:type="dxa"/>
            <w:vMerge/>
            <w:tcBorders>
              <w:top w:val="nil"/>
              <w:left w:val="nil"/>
              <w:bottom w:val="double" w:sz="6" w:space="0" w:color="000000"/>
              <w:right w:val="nil"/>
            </w:tcBorders>
            <w:vAlign w:val="center"/>
            <w:hideMark/>
          </w:tcPr>
          <w:p w14:paraId="09FF56DA" w14:textId="77777777" w:rsidR="005A10CA" w:rsidRPr="00AD5D80" w:rsidRDefault="005A10CA" w:rsidP="004A0697">
            <w:pPr>
              <w:spacing w:after="0"/>
              <w:rPr>
                <w:rFonts w:ascii="Calibri" w:eastAsia="Times New Roman" w:hAnsi="Calibri" w:cs="Calibri"/>
                <w:b/>
                <w:bCs/>
                <w:color w:val="000000"/>
              </w:rPr>
            </w:pPr>
          </w:p>
        </w:tc>
        <w:tc>
          <w:tcPr>
            <w:tcW w:w="1890" w:type="dxa"/>
            <w:vMerge/>
            <w:tcBorders>
              <w:top w:val="nil"/>
              <w:left w:val="nil"/>
              <w:bottom w:val="double" w:sz="6" w:space="0" w:color="000000"/>
              <w:right w:val="nil"/>
            </w:tcBorders>
            <w:vAlign w:val="center"/>
            <w:hideMark/>
          </w:tcPr>
          <w:p w14:paraId="23B3A00B" w14:textId="77777777" w:rsidR="005A10CA" w:rsidRPr="00AD5D80" w:rsidRDefault="005A10CA" w:rsidP="004A0697">
            <w:pPr>
              <w:spacing w:after="0"/>
              <w:rPr>
                <w:rFonts w:ascii="Calibri" w:eastAsia="Times New Roman" w:hAnsi="Calibri" w:cs="Calibri"/>
                <w:b/>
                <w:bCs/>
                <w:color w:val="000000"/>
              </w:rPr>
            </w:pPr>
          </w:p>
        </w:tc>
        <w:tc>
          <w:tcPr>
            <w:tcW w:w="1350" w:type="dxa"/>
            <w:vMerge/>
            <w:tcBorders>
              <w:top w:val="nil"/>
              <w:left w:val="nil"/>
              <w:bottom w:val="double" w:sz="6" w:space="0" w:color="000000"/>
              <w:right w:val="nil"/>
            </w:tcBorders>
            <w:vAlign w:val="center"/>
            <w:hideMark/>
          </w:tcPr>
          <w:p w14:paraId="3D0F9E56" w14:textId="77777777" w:rsidR="005A10CA" w:rsidRPr="00AD5D80" w:rsidRDefault="005A10CA" w:rsidP="004A0697">
            <w:pPr>
              <w:spacing w:after="0"/>
              <w:rPr>
                <w:rFonts w:ascii="Calibri" w:eastAsia="Times New Roman" w:hAnsi="Calibri" w:cs="Calibri"/>
                <w:b/>
                <w:bCs/>
                <w:color w:val="000000"/>
              </w:rPr>
            </w:pPr>
          </w:p>
        </w:tc>
        <w:tc>
          <w:tcPr>
            <w:tcW w:w="1128" w:type="dxa"/>
            <w:vMerge/>
            <w:tcBorders>
              <w:top w:val="nil"/>
              <w:left w:val="nil"/>
              <w:bottom w:val="double" w:sz="6" w:space="0" w:color="000000"/>
              <w:right w:val="nil"/>
            </w:tcBorders>
            <w:vAlign w:val="center"/>
            <w:hideMark/>
          </w:tcPr>
          <w:p w14:paraId="1B3A2901" w14:textId="77777777" w:rsidR="005A10CA" w:rsidRPr="00AD5D80" w:rsidRDefault="005A10CA" w:rsidP="004A0697">
            <w:pPr>
              <w:spacing w:after="0"/>
              <w:rPr>
                <w:rFonts w:ascii="Calibri" w:eastAsia="Times New Roman" w:hAnsi="Calibri" w:cs="Calibri"/>
                <w:b/>
                <w:bCs/>
                <w:color w:val="000000"/>
              </w:rPr>
            </w:pPr>
          </w:p>
        </w:tc>
        <w:tc>
          <w:tcPr>
            <w:tcW w:w="1572" w:type="dxa"/>
            <w:vMerge/>
            <w:tcBorders>
              <w:top w:val="nil"/>
              <w:left w:val="nil"/>
              <w:bottom w:val="double" w:sz="6" w:space="0" w:color="000000"/>
              <w:right w:val="nil"/>
            </w:tcBorders>
            <w:vAlign w:val="center"/>
            <w:hideMark/>
          </w:tcPr>
          <w:p w14:paraId="2143C416" w14:textId="77777777" w:rsidR="005A10CA" w:rsidRPr="00AD5D80" w:rsidRDefault="005A10CA" w:rsidP="004A0697">
            <w:pPr>
              <w:spacing w:after="0"/>
              <w:rPr>
                <w:rFonts w:ascii="Calibri" w:eastAsia="Times New Roman" w:hAnsi="Calibri" w:cs="Calibri"/>
                <w:b/>
                <w:bCs/>
                <w:color w:val="000000"/>
              </w:rPr>
            </w:pPr>
          </w:p>
        </w:tc>
        <w:tc>
          <w:tcPr>
            <w:tcW w:w="1440" w:type="dxa"/>
            <w:vMerge/>
            <w:tcBorders>
              <w:top w:val="nil"/>
              <w:left w:val="nil"/>
              <w:bottom w:val="double" w:sz="6" w:space="0" w:color="000000"/>
              <w:right w:val="nil"/>
            </w:tcBorders>
            <w:vAlign w:val="center"/>
            <w:hideMark/>
          </w:tcPr>
          <w:p w14:paraId="3FC646BA" w14:textId="77777777" w:rsidR="005A10CA" w:rsidRPr="00AD5D80" w:rsidRDefault="005A10CA" w:rsidP="004A0697">
            <w:pPr>
              <w:spacing w:after="0"/>
              <w:rPr>
                <w:rFonts w:ascii="Calibri" w:eastAsia="Times New Roman" w:hAnsi="Calibri" w:cs="Calibri"/>
                <w:b/>
                <w:bCs/>
                <w:color w:val="000000"/>
              </w:rPr>
            </w:pPr>
          </w:p>
        </w:tc>
        <w:tc>
          <w:tcPr>
            <w:tcW w:w="236" w:type="dxa"/>
            <w:tcBorders>
              <w:top w:val="nil"/>
              <w:left w:val="nil"/>
              <w:bottom w:val="nil"/>
              <w:right w:val="nil"/>
            </w:tcBorders>
            <w:shd w:val="clear" w:color="auto" w:fill="auto"/>
            <w:noWrap/>
            <w:vAlign w:val="bottom"/>
            <w:hideMark/>
          </w:tcPr>
          <w:p w14:paraId="34941308" w14:textId="77777777" w:rsidR="005A10CA" w:rsidRPr="00AD5D80" w:rsidRDefault="005A10CA" w:rsidP="004A0697">
            <w:pPr>
              <w:spacing w:after="0"/>
              <w:rPr>
                <w:rFonts w:ascii="Times New Roman" w:eastAsia="Times New Roman" w:hAnsi="Times New Roman" w:cs="Times New Roman"/>
                <w:sz w:val="20"/>
                <w:szCs w:val="20"/>
              </w:rPr>
            </w:pPr>
          </w:p>
        </w:tc>
      </w:tr>
      <w:tr w:rsidR="005A10CA" w:rsidRPr="00AD5D80" w14:paraId="17DEE60E" w14:textId="77777777" w:rsidTr="004A0697">
        <w:trPr>
          <w:trHeight w:val="300"/>
        </w:trPr>
        <w:tc>
          <w:tcPr>
            <w:tcW w:w="9090" w:type="dxa"/>
            <w:gridSpan w:val="6"/>
            <w:tcBorders>
              <w:top w:val="nil"/>
              <w:left w:val="nil"/>
              <w:bottom w:val="nil"/>
              <w:right w:val="nil"/>
            </w:tcBorders>
            <w:shd w:val="clear" w:color="auto" w:fill="auto"/>
            <w:noWrap/>
            <w:vAlign w:val="center"/>
            <w:hideMark/>
          </w:tcPr>
          <w:p w14:paraId="48C6810E" w14:textId="03C710C0" w:rsidR="005A10CA" w:rsidRPr="00AD5D80" w:rsidRDefault="005A10CA" w:rsidP="004A0697">
            <w:pPr>
              <w:spacing w:after="0"/>
              <w:rPr>
                <w:rFonts w:ascii="Calibri" w:eastAsia="Times New Roman" w:hAnsi="Calibri" w:cs="Calibri"/>
                <w:color w:val="000000"/>
              </w:rPr>
            </w:pPr>
            <w:r w:rsidRPr="00AD5D80">
              <w:rPr>
                <w:rFonts w:ascii="Calibri" w:eastAsia="Times New Roman" w:hAnsi="Calibri" w:cs="Calibri"/>
                <w:color w:val="000000"/>
              </w:rPr>
              <w:t xml:space="preserve">Evaluation question </w:t>
            </w:r>
            <w:r w:rsidR="00180233">
              <w:rPr>
                <w:rFonts w:ascii="Calibri" w:eastAsia="Times New Roman" w:hAnsi="Calibri" w:cs="Calibri"/>
                <w:color w:val="000000"/>
              </w:rPr>
              <w:t>1</w:t>
            </w:r>
            <w:r w:rsidRPr="00AD5D80">
              <w:rPr>
                <w:rFonts w:ascii="Calibri" w:eastAsia="Times New Roman" w:hAnsi="Calibri" w:cs="Calibri"/>
                <w:color w:val="000000"/>
              </w:rPr>
              <w:t>a, birth weights (kgs) in SPAR vs comparison districts</w:t>
            </w:r>
          </w:p>
        </w:tc>
        <w:tc>
          <w:tcPr>
            <w:tcW w:w="236" w:type="dxa"/>
            <w:vAlign w:val="center"/>
            <w:hideMark/>
          </w:tcPr>
          <w:p w14:paraId="0251D181" w14:textId="77777777" w:rsidR="005A10CA" w:rsidRPr="00AD5D80" w:rsidRDefault="005A10CA" w:rsidP="004A0697">
            <w:pPr>
              <w:spacing w:after="0"/>
              <w:rPr>
                <w:rFonts w:ascii="Times New Roman" w:eastAsia="Times New Roman" w:hAnsi="Times New Roman" w:cs="Times New Roman"/>
                <w:sz w:val="20"/>
                <w:szCs w:val="20"/>
              </w:rPr>
            </w:pPr>
          </w:p>
        </w:tc>
      </w:tr>
      <w:tr w:rsidR="00222D73" w:rsidRPr="00AD5D80" w14:paraId="145EC8CE" w14:textId="77777777" w:rsidTr="00612C7F">
        <w:trPr>
          <w:trHeight w:val="288"/>
        </w:trPr>
        <w:tc>
          <w:tcPr>
            <w:tcW w:w="1710" w:type="dxa"/>
            <w:tcBorders>
              <w:top w:val="nil"/>
              <w:left w:val="nil"/>
              <w:bottom w:val="nil"/>
              <w:right w:val="nil"/>
            </w:tcBorders>
            <w:shd w:val="clear" w:color="auto" w:fill="auto"/>
            <w:noWrap/>
            <w:vAlign w:val="bottom"/>
            <w:hideMark/>
          </w:tcPr>
          <w:p w14:paraId="5D2C76A9" w14:textId="6B81D788" w:rsidR="00222D73" w:rsidRPr="00AD5D80" w:rsidRDefault="00222D73" w:rsidP="00222D73">
            <w:pPr>
              <w:spacing w:after="0"/>
              <w:jc w:val="center"/>
              <w:rPr>
                <w:rFonts w:ascii="Calibri" w:eastAsia="Times New Roman" w:hAnsi="Calibri" w:cs="Calibri"/>
                <w:color w:val="000000"/>
              </w:rPr>
            </w:pPr>
            <w:r>
              <w:rPr>
                <w:rFonts w:ascii="Calibri" w:hAnsi="Calibri" w:cs="Calibri"/>
                <w:color w:val="000000"/>
              </w:rPr>
              <w:t>0.08</w:t>
            </w:r>
          </w:p>
        </w:tc>
        <w:tc>
          <w:tcPr>
            <w:tcW w:w="1890" w:type="dxa"/>
            <w:tcBorders>
              <w:top w:val="nil"/>
              <w:left w:val="nil"/>
              <w:bottom w:val="nil"/>
              <w:right w:val="nil"/>
            </w:tcBorders>
            <w:shd w:val="clear" w:color="auto" w:fill="auto"/>
            <w:noWrap/>
            <w:vAlign w:val="bottom"/>
            <w:hideMark/>
          </w:tcPr>
          <w:p w14:paraId="0DD11E7E" w14:textId="1377B68D" w:rsidR="00222D73" w:rsidRPr="00AD5D80" w:rsidRDefault="00222D73" w:rsidP="00222D73">
            <w:pPr>
              <w:spacing w:after="0"/>
              <w:jc w:val="center"/>
              <w:rPr>
                <w:rFonts w:ascii="Calibri" w:eastAsia="Times New Roman" w:hAnsi="Calibri" w:cs="Calibri"/>
                <w:color w:val="000000"/>
              </w:rPr>
            </w:pPr>
            <w:r>
              <w:rPr>
                <w:rFonts w:ascii="Calibri" w:hAnsi="Calibri" w:cs="Calibri"/>
                <w:color w:val="000000"/>
              </w:rPr>
              <w:t>0.40</w:t>
            </w:r>
          </w:p>
        </w:tc>
        <w:tc>
          <w:tcPr>
            <w:tcW w:w="1350" w:type="dxa"/>
            <w:tcBorders>
              <w:top w:val="nil"/>
              <w:left w:val="nil"/>
              <w:bottom w:val="nil"/>
              <w:right w:val="nil"/>
            </w:tcBorders>
            <w:shd w:val="clear" w:color="auto" w:fill="auto"/>
            <w:noWrap/>
            <w:vAlign w:val="bottom"/>
            <w:hideMark/>
          </w:tcPr>
          <w:p w14:paraId="2A8B8D3C" w14:textId="6F14DC68" w:rsidR="00222D73" w:rsidRPr="00AD5D80" w:rsidRDefault="00222D73" w:rsidP="00222D73">
            <w:pPr>
              <w:spacing w:after="0"/>
              <w:jc w:val="center"/>
              <w:rPr>
                <w:rFonts w:ascii="Calibri" w:eastAsia="Times New Roman" w:hAnsi="Calibri" w:cs="Calibri"/>
                <w:b/>
                <w:bCs/>
                <w:color w:val="000000"/>
              </w:rPr>
            </w:pPr>
            <w:r>
              <w:rPr>
                <w:rFonts w:ascii="Calibri" w:hAnsi="Calibri" w:cs="Calibri"/>
                <w:b/>
                <w:bCs/>
                <w:color w:val="000000"/>
              </w:rPr>
              <w:t>0.025</w:t>
            </w:r>
          </w:p>
        </w:tc>
        <w:tc>
          <w:tcPr>
            <w:tcW w:w="1128" w:type="dxa"/>
            <w:tcBorders>
              <w:top w:val="nil"/>
              <w:left w:val="nil"/>
              <w:bottom w:val="nil"/>
              <w:right w:val="nil"/>
            </w:tcBorders>
            <w:shd w:val="clear" w:color="auto" w:fill="auto"/>
            <w:noWrap/>
            <w:vAlign w:val="bottom"/>
            <w:hideMark/>
          </w:tcPr>
          <w:p w14:paraId="46B5F8E2" w14:textId="70E79BAD" w:rsidR="00222D73" w:rsidRPr="00AD5D80" w:rsidRDefault="00222D73" w:rsidP="00222D73">
            <w:pPr>
              <w:spacing w:after="0"/>
              <w:jc w:val="center"/>
              <w:rPr>
                <w:rFonts w:ascii="Calibri" w:eastAsia="Times New Roman" w:hAnsi="Calibri" w:cs="Calibri"/>
                <w:b/>
                <w:bCs/>
                <w:color w:val="000000"/>
              </w:rPr>
            </w:pPr>
            <w:r>
              <w:rPr>
                <w:rFonts w:ascii="Calibri" w:hAnsi="Calibri" w:cs="Calibri"/>
                <w:b/>
                <w:bCs/>
                <w:color w:val="000000"/>
              </w:rPr>
              <w:t>0.048</w:t>
            </w:r>
          </w:p>
        </w:tc>
        <w:tc>
          <w:tcPr>
            <w:tcW w:w="1572" w:type="dxa"/>
            <w:tcBorders>
              <w:top w:val="nil"/>
              <w:left w:val="nil"/>
              <w:bottom w:val="nil"/>
              <w:right w:val="nil"/>
            </w:tcBorders>
            <w:shd w:val="clear" w:color="auto" w:fill="auto"/>
            <w:noWrap/>
            <w:vAlign w:val="bottom"/>
            <w:hideMark/>
          </w:tcPr>
          <w:p w14:paraId="4E19D7E2" w14:textId="050ACEAE" w:rsidR="00222D73" w:rsidRPr="00AD5D80" w:rsidRDefault="00222D73" w:rsidP="00222D73">
            <w:pPr>
              <w:spacing w:after="0"/>
              <w:jc w:val="center"/>
              <w:rPr>
                <w:rFonts w:ascii="Calibri" w:eastAsia="Times New Roman" w:hAnsi="Calibri" w:cs="Calibri"/>
                <w:color w:val="000000"/>
              </w:rPr>
            </w:pPr>
            <w:r>
              <w:rPr>
                <w:rFonts w:ascii="Calibri" w:hAnsi="Calibri" w:cs="Calibri"/>
                <w:color w:val="000000"/>
              </w:rPr>
              <w:t>0.05</w:t>
            </w:r>
          </w:p>
        </w:tc>
        <w:tc>
          <w:tcPr>
            <w:tcW w:w="1440" w:type="dxa"/>
            <w:tcBorders>
              <w:top w:val="nil"/>
              <w:left w:val="nil"/>
              <w:bottom w:val="nil"/>
              <w:right w:val="nil"/>
            </w:tcBorders>
            <w:shd w:val="clear" w:color="auto" w:fill="auto"/>
            <w:noWrap/>
            <w:vAlign w:val="bottom"/>
            <w:hideMark/>
          </w:tcPr>
          <w:p w14:paraId="507BD483" w14:textId="5D6372C3" w:rsidR="00222D73" w:rsidRPr="00AD5D80" w:rsidRDefault="00222D73" w:rsidP="00222D73">
            <w:pPr>
              <w:spacing w:after="0"/>
              <w:jc w:val="center"/>
              <w:rPr>
                <w:rFonts w:ascii="Calibri" w:eastAsia="Times New Roman" w:hAnsi="Calibri" w:cs="Calibri"/>
                <w:b/>
                <w:bCs/>
                <w:color w:val="000000"/>
              </w:rPr>
            </w:pPr>
            <w:r>
              <w:rPr>
                <w:rFonts w:ascii="Calibri" w:hAnsi="Calibri" w:cs="Calibri"/>
                <w:b/>
                <w:bCs/>
                <w:color w:val="000000"/>
              </w:rPr>
              <w:t>0.947</w:t>
            </w:r>
          </w:p>
        </w:tc>
        <w:tc>
          <w:tcPr>
            <w:tcW w:w="236" w:type="dxa"/>
            <w:vAlign w:val="center"/>
            <w:hideMark/>
          </w:tcPr>
          <w:p w14:paraId="39949682" w14:textId="77777777" w:rsidR="00222D73" w:rsidRPr="00AD5D80" w:rsidRDefault="00222D73" w:rsidP="00222D73">
            <w:pPr>
              <w:spacing w:after="0"/>
              <w:rPr>
                <w:rFonts w:ascii="Times New Roman" w:eastAsia="Times New Roman" w:hAnsi="Times New Roman" w:cs="Times New Roman"/>
                <w:sz w:val="20"/>
                <w:szCs w:val="20"/>
              </w:rPr>
            </w:pPr>
          </w:p>
        </w:tc>
      </w:tr>
      <w:tr w:rsidR="005A10CA" w:rsidRPr="00AD5D80" w14:paraId="5018B727" w14:textId="77777777" w:rsidTr="004A0697">
        <w:trPr>
          <w:trHeight w:val="288"/>
        </w:trPr>
        <w:tc>
          <w:tcPr>
            <w:tcW w:w="9090" w:type="dxa"/>
            <w:gridSpan w:val="6"/>
            <w:tcBorders>
              <w:top w:val="nil"/>
              <w:left w:val="nil"/>
              <w:bottom w:val="nil"/>
              <w:right w:val="nil"/>
            </w:tcBorders>
            <w:shd w:val="clear" w:color="auto" w:fill="auto"/>
            <w:noWrap/>
            <w:vAlign w:val="center"/>
            <w:hideMark/>
          </w:tcPr>
          <w:p w14:paraId="134A3691" w14:textId="3E8F604E" w:rsidR="005A10CA" w:rsidRPr="00AD5D80" w:rsidRDefault="005A10CA" w:rsidP="004A0697">
            <w:pPr>
              <w:spacing w:after="0"/>
              <w:rPr>
                <w:rFonts w:ascii="Calibri" w:eastAsia="Times New Roman" w:hAnsi="Calibri" w:cs="Calibri"/>
                <w:color w:val="000000"/>
              </w:rPr>
            </w:pPr>
            <w:r w:rsidRPr="00AD5D80">
              <w:rPr>
                <w:rFonts w:ascii="Calibri" w:eastAsia="Times New Roman" w:hAnsi="Calibri" w:cs="Calibri"/>
                <w:color w:val="000000"/>
              </w:rPr>
              <w:t xml:space="preserve">Evaluation question </w:t>
            </w:r>
            <w:r w:rsidR="00180233">
              <w:rPr>
                <w:rFonts w:ascii="Calibri" w:eastAsia="Times New Roman" w:hAnsi="Calibri" w:cs="Calibri"/>
                <w:color w:val="000000"/>
              </w:rPr>
              <w:t>2a</w:t>
            </w:r>
            <w:r w:rsidRPr="00AD5D80">
              <w:rPr>
                <w:rFonts w:ascii="Calibri" w:eastAsia="Times New Roman" w:hAnsi="Calibri" w:cs="Calibri"/>
                <w:color w:val="000000"/>
              </w:rPr>
              <w:t>, birth weights (kgs) in districts with and without SPaR health investments</w:t>
            </w:r>
          </w:p>
        </w:tc>
        <w:tc>
          <w:tcPr>
            <w:tcW w:w="236" w:type="dxa"/>
            <w:vAlign w:val="center"/>
            <w:hideMark/>
          </w:tcPr>
          <w:p w14:paraId="211C2734" w14:textId="77777777" w:rsidR="005A10CA" w:rsidRPr="00AD5D80" w:rsidRDefault="005A10CA" w:rsidP="004A0697">
            <w:pPr>
              <w:spacing w:after="0"/>
              <w:rPr>
                <w:rFonts w:ascii="Times New Roman" w:eastAsia="Times New Roman" w:hAnsi="Times New Roman" w:cs="Times New Roman"/>
                <w:sz w:val="20"/>
                <w:szCs w:val="20"/>
              </w:rPr>
            </w:pPr>
          </w:p>
        </w:tc>
      </w:tr>
      <w:tr w:rsidR="00222D73" w:rsidRPr="00AD5D80" w14:paraId="62E7C357" w14:textId="77777777" w:rsidTr="00612C7F">
        <w:trPr>
          <w:trHeight w:val="288"/>
        </w:trPr>
        <w:tc>
          <w:tcPr>
            <w:tcW w:w="1710" w:type="dxa"/>
            <w:tcBorders>
              <w:top w:val="nil"/>
              <w:left w:val="nil"/>
              <w:bottom w:val="nil"/>
              <w:right w:val="nil"/>
            </w:tcBorders>
            <w:shd w:val="clear" w:color="auto" w:fill="auto"/>
            <w:noWrap/>
            <w:vAlign w:val="bottom"/>
            <w:hideMark/>
          </w:tcPr>
          <w:p w14:paraId="5F373506" w14:textId="348D24A0" w:rsidR="00222D73" w:rsidRPr="00AD5D80" w:rsidRDefault="00222D73" w:rsidP="00222D73">
            <w:pPr>
              <w:spacing w:after="0"/>
              <w:jc w:val="center"/>
              <w:rPr>
                <w:rFonts w:ascii="Calibri" w:eastAsia="Times New Roman" w:hAnsi="Calibri" w:cs="Calibri"/>
                <w:color w:val="000000"/>
              </w:rPr>
            </w:pPr>
            <w:r>
              <w:rPr>
                <w:rFonts w:ascii="Calibri" w:hAnsi="Calibri" w:cs="Calibri"/>
                <w:color w:val="000000"/>
              </w:rPr>
              <w:t>0.08</w:t>
            </w:r>
          </w:p>
        </w:tc>
        <w:tc>
          <w:tcPr>
            <w:tcW w:w="1890" w:type="dxa"/>
            <w:tcBorders>
              <w:top w:val="nil"/>
              <w:left w:val="nil"/>
              <w:bottom w:val="nil"/>
              <w:right w:val="nil"/>
            </w:tcBorders>
            <w:shd w:val="clear" w:color="auto" w:fill="auto"/>
            <w:noWrap/>
            <w:vAlign w:val="bottom"/>
            <w:hideMark/>
          </w:tcPr>
          <w:p w14:paraId="63FA098F" w14:textId="40DC8551" w:rsidR="00222D73" w:rsidRPr="00AD5D80" w:rsidRDefault="00222D73" w:rsidP="00222D73">
            <w:pPr>
              <w:spacing w:after="0"/>
              <w:jc w:val="center"/>
              <w:rPr>
                <w:rFonts w:ascii="Calibri" w:eastAsia="Times New Roman" w:hAnsi="Calibri" w:cs="Calibri"/>
                <w:color w:val="000000"/>
              </w:rPr>
            </w:pPr>
            <w:r>
              <w:rPr>
                <w:rFonts w:ascii="Calibri" w:hAnsi="Calibri" w:cs="Calibri"/>
                <w:color w:val="000000"/>
              </w:rPr>
              <w:t>0.40</w:t>
            </w:r>
          </w:p>
        </w:tc>
        <w:tc>
          <w:tcPr>
            <w:tcW w:w="1350" w:type="dxa"/>
            <w:tcBorders>
              <w:top w:val="nil"/>
              <w:left w:val="nil"/>
              <w:bottom w:val="nil"/>
              <w:right w:val="nil"/>
            </w:tcBorders>
            <w:shd w:val="clear" w:color="auto" w:fill="auto"/>
            <w:noWrap/>
            <w:vAlign w:val="bottom"/>
            <w:hideMark/>
          </w:tcPr>
          <w:p w14:paraId="0A4D9FC0" w14:textId="1F75D3B9" w:rsidR="00222D73" w:rsidRPr="00AD5D80" w:rsidRDefault="00222D73" w:rsidP="00222D73">
            <w:pPr>
              <w:spacing w:after="0"/>
              <w:jc w:val="center"/>
              <w:rPr>
                <w:rFonts w:ascii="Calibri" w:eastAsia="Times New Roman" w:hAnsi="Calibri" w:cs="Calibri"/>
                <w:b/>
                <w:bCs/>
                <w:color w:val="000000"/>
              </w:rPr>
            </w:pPr>
            <w:r>
              <w:rPr>
                <w:rFonts w:ascii="Calibri" w:hAnsi="Calibri" w:cs="Calibri"/>
                <w:b/>
                <w:bCs/>
                <w:color w:val="000000"/>
              </w:rPr>
              <w:t>0.025</w:t>
            </w:r>
          </w:p>
        </w:tc>
        <w:tc>
          <w:tcPr>
            <w:tcW w:w="1128" w:type="dxa"/>
            <w:tcBorders>
              <w:top w:val="nil"/>
              <w:left w:val="nil"/>
              <w:bottom w:val="nil"/>
              <w:right w:val="nil"/>
            </w:tcBorders>
            <w:shd w:val="clear" w:color="auto" w:fill="auto"/>
            <w:noWrap/>
            <w:vAlign w:val="bottom"/>
            <w:hideMark/>
          </w:tcPr>
          <w:p w14:paraId="5EF63255" w14:textId="16DA2A3B" w:rsidR="00222D73" w:rsidRPr="00AD5D80" w:rsidRDefault="00222D73" w:rsidP="00222D73">
            <w:pPr>
              <w:spacing w:after="0"/>
              <w:jc w:val="center"/>
              <w:rPr>
                <w:rFonts w:ascii="Calibri" w:eastAsia="Times New Roman" w:hAnsi="Calibri" w:cs="Calibri"/>
                <w:b/>
                <w:bCs/>
                <w:color w:val="000000"/>
              </w:rPr>
            </w:pPr>
            <w:r>
              <w:rPr>
                <w:rFonts w:ascii="Calibri" w:hAnsi="Calibri" w:cs="Calibri"/>
                <w:b/>
                <w:bCs/>
                <w:color w:val="000000"/>
              </w:rPr>
              <w:t>0.048</w:t>
            </w:r>
          </w:p>
        </w:tc>
        <w:tc>
          <w:tcPr>
            <w:tcW w:w="1572" w:type="dxa"/>
            <w:tcBorders>
              <w:top w:val="nil"/>
              <w:left w:val="nil"/>
              <w:bottom w:val="nil"/>
              <w:right w:val="nil"/>
            </w:tcBorders>
            <w:shd w:val="clear" w:color="auto" w:fill="auto"/>
            <w:noWrap/>
            <w:vAlign w:val="bottom"/>
            <w:hideMark/>
          </w:tcPr>
          <w:p w14:paraId="25F5DFD1" w14:textId="7EAEC296" w:rsidR="00222D73" w:rsidRPr="00AD5D80" w:rsidRDefault="00222D73" w:rsidP="00222D73">
            <w:pPr>
              <w:spacing w:after="0"/>
              <w:jc w:val="center"/>
              <w:rPr>
                <w:rFonts w:ascii="Calibri" w:eastAsia="Times New Roman" w:hAnsi="Calibri" w:cs="Calibri"/>
                <w:color w:val="000000"/>
              </w:rPr>
            </w:pPr>
            <w:r>
              <w:rPr>
                <w:rFonts w:ascii="Calibri" w:hAnsi="Calibri" w:cs="Calibri"/>
                <w:color w:val="000000"/>
              </w:rPr>
              <w:t>0.05</w:t>
            </w:r>
          </w:p>
        </w:tc>
        <w:tc>
          <w:tcPr>
            <w:tcW w:w="1440" w:type="dxa"/>
            <w:tcBorders>
              <w:top w:val="nil"/>
              <w:left w:val="nil"/>
              <w:bottom w:val="nil"/>
              <w:right w:val="nil"/>
            </w:tcBorders>
            <w:shd w:val="clear" w:color="auto" w:fill="auto"/>
            <w:noWrap/>
            <w:vAlign w:val="bottom"/>
            <w:hideMark/>
          </w:tcPr>
          <w:p w14:paraId="64980ED8" w14:textId="7540E64A" w:rsidR="00222D73" w:rsidRPr="00AD5D80" w:rsidRDefault="00222D73" w:rsidP="00222D73">
            <w:pPr>
              <w:spacing w:after="0"/>
              <w:jc w:val="center"/>
              <w:rPr>
                <w:rFonts w:ascii="Calibri" w:eastAsia="Times New Roman" w:hAnsi="Calibri" w:cs="Calibri"/>
                <w:b/>
                <w:bCs/>
                <w:color w:val="000000"/>
              </w:rPr>
            </w:pPr>
            <w:r>
              <w:rPr>
                <w:rFonts w:ascii="Calibri" w:hAnsi="Calibri" w:cs="Calibri"/>
                <w:b/>
                <w:bCs/>
                <w:color w:val="000000"/>
              </w:rPr>
              <w:t>0.916</w:t>
            </w:r>
          </w:p>
        </w:tc>
        <w:tc>
          <w:tcPr>
            <w:tcW w:w="236" w:type="dxa"/>
            <w:vAlign w:val="center"/>
            <w:hideMark/>
          </w:tcPr>
          <w:p w14:paraId="387E5DF8" w14:textId="77777777" w:rsidR="00222D73" w:rsidRPr="00AD5D80" w:rsidRDefault="00222D73" w:rsidP="00222D73">
            <w:pPr>
              <w:spacing w:after="0"/>
              <w:rPr>
                <w:rFonts w:ascii="Times New Roman" w:eastAsia="Times New Roman" w:hAnsi="Times New Roman" w:cs="Times New Roman"/>
                <w:sz w:val="20"/>
                <w:szCs w:val="20"/>
              </w:rPr>
            </w:pPr>
          </w:p>
        </w:tc>
      </w:tr>
    </w:tbl>
    <w:p w14:paraId="4CFDC3BB" w14:textId="77777777" w:rsidR="005A10CA" w:rsidRDefault="005A10CA" w:rsidP="005A10CA"/>
    <w:tbl>
      <w:tblPr>
        <w:tblW w:w="13355" w:type="dxa"/>
        <w:tblLook w:val="04A0" w:firstRow="1" w:lastRow="0" w:firstColumn="1" w:lastColumn="0" w:noHBand="0" w:noVBand="1"/>
      </w:tblPr>
      <w:tblGrid>
        <w:gridCol w:w="13355"/>
      </w:tblGrid>
      <w:tr w:rsidR="005A10CA" w:rsidRPr="00AD5D80" w14:paraId="55F63436" w14:textId="77777777" w:rsidTr="004A0697">
        <w:trPr>
          <w:trHeight w:val="277"/>
        </w:trPr>
        <w:tc>
          <w:tcPr>
            <w:tcW w:w="13355" w:type="dxa"/>
            <w:tcBorders>
              <w:top w:val="nil"/>
              <w:left w:val="nil"/>
              <w:bottom w:val="nil"/>
              <w:right w:val="nil"/>
            </w:tcBorders>
            <w:shd w:val="clear" w:color="auto" w:fill="auto"/>
            <w:noWrap/>
            <w:vAlign w:val="bottom"/>
            <w:hideMark/>
          </w:tcPr>
          <w:p w14:paraId="3E4AC862" w14:textId="4C66FC45" w:rsidR="005A10CA" w:rsidRPr="00AD5D80" w:rsidRDefault="005A10CA" w:rsidP="004A0697">
            <w:pPr>
              <w:spacing w:after="0"/>
              <w:rPr>
                <w:rFonts w:ascii="Calibri" w:eastAsia="Times New Roman" w:hAnsi="Calibri" w:cs="Calibri"/>
                <w:color w:val="000000"/>
                <w:sz w:val="20"/>
                <w:szCs w:val="20"/>
              </w:rPr>
            </w:pPr>
            <w:r w:rsidRPr="00AD5D80">
              <w:rPr>
                <w:rFonts w:ascii="Calibri" w:eastAsia="Times New Roman" w:hAnsi="Calibri" w:cs="Calibri"/>
                <w:color w:val="000000"/>
                <w:sz w:val="20"/>
                <w:szCs w:val="20"/>
              </w:rPr>
              <w:t>Notes:</w:t>
            </w:r>
            <w:r w:rsidRPr="00AD5D80">
              <w:rPr>
                <w:rFonts w:ascii="Calibri" w:eastAsia="Times New Roman" w:hAnsi="Calibri" w:cs="Calibri"/>
                <w:color w:val="000000"/>
                <w:sz w:val="20"/>
                <w:szCs w:val="20"/>
              </w:rPr>
              <w:br/>
              <w:t xml:space="preserve">analysis </w:t>
            </w:r>
            <w:r w:rsidR="00BD1DB4" w:rsidRPr="00BD1DB4">
              <w:rPr>
                <w:rFonts w:ascii="Calibri" w:eastAsia="Times New Roman" w:hAnsi="Calibri" w:cs="Calibri"/>
                <w:color w:val="000000"/>
                <w:sz w:val="20"/>
                <w:szCs w:val="20"/>
              </w:rPr>
              <w:t>assumed 4 births sampled per month per facility, birthweight comparison contrasts 24 months of births pre-intervention with 24 months post-intervention</w:t>
            </w:r>
          </w:p>
        </w:tc>
      </w:tr>
    </w:tbl>
    <w:p w14:paraId="7AE49D03" w14:textId="77777777" w:rsidR="005A10CA" w:rsidRDefault="005A10CA" w:rsidP="005A10CA">
      <w:pPr>
        <w:autoSpaceDE w:val="0"/>
        <w:autoSpaceDN w:val="0"/>
        <w:adjustRightInd w:val="0"/>
        <w:sectPr w:rsidR="005A10CA" w:rsidSect="005A10CA">
          <w:pgSz w:w="15840" w:h="12240" w:orient="landscape"/>
          <w:pgMar w:top="1440" w:right="1440" w:bottom="1440" w:left="1440" w:header="720" w:footer="720" w:gutter="0"/>
          <w:cols w:space="720"/>
          <w:docGrid w:linePitch="360"/>
        </w:sectPr>
      </w:pPr>
    </w:p>
    <w:p w14:paraId="25B39808" w14:textId="01C1B0B0" w:rsidR="00271AD1" w:rsidRPr="005E45C3" w:rsidRDefault="00271AD1" w:rsidP="00271AD1">
      <w:pPr>
        <w:pStyle w:val="Heading1"/>
      </w:pPr>
      <w:r>
        <w:lastRenderedPageBreak/>
        <w:t xml:space="preserve">Data </w:t>
      </w:r>
      <w:r w:rsidR="00D5720D">
        <w:t>needs and data plan</w:t>
      </w:r>
      <w:bookmarkEnd w:id="19"/>
      <w:bookmarkEnd w:id="20"/>
    </w:p>
    <w:p w14:paraId="75DC3E26" w14:textId="77777777" w:rsidR="00271AD1" w:rsidRDefault="00271AD1" w:rsidP="00271AD1">
      <w:pPr>
        <w:pStyle w:val="NoSpacing"/>
      </w:pPr>
    </w:p>
    <w:p w14:paraId="1D493071" w14:textId="517AEA65" w:rsidR="00271AD1" w:rsidRDefault="00271AD1" w:rsidP="00271AD1">
      <w:pPr>
        <w:pStyle w:val="Heading2"/>
      </w:pPr>
      <w:bookmarkStart w:id="21" w:name="_Toc520742200"/>
      <w:bookmarkStart w:id="22" w:name="_Toc69728397"/>
      <w:r>
        <w:t xml:space="preserve">Key </w:t>
      </w:r>
      <w:r w:rsidR="00E40F73">
        <w:t>measures of interest</w:t>
      </w:r>
      <w:bookmarkEnd w:id="21"/>
      <w:bookmarkEnd w:id="22"/>
    </w:p>
    <w:p w14:paraId="1BD4239D" w14:textId="15413A80" w:rsidR="00271AD1" w:rsidRDefault="00030ECD" w:rsidP="00271AD1">
      <w:pPr>
        <w:pStyle w:val="NoSpacing"/>
      </w:pPr>
      <w:r>
        <w:t xml:space="preserve">The results chain identifies several program activities that are expected to affect a range of outputs and outcomes. </w:t>
      </w:r>
      <w:r w:rsidR="00E40F73">
        <w:t xml:space="preserve">The below </w:t>
      </w:r>
      <w:r w:rsidR="009064DB">
        <w:t xml:space="preserve">Table </w:t>
      </w:r>
      <w:r w:rsidR="00A9164B">
        <w:t>4</w:t>
      </w:r>
      <w:r w:rsidR="00E40F73">
        <w:t xml:space="preserve"> </w:t>
      </w:r>
      <w:r w:rsidR="004740B5">
        <w:t>dep</w:t>
      </w:r>
      <w:r>
        <w:t>ict</w:t>
      </w:r>
      <w:r w:rsidR="004740B5">
        <w:t>s</w:t>
      </w:r>
      <w:r w:rsidR="00E40F73">
        <w:t xml:space="preserve"> which primary and secondary outputs/outcomes are most likely affected by each of the different</w:t>
      </w:r>
      <w:r>
        <w:t xml:space="preserve"> program</w:t>
      </w:r>
      <w:r w:rsidR="00E40F73">
        <w:t xml:space="preserve"> activities, based on the results chain</w:t>
      </w:r>
      <w:r>
        <w:t>,</w:t>
      </w:r>
      <w:r w:rsidR="00E40F73">
        <w:t xml:space="preserve"> to determine inclusion of an indicator as a measure of interest</w:t>
      </w:r>
      <w:r>
        <w:t xml:space="preserve"> to be assessed</w:t>
      </w:r>
      <w:r w:rsidR="00E40F73">
        <w:t xml:space="preserve">. </w:t>
      </w:r>
      <w:r w:rsidR="00271AD1">
        <w:t>The most important activities are:</w:t>
      </w:r>
    </w:p>
    <w:p w14:paraId="3466F93B" w14:textId="77777777" w:rsidR="00271AD1" w:rsidRDefault="00271AD1" w:rsidP="00271AD1">
      <w:pPr>
        <w:pStyle w:val="NoSpacing"/>
      </w:pPr>
    </w:p>
    <w:p w14:paraId="6D7412F0" w14:textId="6C356EBC" w:rsidR="00271AD1" w:rsidRDefault="00271AD1" w:rsidP="00271AD1">
      <w:pPr>
        <w:pStyle w:val="NoSpacing"/>
        <w:numPr>
          <w:ilvl w:val="0"/>
          <w:numId w:val="9"/>
        </w:numPr>
      </w:pPr>
      <w:r>
        <w:t>Improve</w:t>
      </w:r>
      <w:r w:rsidR="009064DB">
        <w:t>d</w:t>
      </w:r>
      <w:r>
        <w:t xml:space="preserve"> coverage and quality of high-impact nutrition interventions, and roll-out of national communications campaign</w:t>
      </w:r>
    </w:p>
    <w:p w14:paraId="19077E78" w14:textId="4918FED4" w:rsidR="00271AD1" w:rsidRDefault="00271AD1" w:rsidP="00271AD1">
      <w:pPr>
        <w:pStyle w:val="NoSpacing"/>
        <w:numPr>
          <w:ilvl w:val="0"/>
          <w:numId w:val="9"/>
        </w:numPr>
      </w:pPr>
      <w:r>
        <w:t>Improve</w:t>
      </w:r>
      <w:r w:rsidR="009064DB">
        <w:t>d</w:t>
      </w:r>
      <w:r>
        <w:t xml:space="preserve"> child-care practices such as exclusive breast-feeding until six months of age and introduction of complementary foods at the right ages</w:t>
      </w:r>
    </w:p>
    <w:p w14:paraId="4F8B900B" w14:textId="4848565D" w:rsidR="00271AD1" w:rsidRDefault="009064DB" w:rsidP="00271AD1">
      <w:pPr>
        <w:pStyle w:val="NoSpacing"/>
        <w:numPr>
          <w:ilvl w:val="0"/>
          <w:numId w:val="9"/>
        </w:numPr>
      </w:pPr>
      <w:r>
        <w:t>Effective</w:t>
      </w:r>
      <w:r w:rsidR="00271AD1">
        <w:t xml:space="preserve"> use of CHWs for nutrition service delivery and messaging</w:t>
      </w:r>
    </w:p>
    <w:p w14:paraId="3821D6A8" w14:textId="1B54D1F2" w:rsidR="00271AD1" w:rsidRDefault="00271AD1" w:rsidP="00271AD1">
      <w:pPr>
        <w:pStyle w:val="NoSpacing"/>
        <w:numPr>
          <w:ilvl w:val="0"/>
          <w:numId w:val="9"/>
        </w:numPr>
      </w:pPr>
      <w:r>
        <w:t>Establish</w:t>
      </w:r>
      <w:r w:rsidR="009064DB">
        <w:t>ment of</w:t>
      </w:r>
      <w:r>
        <w:t xml:space="preserve"> home-based ECD centers, and support </w:t>
      </w:r>
      <w:r w:rsidR="009064DB">
        <w:t xml:space="preserve">to </w:t>
      </w:r>
      <w:r>
        <w:t>community and home-based childcare</w:t>
      </w:r>
    </w:p>
    <w:p w14:paraId="0534AAA6" w14:textId="5C9D842C" w:rsidR="00271AD1" w:rsidRDefault="00271AD1" w:rsidP="00271AD1">
      <w:pPr>
        <w:pStyle w:val="NoSpacing"/>
        <w:numPr>
          <w:ilvl w:val="0"/>
          <w:numId w:val="9"/>
        </w:numPr>
      </w:pPr>
      <w:r>
        <w:t>Provi</w:t>
      </w:r>
      <w:r w:rsidR="00030ECD">
        <w:t>sion of</w:t>
      </w:r>
      <w:r>
        <w:t xml:space="preserve"> targeted WASH support to vulnerable households</w:t>
      </w:r>
    </w:p>
    <w:p w14:paraId="50835DF2" w14:textId="3E3E1E4B" w:rsidR="00271AD1" w:rsidRDefault="00271AD1" w:rsidP="00271AD1">
      <w:pPr>
        <w:pStyle w:val="NoSpacing"/>
        <w:numPr>
          <w:ilvl w:val="0"/>
          <w:numId w:val="9"/>
        </w:numPr>
      </w:pPr>
      <w:r>
        <w:t>Provi</w:t>
      </w:r>
      <w:r w:rsidR="00030ECD">
        <w:t>sion of</w:t>
      </w:r>
      <w:r>
        <w:t xml:space="preserve"> </w:t>
      </w:r>
      <w:r w:rsidR="00D77C07">
        <w:t>CT</w:t>
      </w:r>
      <w:r>
        <w:t>s for nutrition to vulnerable households with children under 2 or pregnant women, along with appropriate nutrition messaging</w:t>
      </w:r>
    </w:p>
    <w:p w14:paraId="5AB7FD3B" w14:textId="77777777" w:rsidR="00271AD1" w:rsidRDefault="00271AD1" w:rsidP="00271AD1">
      <w:pPr>
        <w:pStyle w:val="NoSpacing"/>
      </w:pPr>
    </w:p>
    <w:p w14:paraId="5F7AA4FC" w14:textId="24E6727E" w:rsidR="00271AD1" w:rsidRDefault="00271AD1" w:rsidP="00271AD1">
      <w:pPr>
        <w:pStyle w:val="NoSpacing"/>
      </w:pPr>
      <w:r>
        <w:t>The table also</w:t>
      </w:r>
      <w:r w:rsidR="009064DB">
        <w:t xml:space="preserve"> lists</w:t>
      </w:r>
      <w:r>
        <w:t xml:space="preserve"> process indicators that </w:t>
      </w:r>
      <w:r w:rsidR="00E40F73">
        <w:t>derive from</w:t>
      </w:r>
      <w:r>
        <w:t xml:space="preserve"> the components of each program, e.g. the </w:t>
      </w:r>
      <w:r w:rsidR="009064DB">
        <w:t>set</w:t>
      </w:r>
      <w:r>
        <w:t xml:space="preserve"> of </w:t>
      </w:r>
      <w:r w:rsidR="00A86F06">
        <w:t xml:space="preserve">co-responsibilities </w:t>
      </w:r>
      <w:r>
        <w:t xml:space="preserve">that must be met for the </w:t>
      </w:r>
      <w:r w:rsidR="00D77C07">
        <w:t>CT</w:t>
      </w:r>
      <w:r>
        <w:t>.</w:t>
      </w:r>
      <w:r w:rsidR="009064DB">
        <w:t xml:space="preserve"> </w:t>
      </w:r>
      <w:r>
        <w:t xml:space="preserve">The rationale for </w:t>
      </w:r>
      <w:r w:rsidR="00E40F73">
        <w:t>measuring these process indicators</w:t>
      </w:r>
      <w:r>
        <w:t xml:space="preserve"> is to assess implementation fidelity and</w:t>
      </w:r>
      <w:r w:rsidR="00030ECD">
        <w:t xml:space="preserve"> to help</w:t>
      </w:r>
      <w:r>
        <w:t xml:space="preserve"> characterize through which channel</w:t>
      </w:r>
      <w:r w:rsidR="003E0293">
        <w:t>s</w:t>
      </w:r>
      <w:r>
        <w:t xml:space="preserve"> the overall program generates </w:t>
      </w:r>
      <w:r w:rsidR="003E0293">
        <w:t xml:space="preserve">the greatest </w:t>
      </w:r>
      <w:r>
        <w:t>impacts.</w:t>
      </w:r>
    </w:p>
    <w:p w14:paraId="5DDB8F6E" w14:textId="1ABD6F69" w:rsidR="00271AD1" w:rsidRDefault="00271AD1" w:rsidP="00271AD1">
      <w:pPr>
        <w:pStyle w:val="NoSpacing"/>
      </w:pPr>
    </w:p>
    <w:p w14:paraId="4B1A4F2B" w14:textId="6679739F" w:rsidR="00271AD1" w:rsidRDefault="00271AD1" w:rsidP="00271AD1">
      <w:pPr>
        <w:pStyle w:val="NoSpacing"/>
      </w:pPr>
      <w:r>
        <w:t>The definitions of</w:t>
      </w:r>
      <w:r w:rsidR="00BB7AEF">
        <w:t xml:space="preserve"> </w:t>
      </w:r>
      <w:r w:rsidR="008A33AF">
        <w:t>individual</w:t>
      </w:r>
      <w:r w:rsidR="009064DB">
        <w:t xml:space="preserve"> </w:t>
      </w:r>
      <w:r>
        <w:t xml:space="preserve">indicators are listed in </w:t>
      </w:r>
      <w:r w:rsidR="009064DB">
        <w:t>Annex 4</w:t>
      </w:r>
      <w:r>
        <w:t>.</w:t>
      </w:r>
      <w:r w:rsidR="005E1F28">
        <w:t xml:space="preserve"> </w:t>
      </w:r>
    </w:p>
    <w:p w14:paraId="248B378A" w14:textId="29A599A7" w:rsidR="00271AD1" w:rsidRDefault="00271AD1" w:rsidP="00271AD1">
      <w:pPr>
        <w:pStyle w:val="NoSpacing"/>
      </w:pPr>
    </w:p>
    <w:p w14:paraId="0BDE70D8" w14:textId="5E5FD21D" w:rsidR="00271AD1" w:rsidRPr="007750F5" w:rsidRDefault="00271AD1" w:rsidP="00271AD1">
      <w:pPr>
        <w:pStyle w:val="NoSpacing"/>
        <w:rPr>
          <w:b/>
        </w:rPr>
      </w:pPr>
      <w:r w:rsidRPr="007750F5">
        <w:rPr>
          <w:b/>
        </w:rPr>
        <w:t>Table</w:t>
      </w:r>
      <w:r w:rsidR="009064DB">
        <w:rPr>
          <w:b/>
        </w:rPr>
        <w:t xml:space="preserve"> </w:t>
      </w:r>
      <w:r w:rsidR="00D90590">
        <w:rPr>
          <w:b/>
        </w:rPr>
        <w:t>4</w:t>
      </w:r>
      <w:r w:rsidRPr="007750F5">
        <w:rPr>
          <w:b/>
        </w:rPr>
        <w:t>: Overview of primary, secondary and process indicators</w:t>
      </w:r>
    </w:p>
    <w:tbl>
      <w:tblPr>
        <w:tblW w:w="8995" w:type="dxa"/>
        <w:tblLayout w:type="fixed"/>
        <w:tblLook w:val="04A0" w:firstRow="1" w:lastRow="0" w:firstColumn="1" w:lastColumn="0" w:noHBand="0" w:noVBand="1"/>
      </w:tblPr>
      <w:tblGrid>
        <w:gridCol w:w="490"/>
        <w:gridCol w:w="3129"/>
        <w:gridCol w:w="591"/>
        <w:gridCol w:w="592"/>
        <w:gridCol w:w="592"/>
        <w:gridCol w:w="592"/>
        <w:gridCol w:w="592"/>
        <w:gridCol w:w="592"/>
        <w:gridCol w:w="592"/>
        <w:gridCol w:w="1233"/>
      </w:tblGrid>
      <w:tr w:rsidR="00271AD1" w:rsidRPr="00ED1DCA" w14:paraId="44C5074A" w14:textId="77777777" w:rsidTr="00E40F73">
        <w:trPr>
          <w:cantSplit/>
          <w:trHeight w:val="1547"/>
        </w:trPr>
        <w:tc>
          <w:tcPr>
            <w:tcW w:w="490" w:type="dxa"/>
            <w:shd w:val="clear" w:color="auto" w:fill="D9D9D9" w:themeFill="background1" w:themeFillShade="D9"/>
          </w:tcPr>
          <w:p w14:paraId="6F9BBB6C" w14:textId="77777777" w:rsidR="00271AD1" w:rsidRPr="00ED1DCA" w:rsidRDefault="00271AD1" w:rsidP="00271AD1">
            <w:pPr>
              <w:pStyle w:val="NoSpacing"/>
              <w:rPr>
                <w:sz w:val="20"/>
              </w:rPr>
            </w:pPr>
          </w:p>
        </w:tc>
        <w:tc>
          <w:tcPr>
            <w:tcW w:w="3129" w:type="dxa"/>
            <w:shd w:val="clear" w:color="auto" w:fill="D9D9D9" w:themeFill="background1" w:themeFillShade="D9"/>
          </w:tcPr>
          <w:p w14:paraId="44721DD6" w14:textId="77777777" w:rsidR="00271AD1" w:rsidRPr="00ED1DCA" w:rsidRDefault="00271AD1" w:rsidP="00271AD1">
            <w:pPr>
              <w:pStyle w:val="NoSpacing"/>
              <w:rPr>
                <w:sz w:val="20"/>
              </w:rPr>
            </w:pPr>
          </w:p>
        </w:tc>
        <w:tc>
          <w:tcPr>
            <w:tcW w:w="591" w:type="dxa"/>
            <w:shd w:val="clear" w:color="auto" w:fill="D9D9D9" w:themeFill="background1" w:themeFillShade="D9"/>
            <w:textDirection w:val="btLr"/>
          </w:tcPr>
          <w:p w14:paraId="68EF8177" w14:textId="77777777" w:rsidR="00271AD1" w:rsidRPr="00ED1DCA" w:rsidRDefault="00271AD1" w:rsidP="00271AD1">
            <w:pPr>
              <w:pStyle w:val="NoSpacing"/>
              <w:ind w:left="113" w:right="113"/>
              <w:rPr>
                <w:b/>
                <w:sz w:val="20"/>
              </w:rPr>
            </w:pPr>
            <w:r>
              <w:rPr>
                <w:b/>
                <w:sz w:val="20"/>
              </w:rPr>
              <w:t>Nutrition</w:t>
            </w:r>
            <w:r w:rsidRPr="00ED1DCA">
              <w:rPr>
                <w:b/>
                <w:sz w:val="20"/>
              </w:rPr>
              <w:t xml:space="preserve"> </w:t>
            </w:r>
            <w:r>
              <w:rPr>
                <w:b/>
                <w:sz w:val="20"/>
              </w:rPr>
              <w:t xml:space="preserve">interv and </w:t>
            </w:r>
            <w:r w:rsidRPr="00ED1DCA">
              <w:rPr>
                <w:b/>
                <w:sz w:val="20"/>
              </w:rPr>
              <w:t>campaign</w:t>
            </w:r>
          </w:p>
        </w:tc>
        <w:tc>
          <w:tcPr>
            <w:tcW w:w="592" w:type="dxa"/>
            <w:shd w:val="clear" w:color="auto" w:fill="D9D9D9" w:themeFill="background1" w:themeFillShade="D9"/>
            <w:textDirection w:val="btLr"/>
          </w:tcPr>
          <w:p w14:paraId="4746B38E" w14:textId="77777777" w:rsidR="00271AD1" w:rsidRDefault="00271AD1" w:rsidP="00271AD1">
            <w:pPr>
              <w:pStyle w:val="NoSpacing"/>
              <w:ind w:left="113" w:right="113"/>
              <w:rPr>
                <w:b/>
                <w:sz w:val="20"/>
              </w:rPr>
            </w:pPr>
            <w:r w:rsidRPr="00ED1DCA">
              <w:rPr>
                <w:b/>
                <w:sz w:val="20"/>
              </w:rPr>
              <w:t>CHW</w:t>
            </w:r>
          </w:p>
        </w:tc>
        <w:tc>
          <w:tcPr>
            <w:tcW w:w="592" w:type="dxa"/>
            <w:shd w:val="clear" w:color="auto" w:fill="D9D9D9" w:themeFill="background1" w:themeFillShade="D9"/>
            <w:textDirection w:val="btLr"/>
          </w:tcPr>
          <w:p w14:paraId="7E633C0D" w14:textId="77777777" w:rsidR="00271AD1" w:rsidRPr="00ED1DCA" w:rsidRDefault="00271AD1" w:rsidP="00271AD1">
            <w:pPr>
              <w:pStyle w:val="NoSpacing"/>
              <w:ind w:left="113" w:right="113"/>
              <w:rPr>
                <w:b/>
                <w:sz w:val="20"/>
              </w:rPr>
            </w:pPr>
            <w:r w:rsidRPr="00ED1DCA">
              <w:rPr>
                <w:b/>
                <w:sz w:val="20"/>
              </w:rPr>
              <w:t>ECD</w:t>
            </w:r>
          </w:p>
        </w:tc>
        <w:tc>
          <w:tcPr>
            <w:tcW w:w="592" w:type="dxa"/>
            <w:shd w:val="clear" w:color="auto" w:fill="D9D9D9" w:themeFill="background1" w:themeFillShade="D9"/>
            <w:textDirection w:val="btLr"/>
          </w:tcPr>
          <w:p w14:paraId="4003CD63" w14:textId="77777777" w:rsidR="00271AD1" w:rsidRPr="00ED1DCA" w:rsidRDefault="00271AD1" w:rsidP="00271AD1">
            <w:pPr>
              <w:pStyle w:val="NoSpacing"/>
              <w:ind w:left="113" w:right="113"/>
              <w:rPr>
                <w:b/>
                <w:sz w:val="20"/>
              </w:rPr>
            </w:pPr>
            <w:r>
              <w:rPr>
                <w:b/>
                <w:sz w:val="20"/>
              </w:rPr>
              <w:t>WASH</w:t>
            </w:r>
          </w:p>
        </w:tc>
        <w:tc>
          <w:tcPr>
            <w:tcW w:w="592" w:type="dxa"/>
            <w:shd w:val="clear" w:color="auto" w:fill="D9D9D9" w:themeFill="background1" w:themeFillShade="D9"/>
            <w:textDirection w:val="btLr"/>
          </w:tcPr>
          <w:p w14:paraId="6CEB22CF" w14:textId="37C3083E" w:rsidR="00271AD1" w:rsidRPr="00ED1DCA" w:rsidRDefault="00D77C07" w:rsidP="00271AD1">
            <w:pPr>
              <w:pStyle w:val="NoSpacing"/>
              <w:ind w:left="113" w:right="113"/>
              <w:rPr>
                <w:b/>
                <w:sz w:val="20"/>
              </w:rPr>
            </w:pPr>
            <w:r>
              <w:rPr>
                <w:b/>
                <w:sz w:val="20"/>
              </w:rPr>
              <w:t>CT</w:t>
            </w:r>
          </w:p>
        </w:tc>
        <w:tc>
          <w:tcPr>
            <w:tcW w:w="592" w:type="dxa"/>
            <w:shd w:val="clear" w:color="auto" w:fill="D9D9D9" w:themeFill="background1" w:themeFillShade="D9"/>
            <w:textDirection w:val="btLr"/>
          </w:tcPr>
          <w:p w14:paraId="13A342DB" w14:textId="77777777" w:rsidR="00271AD1" w:rsidRPr="00ED1DCA" w:rsidRDefault="00271AD1" w:rsidP="00271AD1">
            <w:pPr>
              <w:pStyle w:val="NoSpacing"/>
              <w:ind w:left="113" w:right="113"/>
              <w:rPr>
                <w:b/>
                <w:sz w:val="20"/>
              </w:rPr>
            </w:pPr>
            <w:r>
              <w:rPr>
                <w:b/>
                <w:sz w:val="20"/>
              </w:rPr>
              <w:t>Marketing of nutritious food</w:t>
            </w:r>
          </w:p>
        </w:tc>
        <w:tc>
          <w:tcPr>
            <w:tcW w:w="592" w:type="dxa"/>
            <w:shd w:val="clear" w:color="auto" w:fill="D9D9D9" w:themeFill="background1" w:themeFillShade="D9"/>
            <w:textDirection w:val="btLr"/>
          </w:tcPr>
          <w:p w14:paraId="79489582" w14:textId="77777777" w:rsidR="00271AD1" w:rsidRPr="00ED1DCA" w:rsidRDefault="00271AD1" w:rsidP="00271AD1">
            <w:pPr>
              <w:pStyle w:val="NoSpacing"/>
              <w:ind w:left="113" w:right="113"/>
              <w:rPr>
                <w:b/>
                <w:sz w:val="20"/>
              </w:rPr>
            </w:pPr>
            <w:r>
              <w:rPr>
                <w:b/>
                <w:sz w:val="20"/>
              </w:rPr>
              <w:t>Production of nutritious food</w:t>
            </w:r>
          </w:p>
        </w:tc>
        <w:tc>
          <w:tcPr>
            <w:tcW w:w="1233" w:type="dxa"/>
            <w:shd w:val="clear" w:color="auto" w:fill="D9D9D9" w:themeFill="background1" w:themeFillShade="D9"/>
            <w:textDirection w:val="btLr"/>
          </w:tcPr>
          <w:p w14:paraId="709CA724" w14:textId="77777777" w:rsidR="00271AD1" w:rsidRPr="00ED1DCA" w:rsidRDefault="00271AD1" w:rsidP="00271AD1">
            <w:pPr>
              <w:pStyle w:val="NoSpacing"/>
              <w:ind w:left="113" w:right="113"/>
              <w:rPr>
                <w:b/>
                <w:sz w:val="20"/>
              </w:rPr>
            </w:pPr>
            <w:r>
              <w:rPr>
                <w:b/>
                <w:sz w:val="20"/>
              </w:rPr>
              <w:t xml:space="preserve">Data </w:t>
            </w:r>
            <w:r w:rsidRPr="00ED1DCA">
              <w:rPr>
                <w:b/>
                <w:sz w:val="20"/>
              </w:rPr>
              <w:t>Source</w:t>
            </w:r>
          </w:p>
        </w:tc>
      </w:tr>
      <w:tr w:rsidR="00271AD1" w:rsidRPr="00ED1DCA" w14:paraId="2E4CBA66" w14:textId="77777777" w:rsidTr="00E40F73">
        <w:tc>
          <w:tcPr>
            <w:tcW w:w="8995" w:type="dxa"/>
            <w:gridSpan w:val="10"/>
          </w:tcPr>
          <w:p w14:paraId="55B57B6C" w14:textId="77777777" w:rsidR="00271AD1" w:rsidRPr="00ED1DCA" w:rsidRDefault="00271AD1" w:rsidP="00271AD1">
            <w:pPr>
              <w:pStyle w:val="NoSpacing"/>
              <w:rPr>
                <w:sz w:val="20"/>
              </w:rPr>
            </w:pPr>
            <w:r w:rsidRPr="00ED1DCA">
              <w:rPr>
                <w:b/>
                <w:sz w:val="20"/>
                <w:u w:val="single"/>
              </w:rPr>
              <w:t>Primary (impact) indicators</w:t>
            </w:r>
          </w:p>
        </w:tc>
      </w:tr>
      <w:tr w:rsidR="00271AD1" w:rsidRPr="00ED1DCA" w14:paraId="1B73CC9A" w14:textId="77777777" w:rsidTr="00E40F73">
        <w:tc>
          <w:tcPr>
            <w:tcW w:w="490" w:type="dxa"/>
          </w:tcPr>
          <w:p w14:paraId="50979E90" w14:textId="77777777" w:rsidR="00271AD1" w:rsidRPr="00ED1DCA" w:rsidRDefault="00271AD1" w:rsidP="00271AD1">
            <w:pPr>
              <w:pStyle w:val="NoSpacing"/>
              <w:rPr>
                <w:sz w:val="20"/>
              </w:rPr>
            </w:pPr>
            <w:r w:rsidRPr="00ED1DCA">
              <w:rPr>
                <w:sz w:val="20"/>
              </w:rPr>
              <w:t>1.1</w:t>
            </w:r>
          </w:p>
        </w:tc>
        <w:tc>
          <w:tcPr>
            <w:tcW w:w="3129" w:type="dxa"/>
          </w:tcPr>
          <w:p w14:paraId="63AAED67" w14:textId="77777777" w:rsidR="00271AD1" w:rsidRPr="00ED1DCA" w:rsidRDefault="00271AD1" w:rsidP="00271AD1">
            <w:pPr>
              <w:pStyle w:val="NoSpacing"/>
              <w:rPr>
                <w:sz w:val="20"/>
              </w:rPr>
            </w:pPr>
            <w:r w:rsidRPr="00ED1DCA">
              <w:rPr>
                <w:sz w:val="20"/>
              </w:rPr>
              <w:t>Height-for-age in under-2s</w:t>
            </w:r>
          </w:p>
        </w:tc>
        <w:tc>
          <w:tcPr>
            <w:tcW w:w="591" w:type="dxa"/>
          </w:tcPr>
          <w:p w14:paraId="2F626242" w14:textId="77777777" w:rsidR="00271AD1" w:rsidRPr="00ED1DCA" w:rsidRDefault="00271AD1" w:rsidP="00271AD1">
            <w:pPr>
              <w:pStyle w:val="NoSpacing"/>
              <w:rPr>
                <w:sz w:val="20"/>
              </w:rPr>
            </w:pPr>
            <w:r w:rsidRPr="00ED1DCA">
              <w:rPr>
                <w:sz w:val="20"/>
              </w:rPr>
              <w:t>Y</w:t>
            </w:r>
          </w:p>
        </w:tc>
        <w:tc>
          <w:tcPr>
            <w:tcW w:w="592" w:type="dxa"/>
          </w:tcPr>
          <w:p w14:paraId="6C604FA5" w14:textId="77777777" w:rsidR="00271AD1" w:rsidRPr="00ED1DCA" w:rsidRDefault="00271AD1" w:rsidP="00271AD1">
            <w:pPr>
              <w:pStyle w:val="NoSpacing"/>
              <w:rPr>
                <w:sz w:val="20"/>
              </w:rPr>
            </w:pPr>
            <w:r w:rsidRPr="00ED1DCA">
              <w:rPr>
                <w:sz w:val="20"/>
              </w:rPr>
              <w:t>Y</w:t>
            </w:r>
          </w:p>
        </w:tc>
        <w:tc>
          <w:tcPr>
            <w:tcW w:w="592" w:type="dxa"/>
          </w:tcPr>
          <w:p w14:paraId="45DC6CB2" w14:textId="77777777" w:rsidR="00271AD1" w:rsidRPr="00ED1DCA" w:rsidRDefault="00271AD1" w:rsidP="00271AD1">
            <w:pPr>
              <w:pStyle w:val="NoSpacing"/>
              <w:rPr>
                <w:sz w:val="20"/>
              </w:rPr>
            </w:pPr>
            <w:r w:rsidRPr="00ED1DCA">
              <w:rPr>
                <w:sz w:val="20"/>
              </w:rPr>
              <w:t>Y</w:t>
            </w:r>
          </w:p>
        </w:tc>
        <w:tc>
          <w:tcPr>
            <w:tcW w:w="592" w:type="dxa"/>
          </w:tcPr>
          <w:p w14:paraId="3442B6F7" w14:textId="77777777" w:rsidR="00271AD1" w:rsidRPr="00ED1DCA" w:rsidRDefault="00271AD1" w:rsidP="00271AD1">
            <w:pPr>
              <w:pStyle w:val="NoSpacing"/>
              <w:rPr>
                <w:sz w:val="20"/>
              </w:rPr>
            </w:pPr>
            <w:r w:rsidRPr="00ED1DCA">
              <w:rPr>
                <w:sz w:val="20"/>
              </w:rPr>
              <w:t>Y</w:t>
            </w:r>
          </w:p>
        </w:tc>
        <w:tc>
          <w:tcPr>
            <w:tcW w:w="592" w:type="dxa"/>
          </w:tcPr>
          <w:p w14:paraId="7E71F473" w14:textId="77777777" w:rsidR="00271AD1" w:rsidRPr="00ED1DCA" w:rsidRDefault="00271AD1" w:rsidP="00271AD1">
            <w:pPr>
              <w:pStyle w:val="NoSpacing"/>
              <w:rPr>
                <w:sz w:val="20"/>
              </w:rPr>
            </w:pPr>
            <w:r w:rsidRPr="00ED1DCA">
              <w:rPr>
                <w:sz w:val="20"/>
              </w:rPr>
              <w:t>Y</w:t>
            </w:r>
          </w:p>
        </w:tc>
        <w:tc>
          <w:tcPr>
            <w:tcW w:w="592" w:type="dxa"/>
          </w:tcPr>
          <w:p w14:paraId="74BBCDFE" w14:textId="77777777" w:rsidR="00271AD1" w:rsidRPr="00ED1DCA" w:rsidRDefault="00271AD1" w:rsidP="00271AD1">
            <w:pPr>
              <w:pStyle w:val="NoSpacing"/>
              <w:rPr>
                <w:sz w:val="20"/>
              </w:rPr>
            </w:pPr>
            <w:r w:rsidRPr="00ED1DCA">
              <w:rPr>
                <w:sz w:val="20"/>
              </w:rPr>
              <w:t>Y</w:t>
            </w:r>
          </w:p>
        </w:tc>
        <w:tc>
          <w:tcPr>
            <w:tcW w:w="592" w:type="dxa"/>
          </w:tcPr>
          <w:p w14:paraId="63DA90F7" w14:textId="77777777" w:rsidR="00271AD1" w:rsidRPr="00ED1DCA" w:rsidRDefault="00271AD1" w:rsidP="00271AD1">
            <w:pPr>
              <w:pStyle w:val="NoSpacing"/>
              <w:rPr>
                <w:sz w:val="20"/>
              </w:rPr>
            </w:pPr>
            <w:r>
              <w:rPr>
                <w:sz w:val="20"/>
              </w:rPr>
              <w:t>(Y)</w:t>
            </w:r>
          </w:p>
        </w:tc>
        <w:tc>
          <w:tcPr>
            <w:tcW w:w="1233" w:type="dxa"/>
          </w:tcPr>
          <w:p w14:paraId="52F85222" w14:textId="77777777" w:rsidR="00271AD1" w:rsidRPr="00ED1DCA" w:rsidRDefault="00271AD1" w:rsidP="00271AD1">
            <w:pPr>
              <w:pStyle w:val="NoSpacing"/>
              <w:rPr>
                <w:sz w:val="20"/>
              </w:rPr>
            </w:pPr>
            <w:r w:rsidRPr="00ED1DCA">
              <w:rPr>
                <w:sz w:val="20"/>
              </w:rPr>
              <w:t>Survey</w:t>
            </w:r>
          </w:p>
        </w:tc>
      </w:tr>
      <w:tr w:rsidR="00271AD1" w:rsidRPr="00ED1DCA" w14:paraId="5AB67695" w14:textId="77777777" w:rsidTr="00E40F73">
        <w:tc>
          <w:tcPr>
            <w:tcW w:w="490" w:type="dxa"/>
          </w:tcPr>
          <w:p w14:paraId="447CF926" w14:textId="77777777" w:rsidR="00271AD1" w:rsidRPr="00ED1DCA" w:rsidRDefault="00271AD1" w:rsidP="00271AD1">
            <w:pPr>
              <w:pStyle w:val="NoSpacing"/>
              <w:rPr>
                <w:sz w:val="20"/>
              </w:rPr>
            </w:pPr>
            <w:r w:rsidRPr="00ED1DCA">
              <w:rPr>
                <w:sz w:val="20"/>
              </w:rPr>
              <w:t>1.2</w:t>
            </w:r>
          </w:p>
        </w:tc>
        <w:tc>
          <w:tcPr>
            <w:tcW w:w="3129" w:type="dxa"/>
          </w:tcPr>
          <w:p w14:paraId="096F1268" w14:textId="77777777" w:rsidR="00271AD1" w:rsidRPr="00ED1DCA" w:rsidRDefault="00271AD1" w:rsidP="00271AD1">
            <w:pPr>
              <w:pStyle w:val="NoSpacing"/>
              <w:rPr>
                <w:sz w:val="20"/>
              </w:rPr>
            </w:pPr>
            <w:r w:rsidRPr="00ED1DCA">
              <w:rPr>
                <w:sz w:val="20"/>
              </w:rPr>
              <w:t>Stunting in under-2s</w:t>
            </w:r>
          </w:p>
        </w:tc>
        <w:tc>
          <w:tcPr>
            <w:tcW w:w="591" w:type="dxa"/>
          </w:tcPr>
          <w:p w14:paraId="0521CCF8" w14:textId="77777777" w:rsidR="00271AD1" w:rsidRPr="00ED1DCA" w:rsidRDefault="00271AD1" w:rsidP="00271AD1">
            <w:pPr>
              <w:pStyle w:val="NoSpacing"/>
              <w:rPr>
                <w:sz w:val="20"/>
              </w:rPr>
            </w:pPr>
            <w:r w:rsidRPr="00ED1DCA">
              <w:rPr>
                <w:sz w:val="20"/>
              </w:rPr>
              <w:t>Y</w:t>
            </w:r>
          </w:p>
        </w:tc>
        <w:tc>
          <w:tcPr>
            <w:tcW w:w="592" w:type="dxa"/>
          </w:tcPr>
          <w:p w14:paraId="7CC0E782" w14:textId="77777777" w:rsidR="00271AD1" w:rsidRPr="00ED1DCA" w:rsidRDefault="00271AD1" w:rsidP="00271AD1">
            <w:pPr>
              <w:pStyle w:val="NoSpacing"/>
              <w:rPr>
                <w:sz w:val="20"/>
              </w:rPr>
            </w:pPr>
            <w:r w:rsidRPr="00ED1DCA">
              <w:rPr>
                <w:sz w:val="20"/>
              </w:rPr>
              <w:t>Y</w:t>
            </w:r>
          </w:p>
        </w:tc>
        <w:tc>
          <w:tcPr>
            <w:tcW w:w="592" w:type="dxa"/>
          </w:tcPr>
          <w:p w14:paraId="0F7E66E2" w14:textId="77777777" w:rsidR="00271AD1" w:rsidRPr="00ED1DCA" w:rsidRDefault="00271AD1" w:rsidP="00271AD1">
            <w:pPr>
              <w:pStyle w:val="NoSpacing"/>
              <w:rPr>
                <w:sz w:val="20"/>
              </w:rPr>
            </w:pPr>
            <w:r w:rsidRPr="00ED1DCA">
              <w:rPr>
                <w:sz w:val="20"/>
              </w:rPr>
              <w:t>Y</w:t>
            </w:r>
          </w:p>
        </w:tc>
        <w:tc>
          <w:tcPr>
            <w:tcW w:w="592" w:type="dxa"/>
          </w:tcPr>
          <w:p w14:paraId="7F3D9AEE" w14:textId="77777777" w:rsidR="00271AD1" w:rsidRPr="00ED1DCA" w:rsidRDefault="00271AD1" w:rsidP="00271AD1">
            <w:pPr>
              <w:pStyle w:val="NoSpacing"/>
              <w:rPr>
                <w:sz w:val="20"/>
              </w:rPr>
            </w:pPr>
            <w:r w:rsidRPr="00ED1DCA">
              <w:rPr>
                <w:sz w:val="20"/>
              </w:rPr>
              <w:t>Y</w:t>
            </w:r>
          </w:p>
        </w:tc>
        <w:tc>
          <w:tcPr>
            <w:tcW w:w="592" w:type="dxa"/>
          </w:tcPr>
          <w:p w14:paraId="796D8A74" w14:textId="77777777" w:rsidR="00271AD1" w:rsidRPr="00ED1DCA" w:rsidRDefault="00271AD1" w:rsidP="00271AD1">
            <w:pPr>
              <w:pStyle w:val="NoSpacing"/>
              <w:rPr>
                <w:sz w:val="20"/>
              </w:rPr>
            </w:pPr>
            <w:r w:rsidRPr="00ED1DCA">
              <w:rPr>
                <w:sz w:val="20"/>
              </w:rPr>
              <w:t>Y</w:t>
            </w:r>
          </w:p>
        </w:tc>
        <w:tc>
          <w:tcPr>
            <w:tcW w:w="592" w:type="dxa"/>
          </w:tcPr>
          <w:p w14:paraId="7A6576DA" w14:textId="77777777" w:rsidR="00271AD1" w:rsidRPr="00ED1DCA" w:rsidRDefault="00271AD1" w:rsidP="00271AD1">
            <w:pPr>
              <w:pStyle w:val="NoSpacing"/>
              <w:rPr>
                <w:sz w:val="20"/>
              </w:rPr>
            </w:pPr>
            <w:r w:rsidRPr="00ED1DCA">
              <w:rPr>
                <w:sz w:val="20"/>
              </w:rPr>
              <w:t>Y</w:t>
            </w:r>
          </w:p>
        </w:tc>
        <w:tc>
          <w:tcPr>
            <w:tcW w:w="592" w:type="dxa"/>
          </w:tcPr>
          <w:p w14:paraId="218D8CFF" w14:textId="77777777" w:rsidR="00271AD1" w:rsidRPr="00ED1DCA" w:rsidRDefault="00271AD1" w:rsidP="00271AD1">
            <w:pPr>
              <w:pStyle w:val="NoSpacing"/>
              <w:rPr>
                <w:sz w:val="20"/>
              </w:rPr>
            </w:pPr>
            <w:r>
              <w:rPr>
                <w:sz w:val="20"/>
              </w:rPr>
              <w:t>(Y)</w:t>
            </w:r>
          </w:p>
        </w:tc>
        <w:tc>
          <w:tcPr>
            <w:tcW w:w="1233" w:type="dxa"/>
          </w:tcPr>
          <w:p w14:paraId="4E66D998" w14:textId="77777777" w:rsidR="00271AD1" w:rsidRPr="00ED1DCA" w:rsidRDefault="00271AD1" w:rsidP="00271AD1">
            <w:pPr>
              <w:pStyle w:val="NoSpacing"/>
              <w:rPr>
                <w:sz w:val="20"/>
              </w:rPr>
            </w:pPr>
            <w:r w:rsidRPr="00ED1DCA">
              <w:rPr>
                <w:sz w:val="20"/>
              </w:rPr>
              <w:t>Survey</w:t>
            </w:r>
          </w:p>
        </w:tc>
      </w:tr>
      <w:tr w:rsidR="00271AD1" w:rsidRPr="00ED1DCA" w14:paraId="221F4CA6" w14:textId="77777777" w:rsidTr="00E40F73">
        <w:tc>
          <w:tcPr>
            <w:tcW w:w="490" w:type="dxa"/>
          </w:tcPr>
          <w:p w14:paraId="24F00E38" w14:textId="77777777" w:rsidR="00271AD1" w:rsidRPr="00ED1DCA" w:rsidRDefault="00271AD1" w:rsidP="00271AD1">
            <w:pPr>
              <w:pStyle w:val="NoSpacing"/>
              <w:rPr>
                <w:sz w:val="20"/>
              </w:rPr>
            </w:pPr>
            <w:r>
              <w:rPr>
                <w:sz w:val="20"/>
              </w:rPr>
              <w:t>1.3</w:t>
            </w:r>
          </w:p>
        </w:tc>
        <w:tc>
          <w:tcPr>
            <w:tcW w:w="3129" w:type="dxa"/>
          </w:tcPr>
          <w:p w14:paraId="285E36E3" w14:textId="74686EFF" w:rsidR="00271AD1" w:rsidRPr="00ED1DCA" w:rsidRDefault="00271AD1" w:rsidP="00271AD1">
            <w:pPr>
              <w:pStyle w:val="NoSpacing"/>
              <w:rPr>
                <w:sz w:val="20"/>
              </w:rPr>
            </w:pPr>
            <w:r>
              <w:rPr>
                <w:sz w:val="20"/>
              </w:rPr>
              <w:t>Pregnant women</w:t>
            </w:r>
            <w:r w:rsidR="00B838EA">
              <w:rPr>
                <w:sz w:val="20"/>
              </w:rPr>
              <w:t xml:space="preserve"> nutrition services</w:t>
            </w:r>
          </w:p>
        </w:tc>
        <w:tc>
          <w:tcPr>
            <w:tcW w:w="591" w:type="dxa"/>
          </w:tcPr>
          <w:p w14:paraId="416C7350" w14:textId="77777777" w:rsidR="00271AD1" w:rsidRPr="00ED1DCA" w:rsidRDefault="00271AD1" w:rsidP="00271AD1">
            <w:pPr>
              <w:pStyle w:val="NoSpacing"/>
              <w:rPr>
                <w:sz w:val="20"/>
              </w:rPr>
            </w:pPr>
            <w:r>
              <w:rPr>
                <w:sz w:val="20"/>
              </w:rPr>
              <w:t>Y</w:t>
            </w:r>
          </w:p>
        </w:tc>
        <w:tc>
          <w:tcPr>
            <w:tcW w:w="592" w:type="dxa"/>
          </w:tcPr>
          <w:p w14:paraId="78909D86" w14:textId="77777777" w:rsidR="00271AD1" w:rsidRPr="00ED1DCA" w:rsidRDefault="00271AD1" w:rsidP="00271AD1">
            <w:pPr>
              <w:pStyle w:val="NoSpacing"/>
              <w:rPr>
                <w:sz w:val="20"/>
              </w:rPr>
            </w:pPr>
          </w:p>
        </w:tc>
        <w:tc>
          <w:tcPr>
            <w:tcW w:w="592" w:type="dxa"/>
          </w:tcPr>
          <w:p w14:paraId="5EF8193C" w14:textId="77777777" w:rsidR="00271AD1" w:rsidRPr="00ED1DCA" w:rsidRDefault="00271AD1" w:rsidP="00271AD1">
            <w:pPr>
              <w:pStyle w:val="NoSpacing"/>
              <w:rPr>
                <w:sz w:val="20"/>
              </w:rPr>
            </w:pPr>
          </w:p>
        </w:tc>
        <w:tc>
          <w:tcPr>
            <w:tcW w:w="592" w:type="dxa"/>
          </w:tcPr>
          <w:p w14:paraId="6EED00DD" w14:textId="77777777" w:rsidR="00271AD1" w:rsidRPr="00ED1DCA" w:rsidRDefault="00271AD1" w:rsidP="00271AD1">
            <w:pPr>
              <w:pStyle w:val="NoSpacing"/>
              <w:rPr>
                <w:sz w:val="20"/>
              </w:rPr>
            </w:pPr>
            <w:r>
              <w:rPr>
                <w:sz w:val="20"/>
              </w:rPr>
              <w:t>Y</w:t>
            </w:r>
          </w:p>
        </w:tc>
        <w:tc>
          <w:tcPr>
            <w:tcW w:w="592" w:type="dxa"/>
          </w:tcPr>
          <w:p w14:paraId="154717F9" w14:textId="77777777" w:rsidR="00271AD1" w:rsidRPr="00ED1DCA" w:rsidRDefault="00271AD1" w:rsidP="00271AD1">
            <w:pPr>
              <w:pStyle w:val="NoSpacing"/>
              <w:rPr>
                <w:sz w:val="20"/>
              </w:rPr>
            </w:pPr>
            <w:r>
              <w:rPr>
                <w:sz w:val="20"/>
              </w:rPr>
              <w:t>Y</w:t>
            </w:r>
          </w:p>
        </w:tc>
        <w:tc>
          <w:tcPr>
            <w:tcW w:w="592" w:type="dxa"/>
          </w:tcPr>
          <w:p w14:paraId="636F5E55" w14:textId="77777777" w:rsidR="00271AD1" w:rsidRPr="00ED1DCA" w:rsidRDefault="00271AD1" w:rsidP="00271AD1">
            <w:pPr>
              <w:pStyle w:val="NoSpacing"/>
              <w:rPr>
                <w:sz w:val="20"/>
              </w:rPr>
            </w:pPr>
            <w:r>
              <w:rPr>
                <w:sz w:val="20"/>
              </w:rPr>
              <w:t>Y</w:t>
            </w:r>
          </w:p>
        </w:tc>
        <w:tc>
          <w:tcPr>
            <w:tcW w:w="592" w:type="dxa"/>
          </w:tcPr>
          <w:p w14:paraId="4282C988" w14:textId="77777777" w:rsidR="00271AD1" w:rsidRDefault="00271AD1" w:rsidP="00271AD1">
            <w:pPr>
              <w:pStyle w:val="NoSpacing"/>
              <w:rPr>
                <w:sz w:val="20"/>
              </w:rPr>
            </w:pPr>
            <w:r>
              <w:rPr>
                <w:sz w:val="20"/>
              </w:rPr>
              <w:t>(Y)</w:t>
            </w:r>
          </w:p>
        </w:tc>
        <w:tc>
          <w:tcPr>
            <w:tcW w:w="1233" w:type="dxa"/>
          </w:tcPr>
          <w:p w14:paraId="2E7A3A67" w14:textId="77777777" w:rsidR="00271AD1" w:rsidRPr="00ED1DCA" w:rsidRDefault="00271AD1" w:rsidP="00271AD1">
            <w:pPr>
              <w:pStyle w:val="NoSpacing"/>
              <w:rPr>
                <w:sz w:val="20"/>
              </w:rPr>
            </w:pPr>
            <w:r w:rsidRPr="00ED1DCA">
              <w:rPr>
                <w:sz w:val="20"/>
              </w:rPr>
              <w:t>Survey</w:t>
            </w:r>
          </w:p>
        </w:tc>
      </w:tr>
      <w:tr w:rsidR="002E4453" w:rsidRPr="00ED1DCA" w14:paraId="7161322B" w14:textId="77777777" w:rsidTr="00D90590">
        <w:tc>
          <w:tcPr>
            <w:tcW w:w="490" w:type="dxa"/>
          </w:tcPr>
          <w:p w14:paraId="4AEE782F" w14:textId="5ED4E116" w:rsidR="002E4453" w:rsidRDefault="002E4453" w:rsidP="00271AD1">
            <w:pPr>
              <w:pStyle w:val="NoSpacing"/>
              <w:rPr>
                <w:sz w:val="20"/>
              </w:rPr>
            </w:pPr>
            <w:r>
              <w:rPr>
                <w:sz w:val="20"/>
              </w:rPr>
              <w:t>1.4</w:t>
            </w:r>
          </w:p>
        </w:tc>
        <w:tc>
          <w:tcPr>
            <w:tcW w:w="3129" w:type="dxa"/>
          </w:tcPr>
          <w:p w14:paraId="3985877B" w14:textId="65BE95B3" w:rsidR="002E4453" w:rsidRDefault="002E4453" w:rsidP="00271AD1">
            <w:pPr>
              <w:pStyle w:val="NoSpacing"/>
              <w:rPr>
                <w:sz w:val="20"/>
              </w:rPr>
            </w:pPr>
            <w:r>
              <w:rPr>
                <w:sz w:val="20"/>
              </w:rPr>
              <w:t>Child development score</w:t>
            </w:r>
          </w:p>
        </w:tc>
        <w:tc>
          <w:tcPr>
            <w:tcW w:w="591" w:type="dxa"/>
          </w:tcPr>
          <w:p w14:paraId="52AB3C72" w14:textId="65F4CCF7" w:rsidR="002E4453" w:rsidRDefault="00030ECD" w:rsidP="00271AD1">
            <w:pPr>
              <w:pStyle w:val="NoSpacing"/>
              <w:rPr>
                <w:sz w:val="20"/>
              </w:rPr>
            </w:pPr>
            <w:r>
              <w:rPr>
                <w:sz w:val="20"/>
              </w:rPr>
              <w:t>Y</w:t>
            </w:r>
          </w:p>
        </w:tc>
        <w:tc>
          <w:tcPr>
            <w:tcW w:w="592" w:type="dxa"/>
          </w:tcPr>
          <w:p w14:paraId="0E3AB530" w14:textId="77777777" w:rsidR="002E4453" w:rsidRPr="00ED1DCA" w:rsidRDefault="002E4453" w:rsidP="00271AD1">
            <w:pPr>
              <w:pStyle w:val="NoSpacing"/>
              <w:rPr>
                <w:sz w:val="20"/>
              </w:rPr>
            </w:pPr>
          </w:p>
        </w:tc>
        <w:tc>
          <w:tcPr>
            <w:tcW w:w="592" w:type="dxa"/>
          </w:tcPr>
          <w:p w14:paraId="7D45A8C2" w14:textId="4FB1A68E" w:rsidR="002E4453" w:rsidRPr="00ED1DCA" w:rsidRDefault="002E4453" w:rsidP="00271AD1">
            <w:pPr>
              <w:pStyle w:val="NoSpacing"/>
              <w:rPr>
                <w:sz w:val="20"/>
              </w:rPr>
            </w:pPr>
            <w:r>
              <w:rPr>
                <w:sz w:val="20"/>
              </w:rPr>
              <w:t>Y</w:t>
            </w:r>
          </w:p>
        </w:tc>
        <w:tc>
          <w:tcPr>
            <w:tcW w:w="592" w:type="dxa"/>
          </w:tcPr>
          <w:p w14:paraId="74680EC3" w14:textId="77777777" w:rsidR="002E4453" w:rsidRDefault="002E4453" w:rsidP="00271AD1">
            <w:pPr>
              <w:pStyle w:val="NoSpacing"/>
              <w:rPr>
                <w:sz w:val="20"/>
              </w:rPr>
            </w:pPr>
          </w:p>
        </w:tc>
        <w:tc>
          <w:tcPr>
            <w:tcW w:w="592" w:type="dxa"/>
          </w:tcPr>
          <w:p w14:paraId="570B4B72" w14:textId="77777777" w:rsidR="002E4453" w:rsidRDefault="002E4453" w:rsidP="00271AD1">
            <w:pPr>
              <w:pStyle w:val="NoSpacing"/>
              <w:rPr>
                <w:sz w:val="20"/>
              </w:rPr>
            </w:pPr>
          </w:p>
        </w:tc>
        <w:tc>
          <w:tcPr>
            <w:tcW w:w="592" w:type="dxa"/>
          </w:tcPr>
          <w:p w14:paraId="675A30F3" w14:textId="77777777" w:rsidR="002E4453" w:rsidRDefault="002E4453" w:rsidP="00271AD1">
            <w:pPr>
              <w:pStyle w:val="NoSpacing"/>
              <w:rPr>
                <w:sz w:val="20"/>
              </w:rPr>
            </w:pPr>
          </w:p>
        </w:tc>
        <w:tc>
          <w:tcPr>
            <w:tcW w:w="592" w:type="dxa"/>
          </w:tcPr>
          <w:p w14:paraId="0A14C0A2" w14:textId="77777777" w:rsidR="002E4453" w:rsidRDefault="002E4453" w:rsidP="00271AD1">
            <w:pPr>
              <w:pStyle w:val="NoSpacing"/>
              <w:rPr>
                <w:sz w:val="20"/>
              </w:rPr>
            </w:pPr>
          </w:p>
        </w:tc>
        <w:tc>
          <w:tcPr>
            <w:tcW w:w="1233" w:type="dxa"/>
          </w:tcPr>
          <w:p w14:paraId="592EBEF9" w14:textId="0B9DD410" w:rsidR="002E4453" w:rsidRPr="00ED1DCA" w:rsidRDefault="002E4453" w:rsidP="00271AD1">
            <w:pPr>
              <w:pStyle w:val="NoSpacing"/>
              <w:rPr>
                <w:sz w:val="20"/>
              </w:rPr>
            </w:pPr>
            <w:r>
              <w:rPr>
                <w:sz w:val="20"/>
              </w:rPr>
              <w:t xml:space="preserve">Survey </w:t>
            </w:r>
          </w:p>
        </w:tc>
      </w:tr>
      <w:tr w:rsidR="00271AD1" w:rsidRPr="00ED1DCA" w14:paraId="4F333006" w14:textId="77777777" w:rsidTr="00D90590">
        <w:tc>
          <w:tcPr>
            <w:tcW w:w="490" w:type="dxa"/>
          </w:tcPr>
          <w:p w14:paraId="25CC3DDE" w14:textId="77777777" w:rsidR="00271AD1" w:rsidRPr="00ED1DCA" w:rsidRDefault="00271AD1" w:rsidP="00271AD1">
            <w:pPr>
              <w:pStyle w:val="NoSpacing"/>
              <w:rPr>
                <w:sz w:val="20"/>
              </w:rPr>
            </w:pPr>
          </w:p>
        </w:tc>
        <w:tc>
          <w:tcPr>
            <w:tcW w:w="3129" w:type="dxa"/>
          </w:tcPr>
          <w:p w14:paraId="276E4504" w14:textId="77777777" w:rsidR="00271AD1" w:rsidRPr="00ED1DCA" w:rsidRDefault="00271AD1" w:rsidP="00271AD1">
            <w:pPr>
              <w:pStyle w:val="NoSpacing"/>
              <w:rPr>
                <w:sz w:val="20"/>
              </w:rPr>
            </w:pPr>
          </w:p>
        </w:tc>
        <w:tc>
          <w:tcPr>
            <w:tcW w:w="591" w:type="dxa"/>
          </w:tcPr>
          <w:p w14:paraId="4C5A7C59" w14:textId="77777777" w:rsidR="00271AD1" w:rsidRPr="00ED1DCA" w:rsidRDefault="00271AD1" w:rsidP="00271AD1">
            <w:pPr>
              <w:pStyle w:val="NoSpacing"/>
              <w:rPr>
                <w:sz w:val="20"/>
              </w:rPr>
            </w:pPr>
          </w:p>
        </w:tc>
        <w:tc>
          <w:tcPr>
            <w:tcW w:w="592" w:type="dxa"/>
          </w:tcPr>
          <w:p w14:paraId="466150A0" w14:textId="77777777" w:rsidR="00271AD1" w:rsidRPr="00ED1DCA" w:rsidRDefault="00271AD1" w:rsidP="00271AD1">
            <w:pPr>
              <w:pStyle w:val="NoSpacing"/>
              <w:rPr>
                <w:sz w:val="20"/>
              </w:rPr>
            </w:pPr>
          </w:p>
        </w:tc>
        <w:tc>
          <w:tcPr>
            <w:tcW w:w="592" w:type="dxa"/>
          </w:tcPr>
          <w:p w14:paraId="1E5EF25A" w14:textId="77777777" w:rsidR="00271AD1" w:rsidRPr="00ED1DCA" w:rsidRDefault="00271AD1" w:rsidP="00271AD1">
            <w:pPr>
              <w:pStyle w:val="NoSpacing"/>
              <w:rPr>
                <w:sz w:val="20"/>
              </w:rPr>
            </w:pPr>
          </w:p>
        </w:tc>
        <w:tc>
          <w:tcPr>
            <w:tcW w:w="592" w:type="dxa"/>
          </w:tcPr>
          <w:p w14:paraId="3B843393" w14:textId="77777777" w:rsidR="00271AD1" w:rsidRPr="00ED1DCA" w:rsidRDefault="00271AD1" w:rsidP="00271AD1">
            <w:pPr>
              <w:pStyle w:val="NoSpacing"/>
              <w:rPr>
                <w:sz w:val="20"/>
              </w:rPr>
            </w:pPr>
          </w:p>
        </w:tc>
        <w:tc>
          <w:tcPr>
            <w:tcW w:w="592" w:type="dxa"/>
          </w:tcPr>
          <w:p w14:paraId="59BB4FD0" w14:textId="77777777" w:rsidR="00271AD1" w:rsidRPr="00ED1DCA" w:rsidRDefault="00271AD1" w:rsidP="00271AD1">
            <w:pPr>
              <w:pStyle w:val="NoSpacing"/>
              <w:rPr>
                <w:sz w:val="20"/>
              </w:rPr>
            </w:pPr>
          </w:p>
        </w:tc>
        <w:tc>
          <w:tcPr>
            <w:tcW w:w="592" w:type="dxa"/>
          </w:tcPr>
          <w:p w14:paraId="01F1CE5C" w14:textId="77777777" w:rsidR="00271AD1" w:rsidRPr="00ED1DCA" w:rsidRDefault="00271AD1" w:rsidP="00271AD1">
            <w:pPr>
              <w:pStyle w:val="NoSpacing"/>
              <w:rPr>
                <w:sz w:val="20"/>
              </w:rPr>
            </w:pPr>
          </w:p>
        </w:tc>
        <w:tc>
          <w:tcPr>
            <w:tcW w:w="592" w:type="dxa"/>
          </w:tcPr>
          <w:p w14:paraId="34865333" w14:textId="77777777" w:rsidR="00271AD1" w:rsidRPr="00ED1DCA" w:rsidRDefault="00271AD1" w:rsidP="00271AD1">
            <w:pPr>
              <w:pStyle w:val="NoSpacing"/>
              <w:rPr>
                <w:sz w:val="20"/>
              </w:rPr>
            </w:pPr>
          </w:p>
        </w:tc>
        <w:tc>
          <w:tcPr>
            <w:tcW w:w="1233" w:type="dxa"/>
          </w:tcPr>
          <w:p w14:paraId="203292B7" w14:textId="77777777" w:rsidR="00271AD1" w:rsidRPr="00ED1DCA" w:rsidRDefault="00271AD1" w:rsidP="00271AD1">
            <w:pPr>
              <w:pStyle w:val="NoSpacing"/>
              <w:rPr>
                <w:sz w:val="20"/>
              </w:rPr>
            </w:pPr>
          </w:p>
        </w:tc>
      </w:tr>
      <w:tr w:rsidR="00271AD1" w:rsidRPr="00ED1DCA" w14:paraId="725C825F" w14:textId="77777777" w:rsidTr="00D90590">
        <w:tc>
          <w:tcPr>
            <w:tcW w:w="3619" w:type="dxa"/>
            <w:gridSpan w:val="2"/>
          </w:tcPr>
          <w:p w14:paraId="79C64332" w14:textId="77777777" w:rsidR="00271AD1" w:rsidRPr="00ED1DCA" w:rsidRDefault="00271AD1" w:rsidP="00271AD1">
            <w:pPr>
              <w:pStyle w:val="NoSpacing"/>
              <w:rPr>
                <w:b/>
                <w:sz w:val="20"/>
                <w:u w:val="single"/>
              </w:rPr>
            </w:pPr>
            <w:r w:rsidRPr="00ED1DCA">
              <w:rPr>
                <w:b/>
                <w:sz w:val="20"/>
                <w:u w:val="single"/>
              </w:rPr>
              <w:t>Secondary indicators</w:t>
            </w:r>
          </w:p>
        </w:tc>
        <w:tc>
          <w:tcPr>
            <w:tcW w:w="591" w:type="dxa"/>
          </w:tcPr>
          <w:p w14:paraId="460CE061" w14:textId="77777777" w:rsidR="00271AD1" w:rsidRPr="00ED1DCA" w:rsidRDefault="00271AD1" w:rsidP="00271AD1">
            <w:pPr>
              <w:pStyle w:val="NoSpacing"/>
              <w:rPr>
                <w:sz w:val="20"/>
              </w:rPr>
            </w:pPr>
          </w:p>
        </w:tc>
        <w:tc>
          <w:tcPr>
            <w:tcW w:w="592" w:type="dxa"/>
          </w:tcPr>
          <w:p w14:paraId="7708D5F5" w14:textId="77777777" w:rsidR="00271AD1" w:rsidRPr="00ED1DCA" w:rsidRDefault="00271AD1" w:rsidP="00271AD1">
            <w:pPr>
              <w:pStyle w:val="NoSpacing"/>
              <w:rPr>
                <w:sz w:val="20"/>
              </w:rPr>
            </w:pPr>
          </w:p>
        </w:tc>
        <w:tc>
          <w:tcPr>
            <w:tcW w:w="592" w:type="dxa"/>
          </w:tcPr>
          <w:p w14:paraId="29050759" w14:textId="77777777" w:rsidR="00271AD1" w:rsidRPr="00ED1DCA" w:rsidRDefault="00271AD1" w:rsidP="00271AD1">
            <w:pPr>
              <w:pStyle w:val="NoSpacing"/>
              <w:rPr>
                <w:sz w:val="20"/>
              </w:rPr>
            </w:pPr>
          </w:p>
        </w:tc>
        <w:tc>
          <w:tcPr>
            <w:tcW w:w="592" w:type="dxa"/>
          </w:tcPr>
          <w:p w14:paraId="40F7B82D" w14:textId="77777777" w:rsidR="00271AD1" w:rsidRPr="00ED1DCA" w:rsidRDefault="00271AD1" w:rsidP="00271AD1">
            <w:pPr>
              <w:pStyle w:val="NoSpacing"/>
              <w:rPr>
                <w:sz w:val="20"/>
              </w:rPr>
            </w:pPr>
          </w:p>
        </w:tc>
        <w:tc>
          <w:tcPr>
            <w:tcW w:w="592" w:type="dxa"/>
          </w:tcPr>
          <w:p w14:paraId="7A615DD3" w14:textId="77777777" w:rsidR="00271AD1" w:rsidRPr="00ED1DCA" w:rsidRDefault="00271AD1" w:rsidP="00271AD1">
            <w:pPr>
              <w:pStyle w:val="NoSpacing"/>
              <w:rPr>
                <w:sz w:val="20"/>
              </w:rPr>
            </w:pPr>
          </w:p>
        </w:tc>
        <w:tc>
          <w:tcPr>
            <w:tcW w:w="592" w:type="dxa"/>
          </w:tcPr>
          <w:p w14:paraId="045972CC" w14:textId="77777777" w:rsidR="00271AD1" w:rsidRPr="00ED1DCA" w:rsidRDefault="00271AD1" w:rsidP="00271AD1">
            <w:pPr>
              <w:pStyle w:val="NoSpacing"/>
              <w:rPr>
                <w:sz w:val="20"/>
              </w:rPr>
            </w:pPr>
          </w:p>
        </w:tc>
        <w:tc>
          <w:tcPr>
            <w:tcW w:w="592" w:type="dxa"/>
          </w:tcPr>
          <w:p w14:paraId="7695BB6C" w14:textId="77777777" w:rsidR="00271AD1" w:rsidRPr="00ED1DCA" w:rsidRDefault="00271AD1" w:rsidP="00271AD1">
            <w:pPr>
              <w:pStyle w:val="NoSpacing"/>
              <w:rPr>
                <w:sz w:val="20"/>
              </w:rPr>
            </w:pPr>
          </w:p>
        </w:tc>
        <w:tc>
          <w:tcPr>
            <w:tcW w:w="1233" w:type="dxa"/>
          </w:tcPr>
          <w:p w14:paraId="69440ABA" w14:textId="77777777" w:rsidR="00271AD1" w:rsidRPr="00ED1DCA" w:rsidRDefault="00271AD1" w:rsidP="00271AD1">
            <w:pPr>
              <w:pStyle w:val="NoSpacing"/>
              <w:rPr>
                <w:sz w:val="20"/>
              </w:rPr>
            </w:pPr>
          </w:p>
        </w:tc>
      </w:tr>
      <w:tr w:rsidR="00D90590" w:rsidRPr="00ED1DCA" w14:paraId="3943D69D" w14:textId="77777777" w:rsidTr="00D90590">
        <w:tc>
          <w:tcPr>
            <w:tcW w:w="8995" w:type="dxa"/>
            <w:gridSpan w:val="10"/>
          </w:tcPr>
          <w:p w14:paraId="75BB9B5B" w14:textId="05EE9C94" w:rsidR="00D90590" w:rsidRPr="00ED1DCA" w:rsidRDefault="00D90590" w:rsidP="00271AD1">
            <w:pPr>
              <w:pStyle w:val="NoSpacing"/>
              <w:rPr>
                <w:sz w:val="20"/>
              </w:rPr>
            </w:pPr>
            <w:r>
              <w:rPr>
                <w:b/>
                <w:sz w:val="20"/>
              </w:rPr>
              <w:t>Birth outcomes</w:t>
            </w:r>
          </w:p>
        </w:tc>
      </w:tr>
      <w:tr w:rsidR="00D90590" w:rsidRPr="00ED1DCA" w14:paraId="5F4E4220" w14:textId="77777777" w:rsidTr="00D90590">
        <w:tc>
          <w:tcPr>
            <w:tcW w:w="3619" w:type="dxa"/>
            <w:gridSpan w:val="2"/>
          </w:tcPr>
          <w:p w14:paraId="3963FBD0" w14:textId="7525A097" w:rsidR="00D90590" w:rsidRPr="00D90590" w:rsidRDefault="00D90590" w:rsidP="00271AD1">
            <w:pPr>
              <w:pStyle w:val="NoSpacing"/>
              <w:rPr>
                <w:bCs/>
                <w:sz w:val="20"/>
              </w:rPr>
            </w:pPr>
            <w:r w:rsidRPr="00D90590">
              <w:rPr>
                <w:bCs/>
                <w:sz w:val="20"/>
              </w:rPr>
              <w:t>2.1 Birth weight</w:t>
            </w:r>
            <w:r>
              <w:rPr>
                <w:bCs/>
                <w:sz w:val="20"/>
              </w:rPr>
              <w:br/>
            </w:r>
          </w:p>
        </w:tc>
        <w:tc>
          <w:tcPr>
            <w:tcW w:w="591" w:type="dxa"/>
          </w:tcPr>
          <w:p w14:paraId="4BC03719" w14:textId="7EEF3EFC" w:rsidR="00D90590" w:rsidRPr="00D90590" w:rsidRDefault="00D90590" w:rsidP="00271AD1">
            <w:pPr>
              <w:pStyle w:val="NoSpacing"/>
              <w:rPr>
                <w:sz w:val="20"/>
              </w:rPr>
            </w:pPr>
            <w:r w:rsidRPr="00D90590">
              <w:rPr>
                <w:sz w:val="20"/>
              </w:rPr>
              <w:t>Y</w:t>
            </w:r>
          </w:p>
        </w:tc>
        <w:tc>
          <w:tcPr>
            <w:tcW w:w="592" w:type="dxa"/>
          </w:tcPr>
          <w:p w14:paraId="280EA070" w14:textId="2D414AB6" w:rsidR="00D90590" w:rsidRPr="00D90590" w:rsidRDefault="00D90590" w:rsidP="00271AD1">
            <w:pPr>
              <w:pStyle w:val="NoSpacing"/>
              <w:rPr>
                <w:sz w:val="20"/>
              </w:rPr>
            </w:pPr>
            <w:r w:rsidRPr="00D90590">
              <w:rPr>
                <w:sz w:val="20"/>
              </w:rPr>
              <w:t>Y</w:t>
            </w:r>
          </w:p>
        </w:tc>
        <w:tc>
          <w:tcPr>
            <w:tcW w:w="592" w:type="dxa"/>
          </w:tcPr>
          <w:p w14:paraId="542DA0CF" w14:textId="3EFA3B0A" w:rsidR="00D90590" w:rsidRPr="00ED1DCA" w:rsidRDefault="00D90590" w:rsidP="00271AD1">
            <w:pPr>
              <w:pStyle w:val="NoSpacing"/>
              <w:rPr>
                <w:sz w:val="20"/>
              </w:rPr>
            </w:pPr>
          </w:p>
        </w:tc>
        <w:tc>
          <w:tcPr>
            <w:tcW w:w="592" w:type="dxa"/>
          </w:tcPr>
          <w:p w14:paraId="757F00E9" w14:textId="5DE16D15" w:rsidR="00D90590" w:rsidRPr="00ED1DCA" w:rsidRDefault="00D90590" w:rsidP="00271AD1">
            <w:pPr>
              <w:pStyle w:val="NoSpacing"/>
              <w:rPr>
                <w:sz w:val="20"/>
              </w:rPr>
            </w:pPr>
            <w:r>
              <w:rPr>
                <w:sz w:val="20"/>
              </w:rPr>
              <w:t>Y</w:t>
            </w:r>
          </w:p>
        </w:tc>
        <w:tc>
          <w:tcPr>
            <w:tcW w:w="592" w:type="dxa"/>
          </w:tcPr>
          <w:p w14:paraId="2452D113" w14:textId="3F8919C5" w:rsidR="00D90590" w:rsidRPr="00ED1DCA" w:rsidRDefault="00D90590" w:rsidP="00271AD1">
            <w:pPr>
              <w:pStyle w:val="NoSpacing"/>
              <w:rPr>
                <w:sz w:val="20"/>
              </w:rPr>
            </w:pPr>
            <w:r>
              <w:rPr>
                <w:sz w:val="20"/>
              </w:rPr>
              <w:t>Y</w:t>
            </w:r>
          </w:p>
        </w:tc>
        <w:tc>
          <w:tcPr>
            <w:tcW w:w="592" w:type="dxa"/>
          </w:tcPr>
          <w:p w14:paraId="182B8512" w14:textId="2CFAAD3C" w:rsidR="00D90590" w:rsidRPr="00ED1DCA" w:rsidRDefault="00D90590" w:rsidP="00271AD1">
            <w:pPr>
              <w:pStyle w:val="NoSpacing"/>
              <w:rPr>
                <w:sz w:val="20"/>
              </w:rPr>
            </w:pPr>
            <w:r>
              <w:rPr>
                <w:sz w:val="20"/>
              </w:rPr>
              <w:t>Y</w:t>
            </w:r>
          </w:p>
        </w:tc>
        <w:tc>
          <w:tcPr>
            <w:tcW w:w="592" w:type="dxa"/>
          </w:tcPr>
          <w:p w14:paraId="589CBBBC" w14:textId="5302C629" w:rsidR="00D90590" w:rsidRPr="00ED1DCA" w:rsidRDefault="00D90590" w:rsidP="00271AD1">
            <w:pPr>
              <w:pStyle w:val="NoSpacing"/>
              <w:rPr>
                <w:sz w:val="20"/>
              </w:rPr>
            </w:pPr>
            <w:r>
              <w:rPr>
                <w:sz w:val="20"/>
              </w:rPr>
              <w:t>Y</w:t>
            </w:r>
          </w:p>
        </w:tc>
        <w:tc>
          <w:tcPr>
            <w:tcW w:w="1233" w:type="dxa"/>
          </w:tcPr>
          <w:p w14:paraId="0FDAFDFB" w14:textId="362E8679" w:rsidR="00D90590" w:rsidRPr="00ED1DCA" w:rsidRDefault="00D90590" w:rsidP="00271AD1">
            <w:pPr>
              <w:pStyle w:val="NoSpacing"/>
              <w:rPr>
                <w:sz w:val="20"/>
              </w:rPr>
            </w:pPr>
            <w:r>
              <w:rPr>
                <w:sz w:val="20"/>
              </w:rPr>
              <w:t>Admin</w:t>
            </w:r>
          </w:p>
        </w:tc>
      </w:tr>
      <w:tr w:rsidR="00271AD1" w:rsidRPr="00ED1DCA" w14:paraId="0F32EE9D" w14:textId="77777777" w:rsidTr="00D90590">
        <w:tc>
          <w:tcPr>
            <w:tcW w:w="8995" w:type="dxa"/>
            <w:gridSpan w:val="10"/>
          </w:tcPr>
          <w:p w14:paraId="62025991" w14:textId="63C7762F" w:rsidR="00271AD1" w:rsidRPr="00ED1DCA" w:rsidRDefault="00271AD1" w:rsidP="00271AD1">
            <w:pPr>
              <w:pStyle w:val="NoSpacing"/>
              <w:rPr>
                <w:sz w:val="20"/>
              </w:rPr>
            </w:pPr>
            <w:r w:rsidRPr="00ED1DCA">
              <w:rPr>
                <w:b/>
                <w:sz w:val="20"/>
              </w:rPr>
              <w:t>Health outcomes of non-targeted populations</w:t>
            </w:r>
          </w:p>
        </w:tc>
      </w:tr>
      <w:tr w:rsidR="00271AD1" w:rsidRPr="00ED1DCA" w14:paraId="664A794E" w14:textId="77777777" w:rsidTr="00D90590">
        <w:tc>
          <w:tcPr>
            <w:tcW w:w="490" w:type="dxa"/>
          </w:tcPr>
          <w:p w14:paraId="2FF8B5D5" w14:textId="0B2572E0" w:rsidR="00271AD1" w:rsidRPr="00ED1DCA" w:rsidRDefault="00D90590" w:rsidP="00271AD1">
            <w:pPr>
              <w:pStyle w:val="NoSpacing"/>
              <w:rPr>
                <w:sz w:val="20"/>
              </w:rPr>
            </w:pPr>
            <w:r>
              <w:rPr>
                <w:sz w:val="20"/>
              </w:rPr>
              <w:t>3</w:t>
            </w:r>
            <w:r w:rsidR="00271AD1" w:rsidRPr="00ED1DCA">
              <w:rPr>
                <w:sz w:val="20"/>
              </w:rPr>
              <w:t>.1</w:t>
            </w:r>
          </w:p>
        </w:tc>
        <w:tc>
          <w:tcPr>
            <w:tcW w:w="3129" w:type="dxa"/>
          </w:tcPr>
          <w:p w14:paraId="73647A14" w14:textId="40DD199E" w:rsidR="00271AD1" w:rsidRPr="00ED1DCA" w:rsidRDefault="00271AD1" w:rsidP="00271AD1">
            <w:pPr>
              <w:pStyle w:val="NoSpacing"/>
              <w:rPr>
                <w:sz w:val="20"/>
              </w:rPr>
            </w:pPr>
            <w:r w:rsidRPr="00ED1DCA">
              <w:rPr>
                <w:sz w:val="20"/>
              </w:rPr>
              <w:t>Height-for-age in 2-5 year</w:t>
            </w:r>
            <w:r w:rsidR="00030ECD">
              <w:rPr>
                <w:sz w:val="20"/>
              </w:rPr>
              <w:t>s</w:t>
            </w:r>
            <w:r w:rsidRPr="00ED1DCA">
              <w:rPr>
                <w:sz w:val="20"/>
              </w:rPr>
              <w:t xml:space="preserve"> old</w:t>
            </w:r>
          </w:p>
        </w:tc>
        <w:tc>
          <w:tcPr>
            <w:tcW w:w="591" w:type="dxa"/>
          </w:tcPr>
          <w:p w14:paraId="70AC38F7" w14:textId="77777777" w:rsidR="00271AD1" w:rsidRPr="00ED1DCA" w:rsidRDefault="00271AD1" w:rsidP="00271AD1">
            <w:pPr>
              <w:pStyle w:val="NoSpacing"/>
              <w:rPr>
                <w:sz w:val="20"/>
              </w:rPr>
            </w:pPr>
            <w:r w:rsidRPr="00ED1DCA">
              <w:rPr>
                <w:sz w:val="20"/>
              </w:rPr>
              <w:t>Y</w:t>
            </w:r>
          </w:p>
        </w:tc>
        <w:tc>
          <w:tcPr>
            <w:tcW w:w="592" w:type="dxa"/>
          </w:tcPr>
          <w:p w14:paraId="1A12448F" w14:textId="77777777" w:rsidR="00271AD1" w:rsidRPr="00ED1DCA" w:rsidRDefault="00271AD1" w:rsidP="00271AD1">
            <w:pPr>
              <w:pStyle w:val="NoSpacing"/>
              <w:rPr>
                <w:sz w:val="20"/>
              </w:rPr>
            </w:pPr>
            <w:r w:rsidRPr="00ED1DCA">
              <w:rPr>
                <w:sz w:val="20"/>
              </w:rPr>
              <w:t>Y</w:t>
            </w:r>
          </w:p>
        </w:tc>
        <w:tc>
          <w:tcPr>
            <w:tcW w:w="592" w:type="dxa"/>
          </w:tcPr>
          <w:p w14:paraId="49DCD9EC" w14:textId="77777777" w:rsidR="00271AD1" w:rsidRPr="00ED1DCA" w:rsidRDefault="00271AD1" w:rsidP="00271AD1">
            <w:pPr>
              <w:pStyle w:val="NoSpacing"/>
              <w:rPr>
                <w:sz w:val="20"/>
              </w:rPr>
            </w:pPr>
            <w:r w:rsidRPr="00ED1DCA">
              <w:rPr>
                <w:sz w:val="20"/>
              </w:rPr>
              <w:t>Y</w:t>
            </w:r>
          </w:p>
        </w:tc>
        <w:tc>
          <w:tcPr>
            <w:tcW w:w="592" w:type="dxa"/>
          </w:tcPr>
          <w:p w14:paraId="38A10083" w14:textId="77777777" w:rsidR="00271AD1" w:rsidRPr="00ED1DCA" w:rsidRDefault="00271AD1" w:rsidP="00271AD1">
            <w:pPr>
              <w:pStyle w:val="NoSpacing"/>
              <w:rPr>
                <w:sz w:val="20"/>
              </w:rPr>
            </w:pPr>
            <w:r w:rsidRPr="00ED1DCA">
              <w:rPr>
                <w:sz w:val="20"/>
              </w:rPr>
              <w:t>Y</w:t>
            </w:r>
          </w:p>
        </w:tc>
        <w:tc>
          <w:tcPr>
            <w:tcW w:w="592" w:type="dxa"/>
          </w:tcPr>
          <w:p w14:paraId="139D69E6" w14:textId="77777777" w:rsidR="00271AD1" w:rsidRPr="00ED1DCA" w:rsidRDefault="00271AD1" w:rsidP="00271AD1">
            <w:pPr>
              <w:pStyle w:val="NoSpacing"/>
              <w:rPr>
                <w:sz w:val="20"/>
              </w:rPr>
            </w:pPr>
            <w:r>
              <w:rPr>
                <w:sz w:val="20"/>
              </w:rPr>
              <w:t>(Y)</w:t>
            </w:r>
          </w:p>
        </w:tc>
        <w:tc>
          <w:tcPr>
            <w:tcW w:w="592" w:type="dxa"/>
          </w:tcPr>
          <w:p w14:paraId="18F45AE6" w14:textId="77777777" w:rsidR="00271AD1" w:rsidRPr="00ED1DCA" w:rsidRDefault="00271AD1" w:rsidP="00271AD1">
            <w:pPr>
              <w:pStyle w:val="NoSpacing"/>
              <w:rPr>
                <w:sz w:val="20"/>
              </w:rPr>
            </w:pPr>
            <w:r w:rsidRPr="00ED1DCA">
              <w:rPr>
                <w:sz w:val="20"/>
              </w:rPr>
              <w:t>Y</w:t>
            </w:r>
          </w:p>
        </w:tc>
        <w:tc>
          <w:tcPr>
            <w:tcW w:w="592" w:type="dxa"/>
          </w:tcPr>
          <w:p w14:paraId="714FE1D3" w14:textId="77777777" w:rsidR="00271AD1" w:rsidRPr="00ED1DCA" w:rsidRDefault="00271AD1" w:rsidP="00271AD1">
            <w:pPr>
              <w:pStyle w:val="NoSpacing"/>
              <w:rPr>
                <w:sz w:val="20"/>
              </w:rPr>
            </w:pPr>
            <w:r w:rsidRPr="00ED1DCA">
              <w:rPr>
                <w:sz w:val="20"/>
              </w:rPr>
              <w:t>Y</w:t>
            </w:r>
          </w:p>
        </w:tc>
        <w:tc>
          <w:tcPr>
            <w:tcW w:w="1233" w:type="dxa"/>
          </w:tcPr>
          <w:p w14:paraId="2097454E" w14:textId="77777777" w:rsidR="00271AD1" w:rsidRPr="00ED1DCA" w:rsidRDefault="00271AD1" w:rsidP="00271AD1">
            <w:pPr>
              <w:pStyle w:val="NoSpacing"/>
              <w:rPr>
                <w:sz w:val="20"/>
              </w:rPr>
            </w:pPr>
            <w:r w:rsidRPr="00ED1DCA">
              <w:rPr>
                <w:sz w:val="20"/>
              </w:rPr>
              <w:t>Survey</w:t>
            </w:r>
          </w:p>
        </w:tc>
      </w:tr>
      <w:tr w:rsidR="00271AD1" w:rsidRPr="00ED1DCA" w14:paraId="0E175C06" w14:textId="77777777" w:rsidTr="00D90590">
        <w:tc>
          <w:tcPr>
            <w:tcW w:w="490" w:type="dxa"/>
          </w:tcPr>
          <w:p w14:paraId="521C9979" w14:textId="619857C1" w:rsidR="00271AD1" w:rsidRPr="00ED1DCA" w:rsidRDefault="00D90590" w:rsidP="00271AD1">
            <w:pPr>
              <w:pStyle w:val="NoSpacing"/>
              <w:rPr>
                <w:sz w:val="20"/>
              </w:rPr>
            </w:pPr>
            <w:r>
              <w:rPr>
                <w:sz w:val="20"/>
              </w:rPr>
              <w:t>3</w:t>
            </w:r>
            <w:r w:rsidR="00271AD1" w:rsidRPr="00ED1DCA">
              <w:rPr>
                <w:sz w:val="20"/>
              </w:rPr>
              <w:t>.2</w:t>
            </w:r>
          </w:p>
        </w:tc>
        <w:tc>
          <w:tcPr>
            <w:tcW w:w="3129" w:type="dxa"/>
          </w:tcPr>
          <w:p w14:paraId="2E38A5A1" w14:textId="7D2C97E3" w:rsidR="00271AD1" w:rsidRPr="00ED1DCA" w:rsidRDefault="00271AD1" w:rsidP="00271AD1">
            <w:pPr>
              <w:pStyle w:val="NoSpacing"/>
              <w:rPr>
                <w:sz w:val="20"/>
              </w:rPr>
            </w:pPr>
            <w:r w:rsidRPr="00ED1DCA">
              <w:rPr>
                <w:sz w:val="20"/>
              </w:rPr>
              <w:t>Stunting in 2-5 year</w:t>
            </w:r>
            <w:r w:rsidR="00030ECD">
              <w:rPr>
                <w:sz w:val="20"/>
              </w:rPr>
              <w:t>s</w:t>
            </w:r>
            <w:r w:rsidRPr="00ED1DCA">
              <w:rPr>
                <w:sz w:val="20"/>
              </w:rPr>
              <w:t xml:space="preserve"> old</w:t>
            </w:r>
          </w:p>
        </w:tc>
        <w:tc>
          <w:tcPr>
            <w:tcW w:w="591" w:type="dxa"/>
          </w:tcPr>
          <w:p w14:paraId="4E36CFD4" w14:textId="77777777" w:rsidR="00271AD1" w:rsidRPr="00ED1DCA" w:rsidRDefault="00271AD1" w:rsidP="00271AD1">
            <w:pPr>
              <w:pStyle w:val="NoSpacing"/>
              <w:rPr>
                <w:sz w:val="20"/>
              </w:rPr>
            </w:pPr>
            <w:r w:rsidRPr="00ED1DCA">
              <w:rPr>
                <w:sz w:val="20"/>
              </w:rPr>
              <w:t>Y</w:t>
            </w:r>
          </w:p>
        </w:tc>
        <w:tc>
          <w:tcPr>
            <w:tcW w:w="592" w:type="dxa"/>
          </w:tcPr>
          <w:p w14:paraId="27CFD6A7" w14:textId="77777777" w:rsidR="00271AD1" w:rsidRPr="00ED1DCA" w:rsidRDefault="00271AD1" w:rsidP="00271AD1">
            <w:pPr>
              <w:pStyle w:val="NoSpacing"/>
              <w:rPr>
                <w:sz w:val="20"/>
              </w:rPr>
            </w:pPr>
            <w:r w:rsidRPr="00ED1DCA">
              <w:rPr>
                <w:sz w:val="20"/>
              </w:rPr>
              <w:t>Y</w:t>
            </w:r>
          </w:p>
        </w:tc>
        <w:tc>
          <w:tcPr>
            <w:tcW w:w="592" w:type="dxa"/>
          </w:tcPr>
          <w:p w14:paraId="6B6A87F4" w14:textId="77777777" w:rsidR="00271AD1" w:rsidRPr="00ED1DCA" w:rsidRDefault="00271AD1" w:rsidP="00271AD1">
            <w:pPr>
              <w:pStyle w:val="NoSpacing"/>
              <w:rPr>
                <w:sz w:val="20"/>
              </w:rPr>
            </w:pPr>
            <w:r w:rsidRPr="00ED1DCA">
              <w:rPr>
                <w:sz w:val="20"/>
              </w:rPr>
              <w:t>Y</w:t>
            </w:r>
          </w:p>
        </w:tc>
        <w:tc>
          <w:tcPr>
            <w:tcW w:w="592" w:type="dxa"/>
          </w:tcPr>
          <w:p w14:paraId="70EE79D3" w14:textId="77777777" w:rsidR="00271AD1" w:rsidRPr="00ED1DCA" w:rsidRDefault="00271AD1" w:rsidP="00271AD1">
            <w:pPr>
              <w:pStyle w:val="NoSpacing"/>
              <w:rPr>
                <w:sz w:val="20"/>
              </w:rPr>
            </w:pPr>
            <w:r w:rsidRPr="00ED1DCA">
              <w:rPr>
                <w:sz w:val="20"/>
              </w:rPr>
              <w:t>Y</w:t>
            </w:r>
          </w:p>
        </w:tc>
        <w:tc>
          <w:tcPr>
            <w:tcW w:w="592" w:type="dxa"/>
          </w:tcPr>
          <w:p w14:paraId="07C479EF" w14:textId="77777777" w:rsidR="00271AD1" w:rsidRPr="00ED1DCA" w:rsidRDefault="00271AD1" w:rsidP="00271AD1">
            <w:pPr>
              <w:pStyle w:val="NoSpacing"/>
              <w:rPr>
                <w:sz w:val="20"/>
              </w:rPr>
            </w:pPr>
            <w:r>
              <w:rPr>
                <w:sz w:val="20"/>
              </w:rPr>
              <w:t>(Y)</w:t>
            </w:r>
          </w:p>
        </w:tc>
        <w:tc>
          <w:tcPr>
            <w:tcW w:w="592" w:type="dxa"/>
          </w:tcPr>
          <w:p w14:paraId="1786770E" w14:textId="77777777" w:rsidR="00271AD1" w:rsidRPr="00ED1DCA" w:rsidRDefault="00271AD1" w:rsidP="00271AD1">
            <w:pPr>
              <w:pStyle w:val="NoSpacing"/>
              <w:rPr>
                <w:sz w:val="20"/>
              </w:rPr>
            </w:pPr>
            <w:r w:rsidRPr="00ED1DCA">
              <w:rPr>
                <w:sz w:val="20"/>
              </w:rPr>
              <w:t>Y</w:t>
            </w:r>
          </w:p>
        </w:tc>
        <w:tc>
          <w:tcPr>
            <w:tcW w:w="592" w:type="dxa"/>
          </w:tcPr>
          <w:p w14:paraId="1C921487" w14:textId="77777777" w:rsidR="00271AD1" w:rsidRPr="00ED1DCA" w:rsidRDefault="00271AD1" w:rsidP="00271AD1">
            <w:pPr>
              <w:pStyle w:val="NoSpacing"/>
              <w:rPr>
                <w:sz w:val="20"/>
              </w:rPr>
            </w:pPr>
            <w:r w:rsidRPr="00ED1DCA">
              <w:rPr>
                <w:sz w:val="20"/>
              </w:rPr>
              <w:t>Y</w:t>
            </w:r>
          </w:p>
        </w:tc>
        <w:tc>
          <w:tcPr>
            <w:tcW w:w="1233" w:type="dxa"/>
          </w:tcPr>
          <w:p w14:paraId="2B2A3A9D" w14:textId="77777777" w:rsidR="00271AD1" w:rsidRPr="00ED1DCA" w:rsidRDefault="00271AD1" w:rsidP="00271AD1">
            <w:pPr>
              <w:pStyle w:val="NoSpacing"/>
              <w:rPr>
                <w:sz w:val="20"/>
              </w:rPr>
            </w:pPr>
            <w:r w:rsidRPr="00ED1DCA">
              <w:rPr>
                <w:sz w:val="20"/>
              </w:rPr>
              <w:t>Survey</w:t>
            </w:r>
          </w:p>
        </w:tc>
      </w:tr>
      <w:tr w:rsidR="00271AD1" w:rsidRPr="00ED1DCA" w14:paraId="13632EDE" w14:textId="77777777" w:rsidTr="00D90590">
        <w:tc>
          <w:tcPr>
            <w:tcW w:w="490" w:type="dxa"/>
          </w:tcPr>
          <w:p w14:paraId="3132147E" w14:textId="77777777" w:rsidR="00271AD1" w:rsidRPr="00ED1DCA" w:rsidRDefault="00271AD1" w:rsidP="00271AD1">
            <w:pPr>
              <w:pStyle w:val="NoSpacing"/>
              <w:rPr>
                <w:sz w:val="20"/>
              </w:rPr>
            </w:pPr>
          </w:p>
        </w:tc>
        <w:tc>
          <w:tcPr>
            <w:tcW w:w="3129" w:type="dxa"/>
          </w:tcPr>
          <w:p w14:paraId="6948F618" w14:textId="77777777" w:rsidR="00271AD1" w:rsidRPr="00ED1DCA" w:rsidRDefault="00271AD1" w:rsidP="00271AD1">
            <w:pPr>
              <w:pStyle w:val="NoSpacing"/>
              <w:rPr>
                <w:sz w:val="20"/>
              </w:rPr>
            </w:pPr>
          </w:p>
        </w:tc>
        <w:tc>
          <w:tcPr>
            <w:tcW w:w="591" w:type="dxa"/>
          </w:tcPr>
          <w:p w14:paraId="2F15EC22" w14:textId="77777777" w:rsidR="00271AD1" w:rsidRPr="00ED1DCA" w:rsidRDefault="00271AD1" w:rsidP="00271AD1">
            <w:pPr>
              <w:pStyle w:val="NoSpacing"/>
              <w:rPr>
                <w:sz w:val="20"/>
              </w:rPr>
            </w:pPr>
          </w:p>
        </w:tc>
        <w:tc>
          <w:tcPr>
            <w:tcW w:w="592" w:type="dxa"/>
          </w:tcPr>
          <w:p w14:paraId="7710A007" w14:textId="77777777" w:rsidR="00271AD1" w:rsidRPr="00ED1DCA" w:rsidRDefault="00271AD1" w:rsidP="00271AD1">
            <w:pPr>
              <w:pStyle w:val="NoSpacing"/>
              <w:rPr>
                <w:sz w:val="20"/>
              </w:rPr>
            </w:pPr>
          </w:p>
        </w:tc>
        <w:tc>
          <w:tcPr>
            <w:tcW w:w="592" w:type="dxa"/>
          </w:tcPr>
          <w:p w14:paraId="53D817EA" w14:textId="77777777" w:rsidR="00271AD1" w:rsidRPr="00ED1DCA" w:rsidRDefault="00271AD1" w:rsidP="00271AD1">
            <w:pPr>
              <w:pStyle w:val="NoSpacing"/>
              <w:rPr>
                <w:sz w:val="20"/>
              </w:rPr>
            </w:pPr>
          </w:p>
        </w:tc>
        <w:tc>
          <w:tcPr>
            <w:tcW w:w="592" w:type="dxa"/>
          </w:tcPr>
          <w:p w14:paraId="241A5117" w14:textId="77777777" w:rsidR="00271AD1" w:rsidRPr="00ED1DCA" w:rsidRDefault="00271AD1" w:rsidP="00271AD1">
            <w:pPr>
              <w:pStyle w:val="NoSpacing"/>
              <w:rPr>
                <w:sz w:val="20"/>
              </w:rPr>
            </w:pPr>
          </w:p>
        </w:tc>
        <w:tc>
          <w:tcPr>
            <w:tcW w:w="592" w:type="dxa"/>
          </w:tcPr>
          <w:p w14:paraId="20A5941B" w14:textId="77777777" w:rsidR="00271AD1" w:rsidRPr="00ED1DCA" w:rsidRDefault="00271AD1" w:rsidP="00271AD1">
            <w:pPr>
              <w:pStyle w:val="NoSpacing"/>
              <w:rPr>
                <w:sz w:val="20"/>
              </w:rPr>
            </w:pPr>
          </w:p>
        </w:tc>
        <w:tc>
          <w:tcPr>
            <w:tcW w:w="592" w:type="dxa"/>
          </w:tcPr>
          <w:p w14:paraId="0B2FA4DB" w14:textId="77777777" w:rsidR="00271AD1" w:rsidRPr="00ED1DCA" w:rsidRDefault="00271AD1" w:rsidP="00271AD1">
            <w:pPr>
              <w:pStyle w:val="NoSpacing"/>
              <w:rPr>
                <w:sz w:val="20"/>
              </w:rPr>
            </w:pPr>
          </w:p>
        </w:tc>
        <w:tc>
          <w:tcPr>
            <w:tcW w:w="592" w:type="dxa"/>
          </w:tcPr>
          <w:p w14:paraId="3DD41F41" w14:textId="77777777" w:rsidR="00271AD1" w:rsidRPr="00ED1DCA" w:rsidRDefault="00271AD1" w:rsidP="00271AD1">
            <w:pPr>
              <w:pStyle w:val="NoSpacing"/>
              <w:rPr>
                <w:sz w:val="20"/>
              </w:rPr>
            </w:pPr>
          </w:p>
        </w:tc>
        <w:tc>
          <w:tcPr>
            <w:tcW w:w="1233" w:type="dxa"/>
          </w:tcPr>
          <w:p w14:paraId="0DBFD536" w14:textId="77777777" w:rsidR="00271AD1" w:rsidRPr="00ED1DCA" w:rsidRDefault="00271AD1" w:rsidP="00271AD1">
            <w:pPr>
              <w:pStyle w:val="NoSpacing"/>
              <w:rPr>
                <w:sz w:val="20"/>
              </w:rPr>
            </w:pPr>
          </w:p>
        </w:tc>
      </w:tr>
      <w:tr w:rsidR="00271AD1" w:rsidRPr="00ED1DCA" w14:paraId="145531AD" w14:textId="77777777" w:rsidTr="00D90590">
        <w:tc>
          <w:tcPr>
            <w:tcW w:w="8995" w:type="dxa"/>
            <w:gridSpan w:val="10"/>
          </w:tcPr>
          <w:p w14:paraId="5F09C19B" w14:textId="77777777" w:rsidR="00271AD1" w:rsidRPr="00ED1DCA" w:rsidRDefault="00271AD1" w:rsidP="00271AD1">
            <w:pPr>
              <w:pStyle w:val="NoSpacing"/>
              <w:rPr>
                <w:sz w:val="20"/>
              </w:rPr>
            </w:pPr>
            <w:r w:rsidRPr="00ED1DCA">
              <w:rPr>
                <w:b/>
                <w:sz w:val="20"/>
              </w:rPr>
              <w:t>Infant and young child feeding and care practices</w:t>
            </w:r>
          </w:p>
        </w:tc>
      </w:tr>
      <w:tr w:rsidR="00271AD1" w:rsidRPr="00ED1DCA" w14:paraId="123F9BF9" w14:textId="77777777" w:rsidTr="00E40F73">
        <w:tc>
          <w:tcPr>
            <w:tcW w:w="490" w:type="dxa"/>
          </w:tcPr>
          <w:p w14:paraId="235F6F93" w14:textId="3721A7EC" w:rsidR="00271AD1" w:rsidRPr="00ED1DCA" w:rsidRDefault="00D90590" w:rsidP="00271AD1">
            <w:pPr>
              <w:pStyle w:val="NoSpacing"/>
              <w:rPr>
                <w:sz w:val="20"/>
              </w:rPr>
            </w:pPr>
            <w:r>
              <w:rPr>
                <w:sz w:val="20"/>
              </w:rPr>
              <w:lastRenderedPageBreak/>
              <w:t>4</w:t>
            </w:r>
            <w:r w:rsidR="00271AD1" w:rsidRPr="00ED1DCA">
              <w:rPr>
                <w:sz w:val="20"/>
              </w:rPr>
              <w:t>.1</w:t>
            </w:r>
          </w:p>
        </w:tc>
        <w:tc>
          <w:tcPr>
            <w:tcW w:w="3129" w:type="dxa"/>
          </w:tcPr>
          <w:p w14:paraId="1F4816F2" w14:textId="501FFC67" w:rsidR="00271AD1" w:rsidRPr="00ED1DCA" w:rsidRDefault="00271AD1" w:rsidP="00271AD1">
            <w:pPr>
              <w:pStyle w:val="NoSpacing"/>
              <w:rPr>
                <w:sz w:val="20"/>
              </w:rPr>
            </w:pPr>
            <w:r w:rsidRPr="00ED1DCA">
              <w:rPr>
                <w:sz w:val="20"/>
              </w:rPr>
              <w:t>Infant and young childcare practices</w:t>
            </w:r>
          </w:p>
        </w:tc>
        <w:tc>
          <w:tcPr>
            <w:tcW w:w="591" w:type="dxa"/>
          </w:tcPr>
          <w:p w14:paraId="2BA512C3" w14:textId="77777777" w:rsidR="00271AD1" w:rsidRPr="00ED1DCA" w:rsidRDefault="00271AD1" w:rsidP="00271AD1">
            <w:pPr>
              <w:pStyle w:val="NoSpacing"/>
              <w:rPr>
                <w:sz w:val="20"/>
              </w:rPr>
            </w:pPr>
          </w:p>
        </w:tc>
        <w:tc>
          <w:tcPr>
            <w:tcW w:w="592" w:type="dxa"/>
          </w:tcPr>
          <w:p w14:paraId="76CD9C4D" w14:textId="77777777" w:rsidR="00271AD1" w:rsidRPr="00ED1DCA" w:rsidRDefault="00271AD1" w:rsidP="00271AD1">
            <w:pPr>
              <w:pStyle w:val="NoSpacing"/>
              <w:rPr>
                <w:sz w:val="20"/>
              </w:rPr>
            </w:pPr>
            <w:r w:rsidRPr="001A2784">
              <w:rPr>
                <w:sz w:val="20"/>
              </w:rPr>
              <w:t>Y</w:t>
            </w:r>
          </w:p>
        </w:tc>
        <w:tc>
          <w:tcPr>
            <w:tcW w:w="592" w:type="dxa"/>
          </w:tcPr>
          <w:p w14:paraId="48F23187" w14:textId="77777777" w:rsidR="00271AD1" w:rsidRPr="00ED1DCA" w:rsidRDefault="00271AD1" w:rsidP="00271AD1">
            <w:pPr>
              <w:pStyle w:val="NoSpacing"/>
              <w:rPr>
                <w:sz w:val="20"/>
              </w:rPr>
            </w:pPr>
            <w:r w:rsidRPr="001A2784">
              <w:rPr>
                <w:sz w:val="20"/>
              </w:rPr>
              <w:t>Y</w:t>
            </w:r>
          </w:p>
        </w:tc>
        <w:tc>
          <w:tcPr>
            <w:tcW w:w="592" w:type="dxa"/>
          </w:tcPr>
          <w:p w14:paraId="0E62F61E" w14:textId="77777777" w:rsidR="00271AD1" w:rsidRPr="00ED1DCA" w:rsidRDefault="00271AD1" w:rsidP="00271AD1">
            <w:pPr>
              <w:pStyle w:val="NoSpacing"/>
              <w:rPr>
                <w:sz w:val="20"/>
              </w:rPr>
            </w:pPr>
          </w:p>
        </w:tc>
        <w:tc>
          <w:tcPr>
            <w:tcW w:w="592" w:type="dxa"/>
          </w:tcPr>
          <w:p w14:paraId="058889DC" w14:textId="77777777" w:rsidR="00271AD1" w:rsidRPr="00ED1DCA" w:rsidRDefault="00271AD1" w:rsidP="00271AD1">
            <w:pPr>
              <w:pStyle w:val="NoSpacing"/>
              <w:rPr>
                <w:sz w:val="20"/>
              </w:rPr>
            </w:pPr>
            <w:r w:rsidRPr="00933436">
              <w:rPr>
                <w:sz w:val="20"/>
              </w:rPr>
              <w:t>Y</w:t>
            </w:r>
          </w:p>
        </w:tc>
        <w:tc>
          <w:tcPr>
            <w:tcW w:w="592" w:type="dxa"/>
          </w:tcPr>
          <w:p w14:paraId="621D6FCC" w14:textId="77777777" w:rsidR="00271AD1" w:rsidRPr="00ED1DCA" w:rsidRDefault="00271AD1" w:rsidP="00271AD1">
            <w:pPr>
              <w:pStyle w:val="NoSpacing"/>
              <w:rPr>
                <w:sz w:val="20"/>
              </w:rPr>
            </w:pPr>
          </w:p>
        </w:tc>
        <w:tc>
          <w:tcPr>
            <w:tcW w:w="592" w:type="dxa"/>
          </w:tcPr>
          <w:p w14:paraId="1E56CBC3" w14:textId="77777777" w:rsidR="00271AD1" w:rsidRPr="00ED1DCA" w:rsidRDefault="00271AD1" w:rsidP="00271AD1">
            <w:pPr>
              <w:pStyle w:val="NoSpacing"/>
              <w:rPr>
                <w:sz w:val="20"/>
              </w:rPr>
            </w:pPr>
          </w:p>
        </w:tc>
        <w:tc>
          <w:tcPr>
            <w:tcW w:w="1233" w:type="dxa"/>
          </w:tcPr>
          <w:p w14:paraId="02D3CBD7" w14:textId="77777777" w:rsidR="00271AD1" w:rsidRPr="00ED1DCA" w:rsidRDefault="00271AD1" w:rsidP="00271AD1">
            <w:pPr>
              <w:pStyle w:val="NoSpacing"/>
              <w:rPr>
                <w:sz w:val="20"/>
              </w:rPr>
            </w:pPr>
            <w:r w:rsidRPr="00ED1DCA">
              <w:rPr>
                <w:sz w:val="20"/>
              </w:rPr>
              <w:t>Survey</w:t>
            </w:r>
          </w:p>
        </w:tc>
      </w:tr>
      <w:tr w:rsidR="00271AD1" w:rsidRPr="00ED1DCA" w14:paraId="2FE544C9" w14:textId="77777777" w:rsidTr="00E40F73">
        <w:tc>
          <w:tcPr>
            <w:tcW w:w="490" w:type="dxa"/>
          </w:tcPr>
          <w:p w14:paraId="2D4F6106" w14:textId="1E4598FF" w:rsidR="00271AD1" w:rsidRPr="00ED1DCA" w:rsidRDefault="00D90590" w:rsidP="00271AD1">
            <w:pPr>
              <w:pStyle w:val="NoSpacing"/>
              <w:rPr>
                <w:sz w:val="20"/>
              </w:rPr>
            </w:pPr>
            <w:r>
              <w:rPr>
                <w:sz w:val="20"/>
              </w:rPr>
              <w:t>4</w:t>
            </w:r>
            <w:r w:rsidR="00271AD1" w:rsidRPr="00ED1DCA">
              <w:rPr>
                <w:sz w:val="20"/>
              </w:rPr>
              <w:t>.2</w:t>
            </w:r>
          </w:p>
        </w:tc>
        <w:tc>
          <w:tcPr>
            <w:tcW w:w="3129" w:type="dxa"/>
          </w:tcPr>
          <w:p w14:paraId="5949EB2F" w14:textId="77777777" w:rsidR="00271AD1" w:rsidRPr="00ED1DCA" w:rsidRDefault="00271AD1" w:rsidP="00271AD1">
            <w:pPr>
              <w:pStyle w:val="NoSpacing"/>
              <w:rPr>
                <w:sz w:val="20"/>
              </w:rPr>
            </w:pPr>
            <w:r w:rsidRPr="00ED1DCA">
              <w:rPr>
                <w:sz w:val="20"/>
              </w:rPr>
              <w:t>Infant and young children feeding practices</w:t>
            </w:r>
          </w:p>
        </w:tc>
        <w:tc>
          <w:tcPr>
            <w:tcW w:w="591" w:type="dxa"/>
          </w:tcPr>
          <w:p w14:paraId="03D05946" w14:textId="77777777" w:rsidR="00271AD1" w:rsidRPr="00ED1DCA" w:rsidRDefault="00271AD1" w:rsidP="00271AD1">
            <w:pPr>
              <w:pStyle w:val="NoSpacing"/>
              <w:rPr>
                <w:sz w:val="20"/>
              </w:rPr>
            </w:pPr>
            <w:r>
              <w:rPr>
                <w:sz w:val="20"/>
              </w:rPr>
              <w:t>Y</w:t>
            </w:r>
          </w:p>
        </w:tc>
        <w:tc>
          <w:tcPr>
            <w:tcW w:w="592" w:type="dxa"/>
          </w:tcPr>
          <w:p w14:paraId="6AFD74D2" w14:textId="77777777" w:rsidR="00271AD1" w:rsidRPr="00ED1DCA" w:rsidRDefault="00271AD1" w:rsidP="00271AD1">
            <w:pPr>
              <w:pStyle w:val="NoSpacing"/>
              <w:rPr>
                <w:sz w:val="20"/>
              </w:rPr>
            </w:pPr>
            <w:r w:rsidRPr="001A2784">
              <w:rPr>
                <w:sz w:val="20"/>
              </w:rPr>
              <w:t>Y</w:t>
            </w:r>
          </w:p>
        </w:tc>
        <w:tc>
          <w:tcPr>
            <w:tcW w:w="592" w:type="dxa"/>
          </w:tcPr>
          <w:p w14:paraId="18778471" w14:textId="77777777" w:rsidR="00271AD1" w:rsidRPr="00ED1DCA" w:rsidRDefault="00271AD1" w:rsidP="00271AD1">
            <w:pPr>
              <w:pStyle w:val="NoSpacing"/>
              <w:rPr>
                <w:sz w:val="20"/>
              </w:rPr>
            </w:pPr>
            <w:r w:rsidRPr="001A2784">
              <w:rPr>
                <w:sz w:val="20"/>
              </w:rPr>
              <w:t>Y</w:t>
            </w:r>
          </w:p>
        </w:tc>
        <w:tc>
          <w:tcPr>
            <w:tcW w:w="592" w:type="dxa"/>
          </w:tcPr>
          <w:p w14:paraId="3C20A91C" w14:textId="77777777" w:rsidR="00271AD1" w:rsidRPr="00ED1DCA" w:rsidRDefault="00271AD1" w:rsidP="00271AD1">
            <w:pPr>
              <w:pStyle w:val="NoSpacing"/>
              <w:rPr>
                <w:sz w:val="20"/>
              </w:rPr>
            </w:pPr>
          </w:p>
        </w:tc>
        <w:tc>
          <w:tcPr>
            <w:tcW w:w="592" w:type="dxa"/>
          </w:tcPr>
          <w:p w14:paraId="4C046AA4" w14:textId="77777777" w:rsidR="00271AD1" w:rsidRPr="00ED1DCA" w:rsidRDefault="00271AD1" w:rsidP="00271AD1">
            <w:pPr>
              <w:pStyle w:val="NoSpacing"/>
              <w:rPr>
                <w:sz w:val="20"/>
              </w:rPr>
            </w:pPr>
            <w:r w:rsidRPr="00933436">
              <w:rPr>
                <w:sz w:val="20"/>
              </w:rPr>
              <w:t>Y</w:t>
            </w:r>
          </w:p>
        </w:tc>
        <w:tc>
          <w:tcPr>
            <w:tcW w:w="592" w:type="dxa"/>
          </w:tcPr>
          <w:p w14:paraId="607BFCC1" w14:textId="77777777" w:rsidR="00271AD1" w:rsidRPr="00ED1DCA" w:rsidRDefault="00271AD1" w:rsidP="00271AD1">
            <w:pPr>
              <w:pStyle w:val="NoSpacing"/>
              <w:rPr>
                <w:sz w:val="20"/>
              </w:rPr>
            </w:pPr>
            <w:r>
              <w:rPr>
                <w:sz w:val="20"/>
              </w:rPr>
              <w:t>(Y)</w:t>
            </w:r>
          </w:p>
        </w:tc>
        <w:tc>
          <w:tcPr>
            <w:tcW w:w="592" w:type="dxa"/>
          </w:tcPr>
          <w:p w14:paraId="0F9C5687" w14:textId="77777777" w:rsidR="00271AD1" w:rsidRPr="00ED1DCA" w:rsidRDefault="00271AD1" w:rsidP="00271AD1">
            <w:pPr>
              <w:pStyle w:val="NoSpacing"/>
              <w:rPr>
                <w:sz w:val="20"/>
              </w:rPr>
            </w:pPr>
            <w:r>
              <w:rPr>
                <w:sz w:val="20"/>
              </w:rPr>
              <w:t>(Y)</w:t>
            </w:r>
          </w:p>
        </w:tc>
        <w:tc>
          <w:tcPr>
            <w:tcW w:w="1233" w:type="dxa"/>
          </w:tcPr>
          <w:p w14:paraId="7BB0276C" w14:textId="77777777" w:rsidR="00271AD1" w:rsidRPr="00ED1DCA" w:rsidRDefault="00271AD1" w:rsidP="00271AD1">
            <w:pPr>
              <w:pStyle w:val="NoSpacing"/>
              <w:rPr>
                <w:sz w:val="20"/>
              </w:rPr>
            </w:pPr>
            <w:r w:rsidRPr="00ED1DCA">
              <w:rPr>
                <w:sz w:val="20"/>
              </w:rPr>
              <w:t>Survey</w:t>
            </w:r>
          </w:p>
        </w:tc>
      </w:tr>
      <w:tr w:rsidR="00271AD1" w:rsidRPr="00ED1DCA" w14:paraId="55C49214" w14:textId="77777777" w:rsidTr="00E40F73">
        <w:tc>
          <w:tcPr>
            <w:tcW w:w="490" w:type="dxa"/>
          </w:tcPr>
          <w:p w14:paraId="098C91E3" w14:textId="519D2B3B" w:rsidR="00271AD1" w:rsidRPr="00ED1DCA" w:rsidRDefault="00D90590" w:rsidP="00271AD1">
            <w:pPr>
              <w:pStyle w:val="NoSpacing"/>
              <w:rPr>
                <w:sz w:val="20"/>
              </w:rPr>
            </w:pPr>
            <w:r>
              <w:rPr>
                <w:sz w:val="20"/>
              </w:rPr>
              <w:t>4</w:t>
            </w:r>
            <w:r w:rsidR="00271AD1" w:rsidRPr="00ED1DCA">
              <w:rPr>
                <w:sz w:val="20"/>
              </w:rPr>
              <w:t>.3</w:t>
            </w:r>
          </w:p>
        </w:tc>
        <w:tc>
          <w:tcPr>
            <w:tcW w:w="3129" w:type="dxa"/>
          </w:tcPr>
          <w:p w14:paraId="70C57426" w14:textId="77777777" w:rsidR="00271AD1" w:rsidRPr="00ED1DCA" w:rsidRDefault="00271AD1" w:rsidP="00271AD1">
            <w:pPr>
              <w:pStyle w:val="NoSpacing"/>
              <w:rPr>
                <w:sz w:val="20"/>
              </w:rPr>
            </w:pPr>
            <w:r w:rsidRPr="00ED1DCA">
              <w:rPr>
                <w:sz w:val="20"/>
              </w:rPr>
              <w:t>Utilization of ANC and PNC services</w:t>
            </w:r>
          </w:p>
        </w:tc>
        <w:tc>
          <w:tcPr>
            <w:tcW w:w="591" w:type="dxa"/>
          </w:tcPr>
          <w:p w14:paraId="6205C8F8" w14:textId="77777777" w:rsidR="00271AD1" w:rsidRPr="00ED1DCA" w:rsidRDefault="00271AD1" w:rsidP="00271AD1">
            <w:pPr>
              <w:pStyle w:val="NoSpacing"/>
              <w:rPr>
                <w:sz w:val="20"/>
              </w:rPr>
            </w:pPr>
          </w:p>
        </w:tc>
        <w:tc>
          <w:tcPr>
            <w:tcW w:w="592" w:type="dxa"/>
          </w:tcPr>
          <w:p w14:paraId="12FBB2FB" w14:textId="77777777" w:rsidR="00271AD1" w:rsidRPr="00ED1DCA" w:rsidRDefault="00271AD1" w:rsidP="00271AD1">
            <w:pPr>
              <w:pStyle w:val="NoSpacing"/>
              <w:rPr>
                <w:sz w:val="20"/>
              </w:rPr>
            </w:pPr>
            <w:r w:rsidRPr="00ED1DCA">
              <w:rPr>
                <w:sz w:val="20"/>
              </w:rPr>
              <w:t>Y</w:t>
            </w:r>
          </w:p>
        </w:tc>
        <w:tc>
          <w:tcPr>
            <w:tcW w:w="592" w:type="dxa"/>
          </w:tcPr>
          <w:p w14:paraId="5D0DF557" w14:textId="77777777" w:rsidR="00271AD1" w:rsidRPr="00ED1DCA" w:rsidRDefault="00271AD1" w:rsidP="00271AD1">
            <w:pPr>
              <w:pStyle w:val="NoSpacing"/>
              <w:rPr>
                <w:sz w:val="20"/>
              </w:rPr>
            </w:pPr>
            <w:r w:rsidRPr="00ED1DCA">
              <w:rPr>
                <w:sz w:val="20"/>
              </w:rPr>
              <w:t>Y</w:t>
            </w:r>
          </w:p>
        </w:tc>
        <w:tc>
          <w:tcPr>
            <w:tcW w:w="592" w:type="dxa"/>
          </w:tcPr>
          <w:p w14:paraId="7B89E03F" w14:textId="77777777" w:rsidR="00271AD1" w:rsidRPr="00ED1DCA" w:rsidRDefault="00271AD1" w:rsidP="00271AD1">
            <w:pPr>
              <w:pStyle w:val="NoSpacing"/>
              <w:rPr>
                <w:sz w:val="20"/>
              </w:rPr>
            </w:pPr>
          </w:p>
        </w:tc>
        <w:tc>
          <w:tcPr>
            <w:tcW w:w="592" w:type="dxa"/>
          </w:tcPr>
          <w:p w14:paraId="736CC253" w14:textId="77777777" w:rsidR="00271AD1" w:rsidRPr="00ED1DCA" w:rsidRDefault="00271AD1" w:rsidP="00271AD1">
            <w:pPr>
              <w:pStyle w:val="NoSpacing"/>
              <w:rPr>
                <w:sz w:val="20"/>
              </w:rPr>
            </w:pPr>
            <w:r w:rsidRPr="00ED1DCA">
              <w:rPr>
                <w:sz w:val="20"/>
              </w:rPr>
              <w:t>Y</w:t>
            </w:r>
          </w:p>
        </w:tc>
        <w:tc>
          <w:tcPr>
            <w:tcW w:w="592" w:type="dxa"/>
          </w:tcPr>
          <w:p w14:paraId="2E67EAA8" w14:textId="77777777" w:rsidR="00271AD1" w:rsidRPr="00ED1DCA" w:rsidRDefault="00271AD1" w:rsidP="00271AD1">
            <w:pPr>
              <w:pStyle w:val="NoSpacing"/>
              <w:rPr>
                <w:sz w:val="20"/>
              </w:rPr>
            </w:pPr>
          </w:p>
        </w:tc>
        <w:tc>
          <w:tcPr>
            <w:tcW w:w="592" w:type="dxa"/>
          </w:tcPr>
          <w:p w14:paraId="63A1F649" w14:textId="77777777" w:rsidR="00271AD1" w:rsidRPr="00ED1DCA" w:rsidRDefault="00271AD1" w:rsidP="00271AD1">
            <w:pPr>
              <w:pStyle w:val="NoSpacing"/>
              <w:rPr>
                <w:sz w:val="20"/>
              </w:rPr>
            </w:pPr>
          </w:p>
        </w:tc>
        <w:tc>
          <w:tcPr>
            <w:tcW w:w="1233" w:type="dxa"/>
          </w:tcPr>
          <w:p w14:paraId="577244C1" w14:textId="26BD60AA" w:rsidR="00271AD1" w:rsidRPr="00ED1DCA" w:rsidRDefault="00271AD1" w:rsidP="00271AD1">
            <w:pPr>
              <w:pStyle w:val="NoSpacing"/>
              <w:rPr>
                <w:sz w:val="20"/>
              </w:rPr>
            </w:pPr>
            <w:r w:rsidRPr="00ED1DCA">
              <w:rPr>
                <w:sz w:val="20"/>
              </w:rPr>
              <w:t>Admin</w:t>
            </w:r>
            <w:r w:rsidR="00E40F73">
              <w:rPr>
                <w:sz w:val="20"/>
              </w:rPr>
              <w:t xml:space="preserve"> and survey</w:t>
            </w:r>
          </w:p>
        </w:tc>
      </w:tr>
      <w:tr w:rsidR="00E40F73" w:rsidRPr="00ED1DCA" w14:paraId="207619DD" w14:textId="77777777" w:rsidTr="00E40F73">
        <w:tc>
          <w:tcPr>
            <w:tcW w:w="490" w:type="dxa"/>
          </w:tcPr>
          <w:p w14:paraId="7124EDAB" w14:textId="2BAD5ACC" w:rsidR="00E40F73" w:rsidRPr="00ED1DCA" w:rsidRDefault="00D90590" w:rsidP="00E40F73">
            <w:pPr>
              <w:pStyle w:val="NoSpacing"/>
              <w:rPr>
                <w:sz w:val="20"/>
              </w:rPr>
            </w:pPr>
            <w:r>
              <w:rPr>
                <w:sz w:val="20"/>
              </w:rPr>
              <w:t>4</w:t>
            </w:r>
            <w:r w:rsidR="00E40F73" w:rsidRPr="00ED1DCA">
              <w:rPr>
                <w:sz w:val="20"/>
              </w:rPr>
              <w:t>.4</w:t>
            </w:r>
          </w:p>
        </w:tc>
        <w:tc>
          <w:tcPr>
            <w:tcW w:w="3129" w:type="dxa"/>
          </w:tcPr>
          <w:p w14:paraId="30BEA23F" w14:textId="77777777" w:rsidR="00E40F73" w:rsidRPr="00ED1DCA" w:rsidRDefault="00E40F73" w:rsidP="00E40F73">
            <w:pPr>
              <w:pStyle w:val="NoSpacing"/>
              <w:rPr>
                <w:sz w:val="20"/>
              </w:rPr>
            </w:pPr>
            <w:r w:rsidRPr="00ED1DCA">
              <w:rPr>
                <w:sz w:val="20"/>
              </w:rPr>
              <w:t xml:space="preserve">Utilization of growth </w:t>
            </w:r>
            <w:r>
              <w:rPr>
                <w:sz w:val="20"/>
              </w:rPr>
              <w:t>promotion</w:t>
            </w:r>
            <w:r w:rsidRPr="00ED1DCA">
              <w:rPr>
                <w:sz w:val="20"/>
              </w:rPr>
              <w:t xml:space="preserve"> / nutrition services</w:t>
            </w:r>
          </w:p>
        </w:tc>
        <w:tc>
          <w:tcPr>
            <w:tcW w:w="591" w:type="dxa"/>
          </w:tcPr>
          <w:p w14:paraId="1C631EBC" w14:textId="77777777" w:rsidR="00E40F73" w:rsidRPr="00ED1DCA" w:rsidRDefault="00E40F73" w:rsidP="00E40F73">
            <w:pPr>
              <w:pStyle w:val="NoSpacing"/>
              <w:rPr>
                <w:sz w:val="20"/>
              </w:rPr>
            </w:pPr>
            <w:r>
              <w:rPr>
                <w:sz w:val="20"/>
              </w:rPr>
              <w:t>(Y)</w:t>
            </w:r>
          </w:p>
        </w:tc>
        <w:tc>
          <w:tcPr>
            <w:tcW w:w="592" w:type="dxa"/>
          </w:tcPr>
          <w:p w14:paraId="219ECF97" w14:textId="77777777" w:rsidR="00E40F73" w:rsidRPr="00ED1DCA" w:rsidRDefault="00E40F73" w:rsidP="00E40F73">
            <w:pPr>
              <w:pStyle w:val="NoSpacing"/>
              <w:rPr>
                <w:sz w:val="20"/>
              </w:rPr>
            </w:pPr>
            <w:r w:rsidRPr="00ED1DCA">
              <w:rPr>
                <w:sz w:val="20"/>
              </w:rPr>
              <w:t>Y</w:t>
            </w:r>
          </w:p>
        </w:tc>
        <w:tc>
          <w:tcPr>
            <w:tcW w:w="592" w:type="dxa"/>
          </w:tcPr>
          <w:p w14:paraId="648E9DA8" w14:textId="77777777" w:rsidR="00E40F73" w:rsidRPr="00ED1DCA" w:rsidRDefault="00E40F73" w:rsidP="00E40F73">
            <w:pPr>
              <w:pStyle w:val="NoSpacing"/>
              <w:rPr>
                <w:sz w:val="20"/>
              </w:rPr>
            </w:pPr>
            <w:r w:rsidRPr="00ED1DCA">
              <w:rPr>
                <w:sz w:val="20"/>
              </w:rPr>
              <w:t>Y</w:t>
            </w:r>
          </w:p>
        </w:tc>
        <w:tc>
          <w:tcPr>
            <w:tcW w:w="592" w:type="dxa"/>
          </w:tcPr>
          <w:p w14:paraId="4E433303" w14:textId="77777777" w:rsidR="00E40F73" w:rsidRPr="00ED1DCA" w:rsidRDefault="00E40F73" w:rsidP="00E40F73">
            <w:pPr>
              <w:pStyle w:val="NoSpacing"/>
              <w:rPr>
                <w:sz w:val="20"/>
              </w:rPr>
            </w:pPr>
          </w:p>
        </w:tc>
        <w:tc>
          <w:tcPr>
            <w:tcW w:w="592" w:type="dxa"/>
          </w:tcPr>
          <w:p w14:paraId="0308D309" w14:textId="77777777" w:rsidR="00E40F73" w:rsidRPr="00ED1DCA" w:rsidRDefault="00E40F73" w:rsidP="00E40F73">
            <w:pPr>
              <w:pStyle w:val="NoSpacing"/>
              <w:rPr>
                <w:sz w:val="20"/>
              </w:rPr>
            </w:pPr>
            <w:r w:rsidRPr="00ED1DCA">
              <w:rPr>
                <w:sz w:val="20"/>
              </w:rPr>
              <w:t>Y</w:t>
            </w:r>
          </w:p>
        </w:tc>
        <w:tc>
          <w:tcPr>
            <w:tcW w:w="592" w:type="dxa"/>
          </w:tcPr>
          <w:p w14:paraId="0494A4B0" w14:textId="77777777" w:rsidR="00E40F73" w:rsidRPr="00ED1DCA" w:rsidRDefault="00E40F73" w:rsidP="00E40F73">
            <w:pPr>
              <w:pStyle w:val="NoSpacing"/>
              <w:rPr>
                <w:sz w:val="20"/>
              </w:rPr>
            </w:pPr>
          </w:p>
        </w:tc>
        <w:tc>
          <w:tcPr>
            <w:tcW w:w="592" w:type="dxa"/>
          </w:tcPr>
          <w:p w14:paraId="557EB20E" w14:textId="77777777" w:rsidR="00E40F73" w:rsidRPr="00ED1DCA" w:rsidRDefault="00E40F73" w:rsidP="00E40F73">
            <w:pPr>
              <w:pStyle w:val="NoSpacing"/>
              <w:rPr>
                <w:sz w:val="20"/>
              </w:rPr>
            </w:pPr>
          </w:p>
        </w:tc>
        <w:tc>
          <w:tcPr>
            <w:tcW w:w="1233" w:type="dxa"/>
          </w:tcPr>
          <w:p w14:paraId="7881A3CE" w14:textId="43E718D6" w:rsidR="00E40F73" w:rsidRPr="00ED1DCA" w:rsidRDefault="00E40F73" w:rsidP="00E40F73">
            <w:pPr>
              <w:pStyle w:val="NoSpacing"/>
              <w:rPr>
                <w:sz w:val="20"/>
              </w:rPr>
            </w:pPr>
            <w:r w:rsidRPr="00ED1DCA">
              <w:rPr>
                <w:sz w:val="20"/>
              </w:rPr>
              <w:t>Admin</w:t>
            </w:r>
            <w:r>
              <w:rPr>
                <w:sz w:val="20"/>
              </w:rPr>
              <w:t xml:space="preserve"> and survey</w:t>
            </w:r>
          </w:p>
        </w:tc>
      </w:tr>
      <w:tr w:rsidR="00E40F73" w:rsidRPr="00ED1DCA" w14:paraId="61069195" w14:textId="77777777" w:rsidTr="00E40F73">
        <w:tc>
          <w:tcPr>
            <w:tcW w:w="490" w:type="dxa"/>
          </w:tcPr>
          <w:p w14:paraId="6DCAE8DB" w14:textId="6F52D848" w:rsidR="00E40F73" w:rsidRPr="00ED1DCA" w:rsidRDefault="00D90590" w:rsidP="00E40F73">
            <w:pPr>
              <w:pStyle w:val="NoSpacing"/>
              <w:rPr>
                <w:sz w:val="20"/>
              </w:rPr>
            </w:pPr>
            <w:r>
              <w:rPr>
                <w:sz w:val="20"/>
              </w:rPr>
              <w:t>4</w:t>
            </w:r>
            <w:r w:rsidR="00E40F73" w:rsidRPr="00ED1DCA">
              <w:rPr>
                <w:sz w:val="20"/>
              </w:rPr>
              <w:t>.5</w:t>
            </w:r>
          </w:p>
        </w:tc>
        <w:tc>
          <w:tcPr>
            <w:tcW w:w="3129" w:type="dxa"/>
          </w:tcPr>
          <w:p w14:paraId="1C5414E5" w14:textId="77777777" w:rsidR="00E40F73" w:rsidRPr="00ED1DCA" w:rsidRDefault="00E40F73" w:rsidP="00E40F73">
            <w:pPr>
              <w:pStyle w:val="NoSpacing"/>
              <w:rPr>
                <w:sz w:val="20"/>
              </w:rPr>
            </w:pPr>
            <w:r w:rsidRPr="00ED1DCA">
              <w:rPr>
                <w:sz w:val="20"/>
              </w:rPr>
              <w:t>Utilization of preventive services</w:t>
            </w:r>
          </w:p>
        </w:tc>
        <w:tc>
          <w:tcPr>
            <w:tcW w:w="591" w:type="dxa"/>
          </w:tcPr>
          <w:p w14:paraId="60B24811" w14:textId="77777777" w:rsidR="00E40F73" w:rsidRPr="00ED1DCA" w:rsidRDefault="00E40F73" w:rsidP="00E40F73">
            <w:pPr>
              <w:pStyle w:val="NoSpacing"/>
              <w:rPr>
                <w:sz w:val="20"/>
              </w:rPr>
            </w:pPr>
          </w:p>
        </w:tc>
        <w:tc>
          <w:tcPr>
            <w:tcW w:w="592" w:type="dxa"/>
          </w:tcPr>
          <w:p w14:paraId="32839AD4" w14:textId="77777777" w:rsidR="00E40F73" w:rsidRPr="00ED1DCA" w:rsidRDefault="00E40F73" w:rsidP="00E40F73">
            <w:pPr>
              <w:pStyle w:val="NoSpacing"/>
              <w:rPr>
                <w:sz w:val="20"/>
              </w:rPr>
            </w:pPr>
            <w:r w:rsidRPr="00ED1DCA">
              <w:rPr>
                <w:sz w:val="20"/>
              </w:rPr>
              <w:t>Y</w:t>
            </w:r>
          </w:p>
        </w:tc>
        <w:tc>
          <w:tcPr>
            <w:tcW w:w="592" w:type="dxa"/>
          </w:tcPr>
          <w:p w14:paraId="7DD78B02" w14:textId="77777777" w:rsidR="00E40F73" w:rsidRPr="00ED1DCA" w:rsidRDefault="00E40F73" w:rsidP="00E40F73">
            <w:pPr>
              <w:pStyle w:val="NoSpacing"/>
              <w:rPr>
                <w:sz w:val="20"/>
              </w:rPr>
            </w:pPr>
            <w:r w:rsidRPr="00ED1DCA">
              <w:rPr>
                <w:sz w:val="20"/>
              </w:rPr>
              <w:t>Y</w:t>
            </w:r>
          </w:p>
        </w:tc>
        <w:tc>
          <w:tcPr>
            <w:tcW w:w="592" w:type="dxa"/>
          </w:tcPr>
          <w:p w14:paraId="50FCBD51" w14:textId="77777777" w:rsidR="00E40F73" w:rsidRPr="00ED1DCA" w:rsidRDefault="00E40F73" w:rsidP="00E40F73">
            <w:pPr>
              <w:pStyle w:val="NoSpacing"/>
              <w:rPr>
                <w:sz w:val="20"/>
              </w:rPr>
            </w:pPr>
          </w:p>
        </w:tc>
        <w:tc>
          <w:tcPr>
            <w:tcW w:w="592" w:type="dxa"/>
          </w:tcPr>
          <w:p w14:paraId="0AF7B45B" w14:textId="77777777" w:rsidR="00E40F73" w:rsidRPr="00ED1DCA" w:rsidRDefault="00E40F73" w:rsidP="00E40F73">
            <w:pPr>
              <w:pStyle w:val="NoSpacing"/>
              <w:rPr>
                <w:sz w:val="20"/>
              </w:rPr>
            </w:pPr>
            <w:r w:rsidRPr="00ED1DCA">
              <w:rPr>
                <w:sz w:val="20"/>
              </w:rPr>
              <w:t>Y</w:t>
            </w:r>
          </w:p>
        </w:tc>
        <w:tc>
          <w:tcPr>
            <w:tcW w:w="592" w:type="dxa"/>
          </w:tcPr>
          <w:p w14:paraId="5BCEB80F" w14:textId="77777777" w:rsidR="00E40F73" w:rsidRPr="00ED1DCA" w:rsidRDefault="00E40F73" w:rsidP="00E40F73">
            <w:pPr>
              <w:pStyle w:val="NoSpacing"/>
              <w:rPr>
                <w:sz w:val="20"/>
              </w:rPr>
            </w:pPr>
          </w:p>
        </w:tc>
        <w:tc>
          <w:tcPr>
            <w:tcW w:w="592" w:type="dxa"/>
          </w:tcPr>
          <w:p w14:paraId="24780FB6" w14:textId="77777777" w:rsidR="00E40F73" w:rsidRPr="00ED1DCA" w:rsidRDefault="00E40F73" w:rsidP="00E40F73">
            <w:pPr>
              <w:pStyle w:val="NoSpacing"/>
              <w:rPr>
                <w:sz w:val="20"/>
              </w:rPr>
            </w:pPr>
          </w:p>
        </w:tc>
        <w:tc>
          <w:tcPr>
            <w:tcW w:w="1233" w:type="dxa"/>
          </w:tcPr>
          <w:p w14:paraId="2CFF810D" w14:textId="5B555F90" w:rsidR="00E40F73" w:rsidRPr="00ED1DCA" w:rsidRDefault="00E40F73" w:rsidP="00E40F73">
            <w:pPr>
              <w:pStyle w:val="NoSpacing"/>
              <w:rPr>
                <w:sz w:val="20"/>
              </w:rPr>
            </w:pPr>
            <w:r w:rsidRPr="00ED1DCA">
              <w:rPr>
                <w:sz w:val="20"/>
              </w:rPr>
              <w:t>Admin</w:t>
            </w:r>
            <w:r>
              <w:rPr>
                <w:sz w:val="20"/>
              </w:rPr>
              <w:t xml:space="preserve"> and survey</w:t>
            </w:r>
          </w:p>
        </w:tc>
      </w:tr>
      <w:tr w:rsidR="00E40F73" w:rsidRPr="00ED1DCA" w14:paraId="4A986B1A" w14:textId="77777777" w:rsidTr="00E40F73">
        <w:tc>
          <w:tcPr>
            <w:tcW w:w="490" w:type="dxa"/>
          </w:tcPr>
          <w:p w14:paraId="540BF45E" w14:textId="49723BF6" w:rsidR="00E40F73" w:rsidRPr="00ED1DCA" w:rsidRDefault="00D90590" w:rsidP="00E40F73">
            <w:pPr>
              <w:pStyle w:val="NoSpacing"/>
              <w:rPr>
                <w:sz w:val="20"/>
              </w:rPr>
            </w:pPr>
            <w:r>
              <w:rPr>
                <w:sz w:val="20"/>
              </w:rPr>
              <w:t>4</w:t>
            </w:r>
            <w:r w:rsidR="00E40F73" w:rsidRPr="00ED1DCA">
              <w:rPr>
                <w:sz w:val="20"/>
              </w:rPr>
              <w:t>.6</w:t>
            </w:r>
          </w:p>
        </w:tc>
        <w:tc>
          <w:tcPr>
            <w:tcW w:w="3129" w:type="dxa"/>
          </w:tcPr>
          <w:p w14:paraId="69AAA1EC" w14:textId="73251018" w:rsidR="00E40F73" w:rsidRPr="00ED1DCA" w:rsidRDefault="00E40F73" w:rsidP="00E40F73">
            <w:pPr>
              <w:pStyle w:val="NoSpacing"/>
              <w:rPr>
                <w:sz w:val="20"/>
              </w:rPr>
            </w:pPr>
            <w:r w:rsidRPr="00ED1DCA">
              <w:rPr>
                <w:sz w:val="20"/>
              </w:rPr>
              <w:t>Utilization of</w:t>
            </w:r>
            <w:r w:rsidR="00030ECD">
              <w:rPr>
                <w:sz w:val="20"/>
              </w:rPr>
              <w:t xml:space="preserve"> additional</w:t>
            </w:r>
            <w:r w:rsidRPr="00ED1DCA">
              <w:rPr>
                <w:sz w:val="20"/>
              </w:rPr>
              <w:t xml:space="preserve"> nutrition services</w:t>
            </w:r>
          </w:p>
        </w:tc>
        <w:tc>
          <w:tcPr>
            <w:tcW w:w="591" w:type="dxa"/>
          </w:tcPr>
          <w:p w14:paraId="5212CA87" w14:textId="77777777" w:rsidR="00E40F73" w:rsidRPr="00ED1DCA" w:rsidRDefault="00E40F73" w:rsidP="00E40F73">
            <w:pPr>
              <w:pStyle w:val="NoSpacing"/>
              <w:rPr>
                <w:sz w:val="20"/>
              </w:rPr>
            </w:pPr>
            <w:r w:rsidRPr="00ED1DCA">
              <w:rPr>
                <w:sz w:val="20"/>
              </w:rPr>
              <w:t>Y</w:t>
            </w:r>
          </w:p>
        </w:tc>
        <w:tc>
          <w:tcPr>
            <w:tcW w:w="592" w:type="dxa"/>
          </w:tcPr>
          <w:p w14:paraId="35F0772F" w14:textId="77777777" w:rsidR="00E40F73" w:rsidRPr="00ED1DCA" w:rsidRDefault="00E40F73" w:rsidP="00E40F73">
            <w:pPr>
              <w:pStyle w:val="NoSpacing"/>
              <w:rPr>
                <w:sz w:val="20"/>
              </w:rPr>
            </w:pPr>
            <w:r w:rsidRPr="00ED1DCA">
              <w:rPr>
                <w:sz w:val="20"/>
              </w:rPr>
              <w:t>Y</w:t>
            </w:r>
          </w:p>
        </w:tc>
        <w:tc>
          <w:tcPr>
            <w:tcW w:w="592" w:type="dxa"/>
          </w:tcPr>
          <w:p w14:paraId="65190D41" w14:textId="77777777" w:rsidR="00E40F73" w:rsidRPr="00ED1DCA" w:rsidRDefault="00E40F73" w:rsidP="00E40F73">
            <w:pPr>
              <w:pStyle w:val="NoSpacing"/>
              <w:rPr>
                <w:sz w:val="20"/>
              </w:rPr>
            </w:pPr>
            <w:r w:rsidRPr="00ED1DCA">
              <w:rPr>
                <w:sz w:val="20"/>
              </w:rPr>
              <w:t>Y</w:t>
            </w:r>
          </w:p>
        </w:tc>
        <w:tc>
          <w:tcPr>
            <w:tcW w:w="592" w:type="dxa"/>
          </w:tcPr>
          <w:p w14:paraId="0D1E65E3" w14:textId="77777777" w:rsidR="00E40F73" w:rsidRPr="00ED1DCA" w:rsidRDefault="00E40F73" w:rsidP="00E40F73">
            <w:pPr>
              <w:pStyle w:val="NoSpacing"/>
              <w:rPr>
                <w:sz w:val="20"/>
              </w:rPr>
            </w:pPr>
          </w:p>
        </w:tc>
        <w:tc>
          <w:tcPr>
            <w:tcW w:w="592" w:type="dxa"/>
          </w:tcPr>
          <w:p w14:paraId="62375ED3" w14:textId="77777777" w:rsidR="00E40F73" w:rsidRPr="00ED1DCA" w:rsidRDefault="00E40F73" w:rsidP="00E40F73">
            <w:pPr>
              <w:pStyle w:val="NoSpacing"/>
              <w:rPr>
                <w:sz w:val="20"/>
              </w:rPr>
            </w:pPr>
            <w:r w:rsidRPr="00ED1DCA">
              <w:rPr>
                <w:sz w:val="20"/>
              </w:rPr>
              <w:t>Y</w:t>
            </w:r>
          </w:p>
        </w:tc>
        <w:tc>
          <w:tcPr>
            <w:tcW w:w="592" w:type="dxa"/>
          </w:tcPr>
          <w:p w14:paraId="013DA8B0" w14:textId="77777777" w:rsidR="00E40F73" w:rsidRPr="00ED1DCA" w:rsidRDefault="00E40F73" w:rsidP="00E40F73">
            <w:pPr>
              <w:pStyle w:val="NoSpacing"/>
              <w:rPr>
                <w:sz w:val="20"/>
              </w:rPr>
            </w:pPr>
          </w:p>
        </w:tc>
        <w:tc>
          <w:tcPr>
            <w:tcW w:w="592" w:type="dxa"/>
          </w:tcPr>
          <w:p w14:paraId="357D07DC" w14:textId="77777777" w:rsidR="00E40F73" w:rsidRPr="00ED1DCA" w:rsidRDefault="00E40F73" w:rsidP="00E40F73">
            <w:pPr>
              <w:pStyle w:val="NoSpacing"/>
              <w:rPr>
                <w:sz w:val="20"/>
              </w:rPr>
            </w:pPr>
          </w:p>
        </w:tc>
        <w:tc>
          <w:tcPr>
            <w:tcW w:w="1233" w:type="dxa"/>
          </w:tcPr>
          <w:p w14:paraId="18A344F0" w14:textId="4C048EBE" w:rsidR="00E40F73" w:rsidRPr="00ED1DCA" w:rsidRDefault="00E40F73" w:rsidP="00E40F73">
            <w:pPr>
              <w:pStyle w:val="NoSpacing"/>
              <w:rPr>
                <w:sz w:val="20"/>
              </w:rPr>
            </w:pPr>
            <w:r w:rsidRPr="00ED1DCA">
              <w:rPr>
                <w:sz w:val="20"/>
              </w:rPr>
              <w:t>Admin</w:t>
            </w:r>
            <w:r>
              <w:rPr>
                <w:sz w:val="20"/>
              </w:rPr>
              <w:t xml:space="preserve"> and survey</w:t>
            </w:r>
          </w:p>
        </w:tc>
      </w:tr>
      <w:tr w:rsidR="00E40F73" w:rsidRPr="00ED1DCA" w14:paraId="51917ABE" w14:textId="77777777" w:rsidTr="00E40F73">
        <w:tc>
          <w:tcPr>
            <w:tcW w:w="490" w:type="dxa"/>
          </w:tcPr>
          <w:p w14:paraId="54519BF6" w14:textId="00C61C4E" w:rsidR="00E40F73" w:rsidRPr="00ED1DCA" w:rsidRDefault="00D90590" w:rsidP="00E40F73">
            <w:pPr>
              <w:pStyle w:val="NoSpacing"/>
              <w:rPr>
                <w:sz w:val="20"/>
              </w:rPr>
            </w:pPr>
            <w:r>
              <w:rPr>
                <w:sz w:val="20"/>
              </w:rPr>
              <w:t>4</w:t>
            </w:r>
            <w:r w:rsidR="00E40F73" w:rsidRPr="00ED1DCA">
              <w:rPr>
                <w:sz w:val="20"/>
              </w:rPr>
              <w:t>.7</w:t>
            </w:r>
          </w:p>
        </w:tc>
        <w:tc>
          <w:tcPr>
            <w:tcW w:w="3129" w:type="dxa"/>
          </w:tcPr>
          <w:p w14:paraId="59D90C33" w14:textId="77777777" w:rsidR="00E40F73" w:rsidRPr="00ED1DCA" w:rsidRDefault="00E40F73" w:rsidP="00E40F73">
            <w:pPr>
              <w:pStyle w:val="NoSpacing"/>
              <w:rPr>
                <w:sz w:val="20"/>
              </w:rPr>
            </w:pPr>
            <w:r w:rsidRPr="00ED1DCA">
              <w:rPr>
                <w:sz w:val="20"/>
              </w:rPr>
              <w:t>Quality of service delivery</w:t>
            </w:r>
          </w:p>
        </w:tc>
        <w:tc>
          <w:tcPr>
            <w:tcW w:w="591" w:type="dxa"/>
          </w:tcPr>
          <w:p w14:paraId="76B5E694" w14:textId="77777777" w:rsidR="00E40F73" w:rsidRPr="00ED1DCA" w:rsidRDefault="00E40F73" w:rsidP="00E40F73">
            <w:pPr>
              <w:pStyle w:val="NoSpacing"/>
              <w:rPr>
                <w:sz w:val="20"/>
              </w:rPr>
            </w:pPr>
          </w:p>
        </w:tc>
        <w:tc>
          <w:tcPr>
            <w:tcW w:w="592" w:type="dxa"/>
          </w:tcPr>
          <w:p w14:paraId="3B5BA4BE" w14:textId="77777777" w:rsidR="00E40F73" w:rsidRPr="00ED1DCA" w:rsidRDefault="00E40F73" w:rsidP="00E40F73">
            <w:pPr>
              <w:pStyle w:val="NoSpacing"/>
              <w:rPr>
                <w:sz w:val="20"/>
              </w:rPr>
            </w:pPr>
            <w:r w:rsidRPr="00ED1DCA">
              <w:rPr>
                <w:sz w:val="20"/>
              </w:rPr>
              <w:t>Y</w:t>
            </w:r>
          </w:p>
        </w:tc>
        <w:tc>
          <w:tcPr>
            <w:tcW w:w="592" w:type="dxa"/>
          </w:tcPr>
          <w:p w14:paraId="45CBD2EE" w14:textId="77777777" w:rsidR="00E40F73" w:rsidRPr="00ED1DCA" w:rsidRDefault="00E40F73" w:rsidP="00E40F73">
            <w:pPr>
              <w:pStyle w:val="NoSpacing"/>
              <w:rPr>
                <w:sz w:val="20"/>
              </w:rPr>
            </w:pPr>
            <w:r w:rsidRPr="00ED1DCA">
              <w:rPr>
                <w:sz w:val="20"/>
              </w:rPr>
              <w:t>Y</w:t>
            </w:r>
          </w:p>
        </w:tc>
        <w:tc>
          <w:tcPr>
            <w:tcW w:w="592" w:type="dxa"/>
          </w:tcPr>
          <w:p w14:paraId="3767E05C" w14:textId="77777777" w:rsidR="00E40F73" w:rsidRPr="00ED1DCA" w:rsidRDefault="00E40F73" w:rsidP="00E40F73">
            <w:pPr>
              <w:pStyle w:val="NoSpacing"/>
              <w:rPr>
                <w:sz w:val="20"/>
              </w:rPr>
            </w:pPr>
          </w:p>
        </w:tc>
        <w:tc>
          <w:tcPr>
            <w:tcW w:w="592" w:type="dxa"/>
          </w:tcPr>
          <w:p w14:paraId="2716F27B" w14:textId="77777777" w:rsidR="00E40F73" w:rsidRPr="00ED1DCA" w:rsidRDefault="00E40F73" w:rsidP="00E40F73">
            <w:pPr>
              <w:pStyle w:val="NoSpacing"/>
              <w:rPr>
                <w:sz w:val="20"/>
              </w:rPr>
            </w:pPr>
          </w:p>
        </w:tc>
        <w:tc>
          <w:tcPr>
            <w:tcW w:w="592" w:type="dxa"/>
          </w:tcPr>
          <w:p w14:paraId="36610FFB" w14:textId="77777777" w:rsidR="00E40F73" w:rsidRPr="00ED1DCA" w:rsidRDefault="00E40F73" w:rsidP="00E40F73">
            <w:pPr>
              <w:pStyle w:val="NoSpacing"/>
              <w:rPr>
                <w:sz w:val="20"/>
              </w:rPr>
            </w:pPr>
          </w:p>
        </w:tc>
        <w:tc>
          <w:tcPr>
            <w:tcW w:w="592" w:type="dxa"/>
          </w:tcPr>
          <w:p w14:paraId="44AEEBF9" w14:textId="77777777" w:rsidR="00E40F73" w:rsidRPr="00ED1DCA" w:rsidRDefault="00E40F73" w:rsidP="00E40F73">
            <w:pPr>
              <w:pStyle w:val="NoSpacing"/>
              <w:rPr>
                <w:sz w:val="20"/>
              </w:rPr>
            </w:pPr>
          </w:p>
        </w:tc>
        <w:tc>
          <w:tcPr>
            <w:tcW w:w="1233" w:type="dxa"/>
          </w:tcPr>
          <w:p w14:paraId="059F767E" w14:textId="77777777" w:rsidR="00E40F73" w:rsidRPr="00ED1DCA" w:rsidRDefault="00E40F73" w:rsidP="00E40F73">
            <w:pPr>
              <w:pStyle w:val="NoSpacing"/>
              <w:rPr>
                <w:sz w:val="20"/>
              </w:rPr>
            </w:pPr>
            <w:r w:rsidRPr="00ED1DCA">
              <w:rPr>
                <w:sz w:val="20"/>
              </w:rPr>
              <w:t>Survey</w:t>
            </w:r>
          </w:p>
        </w:tc>
      </w:tr>
      <w:tr w:rsidR="00E40F73" w:rsidRPr="00ED1DCA" w14:paraId="66E6FF53" w14:textId="77777777" w:rsidTr="00E40F73">
        <w:tc>
          <w:tcPr>
            <w:tcW w:w="490" w:type="dxa"/>
          </w:tcPr>
          <w:p w14:paraId="551EA2FD" w14:textId="45A6CD7F" w:rsidR="00E40F73" w:rsidRPr="00ED1DCA" w:rsidRDefault="00D90590" w:rsidP="00E40F73">
            <w:pPr>
              <w:pStyle w:val="NoSpacing"/>
              <w:rPr>
                <w:sz w:val="20"/>
              </w:rPr>
            </w:pPr>
            <w:r>
              <w:rPr>
                <w:sz w:val="20"/>
              </w:rPr>
              <w:t>4</w:t>
            </w:r>
            <w:r w:rsidR="00E40F73" w:rsidRPr="00ED1DCA">
              <w:rPr>
                <w:sz w:val="20"/>
              </w:rPr>
              <w:t>.8</w:t>
            </w:r>
          </w:p>
        </w:tc>
        <w:tc>
          <w:tcPr>
            <w:tcW w:w="3129" w:type="dxa"/>
          </w:tcPr>
          <w:p w14:paraId="135FA731" w14:textId="77777777" w:rsidR="00E40F73" w:rsidRPr="00ED1DCA" w:rsidRDefault="00E40F73" w:rsidP="00E40F73">
            <w:pPr>
              <w:pStyle w:val="NoSpacing"/>
              <w:rPr>
                <w:sz w:val="20"/>
              </w:rPr>
            </w:pPr>
            <w:r w:rsidRPr="00ED1DCA">
              <w:rPr>
                <w:sz w:val="20"/>
              </w:rPr>
              <w:t>Knowledge of child nutrition issues</w:t>
            </w:r>
          </w:p>
        </w:tc>
        <w:tc>
          <w:tcPr>
            <w:tcW w:w="591" w:type="dxa"/>
          </w:tcPr>
          <w:p w14:paraId="579DD020" w14:textId="77777777" w:rsidR="00E40F73" w:rsidRPr="00ED1DCA" w:rsidRDefault="00E40F73" w:rsidP="00E40F73">
            <w:pPr>
              <w:pStyle w:val="NoSpacing"/>
              <w:rPr>
                <w:sz w:val="20"/>
              </w:rPr>
            </w:pPr>
            <w:r>
              <w:rPr>
                <w:sz w:val="20"/>
              </w:rPr>
              <w:t>Y</w:t>
            </w:r>
          </w:p>
        </w:tc>
        <w:tc>
          <w:tcPr>
            <w:tcW w:w="592" w:type="dxa"/>
          </w:tcPr>
          <w:p w14:paraId="5C4646D9" w14:textId="77777777" w:rsidR="00E40F73" w:rsidRPr="00ED1DCA" w:rsidRDefault="00E40F73" w:rsidP="00E40F73">
            <w:pPr>
              <w:pStyle w:val="NoSpacing"/>
              <w:rPr>
                <w:sz w:val="20"/>
              </w:rPr>
            </w:pPr>
            <w:r w:rsidRPr="00ED1DCA">
              <w:rPr>
                <w:sz w:val="20"/>
              </w:rPr>
              <w:t>Y</w:t>
            </w:r>
          </w:p>
        </w:tc>
        <w:tc>
          <w:tcPr>
            <w:tcW w:w="592" w:type="dxa"/>
          </w:tcPr>
          <w:p w14:paraId="0F18C9E7" w14:textId="77777777" w:rsidR="00E40F73" w:rsidRPr="00ED1DCA" w:rsidRDefault="00E40F73" w:rsidP="00E40F73">
            <w:pPr>
              <w:pStyle w:val="NoSpacing"/>
              <w:rPr>
                <w:sz w:val="20"/>
              </w:rPr>
            </w:pPr>
            <w:r w:rsidRPr="00ED1DCA">
              <w:rPr>
                <w:sz w:val="20"/>
              </w:rPr>
              <w:t>Y</w:t>
            </w:r>
          </w:p>
        </w:tc>
        <w:tc>
          <w:tcPr>
            <w:tcW w:w="592" w:type="dxa"/>
          </w:tcPr>
          <w:p w14:paraId="450658F1" w14:textId="77777777" w:rsidR="00E40F73" w:rsidRPr="00ED1DCA" w:rsidRDefault="00E40F73" w:rsidP="00E40F73">
            <w:pPr>
              <w:pStyle w:val="NoSpacing"/>
              <w:rPr>
                <w:sz w:val="20"/>
              </w:rPr>
            </w:pPr>
          </w:p>
        </w:tc>
        <w:tc>
          <w:tcPr>
            <w:tcW w:w="592" w:type="dxa"/>
          </w:tcPr>
          <w:p w14:paraId="1F8EEDF8" w14:textId="77777777" w:rsidR="00E40F73" w:rsidRPr="00ED1DCA" w:rsidRDefault="00E40F73" w:rsidP="00E40F73">
            <w:pPr>
              <w:pStyle w:val="NoSpacing"/>
              <w:rPr>
                <w:sz w:val="20"/>
              </w:rPr>
            </w:pPr>
            <w:r w:rsidRPr="00ED1DCA">
              <w:rPr>
                <w:sz w:val="20"/>
              </w:rPr>
              <w:t>Y</w:t>
            </w:r>
          </w:p>
        </w:tc>
        <w:tc>
          <w:tcPr>
            <w:tcW w:w="592" w:type="dxa"/>
          </w:tcPr>
          <w:p w14:paraId="494C0375" w14:textId="77777777" w:rsidR="00E40F73" w:rsidRPr="00ED1DCA" w:rsidRDefault="00E40F73" w:rsidP="00E40F73">
            <w:pPr>
              <w:pStyle w:val="NoSpacing"/>
              <w:rPr>
                <w:sz w:val="20"/>
              </w:rPr>
            </w:pPr>
          </w:p>
        </w:tc>
        <w:tc>
          <w:tcPr>
            <w:tcW w:w="592" w:type="dxa"/>
          </w:tcPr>
          <w:p w14:paraId="042D7A79" w14:textId="77777777" w:rsidR="00E40F73" w:rsidRPr="00ED1DCA" w:rsidRDefault="00E40F73" w:rsidP="00E40F73">
            <w:pPr>
              <w:pStyle w:val="NoSpacing"/>
              <w:rPr>
                <w:sz w:val="20"/>
              </w:rPr>
            </w:pPr>
          </w:p>
        </w:tc>
        <w:tc>
          <w:tcPr>
            <w:tcW w:w="1233" w:type="dxa"/>
          </w:tcPr>
          <w:p w14:paraId="5FC014B3" w14:textId="77777777" w:rsidR="00E40F73" w:rsidRPr="00ED1DCA" w:rsidRDefault="00E40F73" w:rsidP="00E40F73">
            <w:pPr>
              <w:pStyle w:val="NoSpacing"/>
              <w:rPr>
                <w:sz w:val="20"/>
              </w:rPr>
            </w:pPr>
            <w:r w:rsidRPr="00ED1DCA">
              <w:rPr>
                <w:sz w:val="20"/>
              </w:rPr>
              <w:t>Survey</w:t>
            </w:r>
          </w:p>
        </w:tc>
      </w:tr>
      <w:tr w:rsidR="00E40F73" w:rsidRPr="00ED1DCA" w14:paraId="0517AB8C" w14:textId="77777777" w:rsidTr="00E40F73">
        <w:tc>
          <w:tcPr>
            <w:tcW w:w="490" w:type="dxa"/>
          </w:tcPr>
          <w:p w14:paraId="46DE0D5C" w14:textId="7821B172" w:rsidR="00E40F73" w:rsidRPr="00ED1DCA" w:rsidRDefault="00D90590" w:rsidP="00E40F73">
            <w:pPr>
              <w:pStyle w:val="NoSpacing"/>
              <w:rPr>
                <w:sz w:val="20"/>
              </w:rPr>
            </w:pPr>
            <w:r>
              <w:rPr>
                <w:sz w:val="20"/>
              </w:rPr>
              <w:t>4</w:t>
            </w:r>
            <w:r w:rsidR="00E40F73" w:rsidRPr="00ED1DCA">
              <w:rPr>
                <w:sz w:val="20"/>
              </w:rPr>
              <w:t>.9</w:t>
            </w:r>
          </w:p>
        </w:tc>
        <w:tc>
          <w:tcPr>
            <w:tcW w:w="3129" w:type="dxa"/>
          </w:tcPr>
          <w:p w14:paraId="4FB36613" w14:textId="77777777" w:rsidR="00E40F73" w:rsidRPr="00ED1DCA" w:rsidRDefault="00E40F73" w:rsidP="00E40F73">
            <w:pPr>
              <w:pStyle w:val="NoSpacing"/>
              <w:rPr>
                <w:sz w:val="20"/>
              </w:rPr>
            </w:pPr>
            <w:r w:rsidRPr="00ED1DCA">
              <w:rPr>
                <w:sz w:val="20"/>
              </w:rPr>
              <w:t>Satisfaction with service delivery</w:t>
            </w:r>
          </w:p>
        </w:tc>
        <w:tc>
          <w:tcPr>
            <w:tcW w:w="591" w:type="dxa"/>
          </w:tcPr>
          <w:p w14:paraId="305FD712" w14:textId="77777777" w:rsidR="00E40F73" w:rsidRPr="00ED1DCA" w:rsidRDefault="00E40F73" w:rsidP="00E40F73">
            <w:pPr>
              <w:pStyle w:val="NoSpacing"/>
              <w:rPr>
                <w:sz w:val="20"/>
              </w:rPr>
            </w:pPr>
          </w:p>
        </w:tc>
        <w:tc>
          <w:tcPr>
            <w:tcW w:w="592" w:type="dxa"/>
          </w:tcPr>
          <w:p w14:paraId="67CAA427" w14:textId="77777777" w:rsidR="00E40F73" w:rsidRPr="00ED1DCA" w:rsidRDefault="00E40F73" w:rsidP="00E40F73">
            <w:pPr>
              <w:pStyle w:val="NoSpacing"/>
              <w:rPr>
                <w:sz w:val="20"/>
              </w:rPr>
            </w:pPr>
            <w:r w:rsidRPr="00ED1DCA">
              <w:rPr>
                <w:sz w:val="20"/>
              </w:rPr>
              <w:t>Y</w:t>
            </w:r>
          </w:p>
        </w:tc>
        <w:tc>
          <w:tcPr>
            <w:tcW w:w="592" w:type="dxa"/>
          </w:tcPr>
          <w:p w14:paraId="64086B78" w14:textId="77777777" w:rsidR="00E40F73" w:rsidRPr="00ED1DCA" w:rsidRDefault="00E40F73" w:rsidP="00E40F73">
            <w:pPr>
              <w:pStyle w:val="NoSpacing"/>
              <w:rPr>
                <w:sz w:val="20"/>
              </w:rPr>
            </w:pPr>
            <w:r w:rsidRPr="00ED1DCA">
              <w:rPr>
                <w:sz w:val="20"/>
              </w:rPr>
              <w:t>Y</w:t>
            </w:r>
          </w:p>
        </w:tc>
        <w:tc>
          <w:tcPr>
            <w:tcW w:w="592" w:type="dxa"/>
          </w:tcPr>
          <w:p w14:paraId="320FCBBD" w14:textId="77777777" w:rsidR="00E40F73" w:rsidRPr="00ED1DCA" w:rsidRDefault="00E40F73" w:rsidP="00E40F73">
            <w:pPr>
              <w:pStyle w:val="NoSpacing"/>
              <w:rPr>
                <w:sz w:val="20"/>
              </w:rPr>
            </w:pPr>
          </w:p>
        </w:tc>
        <w:tc>
          <w:tcPr>
            <w:tcW w:w="592" w:type="dxa"/>
          </w:tcPr>
          <w:p w14:paraId="2307CFC7" w14:textId="77777777" w:rsidR="00E40F73" w:rsidRPr="00ED1DCA" w:rsidRDefault="00E40F73" w:rsidP="00E40F73">
            <w:pPr>
              <w:pStyle w:val="NoSpacing"/>
              <w:rPr>
                <w:sz w:val="20"/>
              </w:rPr>
            </w:pPr>
          </w:p>
        </w:tc>
        <w:tc>
          <w:tcPr>
            <w:tcW w:w="592" w:type="dxa"/>
          </w:tcPr>
          <w:p w14:paraId="7DBACF05" w14:textId="77777777" w:rsidR="00E40F73" w:rsidRPr="00ED1DCA" w:rsidRDefault="00E40F73" w:rsidP="00E40F73">
            <w:pPr>
              <w:pStyle w:val="NoSpacing"/>
              <w:rPr>
                <w:sz w:val="20"/>
              </w:rPr>
            </w:pPr>
          </w:p>
        </w:tc>
        <w:tc>
          <w:tcPr>
            <w:tcW w:w="592" w:type="dxa"/>
          </w:tcPr>
          <w:p w14:paraId="02A4E8D5" w14:textId="77777777" w:rsidR="00E40F73" w:rsidRPr="00ED1DCA" w:rsidRDefault="00E40F73" w:rsidP="00E40F73">
            <w:pPr>
              <w:pStyle w:val="NoSpacing"/>
              <w:rPr>
                <w:sz w:val="20"/>
              </w:rPr>
            </w:pPr>
          </w:p>
        </w:tc>
        <w:tc>
          <w:tcPr>
            <w:tcW w:w="1233" w:type="dxa"/>
          </w:tcPr>
          <w:p w14:paraId="0B84EA28" w14:textId="77777777" w:rsidR="00E40F73" w:rsidRPr="00ED1DCA" w:rsidRDefault="00E40F73" w:rsidP="00E40F73">
            <w:pPr>
              <w:pStyle w:val="NoSpacing"/>
              <w:rPr>
                <w:sz w:val="20"/>
              </w:rPr>
            </w:pPr>
            <w:r w:rsidRPr="00ED1DCA">
              <w:rPr>
                <w:sz w:val="20"/>
              </w:rPr>
              <w:t>Survey</w:t>
            </w:r>
          </w:p>
        </w:tc>
      </w:tr>
      <w:tr w:rsidR="00E40F73" w:rsidRPr="00ED1DCA" w14:paraId="09BA44F2" w14:textId="77777777" w:rsidTr="00E40F73">
        <w:tc>
          <w:tcPr>
            <w:tcW w:w="490" w:type="dxa"/>
          </w:tcPr>
          <w:p w14:paraId="781CC801" w14:textId="77777777" w:rsidR="00E40F73" w:rsidRPr="00ED1DCA" w:rsidRDefault="00E40F73" w:rsidP="00E40F73">
            <w:pPr>
              <w:pStyle w:val="NoSpacing"/>
              <w:rPr>
                <w:sz w:val="20"/>
              </w:rPr>
            </w:pPr>
          </w:p>
        </w:tc>
        <w:tc>
          <w:tcPr>
            <w:tcW w:w="3129" w:type="dxa"/>
          </w:tcPr>
          <w:p w14:paraId="0331BB1E" w14:textId="77777777" w:rsidR="00E40F73" w:rsidRPr="00ED1DCA" w:rsidRDefault="00E40F73" w:rsidP="00E40F73">
            <w:pPr>
              <w:pStyle w:val="NoSpacing"/>
              <w:rPr>
                <w:sz w:val="20"/>
              </w:rPr>
            </w:pPr>
          </w:p>
        </w:tc>
        <w:tc>
          <w:tcPr>
            <w:tcW w:w="591" w:type="dxa"/>
          </w:tcPr>
          <w:p w14:paraId="25E417EF" w14:textId="77777777" w:rsidR="00E40F73" w:rsidRPr="00ED1DCA" w:rsidRDefault="00E40F73" w:rsidP="00E40F73">
            <w:pPr>
              <w:pStyle w:val="NoSpacing"/>
              <w:rPr>
                <w:sz w:val="20"/>
              </w:rPr>
            </w:pPr>
          </w:p>
        </w:tc>
        <w:tc>
          <w:tcPr>
            <w:tcW w:w="592" w:type="dxa"/>
          </w:tcPr>
          <w:p w14:paraId="3A7701D8" w14:textId="77777777" w:rsidR="00E40F73" w:rsidRPr="00ED1DCA" w:rsidRDefault="00E40F73" w:rsidP="00E40F73">
            <w:pPr>
              <w:pStyle w:val="NoSpacing"/>
              <w:rPr>
                <w:sz w:val="20"/>
              </w:rPr>
            </w:pPr>
          </w:p>
        </w:tc>
        <w:tc>
          <w:tcPr>
            <w:tcW w:w="592" w:type="dxa"/>
          </w:tcPr>
          <w:p w14:paraId="028E9A08" w14:textId="77777777" w:rsidR="00E40F73" w:rsidRPr="00ED1DCA" w:rsidRDefault="00E40F73" w:rsidP="00E40F73">
            <w:pPr>
              <w:pStyle w:val="NoSpacing"/>
              <w:rPr>
                <w:sz w:val="20"/>
              </w:rPr>
            </w:pPr>
          </w:p>
        </w:tc>
        <w:tc>
          <w:tcPr>
            <w:tcW w:w="592" w:type="dxa"/>
          </w:tcPr>
          <w:p w14:paraId="33B7E139" w14:textId="77777777" w:rsidR="00E40F73" w:rsidRPr="00ED1DCA" w:rsidRDefault="00E40F73" w:rsidP="00E40F73">
            <w:pPr>
              <w:pStyle w:val="NoSpacing"/>
              <w:rPr>
                <w:sz w:val="20"/>
              </w:rPr>
            </w:pPr>
          </w:p>
        </w:tc>
        <w:tc>
          <w:tcPr>
            <w:tcW w:w="592" w:type="dxa"/>
          </w:tcPr>
          <w:p w14:paraId="30482A04" w14:textId="77777777" w:rsidR="00E40F73" w:rsidRPr="00ED1DCA" w:rsidRDefault="00E40F73" w:rsidP="00E40F73">
            <w:pPr>
              <w:pStyle w:val="NoSpacing"/>
              <w:rPr>
                <w:sz w:val="20"/>
              </w:rPr>
            </w:pPr>
          </w:p>
        </w:tc>
        <w:tc>
          <w:tcPr>
            <w:tcW w:w="592" w:type="dxa"/>
          </w:tcPr>
          <w:p w14:paraId="5B80B1EB" w14:textId="77777777" w:rsidR="00E40F73" w:rsidRPr="00ED1DCA" w:rsidRDefault="00E40F73" w:rsidP="00E40F73">
            <w:pPr>
              <w:pStyle w:val="NoSpacing"/>
              <w:rPr>
                <w:sz w:val="20"/>
              </w:rPr>
            </w:pPr>
          </w:p>
        </w:tc>
        <w:tc>
          <w:tcPr>
            <w:tcW w:w="592" w:type="dxa"/>
          </w:tcPr>
          <w:p w14:paraId="733675BC" w14:textId="77777777" w:rsidR="00E40F73" w:rsidRPr="00ED1DCA" w:rsidRDefault="00E40F73" w:rsidP="00E40F73">
            <w:pPr>
              <w:pStyle w:val="NoSpacing"/>
              <w:rPr>
                <w:sz w:val="20"/>
              </w:rPr>
            </w:pPr>
          </w:p>
        </w:tc>
        <w:tc>
          <w:tcPr>
            <w:tcW w:w="1233" w:type="dxa"/>
          </w:tcPr>
          <w:p w14:paraId="0B4FA6AF" w14:textId="77777777" w:rsidR="00E40F73" w:rsidRPr="00ED1DCA" w:rsidRDefault="00E40F73" w:rsidP="00E40F73">
            <w:pPr>
              <w:pStyle w:val="NoSpacing"/>
              <w:rPr>
                <w:sz w:val="20"/>
              </w:rPr>
            </w:pPr>
          </w:p>
        </w:tc>
      </w:tr>
      <w:tr w:rsidR="00E40F73" w:rsidRPr="00ED1DCA" w14:paraId="22A71CA7" w14:textId="77777777" w:rsidTr="00E40F73">
        <w:tc>
          <w:tcPr>
            <w:tcW w:w="8995" w:type="dxa"/>
            <w:gridSpan w:val="10"/>
          </w:tcPr>
          <w:p w14:paraId="49F3A253" w14:textId="77777777" w:rsidR="00E40F73" w:rsidRPr="00ED1DCA" w:rsidRDefault="00E40F73" w:rsidP="00E40F73">
            <w:pPr>
              <w:pStyle w:val="NoSpacing"/>
              <w:rPr>
                <w:sz w:val="20"/>
              </w:rPr>
            </w:pPr>
            <w:r w:rsidRPr="00ED1DCA">
              <w:rPr>
                <w:b/>
                <w:sz w:val="20"/>
              </w:rPr>
              <w:t>Environmental health</w:t>
            </w:r>
          </w:p>
        </w:tc>
      </w:tr>
      <w:tr w:rsidR="00E40F73" w:rsidRPr="00ED1DCA" w14:paraId="3F123B0F" w14:textId="77777777" w:rsidTr="00E40F73">
        <w:tc>
          <w:tcPr>
            <w:tcW w:w="490" w:type="dxa"/>
          </w:tcPr>
          <w:p w14:paraId="0002E5A0" w14:textId="4267070B" w:rsidR="00E40F73" w:rsidRPr="00ED1DCA" w:rsidRDefault="00D90590" w:rsidP="00E40F73">
            <w:pPr>
              <w:pStyle w:val="NoSpacing"/>
              <w:rPr>
                <w:sz w:val="20"/>
              </w:rPr>
            </w:pPr>
            <w:r>
              <w:rPr>
                <w:sz w:val="20"/>
              </w:rPr>
              <w:t>5</w:t>
            </w:r>
            <w:r w:rsidR="00E40F73" w:rsidRPr="00ED1DCA">
              <w:rPr>
                <w:sz w:val="20"/>
              </w:rPr>
              <w:t>.1</w:t>
            </w:r>
          </w:p>
        </w:tc>
        <w:tc>
          <w:tcPr>
            <w:tcW w:w="3129" w:type="dxa"/>
          </w:tcPr>
          <w:p w14:paraId="0A2FCC06" w14:textId="77777777" w:rsidR="00E40F73" w:rsidRPr="00ED1DCA" w:rsidRDefault="00E40F73" w:rsidP="00E40F73">
            <w:pPr>
              <w:pStyle w:val="NoSpacing"/>
              <w:rPr>
                <w:sz w:val="20"/>
              </w:rPr>
            </w:pPr>
            <w:r w:rsidRPr="00ED1DCA">
              <w:rPr>
                <w:sz w:val="20"/>
              </w:rPr>
              <w:t>WASH, e.g., access to latrines, safe water storage</w:t>
            </w:r>
          </w:p>
        </w:tc>
        <w:tc>
          <w:tcPr>
            <w:tcW w:w="591" w:type="dxa"/>
          </w:tcPr>
          <w:p w14:paraId="66B2ABB0" w14:textId="77777777" w:rsidR="00E40F73" w:rsidRPr="00ED1DCA" w:rsidRDefault="00E40F73" w:rsidP="00E40F73">
            <w:pPr>
              <w:pStyle w:val="NoSpacing"/>
              <w:rPr>
                <w:sz w:val="20"/>
              </w:rPr>
            </w:pPr>
          </w:p>
        </w:tc>
        <w:tc>
          <w:tcPr>
            <w:tcW w:w="592" w:type="dxa"/>
          </w:tcPr>
          <w:p w14:paraId="6F717EBC" w14:textId="77777777" w:rsidR="00E40F73" w:rsidRPr="00ED1DCA" w:rsidRDefault="00E40F73" w:rsidP="00E40F73">
            <w:pPr>
              <w:pStyle w:val="NoSpacing"/>
              <w:rPr>
                <w:sz w:val="20"/>
              </w:rPr>
            </w:pPr>
          </w:p>
        </w:tc>
        <w:tc>
          <w:tcPr>
            <w:tcW w:w="592" w:type="dxa"/>
          </w:tcPr>
          <w:p w14:paraId="7017E66F" w14:textId="77777777" w:rsidR="00E40F73" w:rsidRPr="00ED1DCA" w:rsidRDefault="00E40F73" w:rsidP="00E40F73">
            <w:pPr>
              <w:pStyle w:val="NoSpacing"/>
              <w:rPr>
                <w:sz w:val="20"/>
              </w:rPr>
            </w:pPr>
          </w:p>
        </w:tc>
        <w:tc>
          <w:tcPr>
            <w:tcW w:w="592" w:type="dxa"/>
          </w:tcPr>
          <w:p w14:paraId="5FF01F24" w14:textId="77777777" w:rsidR="00E40F73" w:rsidRPr="00ED1DCA" w:rsidRDefault="00E40F73" w:rsidP="00E40F73">
            <w:pPr>
              <w:pStyle w:val="NoSpacing"/>
              <w:rPr>
                <w:sz w:val="20"/>
              </w:rPr>
            </w:pPr>
            <w:r>
              <w:rPr>
                <w:sz w:val="20"/>
              </w:rPr>
              <w:t>Y</w:t>
            </w:r>
          </w:p>
        </w:tc>
        <w:tc>
          <w:tcPr>
            <w:tcW w:w="592" w:type="dxa"/>
          </w:tcPr>
          <w:p w14:paraId="19E79ACC" w14:textId="77777777" w:rsidR="00E40F73" w:rsidRPr="00ED1DCA" w:rsidRDefault="00E40F73" w:rsidP="00E40F73">
            <w:pPr>
              <w:pStyle w:val="NoSpacing"/>
              <w:rPr>
                <w:sz w:val="20"/>
              </w:rPr>
            </w:pPr>
          </w:p>
        </w:tc>
        <w:tc>
          <w:tcPr>
            <w:tcW w:w="592" w:type="dxa"/>
          </w:tcPr>
          <w:p w14:paraId="652A3B1B" w14:textId="77777777" w:rsidR="00E40F73" w:rsidRPr="00ED1DCA" w:rsidRDefault="00E40F73" w:rsidP="00E40F73">
            <w:pPr>
              <w:pStyle w:val="NoSpacing"/>
              <w:rPr>
                <w:sz w:val="20"/>
              </w:rPr>
            </w:pPr>
          </w:p>
        </w:tc>
        <w:tc>
          <w:tcPr>
            <w:tcW w:w="592" w:type="dxa"/>
          </w:tcPr>
          <w:p w14:paraId="202A6117" w14:textId="77777777" w:rsidR="00E40F73" w:rsidRPr="00ED1DCA" w:rsidRDefault="00E40F73" w:rsidP="00E40F73">
            <w:pPr>
              <w:pStyle w:val="NoSpacing"/>
              <w:rPr>
                <w:sz w:val="20"/>
              </w:rPr>
            </w:pPr>
          </w:p>
        </w:tc>
        <w:tc>
          <w:tcPr>
            <w:tcW w:w="1233" w:type="dxa"/>
          </w:tcPr>
          <w:p w14:paraId="14DB6083" w14:textId="77777777" w:rsidR="00E40F73" w:rsidRPr="00ED1DCA" w:rsidRDefault="00E40F73" w:rsidP="00E40F73">
            <w:pPr>
              <w:pStyle w:val="NoSpacing"/>
              <w:rPr>
                <w:sz w:val="20"/>
              </w:rPr>
            </w:pPr>
            <w:r w:rsidRPr="00ED1DCA">
              <w:rPr>
                <w:sz w:val="20"/>
              </w:rPr>
              <w:t>Survey</w:t>
            </w:r>
          </w:p>
        </w:tc>
      </w:tr>
      <w:tr w:rsidR="00E40F73" w:rsidRPr="00ED1DCA" w14:paraId="04CB1B31" w14:textId="77777777" w:rsidTr="00E40F73">
        <w:tc>
          <w:tcPr>
            <w:tcW w:w="490" w:type="dxa"/>
          </w:tcPr>
          <w:p w14:paraId="39709481" w14:textId="52D35ED6" w:rsidR="00E40F73" w:rsidRPr="00ED1DCA" w:rsidRDefault="00D90590" w:rsidP="00E40F73">
            <w:pPr>
              <w:pStyle w:val="NoSpacing"/>
              <w:rPr>
                <w:sz w:val="20"/>
              </w:rPr>
            </w:pPr>
            <w:r>
              <w:rPr>
                <w:sz w:val="20"/>
              </w:rPr>
              <w:t>5</w:t>
            </w:r>
            <w:r w:rsidR="00E40F73" w:rsidRPr="00ED1DCA">
              <w:rPr>
                <w:sz w:val="20"/>
              </w:rPr>
              <w:t>.2</w:t>
            </w:r>
          </w:p>
        </w:tc>
        <w:tc>
          <w:tcPr>
            <w:tcW w:w="3129" w:type="dxa"/>
          </w:tcPr>
          <w:p w14:paraId="2EFDDB7A" w14:textId="77777777" w:rsidR="00E40F73" w:rsidRPr="00ED1DCA" w:rsidRDefault="00E40F73" w:rsidP="00E40F73">
            <w:pPr>
              <w:pStyle w:val="NoSpacing"/>
              <w:rPr>
                <w:sz w:val="20"/>
              </w:rPr>
            </w:pPr>
            <w:r w:rsidRPr="00ED1DCA">
              <w:rPr>
                <w:sz w:val="20"/>
              </w:rPr>
              <w:t xml:space="preserve">Hygiene and sanitation </w:t>
            </w:r>
            <w:r>
              <w:rPr>
                <w:sz w:val="20"/>
              </w:rPr>
              <w:t xml:space="preserve">knowledge and </w:t>
            </w:r>
            <w:r w:rsidRPr="00ED1DCA">
              <w:rPr>
                <w:sz w:val="20"/>
              </w:rPr>
              <w:t>practices</w:t>
            </w:r>
          </w:p>
        </w:tc>
        <w:tc>
          <w:tcPr>
            <w:tcW w:w="591" w:type="dxa"/>
          </w:tcPr>
          <w:p w14:paraId="5BD99D27" w14:textId="77777777" w:rsidR="00E40F73" w:rsidRPr="00ED1DCA" w:rsidRDefault="00E40F73" w:rsidP="00E40F73">
            <w:pPr>
              <w:pStyle w:val="NoSpacing"/>
              <w:rPr>
                <w:sz w:val="20"/>
              </w:rPr>
            </w:pPr>
          </w:p>
        </w:tc>
        <w:tc>
          <w:tcPr>
            <w:tcW w:w="592" w:type="dxa"/>
          </w:tcPr>
          <w:p w14:paraId="466EC619" w14:textId="77777777" w:rsidR="00E40F73" w:rsidRPr="00ED1DCA" w:rsidRDefault="00E40F73" w:rsidP="00E40F73">
            <w:pPr>
              <w:pStyle w:val="NoSpacing"/>
              <w:rPr>
                <w:sz w:val="20"/>
              </w:rPr>
            </w:pPr>
            <w:r w:rsidRPr="00ED1DCA">
              <w:rPr>
                <w:sz w:val="20"/>
              </w:rPr>
              <w:t>Y</w:t>
            </w:r>
          </w:p>
        </w:tc>
        <w:tc>
          <w:tcPr>
            <w:tcW w:w="592" w:type="dxa"/>
          </w:tcPr>
          <w:p w14:paraId="22B27A43" w14:textId="77777777" w:rsidR="00E40F73" w:rsidRPr="00ED1DCA" w:rsidRDefault="00E40F73" w:rsidP="00E40F73">
            <w:pPr>
              <w:pStyle w:val="NoSpacing"/>
              <w:rPr>
                <w:sz w:val="20"/>
              </w:rPr>
            </w:pPr>
            <w:r w:rsidRPr="00ED1DCA">
              <w:rPr>
                <w:sz w:val="20"/>
              </w:rPr>
              <w:t>Y</w:t>
            </w:r>
          </w:p>
        </w:tc>
        <w:tc>
          <w:tcPr>
            <w:tcW w:w="592" w:type="dxa"/>
          </w:tcPr>
          <w:p w14:paraId="34091343" w14:textId="77777777" w:rsidR="00E40F73" w:rsidRPr="00ED1DCA" w:rsidRDefault="00E40F73" w:rsidP="00E40F73">
            <w:pPr>
              <w:pStyle w:val="NoSpacing"/>
              <w:rPr>
                <w:sz w:val="20"/>
              </w:rPr>
            </w:pPr>
            <w:r>
              <w:rPr>
                <w:sz w:val="20"/>
              </w:rPr>
              <w:t>Y</w:t>
            </w:r>
          </w:p>
        </w:tc>
        <w:tc>
          <w:tcPr>
            <w:tcW w:w="592" w:type="dxa"/>
          </w:tcPr>
          <w:p w14:paraId="5B34D0A6" w14:textId="77777777" w:rsidR="00E40F73" w:rsidRPr="00ED1DCA" w:rsidRDefault="00E40F73" w:rsidP="00E40F73">
            <w:pPr>
              <w:pStyle w:val="NoSpacing"/>
              <w:rPr>
                <w:sz w:val="20"/>
              </w:rPr>
            </w:pPr>
            <w:r w:rsidRPr="00ED1DCA">
              <w:rPr>
                <w:sz w:val="20"/>
              </w:rPr>
              <w:t>Y</w:t>
            </w:r>
          </w:p>
        </w:tc>
        <w:tc>
          <w:tcPr>
            <w:tcW w:w="592" w:type="dxa"/>
          </w:tcPr>
          <w:p w14:paraId="14354BF2" w14:textId="77777777" w:rsidR="00E40F73" w:rsidRPr="00ED1DCA" w:rsidRDefault="00E40F73" w:rsidP="00E40F73">
            <w:pPr>
              <w:pStyle w:val="NoSpacing"/>
              <w:rPr>
                <w:sz w:val="20"/>
              </w:rPr>
            </w:pPr>
          </w:p>
        </w:tc>
        <w:tc>
          <w:tcPr>
            <w:tcW w:w="592" w:type="dxa"/>
          </w:tcPr>
          <w:p w14:paraId="5BAF3C02" w14:textId="77777777" w:rsidR="00E40F73" w:rsidRPr="00ED1DCA" w:rsidRDefault="00E40F73" w:rsidP="00E40F73">
            <w:pPr>
              <w:pStyle w:val="NoSpacing"/>
              <w:rPr>
                <w:sz w:val="20"/>
              </w:rPr>
            </w:pPr>
          </w:p>
        </w:tc>
        <w:tc>
          <w:tcPr>
            <w:tcW w:w="1233" w:type="dxa"/>
          </w:tcPr>
          <w:p w14:paraId="6C9E024C" w14:textId="77777777" w:rsidR="00E40F73" w:rsidRPr="00ED1DCA" w:rsidRDefault="00E40F73" w:rsidP="00E40F73">
            <w:pPr>
              <w:pStyle w:val="NoSpacing"/>
              <w:rPr>
                <w:sz w:val="20"/>
              </w:rPr>
            </w:pPr>
            <w:r w:rsidRPr="00ED1DCA">
              <w:rPr>
                <w:sz w:val="20"/>
              </w:rPr>
              <w:t>Survey</w:t>
            </w:r>
          </w:p>
        </w:tc>
      </w:tr>
      <w:tr w:rsidR="00E40F73" w:rsidRPr="00ED1DCA" w14:paraId="5B338F30" w14:textId="77777777" w:rsidTr="00E40F73">
        <w:tc>
          <w:tcPr>
            <w:tcW w:w="490" w:type="dxa"/>
          </w:tcPr>
          <w:p w14:paraId="7EDEEAC2" w14:textId="77777777" w:rsidR="00E40F73" w:rsidRPr="00ED1DCA" w:rsidRDefault="00E40F73" w:rsidP="00E40F73">
            <w:pPr>
              <w:pStyle w:val="NoSpacing"/>
              <w:rPr>
                <w:sz w:val="20"/>
              </w:rPr>
            </w:pPr>
          </w:p>
        </w:tc>
        <w:tc>
          <w:tcPr>
            <w:tcW w:w="3129" w:type="dxa"/>
          </w:tcPr>
          <w:p w14:paraId="48E10B03" w14:textId="77777777" w:rsidR="00E40F73" w:rsidRPr="00ED1DCA" w:rsidRDefault="00E40F73" w:rsidP="00E40F73">
            <w:pPr>
              <w:pStyle w:val="NoSpacing"/>
              <w:rPr>
                <w:sz w:val="20"/>
              </w:rPr>
            </w:pPr>
          </w:p>
        </w:tc>
        <w:tc>
          <w:tcPr>
            <w:tcW w:w="591" w:type="dxa"/>
          </w:tcPr>
          <w:p w14:paraId="7C7059B6" w14:textId="77777777" w:rsidR="00E40F73" w:rsidRPr="00ED1DCA" w:rsidRDefault="00E40F73" w:rsidP="00E40F73">
            <w:pPr>
              <w:pStyle w:val="NoSpacing"/>
              <w:rPr>
                <w:sz w:val="20"/>
              </w:rPr>
            </w:pPr>
          </w:p>
        </w:tc>
        <w:tc>
          <w:tcPr>
            <w:tcW w:w="592" w:type="dxa"/>
          </w:tcPr>
          <w:p w14:paraId="7D2EA355" w14:textId="77777777" w:rsidR="00E40F73" w:rsidRPr="00ED1DCA" w:rsidRDefault="00E40F73" w:rsidP="00E40F73">
            <w:pPr>
              <w:pStyle w:val="NoSpacing"/>
              <w:rPr>
                <w:sz w:val="20"/>
              </w:rPr>
            </w:pPr>
          </w:p>
        </w:tc>
        <w:tc>
          <w:tcPr>
            <w:tcW w:w="592" w:type="dxa"/>
          </w:tcPr>
          <w:p w14:paraId="013CFCC7" w14:textId="77777777" w:rsidR="00E40F73" w:rsidRPr="00ED1DCA" w:rsidRDefault="00E40F73" w:rsidP="00E40F73">
            <w:pPr>
              <w:pStyle w:val="NoSpacing"/>
              <w:rPr>
                <w:sz w:val="20"/>
              </w:rPr>
            </w:pPr>
          </w:p>
        </w:tc>
        <w:tc>
          <w:tcPr>
            <w:tcW w:w="592" w:type="dxa"/>
          </w:tcPr>
          <w:p w14:paraId="1BBA0C60" w14:textId="77777777" w:rsidR="00E40F73" w:rsidRPr="00ED1DCA" w:rsidRDefault="00E40F73" w:rsidP="00E40F73">
            <w:pPr>
              <w:pStyle w:val="NoSpacing"/>
              <w:rPr>
                <w:sz w:val="20"/>
              </w:rPr>
            </w:pPr>
          </w:p>
        </w:tc>
        <w:tc>
          <w:tcPr>
            <w:tcW w:w="592" w:type="dxa"/>
          </w:tcPr>
          <w:p w14:paraId="4B798D8D" w14:textId="77777777" w:rsidR="00E40F73" w:rsidRPr="00ED1DCA" w:rsidRDefault="00E40F73" w:rsidP="00E40F73">
            <w:pPr>
              <w:pStyle w:val="NoSpacing"/>
              <w:rPr>
                <w:sz w:val="20"/>
              </w:rPr>
            </w:pPr>
          </w:p>
        </w:tc>
        <w:tc>
          <w:tcPr>
            <w:tcW w:w="592" w:type="dxa"/>
          </w:tcPr>
          <w:p w14:paraId="113834ED" w14:textId="77777777" w:rsidR="00E40F73" w:rsidRPr="00ED1DCA" w:rsidRDefault="00E40F73" w:rsidP="00E40F73">
            <w:pPr>
              <w:pStyle w:val="NoSpacing"/>
              <w:rPr>
                <w:sz w:val="20"/>
              </w:rPr>
            </w:pPr>
          </w:p>
        </w:tc>
        <w:tc>
          <w:tcPr>
            <w:tcW w:w="592" w:type="dxa"/>
          </w:tcPr>
          <w:p w14:paraId="34532A09" w14:textId="77777777" w:rsidR="00E40F73" w:rsidRPr="00ED1DCA" w:rsidRDefault="00E40F73" w:rsidP="00E40F73">
            <w:pPr>
              <w:pStyle w:val="NoSpacing"/>
              <w:rPr>
                <w:sz w:val="20"/>
              </w:rPr>
            </w:pPr>
          </w:p>
        </w:tc>
        <w:tc>
          <w:tcPr>
            <w:tcW w:w="1233" w:type="dxa"/>
          </w:tcPr>
          <w:p w14:paraId="75806F1D" w14:textId="77777777" w:rsidR="00E40F73" w:rsidRPr="00ED1DCA" w:rsidRDefault="00E40F73" w:rsidP="00E40F73">
            <w:pPr>
              <w:pStyle w:val="NoSpacing"/>
              <w:rPr>
                <w:sz w:val="20"/>
              </w:rPr>
            </w:pPr>
          </w:p>
        </w:tc>
      </w:tr>
      <w:tr w:rsidR="00E40F73" w:rsidRPr="00ED1DCA" w14:paraId="4B6E14AB" w14:textId="77777777" w:rsidTr="00E40F73">
        <w:tc>
          <w:tcPr>
            <w:tcW w:w="8995" w:type="dxa"/>
            <w:gridSpan w:val="10"/>
          </w:tcPr>
          <w:p w14:paraId="640914C1" w14:textId="77777777" w:rsidR="00E40F73" w:rsidRPr="00ED1DCA" w:rsidRDefault="00E40F73" w:rsidP="00E40F73">
            <w:pPr>
              <w:pStyle w:val="NoSpacing"/>
              <w:rPr>
                <w:sz w:val="20"/>
              </w:rPr>
            </w:pPr>
            <w:r w:rsidRPr="00ED1DCA">
              <w:rPr>
                <w:b/>
                <w:sz w:val="20"/>
              </w:rPr>
              <w:t>Food adequacy</w:t>
            </w:r>
          </w:p>
        </w:tc>
      </w:tr>
      <w:tr w:rsidR="00E40F73" w:rsidRPr="00ED1DCA" w14:paraId="10791FC5" w14:textId="77777777" w:rsidTr="00E40F73">
        <w:tc>
          <w:tcPr>
            <w:tcW w:w="490" w:type="dxa"/>
          </w:tcPr>
          <w:p w14:paraId="591BB4D1" w14:textId="0029BDC5" w:rsidR="00E40F73" w:rsidRPr="00ED1DCA" w:rsidRDefault="00D90590" w:rsidP="00E40F73">
            <w:pPr>
              <w:pStyle w:val="NoSpacing"/>
              <w:rPr>
                <w:sz w:val="20"/>
              </w:rPr>
            </w:pPr>
            <w:r>
              <w:rPr>
                <w:sz w:val="20"/>
              </w:rPr>
              <w:t>6</w:t>
            </w:r>
            <w:r w:rsidR="00E40F73" w:rsidRPr="00ED1DCA">
              <w:rPr>
                <w:sz w:val="20"/>
              </w:rPr>
              <w:t>.1</w:t>
            </w:r>
          </w:p>
        </w:tc>
        <w:tc>
          <w:tcPr>
            <w:tcW w:w="3129" w:type="dxa"/>
          </w:tcPr>
          <w:p w14:paraId="16F4A7D2" w14:textId="77777777" w:rsidR="00E40F73" w:rsidRPr="00ED1DCA" w:rsidRDefault="00E40F73" w:rsidP="00E40F73">
            <w:pPr>
              <w:pStyle w:val="NoSpacing"/>
              <w:rPr>
                <w:sz w:val="20"/>
              </w:rPr>
            </w:pPr>
            <w:r w:rsidRPr="00ED1DCA">
              <w:rPr>
                <w:sz w:val="20"/>
              </w:rPr>
              <w:t>Increased income (to purchase nutritious foods)</w:t>
            </w:r>
          </w:p>
        </w:tc>
        <w:tc>
          <w:tcPr>
            <w:tcW w:w="591" w:type="dxa"/>
          </w:tcPr>
          <w:p w14:paraId="42D6DA5D" w14:textId="77777777" w:rsidR="00E40F73" w:rsidRPr="00ED1DCA" w:rsidRDefault="00E40F73" w:rsidP="00E40F73">
            <w:pPr>
              <w:pStyle w:val="NoSpacing"/>
              <w:rPr>
                <w:sz w:val="20"/>
              </w:rPr>
            </w:pPr>
          </w:p>
        </w:tc>
        <w:tc>
          <w:tcPr>
            <w:tcW w:w="592" w:type="dxa"/>
          </w:tcPr>
          <w:p w14:paraId="4783E8AB" w14:textId="77777777" w:rsidR="00E40F73" w:rsidRPr="00ED1DCA" w:rsidRDefault="00E40F73" w:rsidP="00E40F73">
            <w:pPr>
              <w:pStyle w:val="NoSpacing"/>
              <w:rPr>
                <w:sz w:val="20"/>
              </w:rPr>
            </w:pPr>
          </w:p>
        </w:tc>
        <w:tc>
          <w:tcPr>
            <w:tcW w:w="592" w:type="dxa"/>
          </w:tcPr>
          <w:p w14:paraId="2A81BB85" w14:textId="77777777" w:rsidR="00E40F73" w:rsidRPr="00ED1DCA" w:rsidRDefault="00E40F73" w:rsidP="00E40F73">
            <w:pPr>
              <w:pStyle w:val="NoSpacing"/>
              <w:rPr>
                <w:sz w:val="20"/>
              </w:rPr>
            </w:pPr>
          </w:p>
        </w:tc>
        <w:tc>
          <w:tcPr>
            <w:tcW w:w="592" w:type="dxa"/>
          </w:tcPr>
          <w:p w14:paraId="4E039729" w14:textId="77777777" w:rsidR="00E40F73" w:rsidRPr="00ED1DCA" w:rsidRDefault="00E40F73" w:rsidP="00E40F73">
            <w:pPr>
              <w:pStyle w:val="NoSpacing"/>
              <w:rPr>
                <w:sz w:val="20"/>
              </w:rPr>
            </w:pPr>
          </w:p>
        </w:tc>
        <w:tc>
          <w:tcPr>
            <w:tcW w:w="592" w:type="dxa"/>
          </w:tcPr>
          <w:p w14:paraId="7ACAE26C" w14:textId="77777777" w:rsidR="00E40F73" w:rsidRPr="00ED1DCA" w:rsidRDefault="00E40F73" w:rsidP="00E40F73">
            <w:pPr>
              <w:pStyle w:val="NoSpacing"/>
              <w:rPr>
                <w:sz w:val="20"/>
              </w:rPr>
            </w:pPr>
            <w:r w:rsidRPr="00ED1DCA">
              <w:rPr>
                <w:sz w:val="20"/>
              </w:rPr>
              <w:t>Y</w:t>
            </w:r>
          </w:p>
        </w:tc>
        <w:tc>
          <w:tcPr>
            <w:tcW w:w="592" w:type="dxa"/>
          </w:tcPr>
          <w:p w14:paraId="545D43F7" w14:textId="77777777" w:rsidR="00E40F73" w:rsidRPr="00ED1DCA" w:rsidRDefault="00E40F73" w:rsidP="00E40F73">
            <w:pPr>
              <w:pStyle w:val="NoSpacing"/>
              <w:rPr>
                <w:sz w:val="20"/>
              </w:rPr>
            </w:pPr>
          </w:p>
        </w:tc>
        <w:tc>
          <w:tcPr>
            <w:tcW w:w="592" w:type="dxa"/>
          </w:tcPr>
          <w:p w14:paraId="190548F4" w14:textId="77777777" w:rsidR="00E40F73" w:rsidRPr="00ED1DCA" w:rsidRDefault="00E40F73" w:rsidP="00E40F73">
            <w:pPr>
              <w:pStyle w:val="NoSpacing"/>
              <w:rPr>
                <w:sz w:val="20"/>
              </w:rPr>
            </w:pPr>
            <w:r>
              <w:rPr>
                <w:sz w:val="20"/>
              </w:rPr>
              <w:t>Y</w:t>
            </w:r>
          </w:p>
        </w:tc>
        <w:tc>
          <w:tcPr>
            <w:tcW w:w="1233" w:type="dxa"/>
          </w:tcPr>
          <w:p w14:paraId="7ACC7388" w14:textId="77777777" w:rsidR="00E40F73" w:rsidRPr="00ED1DCA" w:rsidRDefault="00E40F73" w:rsidP="00E40F73">
            <w:pPr>
              <w:pStyle w:val="NoSpacing"/>
              <w:rPr>
                <w:sz w:val="20"/>
              </w:rPr>
            </w:pPr>
            <w:r w:rsidRPr="00ED1DCA">
              <w:rPr>
                <w:sz w:val="20"/>
              </w:rPr>
              <w:t>Survey</w:t>
            </w:r>
          </w:p>
        </w:tc>
      </w:tr>
      <w:tr w:rsidR="00E40F73" w:rsidRPr="00ED1DCA" w14:paraId="6344F71C" w14:textId="77777777" w:rsidTr="00E40F73">
        <w:tc>
          <w:tcPr>
            <w:tcW w:w="490" w:type="dxa"/>
          </w:tcPr>
          <w:p w14:paraId="11C489AF" w14:textId="63829AEF" w:rsidR="00E40F73" w:rsidRPr="00ED1DCA" w:rsidRDefault="00D90590" w:rsidP="00E40F73">
            <w:pPr>
              <w:pStyle w:val="NoSpacing"/>
              <w:rPr>
                <w:sz w:val="20"/>
              </w:rPr>
            </w:pPr>
            <w:r>
              <w:rPr>
                <w:sz w:val="20"/>
              </w:rPr>
              <w:t>6</w:t>
            </w:r>
            <w:r w:rsidR="00E40F73" w:rsidRPr="00ED1DCA">
              <w:rPr>
                <w:sz w:val="20"/>
              </w:rPr>
              <w:t>.2</w:t>
            </w:r>
          </w:p>
        </w:tc>
        <w:tc>
          <w:tcPr>
            <w:tcW w:w="3129" w:type="dxa"/>
          </w:tcPr>
          <w:p w14:paraId="3BE2AC22" w14:textId="77777777" w:rsidR="00E40F73" w:rsidRPr="00ED1DCA" w:rsidRDefault="00E40F73" w:rsidP="00E40F73">
            <w:pPr>
              <w:pStyle w:val="NoSpacing"/>
              <w:rPr>
                <w:sz w:val="20"/>
              </w:rPr>
            </w:pPr>
            <w:r w:rsidRPr="00ED1DCA">
              <w:rPr>
                <w:sz w:val="20"/>
              </w:rPr>
              <w:t>Enhanced dietary diversity</w:t>
            </w:r>
          </w:p>
        </w:tc>
        <w:tc>
          <w:tcPr>
            <w:tcW w:w="591" w:type="dxa"/>
          </w:tcPr>
          <w:p w14:paraId="01F2589E" w14:textId="77777777" w:rsidR="00E40F73" w:rsidRPr="00ED1DCA" w:rsidRDefault="00E40F73" w:rsidP="00E40F73">
            <w:pPr>
              <w:pStyle w:val="NoSpacing"/>
              <w:rPr>
                <w:sz w:val="20"/>
              </w:rPr>
            </w:pPr>
            <w:r>
              <w:rPr>
                <w:sz w:val="20"/>
              </w:rPr>
              <w:t>(Y)</w:t>
            </w:r>
          </w:p>
        </w:tc>
        <w:tc>
          <w:tcPr>
            <w:tcW w:w="592" w:type="dxa"/>
          </w:tcPr>
          <w:p w14:paraId="493E44B8" w14:textId="77777777" w:rsidR="00E40F73" w:rsidRPr="00ED1DCA" w:rsidRDefault="00E40F73" w:rsidP="00E40F73">
            <w:pPr>
              <w:pStyle w:val="NoSpacing"/>
              <w:rPr>
                <w:sz w:val="20"/>
              </w:rPr>
            </w:pPr>
            <w:r w:rsidRPr="00ED1DCA">
              <w:rPr>
                <w:sz w:val="20"/>
              </w:rPr>
              <w:t>Y</w:t>
            </w:r>
          </w:p>
        </w:tc>
        <w:tc>
          <w:tcPr>
            <w:tcW w:w="592" w:type="dxa"/>
          </w:tcPr>
          <w:p w14:paraId="74DF1DD6" w14:textId="77777777" w:rsidR="00E40F73" w:rsidRPr="00ED1DCA" w:rsidRDefault="00E40F73" w:rsidP="00E40F73">
            <w:pPr>
              <w:pStyle w:val="NoSpacing"/>
              <w:rPr>
                <w:sz w:val="20"/>
              </w:rPr>
            </w:pPr>
            <w:r w:rsidRPr="00ED1DCA">
              <w:rPr>
                <w:sz w:val="20"/>
              </w:rPr>
              <w:t>Y</w:t>
            </w:r>
          </w:p>
        </w:tc>
        <w:tc>
          <w:tcPr>
            <w:tcW w:w="592" w:type="dxa"/>
          </w:tcPr>
          <w:p w14:paraId="2E88872A" w14:textId="77777777" w:rsidR="00E40F73" w:rsidRPr="00ED1DCA" w:rsidRDefault="00E40F73" w:rsidP="00E40F73">
            <w:pPr>
              <w:pStyle w:val="NoSpacing"/>
              <w:rPr>
                <w:sz w:val="20"/>
              </w:rPr>
            </w:pPr>
          </w:p>
        </w:tc>
        <w:tc>
          <w:tcPr>
            <w:tcW w:w="592" w:type="dxa"/>
          </w:tcPr>
          <w:p w14:paraId="46B629CE" w14:textId="77777777" w:rsidR="00E40F73" w:rsidRPr="00ED1DCA" w:rsidRDefault="00E40F73" w:rsidP="00E40F73">
            <w:pPr>
              <w:pStyle w:val="NoSpacing"/>
              <w:rPr>
                <w:sz w:val="20"/>
              </w:rPr>
            </w:pPr>
            <w:r>
              <w:rPr>
                <w:sz w:val="20"/>
              </w:rPr>
              <w:t>(Y)</w:t>
            </w:r>
          </w:p>
        </w:tc>
        <w:tc>
          <w:tcPr>
            <w:tcW w:w="592" w:type="dxa"/>
          </w:tcPr>
          <w:p w14:paraId="556E8B9E" w14:textId="77777777" w:rsidR="00E40F73" w:rsidRPr="00ED1DCA" w:rsidRDefault="00E40F73" w:rsidP="00E40F73">
            <w:pPr>
              <w:pStyle w:val="NoSpacing"/>
              <w:rPr>
                <w:sz w:val="20"/>
              </w:rPr>
            </w:pPr>
            <w:r w:rsidRPr="00C55C44">
              <w:rPr>
                <w:sz w:val="20"/>
              </w:rPr>
              <w:t>(Y)</w:t>
            </w:r>
          </w:p>
        </w:tc>
        <w:tc>
          <w:tcPr>
            <w:tcW w:w="592" w:type="dxa"/>
          </w:tcPr>
          <w:p w14:paraId="0CEF06B1" w14:textId="77777777" w:rsidR="00E40F73" w:rsidRPr="00ED1DCA" w:rsidRDefault="00E40F73" w:rsidP="00E40F73">
            <w:pPr>
              <w:pStyle w:val="NoSpacing"/>
              <w:rPr>
                <w:sz w:val="20"/>
              </w:rPr>
            </w:pPr>
            <w:r w:rsidRPr="00C55C44">
              <w:rPr>
                <w:sz w:val="20"/>
              </w:rPr>
              <w:t>(Y)</w:t>
            </w:r>
          </w:p>
        </w:tc>
        <w:tc>
          <w:tcPr>
            <w:tcW w:w="1233" w:type="dxa"/>
          </w:tcPr>
          <w:p w14:paraId="48E0630E" w14:textId="77777777" w:rsidR="00E40F73" w:rsidRPr="00ED1DCA" w:rsidRDefault="00E40F73" w:rsidP="00E40F73">
            <w:pPr>
              <w:pStyle w:val="NoSpacing"/>
              <w:rPr>
                <w:sz w:val="20"/>
              </w:rPr>
            </w:pPr>
            <w:r w:rsidRPr="00ED1DCA">
              <w:rPr>
                <w:sz w:val="20"/>
              </w:rPr>
              <w:t>Survey</w:t>
            </w:r>
          </w:p>
        </w:tc>
      </w:tr>
      <w:tr w:rsidR="00E40F73" w:rsidRPr="00ED1DCA" w14:paraId="144C5186" w14:textId="77777777" w:rsidTr="00E40F73">
        <w:tc>
          <w:tcPr>
            <w:tcW w:w="490" w:type="dxa"/>
          </w:tcPr>
          <w:p w14:paraId="67C8E402" w14:textId="67E7E9CC" w:rsidR="00E40F73" w:rsidRPr="00ED1DCA" w:rsidRDefault="00D90590" w:rsidP="00E40F73">
            <w:pPr>
              <w:pStyle w:val="NoSpacing"/>
              <w:rPr>
                <w:sz w:val="20"/>
              </w:rPr>
            </w:pPr>
            <w:r>
              <w:rPr>
                <w:sz w:val="20"/>
              </w:rPr>
              <w:t>6</w:t>
            </w:r>
            <w:r w:rsidR="00E40F73" w:rsidRPr="00ED1DCA">
              <w:rPr>
                <w:sz w:val="20"/>
              </w:rPr>
              <w:t>.3</w:t>
            </w:r>
          </w:p>
        </w:tc>
        <w:tc>
          <w:tcPr>
            <w:tcW w:w="3129" w:type="dxa"/>
          </w:tcPr>
          <w:p w14:paraId="20DFFDB7" w14:textId="77777777" w:rsidR="00E40F73" w:rsidRPr="00ED1DCA" w:rsidRDefault="00E40F73" w:rsidP="00E40F73">
            <w:pPr>
              <w:pStyle w:val="NoSpacing"/>
              <w:rPr>
                <w:sz w:val="20"/>
              </w:rPr>
            </w:pPr>
            <w:r w:rsidRPr="00ED1DCA">
              <w:rPr>
                <w:sz w:val="20"/>
              </w:rPr>
              <w:t>Access to nutritious foods</w:t>
            </w:r>
          </w:p>
        </w:tc>
        <w:tc>
          <w:tcPr>
            <w:tcW w:w="591" w:type="dxa"/>
          </w:tcPr>
          <w:p w14:paraId="4C1518EA" w14:textId="77777777" w:rsidR="00E40F73" w:rsidRPr="00ED1DCA" w:rsidRDefault="00E40F73" w:rsidP="00E40F73">
            <w:pPr>
              <w:pStyle w:val="NoSpacing"/>
              <w:rPr>
                <w:sz w:val="20"/>
              </w:rPr>
            </w:pPr>
          </w:p>
        </w:tc>
        <w:tc>
          <w:tcPr>
            <w:tcW w:w="592" w:type="dxa"/>
          </w:tcPr>
          <w:p w14:paraId="6069B521" w14:textId="77777777" w:rsidR="00E40F73" w:rsidRPr="00ED1DCA" w:rsidRDefault="00E40F73" w:rsidP="00E40F73">
            <w:pPr>
              <w:pStyle w:val="NoSpacing"/>
              <w:rPr>
                <w:sz w:val="20"/>
              </w:rPr>
            </w:pPr>
          </w:p>
        </w:tc>
        <w:tc>
          <w:tcPr>
            <w:tcW w:w="592" w:type="dxa"/>
          </w:tcPr>
          <w:p w14:paraId="525690F3" w14:textId="77777777" w:rsidR="00E40F73" w:rsidRPr="00ED1DCA" w:rsidRDefault="00E40F73" w:rsidP="00E40F73">
            <w:pPr>
              <w:pStyle w:val="NoSpacing"/>
              <w:rPr>
                <w:sz w:val="20"/>
              </w:rPr>
            </w:pPr>
          </w:p>
        </w:tc>
        <w:tc>
          <w:tcPr>
            <w:tcW w:w="592" w:type="dxa"/>
          </w:tcPr>
          <w:p w14:paraId="5E038B93" w14:textId="77777777" w:rsidR="00E40F73" w:rsidRPr="00ED1DCA" w:rsidRDefault="00E40F73" w:rsidP="00E40F73">
            <w:pPr>
              <w:pStyle w:val="NoSpacing"/>
              <w:rPr>
                <w:sz w:val="20"/>
              </w:rPr>
            </w:pPr>
          </w:p>
        </w:tc>
        <w:tc>
          <w:tcPr>
            <w:tcW w:w="592" w:type="dxa"/>
          </w:tcPr>
          <w:p w14:paraId="490E6350" w14:textId="77777777" w:rsidR="00E40F73" w:rsidRPr="00ED1DCA" w:rsidRDefault="00E40F73" w:rsidP="00E40F73">
            <w:pPr>
              <w:pStyle w:val="NoSpacing"/>
              <w:rPr>
                <w:sz w:val="20"/>
              </w:rPr>
            </w:pPr>
          </w:p>
        </w:tc>
        <w:tc>
          <w:tcPr>
            <w:tcW w:w="592" w:type="dxa"/>
          </w:tcPr>
          <w:p w14:paraId="4804D6E5" w14:textId="77777777" w:rsidR="00E40F73" w:rsidRPr="00ED1DCA" w:rsidRDefault="00E40F73" w:rsidP="00E40F73">
            <w:pPr>
              <w:pStyle w:val="NoSpacing"/>
              <w:rPr>
                <w:sz w:val="20"/>
              </w:rPr>
            </w:pPr>
            <w:r>
              <w:rPr>
                <w:sz w:val="20"/>
              </w:rPr>
              <w:t>Y</w:t>
            </w:r>
          </w:p>
        </w:tc>
        <w:tc>
          <w:tcPr>
            <w:tcW w:w="592" w:type="dxa"/>
          </w:tcPr>
          <w:p w14:paraId="7CB4D911" w14:textId="77777777" w:rsidR="00E40F73" w:rsidRPr="00ED1DCA" w:rsidRDefault="00E40F73" w:rsidP="00E40F73">
            <w:pPr>
              <w:pStyle w:val="NoSpacing"/>
              <w:rPr>
                <w:sz w:val="20"/>
              </w:rPr>
            </w:pPr>
            <w:r>
              <w:rPr>
                <w:sz w:val="20"/>
              </w:rPr>
              <w:t>Y</w:t>
            </w:r>
          </w:p>
        </w:tc>
        <w:tc>
          <w:tcPr>
            <w:tcW w:w="1233" w:type="dxa"/>
          </w:tcPr>
          <w:p w14:paraId="40F86520" w14:textId="77777777" w:rsidR="00E40F73" w:rsidRPr="00ED1DCA" w:rsidRDefault="00E40F73" w:rsidP="00E40F73">
            <w:pPr>
              <w:pStyle w:val="NoSpacing"/>
              <w:rPr>
                <w:sz w:val="20"/>
              </w:rPr>
            </w:pPr>
            <w:r w:rsidRPr="00ED1DCA">
              <w:rPr>
                <w:sz w:val="20"/>
              </w:rPr>
              <w:t>Survey</w:t>
            </w:r>
          </w:p>
        </w:tc>
      </w:tr>
      <w:tr w:rsidR="00E40F73" w:rsidRPr="00ED1DCA" w14:paraId="6B25409C" w14:textId="77777777" w:rsidTr="00E40F73">
        <w:tc>
          <w:tcPr>
            <w:tcW w:w="490" w:type="dxa"/>
          </w:tcPr>
          <w:p w14:paraId="4EE02D70" w14:textId="77777777" w:rsidR="00E40F73" w:rsidRPr="00ED1DCA" w:rsidRDefault="00E40F73" w:rsidP="00E40F73">
            <w:pPr>
              <w:pStyle w:val="NoSpacing"/>
              <w:rPr>
                <w:sz w:val="20"/>
              </w:rPr>
            </w:pPr>
          </w:p>
        </w:tc>
        <w:tc>
          <w:tcPr>
            <w:tcW w:w="3129" w:type="dxa"/>
          </w:tcPr>
          <w:p w14:paraId="093BFE87" w14:textId="77777777" w:rsidR="00E40F73" w:rsidRPr="00ED1DCA" w:rsidRDefault="00E40F73" w:rsidP="00E40F73">
            <w:pPr>
              <w:pStyle w:val="NoSpacing"/>
              <w:rPr>
                <w:sz w:val="20"/>
              </w:rPr>
            </w:pPr>
          </w:p>
        </w:tc>
        <w:tc>
          <w:tcPr>
            <w:tcW w:w="591" w:type="dxa"/>
          </w:tcPr>
          <w:p w14:paraId="5DA0368A" w14:textId="77777777" w:rsidR="00E40F73" w:rsidRPr="00ED1DCA" w:rsidRDefault="00E40F73" w:rsidP="00E40F73">
            <w:pPr>
              <w:pStyle w:val="NoSpacing"/>
              <w:rPr>
                <w:sz w:val="20"/>
              </w:rPr>
            </w:pPr>
          </w:p>
        </w:tc>
        <w:tc>
          <w:tcPr>
            <w:tcW w:w="592" w:type="dxa"/>
          </w:tcPr>
          <w:p w14:paraId="6659407F" w14:textId="77777777" w:rsidR="00E40F73" w:rsidRPr="00ED1DCA" w:rsidRDefault="00E40F73" w:rsidP="00E40F73">
            <w:pPr>
              <w:pStyle w:val="NoSpacing"/>
              <w:rPr>
                <w:sz w:val="20"/>
              </w:rPr>
            </w:pPr>
          </w:p>
        </w:tc>
        <w:tc>
          <w:tcPr>
            <w:tcW w:w="592" w:type="dxa"/>
          </w:tcPr>
          <w:p w14:paraId="090C255A" w14:textId="77777777" w:rsidR="00E40F73" w:rsidRPr="00ED1DCA" w:rsidRDefault="00E40F73" w:rsidP="00E40F73">
            <w:pPr>
              <w:pStyle w:val="NoSpacing"/>
              <w:rPr>
                <w:sz w:val="20"/>
              </w:rPr>
            </w:pPr>
          </w:p>
        </w:tc>
        <w:tc>
          <w:tcPr>
            <w:tcW w:w="592" w:type="dxa"/>
          </w:tcPr>
          <w:p w14:paraId="32019FAC" w14:textId="77777777" w:rsidR="00E40F73" w:rsidRPr="00ED1DCA" w:rsidRDefault="00E40F73" w:rsidP="00E40F73">
            <w:pPr>
              <w:pStyle w:val="NoSpacing"/>
              <w:rPr>
                <w:sz w:val="20"/>
              </w:rPr>
            </w:pPr>
          </w:p>
        </w:tc>
        <w:tc>
          <w:tcPr>
            <w:tcW w:w="592" w:type="dxa"/>
          </w:tcPr>
          <w:p w14:paraId="0357693F" w14:textId="77777777" w:rsidR="00E40F73" w:rsidRPr="00ED1DCA" w:rsidRDefault="00E40F73" w:rsidP="00E40F73">
            <w:pPr>
              <w:pStyle w:val="NoSpacing"/>
              <w:rPr>
                <w:sz w:val="20"/>
              </w:rPr>
            </w:pPr>
          </w:p>
        </w:tc>
        <w:tc>
          <w:tcPr>
            <w:tcW w:w="592" w:type="dxa"/>
          </w:tcPr>
          <w:p w14:paraId="4B6D4E9B" w14:textId="77777777" w:rsidR="00E40F73" w:rsidRPr="00ED1DCA" w:rsidRDefault="00E40F73" w:rsidP="00E40F73">
            <w:pPr>
              <w:pStyle w:val="NoSpacing"/>
              <w:rPr>
                <w:sz w:val="20"/>
              </w:rPr>
            </w:pPr>
          </w:p>
        </w:tc>
        <w:tc>
          <w:tcPr>
            <w:tcW w:w="592" w:type="dxa"/>
          </w:tcPr>
          <w:p w14:paraId="3B6D7D68" w14:textId="77777777" w:rsidR="00E40F73" w:rsidRPr="00ED1DCA" w:rsidRDefault="00E40F73" w:rsidP="00E40F73">
            <w:pPr>
              <w:pStyle w:val="NoSpacing"/>
              <w:rPr>
                <w:sz w:val="20"/>
              </w:rPr>
            </w:pPr>
          </w:p>
        </w:tc>
        <w:tc>
          <w:tcPr>
            <w:tcW w:w="1233" w:type="dxa"/>
          </w:tcPr>
          <w:p w14:paraId="7270C43D" w14:textId="77777777" w:rsidR="00E40F73" w:rsidRPr="00ED1DCA" w:rsidRDefault="00E40F73" w:rsidP="00E40F73">
            <w:pPr>
              <w:pStyle w:val="NoSpacing"/>
              <w:rPr>
                <w:sz w:val="20"/>
              </w:rPr>
            </w:pPr>
          </w:p>
        </w:tc>
      </w:tr>
      <w:tr w:rsidR="00E40F73" w:rsidRPr="00ED1DCA" w14:paraId="399B375F" w14:textId="77777777" w:rsidTr="00E40F73">
        <w:tc>
          <w:tcPr>
            <w:tcW w:w="8995" w:type="dxa"/>
            <w:gridSpan w:val="10"/>
          </w:tcPr>
          <w:p w14:paraId="0F2C829B" w14:textId="32CBE956" w:rsidR="00E40F73" w:rsidRPr="00ED1DCA" w:rsidRDefault="00E40F73" w:rsidP="00E40F73">
            <w:pPr>
              <w:pStyle w:val="NoSpacing"/>
              <w:rPr>
                <w:sz w:val="20"/>
              </w:rPr>
            </w:pPr>
            <w:r w:rsidRPr="00ED1DCA">
              <w:rPr>
                <w:b/>
                <w:sz w:val="20"/>
                <w:u w:val="single"/>
              </w:rPr>
              <w:t>Process indicators</w:t>
            </w:r>
            <w:r>
              <w:rPr>
                <w:b/>
                <w:sz w:val="20"/>
                <w:u w:val="single"/>
              </w:rPr>
              <w:t xml:space="preserve"> (see Appendix for long</w:t>
            </w:r>
            <w:r w:rsidR="00030ECD">
              <w:rPr>
                <w:b/>
                <w:sz w:val="20"/>
                <w:u w:val="single"/>
              </w:rPr>
              <w:t xml:space="preserve">er </w:t>
            </w:r>
            <w:r>
              <w:rPr>
                <w:b/>
                <w:sz w:val="20"/>
                <w:u w:val="single"/>
              </w:rPr>
              <w:t>list)</w:t>
            </w:r>
          </w:p>
        </w:tc>
      </w:tr>
      <w:tr w:rsidR="00E40F73" w:rsidRPr="00ED1DCA" w14:paraId="58270064" w14:textId="77777777" w:rsidTr="00E40F73">
        <w:trPr>
          <w:trHeight w:val="224"/>
        </w:trPr>
        <w:tc>
          <w:tcPr>
            <w:tcW w:w="490" w:type="dxa"/>
          </w:tcPr>
          <w:p w14:paraId="12A800CB" w14:textId="64F72115" w:rsidR="00E40F73" w:rsidRPr="00ED1DCA" w:rsidRDefault="00D90590" w:rsidP="00E40F73">
            <w:pPr>
              <w:pStyle w:val="NoSpacing"/>
              <w:rPr>
                <w:sz w:val="20"/>
              </w:rPr>
            </w:pPr>
            <w:r>
              <w:rPr>
                <w:sz w:val="20"/>
              </w:rPr>
              <w:t>7</w:t>
            </w:r>
            <w:r w:rsidR="00E40F73" w:rsidRPr="00ED1DCA">
              <w:rPr>
                <w:sz w:val="20"/>
              </w:rPr>
              <w:t>.1</w:t>
            </w:r>
          </w:p>
        </w:tc>
        <w:tc>
          <w:tcPr>
            <w:tcW w:w="3129" w:type="dxa"/>
          </w:tcPr>
          <w:p w14:paraId="523337F3" w14:textId="7622D900" w:rsidR="00E40F73" w:rsidRPr="00ED1DCA" w:rsidRDefault="00D77C07" w:rsidP="00E40F73">
            <w:pPr>
              <w:pStyle w:val="NoSpacing"/>
              <w:rPr>
                <w:sz w:val="20"/>
              </w:rPr>
            </w:pPr>
            <w:r>
              <w:rPr>
                <w:sz w:val="20"/>
              </w:rPr>
              <w:t>CT</w:t>
            </w:r>
            <w:r w:rsidR="00E40F73">
              <w:rPr>
                <w:sz w:val="20"/>
              </w:rPr>
              <w:t xml:space="preserve"> </w:t>
            </w:r>
            <w:r w:rsidR="00030ECD">
              <w:rPr>
                <w:sz w:val="20"/>
              </w:rPr>
              <w:t xml:space="preserve">participation and </w:t>
            </w:r>
            <w:r w:rsidR="00E40F73">
              <w:rPr>
                <w:sz w:val="20"/>
              </w:rPr>
              <w:t>requirements</w:t>
            </w:r>
          </w:p>
        </w:tc>
        <w:tc>
          <w:tcPr>
            <w:tcW w:w="591" w:type="dxa"/>
          </w:tcPr>
          <w:p w14:paraId="11F634B4" w14:textId="77777777" w:rsidR="00E40F73" w:rsidRPr="00ED1DCA" w:rsidRDefault="00E40F73" w:rsidP="00E40F73">
            <w:pPr>
              <w:pStyle w:val="NoSpacing"/>
              <w:rPr>
                <w:sz w:val="20"/>
              </w:rPr>
            </w:pPr>
          </w:p>
        </w:tc>
        <w:tc>
          <w:tcPr>
            <w:tcW w:w="592" w:type="dxa"/>
          </w:tcPr>
          <w:p w14:paraId="2D50A58C" w14:textId="77777777" w:rsidR="00E40F73" w:rsidRPr="00ED1DCA" w:rsidRDefault="00E40F73" w:rsidP="00E40F73">
            <w:pPr>
              <w:pStyle w:val="NoSpacing"/>
              <w:rPr>
                <w:sz w:val="20"/>
              </w:rPr>
            </w:pPr>
          </w:p>
        </w:tc>
        <w:tc>
          <w:tcPr>
            <w:tcW w:w="592" w:type="dxa"/>
          </w:tcPr>
          <w:p w14:paraId="09EBC2A1" w14:textId="77777777" w:rsidR="00E40F73" w:rsidRPr="00ED1DCA" w:rsidRDefault="00E40F73" w:rsidP="00E40F73">
            <w:pPr>
              <w:pStyle w:val="NoSpacing"/>
              <w:rPr>
                <w:sz w:val="20"/>
              </w:rPr>
            </w:pPr>
          </w:p>
        </w:tc>
        <w:tc>
          <w:tcPr>
            <w:tcW w:w="592" w:type="dxa"/>
          </w:tcPr>
          <w:p w14:paraId="34965B01" w14:textId="77777777" w:rsidR="00E40F73" w:rsidRPr="00ED1DCA" w:rsidRDefault="00E40F73" w:rsidP="00E40F73">
            <w:pPr>
              <w:pStyle w:val="NoSpacing"/>
              <w:rPr>
                <w:sz w:val="20"/>
              </w:rPr>
            </w:pPr>
          </w:p>
        </w:tc>
        <w:tc>
          <w:tcPr>
            <w:tcW w:w="592" w:type="dxa"/>
          </w:tcPr>
          <w:p w14:paraId="072DF7E7" w14:textId="77777777" w:rsidR="00E40F73" w:rsidRPr="00ED1DCA" w:rsidRDefault="00E40F73" w:rsidP="00E40F73">
            <w:pPr>
              <w:pStyle w:val="NoSpacing"/>
              <w:rPr>
                <w:sz w:val="20"/>
              </w:rPr>
            </w:pPr>
            <w:r>
              <w:rPr>
                <w:sz w:val="20"/>
              </w:rPr>
              <w:t>Y</w:t>
            </w:r>
          </w:p>
        </w:tc>
        <w:tc>
          <w:tcPr>
            <w:tcW w:w="592" w:type="dxa"/>
          </w:tcPr>
          <w:p w14:paraId="098C17C9" w14:textId="77777777" w:rsidR="00E40F73" w:rsidRPr="00ED1DCA" w:rsidRDefault="00E40F73" w:rsidP="00E40F73">
            <w:pPr>
              <w:pStyle w:val="NoSpacing"/>
              <w:rPr>
                <w:sz w:val="20"/>
              </w:rPr>
            </w:pPr>
          </w:p>
        </w:tc>
        <w:tc>
          <w:tcPr>
            <w:tcW w:w="592" w:type="dxa"/>
          </w:tcPr>
          <w:p w14:paraId="5E793CB4" w14:textId="77777777" w:rsidR="00E40F73" w:rsidRPr="00ED1DCA" w:rsidRDefault="00E40F73" w:rsidP="00E40F73">
            <w:pPr>
              <w:pStyle w:val="NoSpacing"/>
              <w:rPr>
                <w:sz w:val="20"/>
              </w:rPr>
            </w:pPr>
          </w:p>
        </w:tc>
        <w:tc>
          <w:tcPr>
            <w:tcW w:w="1233" w:type="dxa"/>
          </w:tcPr>
          <w:p w14:paraId="6C1AB88E" w14:textId="30D89B3C" w:rsidR="00E40F73" w:rsidRPr="00ED1DCA" w:rsidRDefault="00E40F73" w:rsidP="00E40F73">
            <w:pPr>
              <w:pStyle w:val="NoSpacing"/>
              <w:rPr>
                <w:sz w:val="20"/>
              </w:rPr>
            </w:pPr>
            <w:r w:rsidRPr="00ED1DCA">
              <w:rPr>
                <w:sz w:val="20"/>
              </w:rPr>
              <w:t>Admin</w:t>
            </w:r>
            <w:r>
              <w:rPr>
                <w:sz w:val="20"/>
              </w:rPr>
              <w:t xml:space="preserve"> and survey</w:t>
            </w:r>
          </w:p>
        </w:tc>
      </w:tr>
      <w:tr w:rsidR="00E40F73" w:rsidRPr="00ED1DCA" w14:paraId="7B0ABD34" w14:textId="77777777" w:rsidTr="00E40F73">
        <w:tc>
          <w:tcPr>
            <w:tcW w:w="490" w:type="dxa"/>
          </w:tcPr>
          <w:p w14:paraId="6B46F03D" w14:textId="13284A24" w:rsidR="00E40F73" w:rsidRPr="00ED1DCA" w:rsidRDefault="00D90590" w:rsidP="00E40F73">
            <w:pPr>
              <w:pStyle w:val="NoSpacing"/>
              <w:rPr>
                <w:sz w:val="20"/>
              </w:rPr>
            </w:pPr>
            <w:r>
              <w:rPr>
                <w:sz w:val="20"/>
              </w:rPr>
              <w:t>7</w:t>
            </w:r>
            <w:r w:rsidR="00E40F73" w:rsidRPr="00ED1DCA">
              <w:rPr>
                <w:sz w:val="20"/>
              </w:rPr>
              <w:t>.2</w:t>
            </w:r>
          </w:p>
        </w:tc>
        <w:tc>
          <w:tcPr>
            <w:tcW w:w="3129" w:type="dxa"/>
          </w:tcPr>
          <w:p w14:paraId="1B7B544A" w14:textId="77777777" w:rsidR="00E40F73" w:rsidRPr="00ED1DCA" w:rsidRDefault="00E40F73" w:rsidP="00E40F73">
            <w:pPr>
              <w:pStyle w:val="NoSpacing"/>
              <w:rPr>
                <w:sz w:val="20"/>
              </w:rPr>
            </w:pPr>
            <w:r>
              <w:rPr>
                <w:sz w:val="20"/>
              </w:rPr>
              <w:t>Encounters with CHW</w:t>
            </w:r>
          </w:p>
        </w:tc>
        <w:tc>
          <w:tcPr>
            <w:tcW w:w="591" w:type="dxa"/>
          </w:tcPr>
          <w:p w14:paraId="655D65BC" w14:textId="77777777" w:rsidR="00E40F73" w:rsidRPr="00ED1DCA" w:rsidRDefault="00E40F73" w:rsidP="00E40F73">
            <w:pPr>
              <w:pStyle w:val="NoSpacing"/>
              <w:rPr>
                <w:sz w:val="20"/>
              </w:rPr>
            </w:pPr>
          </w:p>
        </w:tc>
        <w:tc>
          <w:tcPr>
            <w:tcW w:w="592" w:type="dxa"/>
          </w:tcPr>
          <w:p w14:paraId="4B14C8BE" w14:textId="77777777" w:rsidR="00E40F73" w:rsidRPr="00ED1DCA" w:rsidRDefault="00E40F73" w:rsidP="00E40F73">
            <w:pPr>
              <w:pStyle w:val="NoSpacing"/>
              <w:rPr>
                <w:sz w:val="20"/>
              </w:rPr>
            </w:pPr>
            <w:r>
              <w:rPr>
                <w:sz w:val="20"/>
              </w:rPr>
              <w:t>Y</w:t>
            </w:r>
          </w:p>
        </w:tc>
        <w:tc>
          <w:tcPr>
            <w:tcW w:w="592" w:type="dxa"/>
          </w:tcPr>
          <w:p w14:paraId="77660CFE" w14:textId="77777777" w:rsidR="00E40F73" w:rsidRPr="00ED1DCA" w:rsidRDefault="00E40F73" w:rsidP="00E40F73">
            <w:pPr>
              <w:pStyle w:val="NoSpacing"/>
              <w:rPr>
                <w:sz w:val="20"/>
              </w:rPr>
            </w:pPr>
          </w:p>
        </w:tc>
        <w:tc>
          <w:tcPr>
            <w:tcW w:w="592" w:type="dxa"/>
          </w:tcPr>
          <w:p w14:paraId="210D62AA" w14:textId="77777777" w:rsidR="00E40F73" w:rsidRPr="00ED1DCA" w:rsidRDefault="00E40F73" w:rsidP="00E40F73">
            <w:pPr>
              <w:pStyle w:val="NoSpacing"/>
              <w:rPr>
                <w:sz w:val="20"/>
              </w:rPr>
            </w:pPr>
          </w:p>
        </w:tc>
        <w:tc>
          <w:tcPr>
            <w:tcW w:w="592" w:type="dxa"/>
          </w:tcPr>
          <w:p w14:paraId="198EC6F0" w14:textId="77777777" w:rsidR="00E40F73" w:rsidRPr="00ED1DCA" w:rsidRDefault="00E40F73" w:rsidP="00E40F73">
            <w:pPr>
              <w:pStyle w:val="NoSpacing"/>
              <w:rPr>
                <w:sz w:val="20"/>
              </w:rPr>
            </w:pPr>
          </w:p>
        </w:tc>
        <w:tc>
          <w:tcPr>
            <w:tcW w:w="592" w:type="dxa"/>
          </w:tcPr>
          <w:p w14:paraId="15729AFD" w14:textId="77777777" w:rsidR="00E40F73" w:rsidRPr="00ED1DCA" w:rsidRDefault="00E40F73" w:rsidP="00E40F73">
            <w:pPr>
              <w:pStyle w:val="NoSpacing"/>
              <w:rPr>
                <w:sz w:val="20"/>
              </w:rPr>
            </w:pPr>
          </w:p>
        </w:tc>
        <w:tc>
          <w:tcPr>
            <w:tcW w:w="592" w:type="dxa"/>
          </w:tcPr>
          <w:p w14:paraId="68B09F6B" w14:textId="77777777" w:rsidR="00E40F73" w:rsidRPr="00ED1DCA" w:rsidRDefault="00E40F73" w:rsidP="00E40F73">
            <w:pPr>
              <w:pStyle w:val="NoSpacing"/>
              <w:rPr>
                <w:sz w:val="20"/>
              </w:rPr>
            </w:pPr>
          </w:p>
        </w:tc>
        <w:tc>
          <w:tcPr>
            <w:tcW w:w="1233" w:type="dxa"/>
          </w:tcPr>
          <w:p w14:paraId="5AE0BEF6" w14:textId="047F3BCE" w:rsidR="00E40F73" w:rsidRPr="00ED1DCA" w:rsidRDefault="00E40F73" w:rsidP="00E40F73">
            <w:pPr>
              <w:pStyle w:val="NoSpacing"/>
              <w:rPr>
                <w:sz w:val="20"/>
              </w:rPr>
            </w:pPr>
            <w:r w:rsidRPr="00ED1DCA">
              <w:rPr>
                <w:sz w:val="20"/>
              </w:rPr>
              <w:t>Admin</w:t>
            </w:r>
            <w:r>
              <w:rPr>
                <w:sz w:val="20"/>
              </w:rPr>
              <w:t xml:space="preserve"> and survey</w:t>
            </w:r>
          </w:p>
        </w:tc>
      </w:tr>
      <w:tr w:rsidR="00E40F73" w:rsidRPr="00ED1DCA" w14:paraId="636A045E" w14:textId="77777777" w:rsidTr="00E40F73">
        <w:tc>
          <w:tcPr>
            <w:tcW w:w="490" w:type="dxa"/>
          </w:tcPr>
          <w:p w14:paraId="66096BEC" w14:textId="77BD8E73" w:rsidR="00E40F73" w:rsidRPr="00ED1DCA" w:rsidRDefault="00D90590" w:rsidP="00E40F73">
            <w:pPr>
              <w:pStyle w:val="NoSpacing"/>
              <w:rPr>
                <w:sz w:val="20"/>
              </w:rPr>
            </w:pPr>
            <w:r>
              <w:rPr>
                <w:sz w:val="20"/>
              </w:rPr>
              <w:t>7</w:t>
            </w:r>
            <w:r w:rsidR="00E40F73" w:rsidRPr="00ED1DCA">
              <w:rPr>
                <w:sz w:val="20"/>
              </w:rPr>
              <w:t>.3</w:t>
            </w:r>
          </w:p>
        </w:tc>
        <w:tc>
          <w:tcPr>
            <w:tcW w:w="3129" w:type="dxa"/>
          </w:tcPr>
          <w:p w14:paraId="127E3CA4" w14:textId="77777777" w:rsidR="00E40F73" w:rsidRPr="00ED1DCA" w:rsidRDefault="00E40F73" w:rsidP="00E40F73">
            <w:pPr>
              <w:pStyle w:val="NoSpacing"/>
              <w:rPr>
                <w:sz w:val="20"/>
              </w:rPr>
            </w:pPr>
            <w:r w:rsidRPr="00ED1DCA">
              <w:rPr>
                <w:sz w:val="20"/>
              </w:rPr>
              <w:t>Encounters with ECD</w:t>
            </w:r>
          </w:p>
        </w:tc>
        <w:tc>
          <w:tcPr>
            <w:tcW w:w="591" w:type="dxa"/>
          </w:tcPr>
          <w:p w14:paraId="0FE91561" w14:textId="77777777" w:rsidR="00E40F73" w:rsidRPr="00ED1DCA" w:rsidRDefault="00E40F73" w:rsidP="00E40F73">
            <w:pPr>
              <w:pStyle w:val="NoSpacing"/>
              <w:rPr>
                <w:sz w:val="20"/>
              </w:rPr>
            </w:pPr>
          </w:p>
        </w:tc>
        <w:tc>
          <w:tcPr>
            <w:tcW w:w="592" w:type="dxa"/>
          </w:tcPr>
          <w:p w14:paraId="7BE5EDBF" w14:textId="77777777" w:rsidR="00E40F73" w:rsidRPr="00ED1DCA" w:rsidRDefault="00E40F73" w:rsidP="00E40F73">
            <w:pPr>
              <w:pStyle w:val="NoSpacing"/>
              <w:rPr>
                <w:sz w:val="20"/>
              </w:rPr>
            </w:pPr>
          </w:p>
        </w:tc>
        <w:tc>
          <w:tcPr>
            <w:tcW w:w="592" w:type="dxa"/>
          </w:tcPr>
          <w:p w14:paraId="3EDEAB7A" w14:textId="77777777" w:rsidR="00E40F73" w:rsidRPr="00ED1DCA" w:rsidRDefault="00E40F73" w:rsidP="00E40F73">
            <w:pPr>
              <w:pStyle w:val="NoSpacing"/>
              <w:rPr>
                <w:sz w:val="20"/>
              </w:rPr>
            </w:pPr>
            <w:r>
              <w:rPr>
                <w:sz w:val="20"/>
              </w:rPr>
              <w:t>Y</w:t>
            </w:r>
          </w:p>
        </w:tc>
        <w:tc>
          <w:tcPr>
            <w:tcW w:w="592" w:type="dxa"/>
          </w:tcPr>
          <w:p w14:paraId="7F654128" w14:textId="77777777" w:rsidR="00E40F73" w:rsidRPr="00ED1DCA" w:rsidRDefault="00E40F73" w:rsidP="00E40F73">
            <w:pPr>
              <w:pStyle w:val="NoSpacing"/>
              <w:rPr>
                <w:sz w:val="20"/>
              </w:rPr>
            </w:pPr>
          </w:p>
        </w:tc>
        <w:tc>
          <w:tcPr>
            <w:tcW w:w="592" w:type="dxa"/>
          </w:tcPr>
          <w:p w14:paraId="6A819390" w14:textId="77777777" w:rsidR="00E40F73" w:rsidRPr="00ED1DCA" w:rsidRDefault="00E40F73" w:rsidP="00E40F73">
            <w:pPr>
              <w:pStyle w:val="NoSpacing"/>
              <w:rPr>
                <w:sz w:val="20"/>
              </w:rPr>
            </w:pPr>
          </w:p>
        </w:tc>
        <w:tc>
          <w:tcPr>
            <w:tcW w:w="592" w:type="dxa"/>
          </w:tcPr>
          <w:p w14:paraId="0806FB38" w14:textId="77777777" w:rsidR="00E40F73" w:rsidRPr="00ED1DCA" w:rsidRDefault="00E40F73" w:rsidP="00E40F73">
            <w:pPr>
              <w:pStyle w:val="NoSpacing"/>
              <w:rPr>
                <w:sz w:val="20"/>
              </w:rPr>
            </w:pPr>
          </w:p>
        </w:tc>
        <w:tc>
          <w:tcPr>
            <w:tcW w:w="592" w:type="dxa"/>
          </w:tcPr>
          <w:p w14:paraId="0EE04925" w14:textId="77777777" w:rsidR="00E40F73" w:rsidRPr="00ED1DCA" w:rsidRDefault="00E40F73" w:rsidP="00E40F73">
            <w:pPr>
              <w:pStyle w:val="NoSpacing"/>
              <w:rPr>
                <w:sz w:val="20"/>
              </w:rPr>
            </w:pPr>
          </w:p>
        </w:tc>
        <w:tc>
          <w:tcPr>
            <w:tcW w:w="1233" w:type="dxa"/>
          </w:tcPr>
          <w:p w14:paraId="4D62D3F4" w14:textId="2F38970A" w:rsidR="00E40F73" w:rsidRPr="00ED1DCA" w:rsidRDefault="00E40F73" w:rsidP="00E40F73">
            <w:pPr>
              <w:pStyle w:val="NoSpacing"/>
              <w:rPr>
                <w:sz w:val="20"/>
              </w:rPr>
            </w:pPr>
            <w:r w:rsidRPr="00ED1DCA">
              <w:rPr>
                <w:sz w:val="20"/>
              </w:rPr>
              <w:t>Admin</w:t>
            </w:r>
            <w:r>
              <w:rPr>
                <w:sz w:val="20"/>
              </w:rPr>
              <w:t xml:space="preserve"> and survey</w:t>
            </w:r>
          </w:p>
        </w:tc>
      </w:tr>
    </w:tbl>
    <w:p w14:paraId="6EB92FEE" w14:textId="302F97C4" w:rsidR="009064DB" w:rsidRDefault="009064DB" w:rsidP="009064DB">
      <w:pPr>
        <w:pStyle w:val="NoSpacing"/>
      </w:pPr>
    </w:p>
    <w:p w14:paraId="5170BD96" w14:textId="77777777" w:rsidR="009064DB" w:rsidRDefault="009064DB" w:rsidP="009064DB">
      <w:pPr>
        <w:pStyle w:val="NoSpacing"/>
      </w:pPr>
      <w:r>
        <w:t>Y = likely affected</w:t>
      </w:r>
    </w:p>
    <w:p w14:paraId="6D2614B5" w14:textId="77777777" w:rsidR="009064DB" w:rsidRDefault="009064DB" w:rsidP="009064DB">
      <w:pPr>
        <w:pStyle w:val="NoSpacing"/>
      </w:pPr>
      <w:r>
        <w:t>(Y) = maybe affected</w:t>
      </w:r>
    </w:p>
    <w:p w14:paraId="68F54F33" w14:textId="75F8677D" w:rsidR="009064DB" w:rsidRDefault="009064DB" w:rsidP="009064DB">
      <w:pPr>
        <w:pStyle w:val="NoSpacing"/>
      </w:pPr>
      <w:r>
        <w:t>Blank = likely not affected</w:t>
      </w:r>
    </w:p>
    <w:p w14:paraId="55A720EB" w14:textId="77777777" w:rsidR="00030ECD" w:rsidRDefault="00030ECD" w:rsidP="009064DB">
      <w:pPr>
        <w:pStyle w:val="NoSpacing"/>
      </w:pPr>
    </w:p>
    <w:p w14:paraId="101DD7AC" w14:textId="77777777" w:rsidR="00271AD1" w:rsidRDefault="00271AD1" w:rsidP="00271AD1">
      <w:pPr>
        <w:pStyle w:val="Heading2"/>
      </w:pPr>
      <w:bookmarkStart w:id="23" w:name="_Toc520742201"/>
      <w:bookmarkStart w:id="24" w:name="_Toc69728398"/>
      <w:r>
        <w:t>Data sources</w:t>
      </w:r>
      <w:bookmarkEnd w:id="23"/>
      <w:bookmarkEnd w:id="24"/>
    </w:p>
    <w:p w14:paraId="63E79748" w14:textId="205BC30A" w:rsidR="00271AD1" w:rsidRDefault="00271AD1" w:rsidP="00271AD1">
      <w:pPr>
        <w:pStyle w:val="NoSpacing"/>
      </w:pPr>
      <w:r>
        <w:t>The two main data sources are primary data from surveys and secondary data from administrative records.</w:t>
      </w:r>
      <w:r w:rsidR="009064DB">
        <w:t xml:space="preserve"> </w:t>
      </w:r>
      <w:r>
        <w:t xml:space="preserve">The administrative data sources include the </w:t>
      </w:r>
      <w:r w:rsidR="00741706">
        <w:t xml:space="preserve">delivery registers at health facilities, the </w:t>
      </w:r>
      <w:r>
        <w:t>existing health management information system (</w:t>
      </w:r>
      <w:r w:rsidR="00894B08">
        <w:t xml:space="preserve">HMIS, </w:t>
      </w:r>
      <w:r>
        <w:t>which also captures data from CHWs) and the data system that tracks adherence to co</w:t>
      </w:r>
      <w:r w:rsidR="00A86F06">
        <w:t>-responsibilities</w:t>
      </w:r>
      <w:r>
        <w:t xml:space="preserve"> of the </w:t>
      </w:r>
      <w:r w:rsidR="00D77C07">
        <w:t>CT</w:t>
      </w:r>
      <w:r>
        <w:t xml:space="preserve"> (only in areas where the </w:t>
      </w:r>
      <w:r w:rsidR="00D77C07">
        <w:t>CT</w:t>
      </w:r>
      <w:r>
        <w:t xml:space="preserve"> is active).</w:t>
      </w:r>
      <w:r w:rsidR="00F541E3">
        <w:t xml:space="preserve"> More information on </w:t>
      </w:r>
      <w:r w:rsidR="00F541E3" w:rsidRPr="00F541E3">
        <w:t>data sources to inform evaluation design and supplement primary data</w:t>
      </w:r>
      <w:r w:rsidR="00F541E3">
        <w:t xml:space="preserve"> are presented in </w:t>
      </w:r>
      <w:r w:rsidR="00F541E3" w:rsidRPr="00F541E3">
        <w:t xml:space="preserve">Annex </w:t>
      </w:r>
      <w:r w:rsidR="00F541E3">
        <w:t>5.</w:t>
      </w:r>
      <w:r w:rsidR="00F541E3" w:rsidRPr="00F541E3">
        <w:t xml:space="preserve"> </w:t>
      </w:r>
    </w:p>
    <w:p w14:paraId="0BB2F2A3" w14:textId="77777777" w:rsidR="00271AD1" w:rsidRDefault="00271AD1" w:rsidP="00271AD1">
      <w:pPr>
        <w:pStyle w:val="NoSpacing"/>
      </w:pPr>
    </w:p>
    <w:p w14:paraId="6B130AB0" w14:textId="4DA80FD9" w:rsidR="00271AD1" w:rsidRDefault="00180C2B" w:rsidP="00271AD1">
      <w:pPr>
        <w:pStyle w:val="Heading2"/>
      </w:pPr>
      <w:bookmarkStart w:id="25" w:name="_Toc520742202"/>
      <w:bookmarkStart w:id="26" w:name="_Toc69728399"/>
      <w:r>
        <w:t xml:space="preserve">Community </w:t>
      </w:r>
      <w:r w:rsidR="00271AD1">
        <w:t>data collection</w:t>
      </w:r>
      <w:bookmarkEnd w:id="25"/>
      <w:bookmarkEnd w:id="26"/>
      <w:r w:rsidR="00C94D14">
        <w:t xml:space="preserve"> </w:t>
      </w:r>
    </w:p>
    <w:p w14:paraId="35BD7746" w14:textId="2B815D3E" w:rsidR="00271AD1" w:rsidRDefault="00271AD1" w:rsidP="00271AD1">
      <w:pPr>
        <w:pStyle w:val="NoSpacing"/>
      </w:pPr>
      <w:r>
        <w:lastRenderedPageBreak/>
        <w:t xml:space="preserve">We will conduct repeated </w:t>
      </w:r>
      <w:r w:rsidR="00894B08">
        <w:t xml:space="preserve">cross-sectional </w:t>
      </w:r>
      <w:r>
        <w:t xml:space="preserve">surveys to </w:t>
      </w:r>
      <w:r w:rsidR="00894B08">
        <w:t>interview caregivers of children under 24-month old and CHWs</w:t>
      </w:r>
      <w:r w:rsidR="000542D2">
        <w:t xml:space="preserve"> who serve the same population</w:t>
      </w:r>
      <w:r w:rsidR="00894B08">
        <w:t xml:space="preserve">. </w:t>
      </w:r>
      <w:r w:rsidR="000542D2">
        <w:t xml:space="preserve">Anthropometric data for children under 2 years old and their biological mothers will also be collected, as well as for all </w:t>
      </w:r>
      <w:r>
        <w:t xml:space="preserve">women who are pregnant </w:t>
      </w:r>
      <w:r w:rsidR="000542D2">
        <w:t xml:space="preserve">(and therefore eligible to receive the </w:t>
      </w:r>
      <w:r w:rsidR="00D77C07">
        <w:t>CT</w:t>
      </w:r>
      <w:r w:rsidR="000542D2">
        <w:t xml:space="preserve">) </w:t>
      </w:r>
      <w:r>
        <w:t>and</w:t>
      </w:r>
      <w:r w:rsidR="000542D2">
        <w:t xml:space="preserve"> living in the same household. </w:t>
      </w:r>
      <w:r>
        <w:t>Finally, we will collect</w:t>
      </w:r>
      <w:r w:rsidR="000542D2">
        <w:t xml:space="preserve"> anthropometric</w:t>
      </w:r>
      <w:r>
        <w:t xml:space="preserve"> data </w:t>
      </w:r>
      <w:r w:rsidR="000542D2">
        <w:t>for any other</w:t>
      </w:r>
      <w:r>
        <w:t xml:space="preserve"> child</w:t>
      </w:r>
      <w:r w:rsidR="000542D2">
        <w:t xml:space="preserve"> under 5</w:t>
      </w:r>
      <w:r>
        <w:t xml:space="preserve"> years old </w:t>
      </w:r>
      <w:r w:rsidR="000542D2">
        <w:t>from</w:t>
      </w:r>
      <w:r>
        <w:t xml:space="preserve"> the same household</w:t>
      </w:r>
      <w:r w:rsidR="009064DB">
        <w:t>s</w:t>
      </w:r>
      <w:r>
        <w:t xml:space="preserve"> </w:t>
      </w:r>
      <w:r w:rsidR="000542D2">
        <w:t>to account for spillover effects</w:t>
      </w:r>
      <w:r>
        <w:t>.</w:t>
      </w:r>
    </w:p>
    <w:p w14:paraId="40959245" w14:textId="77777777" w:rsidR="00271AD1" w:rsidRDefault="00271AD1" w:rsidP="00271AD1">
      <w:pPr>
        <w:pStyle w:val="NoSpacing"/>
      </w:pPr>
    </w:p>
    <w:p w14:paraId="2F8A688A" w14:textId="77777777" w:rsidR="00B34082" w:rsidRDefault="00B34082" w:rsidP="00271AD1">
      <w:pPr>
        <w:pStyle w:val="NoSpacing"/>
      </w:pPr>
    </w:p>
    <w:p w14:paraId="41728B30" w14:textId="642C82A8" w:rsidR="00A362C0" w:rsidRDefault="001D2AFB" w:rsidP="00A362C0">
      <w:pPr>
        <w:pStyle w:val="Heading2"/>
      </w:pPr>
      <w:bookmarkStart w:id="27" w:name="_Toc69728401"/>
      <w:r>
        <w:t xml:space="preserve">Facility </w:t>
      </w:r>
      <w:r w:rsidR="00A362C0">
        <w:t>data collection</w:t>
      </w:r>
      <w:bookmarkEnd w:id="27"/>
      <w:r w:rsidR="00A362C0">
        <w:t xml:space="preserve"> </w:t>
      </w:r>
    </w:p>
    <w:p w14:paraId="3008174C" w14:textId="77777777" w:rsidR="00A362C0" w:rsidRDefault="00A362C0" w:rsidP="00271AD1">
      <w:pPr>
        <w:pStyle w:val="NoSpacing"/>
      </w:pPr>
    </w:p>
    <w:p w14:paraId="2DE39F45" w14:textId="6E20D3C8" w:rsidR="00A362C0" w:rsidDel="00457ADE" w:rsidRDefault="00A362C0" w:rsidP="00A362C0">
      <w:pPr>
        <w:pStyle w:val="NoSpacing"/>
      </w:pPr>
      <w:r w:rsidDel="00457ADE">
        <w:t xml:space="preserve">As </w:t>
      </w:r>
      <w:r w:rsidR="001D2AFB">
        <w:t>previously mentioned in reference to birth weight</w:t>
      </w:r>
      <w:r w:rsidDel="00457ADE">
        <w:t>, a</w:t>
      </w:r>
      <w:r w:rsidR="001D2AFB">
        <w:t>n additional</w:t>
      </w:r>
      <w:r w:rsidDel="00457ADE">
        <w:t xml:space="preserve"> </w:t>
      </w:r>
      <w:r w:rsidR="002C5A11" w:rsidDel="00457ADE">
        <w:t xml:space="preserve">survey </w:t>
      </w:r>
      <w:r w:rsidR="001D2AFB">
        <w:t>will</w:t>
      </w:r>
      <w:r w:rsidDel="00457ADE">
        <w:t xml:space="preserve"> be carried out</w:t>
      </w:r>
      <w:r w:rsidR="001D2AFB">
        <w:t xml:space="preserve"> at the health facility level</w:t>
      </w:r>
      <w:r w:rsidDel="00457ADE">
        <w:t>.</w:t>
      </w:r>
      <w:r w:rsidR="00180C2B">
        <w:t xml:space="preserve"> This survey will not only serve as an opportunity for the retrospective extraction of </w:t>
      </w:r>
      <w:r w:rsidR="003730FE">
        <w:t>administrative data</w:t>
      </w:r>
      <w:r w:rsidR="00807AB2">
        <w:t xml:space="preserve"> </w:t>
      </w:r>
      <w:r w:rsidR="00180C2B">
        <w:t>but will also collect primary data on</w:t>
      </w:r>
      <w:r w:rsidDel="00457ADE">
        <w:t xml:space="preserve"> </w:t>
      </w:r>
      <w:r w:rsidR="00180C2B" w:rsidRPr="00180C2B">
        <w:t>the supply-side of high-impact nutrition and health interventions</w:t>
      </w:r>
      <w:r w:rsidR="00180C2B">
        <w:t>. S</w:t>
      </w:r>
      <w:r w:rsidR="002C5A11" w:rsidDel="00457ADE">
        <w:t>trengthening the delivery of nutrition services at health facilities is a significant component of the SPaR program interventions and a key pathway in the results chain for ultimately improving nutrition outcomes of children under 5.</w:t>
      </w:r>
    </w:p>
    <w:p w14:paraId="1E3EC693" w14:textId="75015837" w:rsidR="002C5A11" w:rsidDel="00457ADE" w:rsidRDefault="002C5A11" w:rsidP="00A362C0">
      <w:pPr>
        <w:pStyle w:val="NoSpacing"/>
      </w:pPr>
    </w:p>
    <w:p w14:paraId="0A73A449" w14:textId="1CA97EF6" w:rsidR="002C5A11" w:rsidDel="00457ADE" w:rsidRDefault="002C5A11" w:rsidP="002C5A11">
      <w:r w:rsidDel="00457ADE">
        <w:t>There are three primary aims for the facility survey:</w:t>
      </w:r>
    </w:p>
    <w:p w14:paraId="11724CD4" w14:textId="34B240C6" w:rsidR="002C5A11" w:rsidDel="00457ADE" w:rsidRDefault="002C5A11" w:rsidP="002C5A11">
      <w:r w:rsidDel="00457ADE">
        <w:t xml:space="preserve">1. To assess the provision and quality of antenatal and growth monitoring and promotion services, with a focus on nutrition, and how these vary according to the SPaR intervention component received, and between data collection rounds. The assessment of service quality will include components on </w:t>
      </w:r>
      <w:r w:rsidRPr="007D2FCF" w:rsidDel="00457ADE">
        <w:t xml:space="preserve">provider knowledge, content of care, patient satisfaction, as well as </w:t>
      </w:r>
      <w:r w:rsidDel="00457ADE">
        <w:t xml:space="preserve">provider </w:t>
      </w:r>
      <w:r w:rsidRPr="007D2FCF" w:rsidDel="00457ADE">
        <w:t xml:space="preserve">trainings, supervisions, </w:t>
      </w:r>
      <w:r w:rsidDel="00457ADE">
        <w:t xml:space="preserve">and </w:t>
      </w:r>
      <w:r w:rsidRPr="007D2FCF" w:rsidDel="00457ADE">
        <w:t>structural quality</w:t>
      </w:r>
      <w:r w:rsidDel="00457ADE">
        <w:t xml:space="preserve">. </w:t>
      </w:r>
    </w:p>
    <w:p w14:paraId="36A81CA3" w14:textId="2B10E7B9" w:rsidR="00741706" w:rsidRDefault="00741706" w:rsidP="002C5A11">
      <w:r>
        <w:t>2</w:t>
      </w:r>
      <w:r w:rsidR="002C5A11" w:rsidDel="00457ADE">
        <w:t>. To monitor whether the expected program activities are being implemented, and how this varies between districts and data collection rounds</w:t>
      </w:r>
      <w:r w:rsidR="000B782C" w:rsidDel="00457ADE">
        <w:t xml:space="preserve"> (see Process evaluation section below)</w:t>
      </w:r>
      <w:r>
        <w:t>; and</w:t>
      </w:r>
    </w:p>
    <w:p w14:paraId="256C0AA6" w14:textId="5E06A51B" w:rsidR="000B782C" w:rsidRDefault="00741706" w:rsidP="002C5A11">
      <w:pPr>
        <w:autoSpaceDE w:val="0"/>
        <w:autoSpaceDN w:val="0"/>
        <w:adjustRightInd w:val="0"/>
      </w:pPr>
      <w:r>
        <w:t>3</w:t>
      </w:r>
      <w:r w:rsidDel="00457ADE">
        <w:t>. To assess the potential impact of the project interventions on birth outcomes, specifically birth weight, using data retro</w:t>
      </w:r>
      <w:r w:rsidR="00807AB2">
        <w:t>spectively</w:t>
      </w:r>
      <w:r w:rsidDel="00457ADE">
        <w:t xml:space="preserve"> extracted from administrative records.</w:t>
      </w:r>
      <w:r w:rsidR="00807AB2">
        <w:t xml:space="preserve"> </w:t>
      </w:r>
      <w:r w:rsidR="002C5A11">
        <w:t>The facility survey will be conducted in all 30 districts of Rwanda:</w:t>
      </w:r>
      <w:r w:rsidR="002C5A11" w:rsidRPr="00FC52A0">
        <w:t xml:space="preserve"> </w:t>
      </w:r>
      <w:r w:rsidR="000B782C">
        <w:t>approximately 50%</w:t>
      </w:r>
      <w:r w:rsidR="002C5A11" w:rsidRPr="00FC52A0">
        <w:t xml:space="preserve"> </w:t>
      </w:r>
      <w:r w:rsidR="000B782C">
        <w:t xml:space="preserve">of the </w:t>
      </w:r>
      <w:r w:rsidR="002C5A11" w:rsidRPr="00FC52A0">
        <w:t>sectors</w:t>
      </w:r>
      <w:r w:rsidR="002C5A11">
        <w:t xml:space="preserve"> </w:t>
      </w:r>
      <w:r w:rsidR="000B782C" w:rsidRPr="00FC52A0">
        <w:t xml:space="preserve">included in the </w:t>
      </w:r>
      <w:r w:rsidR="000B782C">
        <w:t xml:space="preserve">completed baseline </w:t>
      </w:r>
      <w:r w:rsidR="00F32357">
        <w:t>community</w:t>
      </w:r>
      <w:r w:rsidR="000B782C" w:rsidRPr="00FC52A0">
        <w:t xml:space="preserve"> survey</w:t>
      </w:r>
      <w:r w:rsidR="000B782C">
        <w:t xml:space="preserve"> </w:t>
      </w:r>
      <w:r w:rsidR="002C5A11">
        <w:t>– each including at least on</w:t>
      </w:r>
      <w:r w:rsidR="00807AB2">
        <w:t>e</w:t>
      </w:r>
      <w:r w:rsidR="002C5A11">
        <w:t xml:space="preserve"> health center for primary care -</w:t>
      </w:r>
      <w:r w:rsidR="002C5A11" w:rsidRPr="00FC52A0">
        <w:t xml:space="preserve"> will be sub-sampled</w:t>
      </w:r>
      <w:r w:rsidR="00386AD0">
        <w:t xml:space="preserve"> with probability proportionate to size (PPS) of the sector</w:t>
      </w:r>
      <w:r w:rsidR="000B782C">
        <w:t xml:space="preserve"> for inclusion in the study</w:t>
      </w:r>
      <w:r w:rsidR="002C5A11" w:rsidRPr="00FC52A0">
        <w:t>. The</w:t>
      </w:r>
      <w:r w:rsidR="002C5A11">
        <w:t xml:space="preserve"> resulting geographic</w:t>
      </w:r>
      <w:r w:rsidR="002C5A11" w:rsidRPr="00FC52A0">
        <w:t xml:space="preserve"> overlap between the facility and </w:t>
      </w:r>
      <w:r w:rsidR="000916D7">
        <w:t>caregiver</w:t>
      </w:r>
      <w:r w:rsidR="002C5A11" w:rsidRPr="00FC52A0">
        <w:t xml:space="preserve"> survey </w:t>
      </w:r>
      <w:r w:rsidR="002C5A11">
        <w:t>will allow researchers to assess whether</w:t>
      </w:r>
      <w:r w:rsidR="002C5A11" w:rsidRPr="00FC52A0">
        <w:t xml:space="preserve"> the quality of care found at the facility level </w:t>
      </w:r>
      <w:r w:rsidR="002C5A11">
        <w:t>correlate</w:t>
      </w:r>
      <w:r w:rsidR="009D0C95">
        <w:t>s</w:t>
      </w:r>
      <w:r w:rsidR="002C5A11">
        <w:t xml:space="preserve"> with</w:t>
      </w:r>
      <w:r w:rsidR="002C5A11" w:rsidRPr="00FC52A0">
        <w:t xml:space="preserve"> the health outcomes found in the study communities. </w:t>
      </w:r>
    </w:p>
    <w:p w14:paraId="03CF7E3E" w14:textId="3C7DE6B0" w:rsidR="00386AD0" w:rsidRDefault="000B782C" w:rsidP="002D224C">
      <w:r>
        <w:t xml:space="preserve">The facility survey will consist primarily of four data collection activities: (1) health facility questionnaire and checklist, (2) health worker interviews, (3) exit interviews with patients and caregivers, and (4) review and extraction of retrospective </w:t>
      </w:r>
      <w:r w:rsidR="008E5F8A">
        <w:t>birth weight</w:t>
      </w:r>
      <w:r>
        <w:t xml:space="preserve"> </w:t>
      </w:r>
      <w:r w:rsidRPr="000B782C">
        <w:t>data</w:t>
      </w:r>
      <w:r>
        <w:t xml:space="preserve"> from administrative records.</w:t>
      </w:r>
      <w:r w:rsidR="00D27F8B">
        <w:t xml:space="preserve"> Although facility records of birth weight are expected to be widely available in Rwanda, concerns about data quality </w:t>
      </w:r>
      <w:r w:rsidR="002D224C">
        <w:t xml:space="preserve">of retrospectively collected data </w:t>
      </w:r>
      <w:r w:rsidR="00D27F8B">
        <w:t xml:space="preserve">exists. </w:t>
      </w:r>
      <w:r w:rsidR="0027014F">
        <w:t xml:space="preserve">The facility survey will therefore also include validation strategies to offer insights on the quality of the </w:t>
      </w:r>
      <w:r w:rsidR="008E5F8A">
        <w:t>birth weight</w:t>
      </w:r>
      <w:r w:rsidR="0027014F">
        <w:t xml:space="preserve"> data recorded at the facility, </w:t>
      </w:r>
      <w:r w:rsidR="002D224C">
        <w:t xml:space="preserve">as </w:t>
      </w:r>
      <w:r w:rsidR="0027014F">
        <w:t>presented in Annex</w:t>
      </w:r>
      <w:r w:rsidR="00F541E3">
        <w:t xml:space="preserve"> 6</w:t>
      </w:r>
      <w:r w:rsidR="0027014F">
        <w:t>.</w:t>
      </w:r>
    </w:p>
    <w:p w14:paraId="380E1BA0" w14:textId="6F0860E4" w:rsidR="004907C9" w:rsidRDefault="00741706" w:rsidP="00FD673F">
      <w:pPr>
        <w:autoSpaceDE w:val="0"/>
        <w:autoSpaceDN w:val="0"/>
        <w:adjustRightInd w:val="0"/>
      </w:pPr>
      <w:r>
        <w:t xml:space="preserve">While study size to estimate birth weight was already displayed in Table 3, the results of an additional </w:t>
      </w:r>
      <w:r w:rsidR="00386AD0">
        <w:t xml:space="preserve">power analysis to inform study size for sufficient statistical power to estimate </w:t>
      </w:r>
      <w:r w:rsidR="006B4EDB">
        <w:t>quality of antenatal and growth monitoring and promotion services</w:t>
      </w:r>
      <w:r>
        <w:t xml:space="preserve"> are displayed in Table 5 below</w:t>
      </w:r>
      <w:r w:rsidR="00386AD0">
        <w:t>.</w:t>
      </w:r>
      <w:r w:rsidR="004907C9">
        <w:t xml:space="preserve"> </w:t>
      </w:r>
      <w:r w:rsidR="00264F4B">
        <w:t>To distinguish them from the main power analys</w:t>
      </w:r>
      <w:r>
        <w:t>e</w:t>
      </w:r>
      <w:r w:rsidR="00264F4B">
        <w:t>s presented in table 2</w:t>
      </w:r>
      <w:r>
        <w:t xml:space="preserve"> and 3</w:t>
      </w:r>
      <w:r w:rsidR="00264F4B">
        <w:t xml:space="preserve">, the evaluation questions considered include questions </w:t>
      </w:r>
      <w:r>
        <w:t>3</w:t>
      </w:r>
      <w:r w:rsidR="00264F4B">
        <w:t xml:space="preserve"> and</w:t>
      </w:r>
      <w:r w:rsidR="00F70739">
        <w:t xml:space="preserve"> 4</w:t>
      </w:r>
      <w:r w:rsidR="004907C9">
        <w:t>,</w:t>
      </w:r>
      <w:r w:rsidR="00264F4B">
        <w:t xml:space="preserve"> which respectively focus on</w:t>
      </w:r>
      <w:r w:rsidR="004907C9">
        <w:t xml:space="preserve"> quality of antenatal care and quality of growth monitoring and promotion. </w:t>
      </w:r>
      <w:r>
        <w:t>E</w:t>
      </w:r>
      <w:r w:rsidR="004907C9">
        <w:t>stimates were computed with Stata</w:t>
      </w:r>
      <w:r w:rsidR="002C7E79">
        <w:t xml:space="preserve"> version 15</w:t>
      </w:r>
      <w:r w:rsidR="004907C9">
        <w:t xml:space="preserve">'s </w:t>
      </w:r>
      <w:r w:rsidR="004907C9" w:rsidRPr="004907C9">
        <w:rPr>
          <w:i/>
          <w:iCs/>
        </w:rPr>
        <w:t>powersim</w:t>
      </w:r>
      <w:r w:rsidR="004907C9">
        <w:t xml:space="preserve"> command.</w:t>
      </w:r>
    </w:p>
    <w:p w14:paraId="10469E06" w14:textId="494F43FA" w:rsidR="004907C9" w:rsidRDefault="004907C9" w:rsidP="004907C9">
      <w:pPr>
        <w:autoSpaceDE w:val="0"/>
        <w:autoSpaceDN w:val="0"/>
        <w:adjustRightInd w:val="0"/>
      </w:pPr>
      <w:r>
        <w:lastRenderedPageBreak/>
        <w:t xml:space="preserve">The </w:t>
      </w:r>
      <w:r w:rsidR="00264F4B">
        <w:t xml:space="preserve">parameters used </w:t>
      </w:r>
      <w:r w:rsidR="00FD673F">
        <w:t>include</w:t>
      </w:r>
      <w:r w:rsidR="00F70739">
        <w:t xml:space="preserve"> </w:t>
      </w:r>
      <w:r w:rsidR="00FD673F">
        <w:t>PCA indices estimated from caregiver-reported experiences on antenatal care and growth monitoring and promotion</w:t>
      </w:r>
      <w:r w:rsidR="00F70739">
        <w:t xml:space="preserve">, which were </w:t>
      </w:r>
      <w:r w:rsidR="00FD673F">
        <w:t xml:space="preserve">used </w:t>
      </w:r>
      <w:r w:rsidR="00282E88">
        <w:t>to estimate mean</w:t>
      </w:r>
      <w:r w:rsidR="00FD673F">
        <w:t xml:space="preserve"> </w:t>
      </w:r>
      <w:r w:rsidR="00282E88">
        <w:t xml:space="preserve">health </w:t>
      </w:r>
      <w:r w:rsidR="00FD673F">
        <w:t>facility care</w:t>
      </w:r>
      <w:r w:rsidR="00282E88">
        <w:t xml:space="preserve"> quality, and variance</w:t>
      </w:r>
      <w:r w:rsidR="00FD673F">
        <w:t>.</w:t>
      </w:r>
    </w:p>
    <w:p w14:paraId="22794363" w14:textId="25762210" w:rsidR="004907C9" w:rsidRDefault="00282E88" w:rsidP="004907C9">
      <w:pPr>
        <w:autoSpaceDE w:val="0"/>
        <w:autoSpaceDN w:val="0"/>
        <w:adjustRightInd w:val="0"/>
      </w:pPr>
      <w:r>
        <w:t>The</w:t>
      </w:r>
      <w:r w:rsidR="004907C9">
        <w:t xml:space="preserve"> simulations suggest a study design that </w:t>
      </w:r>
      <w:r>
        <w:t xml:space="preserve">includes 5 </w:t>
      </w:r>
      <w:r w:rsidR="002C7E79">
        <w:t>instances of service delivery per facility</w:t>
      </w:r>
      <w:r>
        <w:t xml:space="preserve"> for the estimation of quality of care</w:t>
      </w:r>
      <w:r w:rsidR="004907C9">
        <w:t xml:space="preserve">. A study of this size will be powered to identify </w:t>
      </w:r>
      <w:r>
        <w:t>moderate to large gains in quality of antenatal care and growth monitoring and promotion</w:t>
      </w:r>
      <w:r w:rsidR="004907C9">
        <w:t xml:space="preserve">. </w:t>
      </w:r>
    </w:p>
    <w:p w14:paraId="37E73CBF" w14:textId="25A9BCE4" w:rsidR="00EA210B" w:rsidRDefault="00282E88" w:rsidP="004907C9">
      <w:pPr>
        <w:autoSpaceDE w:val="0"/>
        <w:autoSpaceDN w:val="0"/>
        <w:adjustRightInd w:val="0"/>
        <w:sectPr w:rsidR="00EA210B">
          <w:pgSz w:w="12240" w:h="15840"/>
          <w:pgMar w:top="1440" w:right="1440" w:bottom="1440" w:left="1440" w:header="720" w:footer="720" w:gutter="0"/>
          <w:cols w:space="720"/>
          <w:docGrid w:linePitch="360"/>
        </w:sectPr>
      </w:pPr>
      <w:r>
        <w:t>Once again, additional power is expected to be gained from repeated measurements after baseline,</w:t>
      </w:r>
      <w:r w:rsidR="002C7E79">
        <w:t xml:space="preserve"> as well as</w:t>
      </w:r>
      <w:r>
        <w:t xml:space="preserve"> the use of cluster and individual level control or propensity weights.</w:t>
      </w:r>
    </w:p>
    <w:p w14:paraId="5D87DFC2" w14:textId="26FE4134" w:rsidR="00386AD0" w:rsidRDefault="00386AD0" w:rsidP="00386AD0">
      <w:r>
        <w:lastRenderedPageBreak/>
        <w:t xml:space="preserve">Table </w:t>
      </w:r>
      <w:r w:rsidR="00F70739">
        <w:t>5</w:t>
      </w:r>
      <w:r>
        <w:t xml:space="preserve">. </w:t>
      </w:r>
      <w:r w:rsidRPr="009B58E0">
        <w:t>Additional power analysis using facility collected data</w:t>
      </w:r>
    </w:p>
    <w:tbl>
      <w:tblPr>
        <w:tblW w:w="13046" w:type="dxa"/>
        <w:tblLayout w:type="fixed"/>
        <w:tblLook w:val="04A0" w:firstRow="1" w:lastRow="0" w:firstColumn="1" w:lastColumn="0" w:noHBand="0" w:noVBand="1"/>
      </w:tblPr>
      <w:tblGrid>
        <w:gridCol w:w="1440"/>
        <w:gridCol w:w="1440"/>
        <w:gridCol w:w="2053"/>
        <w:gridCol w:w="1841"/>
        <w:gridCol w:w="1929"/>
        <w:gridCol w:w="2019"/>
        <w:gridCol w:w="2070"/>
        <w:gridCol w:w="18"/>
        <w:gridCol w:w="218"/>
        <w:gridCol w:w="18"/>
      </w:tblGrid>
      <w:tr w:rsidR="00386AD0" w:rsidRPr="009B58E0" w14:paraId="089EF98C" w14:textId="77777777" w:rsidTr="00C15B4E">
        <w:trPr>
          <w:gridAfter w:val="3"/>
          <w:wAfter w:w="254" w:type="dxa"/>
          <w:trHeight w:val="450"/>
        </w:trPr>
        <w:tc>
          <w:tcPr>
            <w:tcW w:w="1440" w:type="dxa"/>
            <w:vMerge w:val="restart"/>
            <w:tcBorders>
              <w:top w:val="nil"/>
              <w:left w:val="nil"/>
              <w:bottom w:val="double" w:sz="6" w:space="0" w:color="000000"/>
              <w:right w:val="nil"/>
            </w:tcBorders>
            <w:shd w:val="clear" w:color="auto" w:fill="auto"/>
            <w:vAlign w:val="center"/>
            <w:hideMark/>
          </w:tcPr>
          <w:p w14:paraId="40A00D70" w14:textId="77777777" w:rsidR="00386AD0" w:rsidRPr="009B58E0" w:rsidRDefault="00386AD0" w:rsidP="00C15B4E">
            <w:pPr>
              <w:spacing w:after="0"/>
              <w:ind w:left="-75"/>
              <w:jc w:val="center"/>
              <w:rPr>
                <w:rFonts w:ascii="Calibri" w:eastAsia="Times New Roman" w:hAnsi="Calibri" w:cs="Calibri"/>
                <w:b/>
                <w:bCs/>
                <w:color w:val="000000"/>
              </w:rPr>
            </w:pPr>
            <w:r w:rsidRPr="009B58E0">
              <w:rPr>
                <w:rFonts w:ascii="Calibri" w:eastAsia="Times New Roman" w:hAnsi="Calibri" w:cs="Calibri"/>
                <w:b/>
                <w:bCs/>
                <w:color w:val="000000"/>
              </w:rPr>
              <w:t>Treatment districts</w:t>
            </w:r>
          </w:p>
        </w:tc>
        <w:tc>
          <w:tcPr>
            <w:tcW w:w="1440" w:type="dxa"/>
            <w:vMerge w:val="restart"/>
            <w:tcBorders>
              <w:top w:val="nil"/>
              <w:left w:val="nil"/>
              <w:bottom w:val="double" w:sz="6" w:space="0" w:color="000000"/>
              <w:right w:val="nil"/>
            </w:tcBorders>
            <w:shd w:val="clear" w:color="auto" w:fill="auto"/>
            <w:vAlign w:val="center"/>
            <w:hideMark/>
          </w:tcPr>
          <w:p w14:paraId="5730541C" w14:textId="77777777" w:rsidR="00386AD0" w:rsidRPr="009B58E0" w:rsidRDefault="00386AD0" w:rsidP="00C15B4E">
            <w:pPr>
              <w:spacing w:after="0"/>
              <w:ind w:left="-75"/>
              <w:jc w:val="center"/>
              <w:rPr>
                <w:rFonts w:ascii="Calibri" w:eastAsia="Times New Roman" w:hAnsi="Calibri" w:cs="Calibri"/>
                <w:b/>
                <w:bCs/>
                <w:color w:val="000000"/>
              </w:rPr>
            </w:pPr>
            <w:r w:rsidRPr="009B58E0">
              <w:rPr>
                <w:rFonts w:ascii="Calibri" w:eastAsia="Times New Roman" w:hAnsi="Calibri" w:cs="Calibri"/>
                <w:b/>
                <w:bCs/>
                <w:color w:val="000000"/>
              </w:rPr>
              <w:t>Control districts</w:t>
            </w:r>
          </w:p>
        </w:tc>
        <w:tc>
          <w:tcPr>
            <w:tcW w:w="2053" w:type="dxa"/>
            <w:vMerge w:val="restart"/>
            <w:tcBorders>
              <w:top w:val="nil"/>
              <w:left w:val="nil"/>
              <w:bottom w:val="double" w:sz="6" w:space="0" w:color="000000"/>
              <w:right w:val="nil"/>
            </w:tcBorders>
            <w:shd w:val="clear" w:color="auto" w:fill="auto"/>
            <w:vAlign w:val="center"/>
            <w:hideMark/>
          </w:tcPr>
          <w:p w14:paraId="74178884" w14:textId="77777777" w:rsidR="00386AD0" w:rsidRPr="009B58E0" w:rsidRDefault="00386AD0" w:rsidP="00C15B4E">
            <w:pPr>
              <w:spacing w:after="0"/>
              <w:ind w:left="-75"/>
              <w:jc w:val="center"/>
              <w:rPr>
                <w:rFonts w:ascii="Calibri" w:eastAsia="Times New Roman" w:hAnsi="Calibri" w:cs="Calibri"/>
                <w:b/>
                <w:bCs/>
                <w:color w:val="000000"/>
              </w:rPr>
            </w:pPr>
            <w:r w:rsidRPr="009B58E0">
              <w:rPr>
                <w:rFonts w:ascii="Calibri" w:eastAsia="Times New Roman" w:hAnsi="Calibri" w:cs="Calibri"/>
                <w:b/>
                <w:bCs/>
                <w:color w:val="000000"/>
              </w:rPr>
              <w:t>Treatment facilities per district</w:t>
            </w:r>
          </w:p>
        </w:tc>
        <w:tc>
          <w:tcPr>
            <w:tcW w:w="1841" w:type="dxa"/>
            <w:vMerge w:val="restart"/>
            <w:tcBorders>
              <w:top w:val="nil"/>
              <w:left w:val="nil"/>
              <w:bottom w:val="double" w:sz="6" w:space="0" w:color="000000"/>
              <w:right w:val="nil"/>
            </w:tcBorders>
            <w:shd w:val="clear" w:color="auto" w:fill="auto"/>
            <w:vAlign w:val="center"/>
            <w:hideMark/>
          </w:tcPr>
          <w:p w14:paraId="45DD21B2" w14:textId="77777777" w:rsidR="00386AD0" w:rsidRPr="009B58E0" w:rsidRDefault="00386AD0" w:rsidP="00C15B4E">
            <w:pPr>
              <w:spacing w:after="0"/>
              <w:ind w:left="-75"/>
              <w:jc w:val="center"/>
              <w:rPr>
                <w:rFonts w:ascii="Calibri" w:eastAsia="Times New Roman" w:hAnsi="Calibri" w:cs="Calibri"/>
                <w:b/>
                <w:bCs/>
                <w:color w:val="000000"/>
              </w:rPr>
            </w:pPr>
            <w:r w:rsidRPr="009B58E0">
              <w:rPr>
                <w:rFonts w:ascii="Calibri" w:eastAsia="Times New Roman" w:hAnsi="Calibri" w:cs="Calibri"/>
                <w:b/>
                <w:bCs/>
                <w:color w:val="000000"/>
              </w:rPr>
              <w:t>Control facilities per district</w:t>
            </w:r>
          </w:p>
        </w:tc>
        <w:tc>
          <w:tcPr>
            <w:tcW w:w="1929" w:type="dxa"/>
            <w:vMerge w:val="restart"/>
            <w:tcBorders>
              <w:top w:val="nil"/>
              <w:left w:val="nil"/>
              <w:bottom w:val="double" w:sz="6" w:space="0" w:color="000000"/>
              <w:right w:val="nil"/>
            </w:tcBorders>
            <w:shd w:val="clear" w:color="auto" w:fill="auto"/>
            <w:vAlign w:val="center"/>
            <w:hideMark/>
          </w:tcPr>
          <w:p w14:paraId="4F627950" w14:textId="77777777" w:rsidR="00386AD0" w:rsidRPr="009B58E0" w:rsidRDefault="00386AD0" w:rsidP="00C15B4E">
            <w:pPr>
              <w:spacing w:after="0"/>
              <w:ind w:left="-75"/>
              <w:jc w:val="center"/>
              <w:rPr>
                <w:rFonts w:ascii="Calibri" w:eastAsia="Times New Roman" w:hAnsi="Calibri" w:cs="Calibri"/>
                <w:b/>
                <w:bCs/>
                <w:color w:val="000000"/>
              </w:rPr>
            </w:pPr>
            <w:r w:rsidRPr="009B58E0">
              <w:rPr>
                <w:rFonts w:ascii="Calibri" w:eastAsia="Times New Roman" w:hAnsi="Calibri" w:cs="Calibri"/>
                <w:b/>
                <w:bCs/>
                <w:color w:val="000000"/>
              </w:rPr>
              <w:t>Individual outcome per facility (service or birth)</w:t>
            </w:r>
          </w:p>
        </w:tc>
        <w:tc>
          <w:tcPr>
            <w:tcW w:w="2019" w:type="dxa"/>
            <w:vMerge w:val="restart"/>
            <w:tcBorders>
              <w:top w:val="nil"/>
              <w:left w:val="nil"/>
              <w:bottom w:val="double" w:sz="6" w:space="0" w:color="000000"/>
              <w:right w:val="nil"/>
            </w:tcBorders>
            <w:shd w:val="clear" w:color="auto" w:fill="auto"/>
            <w:vAlign w:val="center"/>
            <w:hideMark/>
          </w:tcPr>
          <w:p w14:paraId="0FD4CF20" w14:textId="77777777" w:rsidR="00386AD0" w:rsidRPr="009B58E0" w:rsidRDefault="00386AD0" w:rsidP="00C15B4E">
            <w:pPr>
              <w:spacing w:after="0"/>
              <w:ind w:left="-75"/>
              <w:jc w:val="center"/>
              <w:rPr>
                <w:rFonts w:ascii="Calibri" w:eastAsia="Times New Roman" w:hAnsi="Calibri" w:cs="Calibri"/>
                <w:b/>
                <w:bCs/>
                <w:color w:val="000000"/>
              </w:rPr>
            </w:pPr>
            <w:r w:rsidRPr="009B58E0">
              <w:rPr>
                <w:rFonts w:ascii="Calibri" w:eastAsia="Times New Roman" w:hAnsi="Calibri" w:cs="Calibri"/>
                <w:b/>
                <w:bCs/>
                <w:color w:val="000000"/>
              </w:rPr>
              <w:t>Mean outcome at baseline</w:t>
            </w:r>
          </w:p>
        </w:tc>
        <w:tc>
          <w:tcPr>
            <w:tcW w:w="2070" w:type="dxa"/>
            <w:vMerge w:val="restart"/>
            <w:tcBorders>
              <w:top w:val="nil"/>
              <w:left w:val="nil"/>
              <w:bottom w:val="double" w:sz="6" w:space="0" w:color="000000"/>
              <w:right w:val="nil"/>
            </w:tcBorders>
            <w:shd w:val="clear" w:color="auto" w:fill="auto"/>
            <w:vAlign w:val="center"/>
            <w:hideMark/>
          </w:tcPr>
          <w:p w14:paraId="721AC907" w14:textId="77777777" w:rsidR="00386AD0" w:rsidRPr="009B58E0" w:rsidRDefault="00386AD0" w:rsidP="00C15B4E">
            <w:pPr>
              <w:spacing w:after="0"/>
              <w:ind w:left="-75"/>
              <w:jc w:val="center"/>
              <w:rPr>
                <w:rFonts w:ascii="Calibri" w:eastAsia="Times New Roman" w:hAnsi="Calibri" w:cs="Calibri"/>
                <w:b/>
                <w:bCs/>
                <w:color w:val="000000"/>
              </w:rPr>
            </w:pPr>
            <w:r w:rsidRPr="009B58E0">
              <w:rPr>
                <w:rFonts w:ascii="Calibri" w:eastAsia="Times New Roman" w:hAnsi="Calibri" w:cs="Calibri"/>
                <w:b/>
                <w:bCs/>
                <w:color w:val="000000"/>
              </w:rPr>
              <w:t>Variability of outcome due to district</w:t>
            </w:r>
          </w:p>
        </w:tc>
      </w:tr>
      <w:tr w:rsidR="00386AD0" w:rsidRPr="009B58E0" w14:paraId="31756962" w14:textId="77777777" w:rsidTr="00C15B4E">
        <w:trPr>
          <w:gridAfter w:val="1"/>
          <w:wAfter w:w="18" w:type="dxa"/>
          <w:trHeight w:val="288"/>
        </w:trPr>
        <w:tc>
          <w:tcPr>
            <w:tcW w:w="1440" w:type="dxa"/>
            <w:vMerge/>
            <w:tcBorders>
              <w:top w:val="nil"/>
              <w:left w:val="nil"/>
              <w:bottom w:val="double" w:sz="6" w:space="0" w:color="000000"/>
              <w:right w:val="nil"/>
            </w:tcBorders>
            <w:vAlign w:val="center"/>
            <w:hideMark/>
          </w:tcPr>
          <w:p w14:paraId="55D827D4" w14:textId="77777777" w:rsidR="00386AD0" w:rsidRPr="009B58E0" w:rsidRDefault="00386AD0" w:rsidP="00C15B4E">
            <w:pPr>
              <w:spacing w:after="0"/>
              <w:ind w:left="-75"/>
              <w:rPr>
                <w:rFonts w:ascii="Calibri" w:eastAsia="Times New Roman" w:hAnsi="Calibri" w:cs="Calibri"/>
                <w:b/>
                <w:bCs/>
                <w:color w:val="000000"/>
              </w:rPr>
            </w:pPr>
          </w:p>
        </w:tc>
        <w:tc>
          <w:tcPr>
            <w:tcW w:w="1440" w:type="dxa"/>
            <w:vMerge/>
            <w:tcBorders>
              <w:top w:val="nil"/>
              <w:left w:val="nil"/>
              <w:bottom w:val="double" w:sz="6" w:space="0" w:color="000000"/>
              <w:right w:val="nil"/>
            </w:tcBorders>
            <w:vAlign w:val="center"/>
            <w:hideMark/>
          </w:tcPr>
          <w:p w14:paraId="607CE427" w14:textId="77777777" w:rsidR="00386AD0" w:rsidRPr="009B58E0" w:rsidRDefault="00386AD0" w:rsidP="00C15B4E">
            <w:pPr>
              <w:spacing w:after="0"/>
              <w:ind w:left="-75"/>
              <w:rPr>
                <w:rFonts w:ascii="Calibri" w:eastAsia="Times New Roman" w:hAnsi="Calibri" w:cs="Calibri"/>
                <w:b/>
                <w:bCs/>
                <w:color w:val="000000"/>
              </w:rPr>
            </w:pPr>
          </w:p>
        </w:tc>
        <w:tc>
          <w:tcPr>
            <w:tcW w:w="2053" w:type="dxa"/>
            <w:vMerge/>
            <w:tcBorders>
              <w:top w:val="nil"/>
              <w:left w:val="nil"/>
              <w:bottom w:val="double" w:sz="6" w:space="0" w:color="000000"/>
              <w:right w:val="nil"/>
            </w:tcBorders>
            <w:vAlign w:val="center"/>
            <w:hideMark/>
          </w:tcPr>
          <w:p w14:paraId="32499AD7" w14:textId="77777777" w:rsidR="00386AD0" w:rsidRPr="009B58E0" w:rsidRDefault="00386AD0" w:rsidP="00C15B4E">
            <w:pPr>
              <w:spacing w:after="0"/>
              <w:ind w:left="-75"/>
              <w:rPr>
                <w:rFonts w:ascii="Calibri" w:eastAsia="Times New Roman" w:hAnsi="Calibri" w:cs="Calibri"/>
                <w:b/>
                <w:bCs/>
                <w:color w:val="000000"/>
              </w:rPr>
            </w:pPr>
          </w:p>
        </w:tc>
        <w:tc>
          <w:tcPr>
            <w:tcW w:w="1841" w:type="dxa"/>
            <w:vMerge/>
            <w:tcBorders>
              <w:top w:val="nil"/>
              <w:left w:val="nil"/>
              <w:bottom w:val="double" w:sz="6" w:space="0" w:color="000000"/>
              <w:right w:val="nil"/>
            </w:tcBorders>
            <w:vAlign w:val="center"/>
            <w:hideMark/>
          </w:tcPr>
          <w:p w14:paraId="4CC5E872" w14:textId="77777777" w:rsidR="00386AD0" w:rsidRPr="009B58E0" w:rsidRDefault="00386AD0" w:rsidP="00C15B4E">
            <w:pPr>
              <w:spacing w:after="0"/>
              <w:ind w:left="-75"/>
              <w:rPr>
                <w:rFonts w:ascii="Calibri" w:eastAsia="Times New Roman" w:hAnsi="Calibri" w:cs="Calibri"/>
                <w:b/>
                <w:bCs/>
                <w:color w:val="000000"/>
              </w:rPr>
            </w:pPr>
          </w:p>
        </w:tc>
        <w:tc>
          <w:tcPr>
            <w:tcW w:w="1929" w:type="dxa"/>
            <w:vMerge/>
            <w:tcBorders>
              <w:top w:val="nil"/>
              <w:left w:val="nil"/>
              <w:bottom w:val="double" w:sz="6" w:space="0" w:color="000000"/>
              <w:right w:val="nil"/>
            </w:tcBorders>
            <w:vAlign w:val="center"/>
            <w:hideMark/>
          </w:tcPr>
          <w:p w14:paraId="5F733C0C" w14:textId="77777777" w:rsidR="00386AD0" w:rsidRPr="009B58E0" w:rsidRDefault="00386AD0" w:rsidP="00C15B4E">
            <w:pPr>
              <w:spacing w:after="0"/>
              <w:ind w:left="-75"/>
              <w:rPr>
                <w:rFonts w:ascii="Calibri" w:eastAsia="Times New Roman" w:hAnsi="Calibri" w:cs="Calibri"/>
                <w:b/>
                <w:bCs/>
                <w:color w:val="000000"/>
              </w:rPr>
            </w:pPr>
          </w:p>
        </w:tc>
        <w:tc>
          <w:tcPr>
            <w:tcW w:w="2019" w:type="dxa"/>
            <w:vMerge/>
            <w:tcBorders>
              <w:top w:val="nil"/>
              <w:left w:val="nil"/>
              <w:bottom w:val="double" w:sz="6" w:space="0" w:color="000000"/>
              <w:right w:val="nil"/>
            </w:tcBorders>
            <w:vAlign w:val="center"/>
            <w:hideMark/>
          </w:tcPr>
          <w:p w14:paraId="62D38202" w14:textId="77777777" w:rsidR="00386AD0" w:rsidRPr="009B58E0" w:rsidRDefault="00386AD0" w:rsidP="00C15B4E">
            <w:pPr>
              <w:spacing w:after="0"/>
              <w:ind w:left="-75"/>
              <w:rPr>
                <w:rFonts w:ascii="Calibri" w:eastAsia="Times New Roman" w:hAnsi="Calibri" w:cs="Calibri"/>
                <w:b/>
                <w:bCs/>
                <w:color w:val="000000"/>
              </w:rPr>
            </w:pPr>
          </w:p>
        </w:tc>
        <w:tc>
          <w:tcPr>
            <w:tcW w:w="2070" w:type="dxa"/>
            <w:vMerge/>
            <w:tcBorders>
              <w:top w:val="nil"/>
              <w:left w:val="nil"/>
              <w:bottom w:val="double" w:sz="6" w:space="0" w:color="000000"/>
              <w:right w:val="nil"/>
            </w:tcBorders>
            <w:vAlign w:val="center"/>
            <w:hideMark/>
          </w:tcPr>
          <w:p w14:paraId="672F64E9" w14:textId="77777777" w:rsidR="00386AD0" w:rsidRPr="009B58E0" w:rsidRDefault="00386AD0" w:rsidP="00C15B4E">
            <w:pPr>
              <w:spacing w:after="0"/>
              <w:ind w:left="-75"/>
              <w:rPr>
                <w:rFonts w:ascii="Calibri" w:eastAsia="Times New Roman" w:hAnsi="Calibri" w:cs="Calibri"/>
                <w:b/>
                <w:bCs/>
                <w:color w:val="000000"/>
              </w:rPr>
            </w:pPr>
          </w:p>
        </w:tc>
        <w:tc>
          <w:tcPr>
            <w:tcW w:w="236" w:type="dxa"/>
            <w:gridSpan w:val="2"/>
            <w:tcBorders>
              <w:top w:val="nil"/>
              <w:left w:val="nil"/>
              <w:bottom w:val="nil"/>
              <w:right w:val="nil"/>
            </w:tcBorders>
            <w:shd w:val="clear" w:color="auto" w:fill="auto"/>
            <w:noWrap/>
            <w:vAlign w:val="bottom"/>
            <w:hideMark/>
          </w:tcPr>
          <w:p w14:paraId="203F24D9" w14:textId="77777777" w:rsidR="00386AD0" w:rsidRPr="009B58E0" w:rsidRDefault="00386AD0" w:rsidP="00C15B4E">
            <w:pPr>
              <w:spacing w:after="0"/>
              <w:ind w:left="-75"/>
              <w:jc w:val="center"/>
              <w:rPr>
                <w:rFonts w:ascii="Calibri" w:eastAsia="Times New Roman" w:hAnsi="Calibri" w:cs="Calibri"/>
                <w:b/>
                <w:bCs/>
                <w:color w:val="000000"/>
              </w:rPr>
            </w:pPr>
          </w:p>
        </w:tc>
      </w:tr>
      <w:tr w:rsidR="00386AD0" w:rsidRPr="009B58E0" w14:paraId="2772FFA3" w14:textId="77777777" w:rsidTr="00C15B4E">
        <w:trPr>
          <w:gridAfter w:val="1"/>
          <w:wAfter w:w="18" w:type="dxa"/>
          <w:trHeight w:val="90"/>
        </w:trPr>
        <w:tc>
          <w:tcPr>
            <w:tcW w:w="1440" w:type="dxa"/>
            <w:vMerge/>
            <w:tcBorders>
              <w:top w:val="nil"/>
              <w:left w:val="nil"/>
              <w:bottom w:val="double" w:sz="6" w:space="0" w:color="000000"/>
              <w:right w:val="nil"/>
            </w:tcBorders>
            <w:vAlign w:val="center"/>
            <w:hideMark/>
          </w:tcPr>
          <w:p w14:paraId="00589232" w14:textId="77777777" w:rsidR="00386AD0" w:rsidRPr="009B58E0" w:rsidRDefault="00386AD0" w:rsidP="00C15B4E">
            <w:pPr>
              <w:spacing w:after="0"/>
              <w:ind w:left="-75"/>
              <w:rPr>
                <w:rFonts w:ascii="Calibri" w:eastAsia="Times New Roman" w:hAnsi="Calibri" w:cs="Calibri"/>
                <w:b/>
                <w:bCs/>
                <w:color w:val="000000"/>
              </w:rPr>
            </w:pPr>
          </w:p>
        </w:tc>
        <w:tc>
          <w:tcPr>
            <w:tcW w:w="1440" w:type="dxa"/>
            <w:vMerge/>
            <w:tcBorders>
              <w:top w:val="nil"/>
              <w:left w:val="nil"/>
              <w:bottom w:val="double" w:sz="6" w:space="0" w:color="000000"/>
              <w:right w:val="nil"/>
            </w:tcBorders>
            <w:vAlign w:val="center"/>
            <w:hideMark/>
          </w:tcPr>
          <w:p w14:paraId="60ED477A" w14:textId="77777777" w:rsidR="00386AD0" w:rsidRPr="009B58E0" w:rsidRDefault="00386AD0" w:rsidP="00C15B4E">
            <w:pPr>
              <w:spacing w:after="0"/>
              <w:ind w:left="-75"/>
              <w:rPr>
                <w:rFonts w:ascii="Calibri" w:eastAsia="Times New Roman" w:hAnsi="Calibri" w:cs="Calibri"/>
                <w:b/>
                <w:bCs/>
                <w:color w:val="000000"/>
              </w:rPr>
            </w:pPr>
          </w:p>
        </w:tc>
        <w:tc>
          <w:tcPr>
            <w:tcW w:w="2053" w:type="dxa"/>
            <w:vMerge/>
            <w:tcBorders>
              <w:top w:val="nil"/>
              <w:left w:val="nil"/>
              <w:bottom w:val="double" w:sz="6" w:space="0" w:color="000000"/>
              <w:right w:val="nil"/>
            </w:tcBorders>
            <w:vAlign w:val="center"/>
            <w:hideMark/>
          </w:tcPr>
          <w:p w14:paraId="09DBFFD2" w14:textId="77777777" w:rsidR="00386AD0" w:rsidRPr="009B58E0" w:rsidRDefault="00386AD0" w:rsidP="00C15B4E">
            <w:pPr>
              <w:spacing w:after="0"/>
              <w:ind w:left="-75"/>
              <w:rPr>
                <w:rFonts w:ascii="Calibri" w:eastAsia="Times New Roman" w:hAnsi="Calibri" w:cs="Calibri"/>
                <w:b/>
                <w:bCs/>
                <w:color w:val="000000"/>
              </w:rPr>
            </w:pPr>
          </w:p>
        </w:tc>
        <w:tc>
          <w:tcPr>
            <w:tcW w:w="1841" w:type="dxa"/>
            <w:vMerge/>
            <w:tcBorders>
              <w:top w:val="nil"/>
              <w:left w:val="nil"/>
              <w:bottom w:val="double" w:sz="6" w:space="0" w:color="000000"/>
              <w:right w:val="nil"/>
            </w:tcBorders>
            <w:vAlign w:val="center"/>
            <w:hideMark/>
          </w:tcPr>
          <w:p w14:paraId="57F1DDC0" w14:textId="77777777" w:rsidR="00386AD0" w:rsidRPr="009B58E0" w:rsidRDefault="00386AD0" w:rsidP="00C15B4E">
            <w:pPr>
              <w:spacing w:after="0"/>
              <w:ind w:left="-75"/>
              <w:rPr>
                <w:rFonts w:ascii="Calibri" w:eastAsia="Times New Roman" w:hAnsi="Calibri" w:cs="Calibri"/>
                <w:b/>
                <w:bCs/>
                <w:color w:val="000000"/>
              </w:rPr>
            </w:pPr>
          </w:p>
        </w:tc>
        <w:tc>
          <w:tcPr>
            <w:tcW w:w="1929" w:type="dxa"/>
            <w:vMerge/>
            <w:tcBorders>
              <w:top w:val="nil"/>
              <w:left w:val="nil"/>
              <w:bottom w:val="double" w:sz="6" w:space="0" w:color="000000"/>
              <w:right w:val="nil"/>
            </w:tcBorders>
            <w:vAlign w:val="center"/>
            <w:hideMark/>
          </w:tcPr>
          <w:p w14:paraId="74D4ED02" w14:textId="77777777" w:rsidR="00386AD0" w:rsidRPr="009B58E0" w:rsidRDefault="00386AD0" w:rsidP="00C15B4E">
            <w:pPr>
              <w:spacing w:after="0"/>
              <w:ind w:left="-75"/>
              <w:rPr>
                <w:rFonts w:ascii="Calibri" w:eastAsia="Times New Roman" w:hAnsi="Calibri" w:cs="Calibri"/>
                <w:b/>
                <w:bCs/>
                <w:color w:val="000000"/>
              </w:rPr>
            </w:pPr>
          </w:p>
        </w:tc>
        <w:tc>
          <w:tcPr>
            <w:tcW w:w="2019" w:type="dxa"/>
            <w:vMerge/>
            <w:tcBorders>
              <w:top w:val="nil"/>
              <w:left w:val="nil"/>
              <w:bottom w:val="double" w:sz="6" w:space="0" w:color="000000"/>
              <w:right w:val="nil"/>
            </w:tcBorders>
            <w:vAlign w:val="center"/>
            <w:hideMark/>
          </w:tcPr>
          <w:p w14:paraId="279552E6" w14:textId="77777777" w:rsidR="00386AD0" w:rsidRPr="009B58E0" w:rsidRDefault="00386AD0" w:rsidP="00C15B4E">
            <w:pPr>
              <w:spacing w:after="0"/>
              <w:ind w:left="-75"/>
              <w:rPr>
                <w:rFonts w:ascii="Calibri" w:eastAsia="Times New Roman" w:hAnsi="Calibri" w:cs="Calibri"/>
                <w:b/>
                <w:bCs/>
                <w:color w:val="000000"/>
              </w:rPr>
            </w:pPr>
          </w:p>
        </w:tc>
        <w:tc>
          <w:tcPr>
            <w:tcW w:w="2070" w:type="dxa"/>
            <w:vMerge/>
            <w:tcBorders>
              <w:top w:val="nil"/>
              <w:left w:val="nil"/>
              <w:bottom w:val="double" w:sz="6" w:space="0" w:color="000000"/>
              <w:right w:val="nil"/>
            </w:tcBorders>
            <w:vAlign w:val="center"/>
            <w:hideMark/>
          </w:tcPr>
          <w:p w14:paraId="269A0E0F" w14:textId="77777777" w:rsidR="00386AD0" w:rsidRPr="009B58E0" w:rsidRDefault="00386AD0" w:rsidP="00C15B4E">
            <w:pPr>
              <w:spacing w:after="0"/>
              <w:ind w:left="-75"/>
              <w:rPr>
                <w:rFonts w:ascii="Calibri" w:eastAsia="Times New Roman" w:hAnsi="Calibri" w:cs="Calibri"/>
                <w:b/>
                <w:bCs/>
                <w:color w:val="000000"/>
              </w:rPr>
            </w:pPr>
          </w:p>
        </w:tc>
        <w:tc>
          <w:tcPr>
            <w:tcW w:w="236" w:type="dxa"/>
            <w:gridSpan w:val="2"/>
            <w:tcBorders>
              <w:top w:val="nil"/>
              <w:left w:val="nil"/>
              <w:bottom w:val="nil"/>
              <w:right w:val="nil"/>
            </w:tcBorders>
            <w:shd w:val="clear" w:color="auto" w:fill="auto"/>
            <w:noWrap/>
            <w:vAlign w:val="bottom"/>
            <w:hideMark/>
          </w:tcPr>
          <w:p w14:paraId="7F1A1A61" w14:textId="77777777" w:rsidR="00386AD0" w:rsidRPr="009B58E0" w:rsidRDefault="00386AD0" w:rsidP="00C15B4E">
            <w:pPr>
              <w:spacing w:after="0"/>
              <w:ind w:left="-75"/>
              <w:rPr>
                <w:rFonts w:ascii="Times New Roman" w:eastAsia="Times New Roman" w:hAnsi="Times New Roman" w:cs="Times New Roman"/>
                <w:sz w:val="20"/>
                <w:szCs w:val="20"/>
              </w:rPr>
            </w:pPr>
          </w:p>
        </w:tc>
      </w:tr>
      <w:tr w:rsidR="00386AD0" w:rsidRPr="009B58E0" w14:paraId="2CC8BC39" w14:textId="77777777" w:rsidTr="00C15B4E">
        <w:trPr>
          <w:trHeight w:val="288"/>
        </w:trPr>
        <w:tc>
          <w:tcPr>
            <w:tcW w:w="12810" w:type="dxa"/>
            <w:gridSpan w:val="8"/>
            <w:tcBorders>
              <w:top w:val="nil"/>
              <w:left w:val="nil"/>
              <w:bottom w:val="nil"/>
              <w:right w:val="nil"/>
            </w:tcBorders>
            <w:shd w:val="clear" w:color="auto" w:fill="auto"/>
            <w:noWrap/>
            <w:vAlign w:val="center"/>
            <w:hideMark/>
          </w:tcPr>
          <w:p w14:paraId="25FE537E" w14:textId="246553BA" w:rsidR="00386AD0" w:rsidRPr="009B58E0" w:rsidRDefault="00386AD0" w:rsidP="00C15B4E">
            <w:pPr>
              <w:spacing w:after="0"/>
              <w:ind w:left="-75"/>
              <w:rPr>
                <w:rFonts w:ascii="Calibri" w:eastAsia="Times New Roman" w:hAnsi="Calibri" w:cs="Calibri"/>
                <w:color w:val="000000"/>
              </w:rPr>
            </w:pPr>
            <w:r w:rsidRPr="009B58E0">
              <w:rPr>
                <w:rFonts w:ascii="Calibri" w:eastAsia="Times New Roman" w:hAnsi="Calibri" w:cs="Calibri"/>
                <w:color w:val="000000"/>
              </w:rPr>
              <w:t xml:space="preserve">Evaluation question </w:t>
            </w:r>
            <w:r w:rsidR="00F70739">
              <w:rPr>
                <w:rFonts w:ascii="Calibri" w:eastAsia="Times New Roman" w:hAnsi="Calibri" w:cs="Calibri"/>
                <w:color w:val="000000"/>
              </w:rPr>
              <w:t>3</w:t>
            </w:r>
            <w:r w:rsidRPr="009B58E0">
              <w:rPr>
                <w:rFonts w:ascii="Calibri" w:eastAsia="Times New Roman" w:hAnsi="Calibri" w:cs="Calibri"/>
                <w:color w:val="000000"/>
              </w:rPr>
              <w:t>, ANC quality scores, single difference comparison</w:t>
            </w:r>
          </w:p>
        </w:tc>
        <w:tc>
          <w:tcPr>
            <w:tcW w:w="236" w:type="dxa"/>
            <w:gridSpan w:val="2"/>
            <w:vAlign w:val="center"/>
            <w:hideMark/>
          </w:tcPr>
          <w:p w14:paraId="28D5CA90" w14:textId="77777777" w:rsidR="00386AD0" w:rsidRPr="009B58E0" w:rsidRDefault="00386AD0" w:rsidP="00C15B4E">
            <w:pPr>
              <w:spacing w:after="0"/>
              <w:ind w:left="-75"/>
              <w:rPr>
                <w:rFonts w:ascii="Times New Roman" w:eastAsia="Times New Roman" w:hAnsi="Times New Roman" w:cs="Times New Roman"/>
                <w:sz w:val="20"/>
                <w:szCs w:val="20"/>
              </w:rPr>
            </w:pPr>
          </w:p>
        </w:tc>
      </w:tr>
      <w:tr w:rsidR="00386AD0" w:rsidRPr="009B58E0" w14:paraId="31941327" w14:textId="77777777" w:rsidTr="00C15B4E">
        <w:trPr>
          <w:gridAfter w:val="1"/>
          <w:wAfter w:w="18" w:type="dxa"/>
          <w:trHeight w:val="288"/>
        </w:trPr>
        <w:tc>
          <w:tcPr>
            <w:tcW w:w="1440" w:type="dxa"/>
            <w:tcBorders>
              <w:top w:val="nil"/>
              <w:left w:val="nil"/>
              <w:bottom w:val="nil"/>
              <w:right w:val="nil"/>
            </w:tcBorders>
            <w:shd w:val="clear" w:color="auto" w:fill="auto"/>
            <w:noWrap/>
            <w:vAlign w:val="center"/>
            <w:hideMark/>
          </w:tcPr>
          <w:p w14:paraId="2BE99C3E" w14:textId="77777777" w:rsidR="00386AD0" w:rsidRPr="009B58E0" w:rsidRDefault="00386AD0" w:rsidP="00C15B4E">
            <w:pPr>
              <w:spacing w:after="0"/>
              <w:ind w:left="-75"/>
              <w:jc w:val="center"/>
              <w:rPr>
                <w:rFonts w:ascii="Calibri" w:eastAsia="Times New Roman" w:hAnsi="Calibri" w:cs="Calibri"/>
                <w:color w:val="000000"/>
              </w:rPr>
            </w:pPr>
            <w:r w:rsidRPr="009B58E0">
              <w:rPr>
                <w:rFonts w:ascii="Calibri" w:eastAsia="Times New Roman" w:hAnsi="Calibri" w:cs="Calibri"/>
                <w:color w:val="000000"/>
              </w:rPr>
              <w:t>13</w:t>
            </w:r>
          </w:p>
        </w:tc>
        <w:tc>
          <w:tcPr>
            <w:tcW w:w="1440" w:type="dxa"/>
            <w:tcBorders>
              <w:top w:val="nil"/>
              <w:left w:val="nil"/>
              <w:bottom w:val="nil"/>
              <w:right w:val="nil"/>
            </w:tcBorders>
            <w:shd w:val="clear" w:color="auto" w:fill="auto"/>
            <w:noWrap/>
            <w:vAlign w:val="center"/>
            <w:hideMark/>
          </w:tcPr>
          <w:p w14:paraId="3C1BBF94" w14:textId="77777777" w:rsidR="00386AD0" w:rsidRPr="009B58E0" w:rsidRDefault="00386AD0" w:rsidP="00C15B4E">
            <w:pPr>
              <w:spacing w:after="0"/>
              <w:ind w:left="-75"/>
              <w:jc w:val="center"/>
              <w:rPr>
                <w:rFonts w:ascii="Calibri" w:eastAsia="Times New Roman" w:hAnsi="Calibri" w:cs="Calibri"/>
                <w:color w:val="000000"/>
              </w:rPr>
            </w:pPr>
            <w:r w:rsidRPr="009B58E0">
              <w:rPr>
                <w:rFonts w:ascii="Calibri" w:eastAsia="Times New Roman" w:hAnsi="Calibri" w:cs="Calibri"/>
                <w:color w:val="000000"/>
              </w:rPr>
              <w:t>12</w:t>
            </w:r>
          </w:p>
        </w:tc>
        <w:tc>
          <w:tcPr>
            <w:tcW w:w="2053" w:type="dxa"/>
            <w:tcBorders>
              <w:top w:val="nil"/>
              <w:left w:val="nil"/>
              <w:bottom w:val="nil"/>
              <w:right w:val="nil"/>
            </w:tcBorders>
            <w:shd w:val="clear" w:color="auto" w:fill="auto"/>
            <w:noWrap/>
            <w:vAlign w:val="center"/>
            <w:hideMark/>
          </w:tcPr>
          <w:p w14:paraId="0C3B4D4D" w14:textId="77777777" w:rsidR="00840B57" w:rsidRDefault="00840B57" w:rsidP="00840B57">
            <w:pPr>
              <w:spacing w:after="0"/>
              <w:jc w:val="center"/>
              <w:rPr>
                <w:rFonts w:ascii="Calibri" w:hAnsi="Calibri" w:cs="Calibri"/>
                <w:color w:val="000000"/>
              </w:rPr>
            </w:pPr>
            <w:r>
              <w:rPr>
                <w:rFonts w:ascii="Calibri" w:hAnsi="Calibri" w:cs="Calibri"/>
                <w:color w:val="000000"/>
              </w:rPr>
              <w:t>15</w:t>
            </w:r>
          </w:p>
          <w:p w14:paraId="0F916E6E" w14:textId="7DE0C2A2" w:rsidR="00386AD0" w:rsidRPr="009B58E0" w:rsidRDefault="00386AD0" w:rsidP="00C15B4E">
            <w:pPr>
              <w:spacing w:after="0"/>
              <w:ind w:left="-75"/>
              <w:jc w:val="center"/>
              <w:rPr>
                <w:rFonts w:ascii="Calibri" w:eastAsia="Times New Roman" w:hAnsi="Calibri" w:cs="Calibri"/>
                <w:color w:val="000000"/>
              </w:rPr>
            </w:pPr>
          </w:p>
        </w:tc>
        <w:tc>
          <w:tcPr>
            <w:tcW w:w="1841" w:type="dxa"/>
            <w:tcBorders>
              <w:top w:val="nil"/>
              <w:left w:val="nil"/>
              <w:bottom w:val="nil"/>
              <w:right w:val="nil"/>
            </w:tcBorders>
            <w:shd w:val="clear" w:color="auto" w:fill="auto"/>
            <w:noWrap/>
            <w:vAlign w:val="center"/>
            <w:hideMark/>
          </w:tcPr>
          <w:p w14:paraId="2831659A" w14:textId="77777777" w:rsidR="00840B57" w:rsidRDefault="00840B57" w:rsidP="00840B57">
            <w:pPr>
              <w:spacing w:after="0"/>
              <w:jc w:val="center"/>
              <w:rPr>
                <w:rFonts w:ascii="Calibri" w:hAnsi="Calibri" w:cs="Calibri"/>
                <w:color w:val="000000"/>
              </w:rPr>
            </w:pPr>
            <w:r>
              <w:rPr>
                <w:rFonts w:ascii="Calibri" w:hAnsi="Calibri" w:cs="Calibri"/>
                <w:color w:val="000000"/>
              </w:rPr>
              <w:t>15</w:t>
            </w:r>
          </w:p>
          <w:p w14:paraId="59462762" w14:textId="4F6D5175" w:rsidR="00386AD0" w:rsidRPr="009B58E0" w:rsidRDefault="00386AD0" w:rsidP="00C15B4E">
            <w:pPr>
              <w:spacing w:after="0"/>
              <w:ind w:left="-75"/>
              <w:jc w:val="center"/>
              <w:rPr>
                <w:rFonts w:ascii="Calibri" w:eastAsia="Times New Roman" w:hAnsi="Calibri" w:cs="Calibri"/>
                <w:color w:val="000000"/>
              </w:rPr>
            </w:pPr>
          </w:p>
        </w:tc>
        <w:tc>
          <w:tcPr>
            <w:tcW w:w="1929" w:type="dxa"/>
            <w:tcBorders>
              <w:top w:val="nil"/>
              <w:left w:val="nil"/>
              <w:bottom w:val="nil"/>
              <w:right w:val="nil"/>
            </w:tcBorders>
            <w:shd w:val="clear" w:color="auto" w:fill="auto"/>
            <w:noWrap/>
            <w:vAlign w:val="center"/>
            <w:hideMark/>
          </w:tcPr>
          <w:p w14:paraId="7361C7FE" w14:textId="77777777" w:rsidR="00386AD0" w:rsidRPr="009B58E0" w:rsidRDefault="00386AD0" w:rsidP="00C15B4E">
            <w:pPr>
              <w:spacing w:after="0"/>
              <w:ind w:left="-75"/>
              <w:jc w:val="center"/>
              <w:rPr>
                <w:rFonts w:ascii="Calibri" w:eastAsia="Times New Roman" w:hAnsi="Calibri" w:cs="Calibri"/>
                <w:color w:val="000000"/>
              </w:rPr>
            </w:pPr>
            <w:r w:rsidRPr="009B58E0">
              <w:rPr>
                <w:rFonts w:ascii="Calibri" w:eastAsia="Times New Roman" w:hAnsi="Calibri" w:cs="Calibri"/>
                <w:color w:val="000000"/>
              </w:rPr>
              <w:t>5</w:t>
            </w:r>
          </w:p>
        </w:tc>
        <w:tc>
          <w:tcPr>
            <w:tcW w:w="2019" w:type="dxa"/>
            <w:tcBorders>
              <w:top w:val="nil"/>
              <w:left w:val="nil"/>
              <w:bottom w:val="nil"/>
              <w:right w:val="nil"/>
            </w:tcBorders>
            <w:shd w:val="clear" w:color="auto" w:fill="auto"/>
            <w:noWrap/>
            <w:vAlign w:val="center"/>
            <w:hideMark/>
          </w:tcPr>
          <w:p w14:paraId="094262F9" w14:textId="77777777" w:rsidR="00386AD0" w:rsidRPr="009B58E0" w:rsidRDefault="00386AD0" w:rsidP="00C15B4E">
            <w:pPr>
              <w:spacing w:after="0"/>
              <w:ind w:left="-75"/>
              <w:jc w:val="center"/>
              <w:rPr>
                <w:rFonts w:ascii="Calibri" w:eastAsia="Times New Roman" w:hAnsi="Calibri" w:cs="Calibri"/>
                <w:color w:val="000000"/>
              </w:rPr>
            </w:pPr>
            <w:r w:rsidRPr="009B58E0">
              <w:rPr>
                <w:rFonts w:ascii="Calibri" w:eastAsia="Times New Roman" w:hAnsi="Calibri" w:cs="Calibri"/>
                <w:color w:val="000000"/>
              </w:rPr>
              <w:t>0.00</w:t>
            </w:r>
          </w:p>
        </w:tc>
        <w:tc>
          <w:tcPr>
            <w:tcW w:w="2070" w:type="dxa"/>
            <w:tcBorders>
              <w:top w:val="nil"/>
              <w:left w:val="nil"/>
              <w:bottom w:val="nil"/>
              <w:right w:val="nil"/>
            </w:tcBorders>
            <w:shd w:val="clear" w:color="auto" w:fill="auto"/>
            <w:noWrap/>
            <w:vAlign w:val="center"/>
            <w:hideMark/>
          </w:tcPr>
          <w:p w14:paraId="52DB9C22" w14:textId="77777777" w:rsidR="00386AD0" w:rsidRPr="009B58E0" w:rsidRDefault="00386AD0" w:rsidP="00C15B4E">
            <w:pPr>
              <w:spacing w:after="0"/>
              <w:ind w:left="-75"/>
              <w:jc w:val="center"/>
              <w:rPr>
                <w:rFonts w:ascii="Calibri" w:eastAsia="Times New Roman" w:hAnsi="Calibri" w:cs="Calibri"/>
                <w:color w:val="000000"/>
              </w:rPr>
            </w:pPr>
            <w:r w:rsidRPr="009B58E0">
              <w:rPr>
                <w:rFonts w:ascii="Calibri" w:eastAsia="Times New Roman" w:hAnsi="Calibri" w:cs="Calibri"/>
                <w:color w:val="000000"/>
              </w:rPr>
              <w:t>0.12</w:t>
            </w:r>
          </w:p>
        </w:tc>
        <w:tc>
          <w:tcPr>
            <w:tcW w:w="236" w:type="dxa"/>
            <w:gridSpan w:val="2"/>
            <w:vAlign w:val="center"/>
            <w:hideMark/>
          </w:tcPr>
          <w:p w14:paraId="4E01AE99" w14:textId="77777777" w:rsidR="00386AD0" w:rsidRPr="009B58E0" w:rsidRDefault="00386AD0" w:rsidP="00C15B4E">
            <w:pPr>
              <w:spacing w:after="0"/>
              <w:ind w:left="-75"/>
              <w:rPr>
                <w:rFonts w:ascii="Times New Roman" w:eastAsia="Times New Roman" w:hAnsi="Times New Roman" w:cs="Times New Roman"/>
                <w:sz w:val="20"/>
                <w:szCs w:val="20"/>
              </w:rPr>
            </w:pPr>
          </w:p>
        </w:tc>
      </w:tr>
      <w:tr w:rsidR="00386AD0" w:rsidRPr="009B58E0" w14:paraId="18846984" w14:textId="77777777" w:rsidTr="00C15B4E">
        <w:trPr>
          <w:trHeight w:val="288"/>
        </w:trPr>
        <w:tc>
          <w:tcPr>
            <w:tcW w:w="12810" w:type="dxa"/>
            <w:gridSpan w:val="8"/>
            <w:tcBorders>
              <w:top w:val="nil"/>
              <w:left w:val="nil"/>
              <w:bottom w:val="nil"/>
              <w:right w:val="nil"/>
            </w:tcBorders>
            <w:shd w:val="clear" w:color="auto" w:fill="auto"/>
            <w:noWrap/>
            <w:vAlign w:val="center"/>
            <w:hideMark/>
          </w:tcPr>
          <w:p w14:paraId="18AF8468" w14:textId="32D24D29" w:rsidR="00386AD0" w:rsidRPr="009B58E0" w:rsidRDefault="00386AD0" w:rsidP="00C15B4E">
            <w:pPr>
              <w:spacing w:after="0"/>
              <w:ind w:left="-75"/>
              <w:rPr>
                <w:rFonts w:ascii="Calibri" w:eastAsia="Times New Roman" w:hAnsi="Calibri" w:cs="Calibri"/>
                <w:color w:val="000000"/>
              </w:rPr>
            </w:pPr>
            <w:r w:rsidRPr="009B58E0">
              <w:rPr>
                <w:rFonts w:ascii="Calibri" w:eastAsia="Times New Roman" w:hAnsi="Calibri" w:cs="Calibri"/>
                <w:color w:val="000000"/>
              </w:rPr>
              <w:t>Evaluation question 4, GMP quality scores, single difference comparison</w:t>
            </w:r>
          </w:p>
        </w:tc>
        <w:tc>
          <w:tcPr>
            <w:tcW w:w="236" w:type="dxa"/>
            <w:gridSpan w:val="2"/>
            <w:vAlign w:val="center"/>
            <w:hideMark/>
          </w:tcPr>
          <w:p w14:paraId="207736F7" w14:textId="77777777" w:rsidR="00386AD0" w:rsidRPr="009B58E0" w:rsidRDefault="00386AD0" w:rsidP="00C15B4E">
            <w:pPr>
              <w:spacing w:after="0"/>
              <w:ind w:left="-75"/>
              <w:rPr>
                <w:rFonts w:ascii="Times New Roman" w:eastAsia="Times New Roman" w:hAnsi="Times New Roman" w:cs="Times New Roman"/>
                <w:sz w:val="20"/>
                <w:szCs w:val="20"/>
              </w:rPr>
            </w:pPr>
          </w:p>
        </w:tc>
      </w:tr>
      <w:tr w:rsidR="00840B57" w:rsidRPr="009B58E0" w14:paraId="0D07DC65" w14:textId="77777777" w:rsidTr="00612C7F">
        <w:trPr>
          <w:gridAfter w:val="1"/>
          <w:wAfter w:w="18" w:type="dxa"/>
          <w:trHeight w:val="288"/>
        </w:trPr>
        <w:tc>
          <w:tcPr>
            <w:tcW w:w="1440" w:type="dxa"/>
            <w:tcBorders>
              <w:top w:val="nil"/>
              <w:left w:val="nil"/>
              <w:bottom w:val="single" w:sz="4" w:space="0" w:color="auto"/>
              <w:right w:val="nil"/>
            </w:tcBorders>
            <w:shd w:val="clear" w:color="auto" w:fill="auto"/>
            <w:noWrap/>
            <w:vAlign w:val="center"/>
            <w:hideMark/>
          </w:tcPr>
          <w:p w14:paraId="2AD0A0E1" w14:textId="77777777" w:rsidR="00840B57" w:rsidRPr="009B58E0" w:rsidRDefault="00840B57" w:rsidP="00840B57">
            <w:pPr>
              <w:spacing w:after="0"/>
              <w:ind w:left="-75"/>
              <w:jc w:val="center"/>
              <w:rPr>
                <w:rFonts w:ascii="Calibri" w:eastAsia="Times New Roman" w:hAnsi="Calibri" w:cs="Calibri"/>
                <w:color w:val="000000"/>
              </w:rPr>
            </w:pPr>
            <w:r w:rsidRPr="009B58E0">
              <w:rPr>
                <w:rFonts w:ascii="Calibri" w:eastAsia="Times New Roman" w:hAnsi="Calibri" w:cs="Calibri"/>
                <w:color w:val="000000"/>
              </w:rPr>
              <w:t>13</w:t>
            </w:r>
          </w:p>
        </w:tc>
        <w:tc>
          <w:tcPr>
            <w:tcW w:w="1440" w:type="dxa"/>
            <w:tcBorders>
              <w:top w:val="nil"/>
              <w:left w:val="nil"/>
              <w:bottom w:val="single" w:sz="4" w:space="0" w:color="auto"/>
              <w:right w:val="nil"/>
            </w:tcBorders>
            <w:shd w:val="clear" w:color="auto" w:fill="auto"/>
            <w:noWrap/>
            <w:vAlign w:val="center"/>
            <w:hideMark/>
          </w:tcPr>
          <w:p w14:paraId="20B8ACDC" w14:textId="77777777" w:rsidR="00840B57" w:rsidRPr="009B58E0" w:rsidRDefault="00840B57" w:rsidP="00840B57">
            <w:pPr>
              <w:spacing w:after="0"/>
              <w:ind w:left="-75"/>
              <w:jc w:val="center"/>
              <w:rPr>
                <w:rFonts w:ascii="Calibri" w:eastAsia="Times New Roman" w:hAnsi="Calibri" w:cs="Calibri"/>
                <w:color w:val="000000"/>
              </w:rPr>
            </w:pPr>
            <w:r w:rsidRPr="009B58E0">
              <w:rPr>
                <w:rFonts w:ascii="Calibri" w:eastAsia="Times New Roman" w:hAnsi="Calibri" w:cs="Calibri"/>
                <w:color w:val="000000"/>
              </w:rPr>
              <w:t>12</w:t>
            </w:r>
          </w:p>
        </w:tc>
        <w:tc>
          <w:tcPr>
            <w:tcW w:w="2053" w:type="dxa"/>
            <w:tcBorders>
              <w:top w:val="nil"/>
              <w:left w:val="nil"/>
              <w:bottom w:val="single" w:sz="4" w:space="0" w:color="auto"/>
              <w:right w:val="nil"/>
            </w:tcBorders>
            <w:shd w:val="clear" w:color="auto" w:fill="auto"/>
            <w:noWrap/>
            <w:vAlign w:val="bottom"/>
            <w:hideMark/>
          </w:tcPr>
          <w:p w14:paraId="67CC3495" w14:textId="29D2826F" w:rsidR="00840B57" w:rsidRPr="009B58E0" w:rsidRDefault="00840B57" w:rsidP="00840B57">
            <w:pPr>
              <w:spacing w:after="0"/>
              <w:ind w:left="-75"/>
              <w:jc w:val="center"/>
              <w:rPr>
                <w:rFonts w:ascii="Calibri" w:eastAsia="Times New Roman" w:hAnsi="Calibri" w:cs="Calibri"/>
                <w:color w:val="000000"/>
              </w:rPr>
            </w:pPr>
            <w:r>
              <w:rPr>
                <w:rFonts w:ascii="Calibri" w:hAnsi="Calibri" w:cs="Calibri"/>
                <w:color w:val="000000"/>
              </w:rPr>
              <w:t>15</w:t>
            </w:r>
          </w:p>
        </w:tc>
        <w:tc>
          <w:tcPr>
            <w:tcW w:w="1841" w:type="dxa"/>
            <w:tcBorders>
              <w:top w:val="nil"/>
              <w:left w:val="nil"/>
              <w:bottom w:val="single" w:sz="4" w:space="0" w:color="auto"/>
              <w:right w:val="nil"/>
            </w:tcBorders>
            <w:shd w:val="clear" w:color="auto" w:fill="auto"/>
            <w:noWrap/>
            <w:vAlign w:val="bottom"/>
            <w:hideMark/>
          </w:tcPr>
          <w:p w14:paraId="200A2EF8" w14:textId="5E678B69" w:rsidR="00840B57" w:rsidRPr="009B58E0" w:rsidRDefault="00840B57" w:rsidP="00840B57">
            <w:pPr>
              <w:spacing w:after="0"/>
              <w:ind w:left="-75"/>
              <w:jc w:val="center"/>
              <w:rPr>
                <w:rFonts w:ascii="Calibri" w:eastAsia="Times New Roman" w:hAnsi="Calibri" w:cs="Calibri"/>
                <w:color w:val="000000"/>
              </w:rPr>
            </w:pPr>
            <w:r>
              <w:rPr>
                <w:rFonts w:ascii="Calibri" w:hAnsi="Calibri" w:cs="Calibri"/>
                <w:color w:val="000000"/>
              </w:rPr>
              <w:t>15</w:t>
            </w:r>
          </w:p>
        </w:tc>
        <w:tc>
          <w:tcPr>
            <w:tcW w:w="1929" w:type="dxa"/>
            <w:tcBorders>
              <w:top w:val="nil"/>
              <w:left w:val="nil"/>
              <w:bottom w:val="single" w:sz="4" w:space="0" w:color="auto"/>
              <w:right w:val="nil"/>
            </w:tcBorders>
            <w:shd w:val="clear" w:color="auto" w:fill="auto"/>
            <w:noWrap/>
            <w:vAlign w:val="center"/>
            <w:hideMark/>
          </w:tcPr>
          <w:p w14:paraId="41B896B7" w14:textId="77777777" w:rsidR="00840B57" w:rsidRPr="009B58E0" w:rsidRDefault="00840B57" w:rsidP="00840B57">
            <w:pPr>
              <w:spacing w:after="0"/>
              <w:ind w:left="-75"/>
              <w:jc w:val="center"/>
              <w:rPr>
                <w:rFonts w:ascii="Calibri" w:eastAsia="Times New Roman" w:hAnsi="Calibri" w:cs="Calibri"/>
                <w:color w:val="000000"/>
              </w:rPr>
            </w:pPr>
            <w:r w:rsidRPr="009B58E0">
              <w:rPr>
                <w:rFonts w:ascii="Calibri" w:eastAsia="Times New Roman" w:hAnsi="Calibri" w:cs="Calibri"/>
                <w:color w:val="000000"/>
              </w:rPr>
              <w:t>5</w:t>
            </w:r>
          </w:p>
        </w:tc>
        <w:tc>
          <w:tcPr>
            <w:tcW w:w="2019" w:type="dxa"/>
            <w:tcBorders>
              <w:top w:val="nil"/>
              <w:left w:val="nil"/>
              <w:bottom w:val="single" w:sz="4" w:space="0" w:color="auto"/>
              <w:right w:val="nil"/>
            </w:tcBorders>
            <w:shd w:val="clear" w:color="auto" w:fill="auto"/>
            <w:noWrap/>
            <w:vAlign w:val="center"/>
            <w:hideMark/>
          </w:tcPr>
          <w:p w14:paraId="617AD447" w14:textId="77777777" w:rsidR="00840B57" w:rsidRPr="009B58E0" w:rsidRDefault="00840B57" w:rsidP="00840B57">
            <w:pPr>
              <w:spacing w:after="0"/>
              <w:ind w:left="-75"/>
              <w:jc w:val="center"/>
              <w:rPr>
                <w:rFonts w:ascii="Calibri" w:eastAsia="Times New Roman" w:hAnsi="Calibri" w:cs="Calibri"/>
                <w:color w:val="000000"/>
              </w:rPr>
            </w:pPr>
            <w:r w:rsidRPr="009B58E0">
              <w:rPr>
                <w:rFonts w:ascii="Calibri" w:eastAsia="Times New Roman" w:hAnsi="Calibri" w:cs="Calibri"/>
                <w:color w:val="000000"/>
              </w:rPr>
              <w:t>0.00</w:t>
            </w:r>
          </w:p>
        </w:tc>
        <w:tc>
          <w:tcPr>
            <w:tcW w:w="2070" w:type="dxa"/>
            <w:tcBorders>
              <w:top w:val="nil"/>
              <w:left w:val="nil"/>
              <w:bottom w:val="single" w:sz="4" w:space="0" w:color="auto"/>
              <w:right w:val="nil"/>
            </w:tcBorders>
            <w:shd w:val="clear" w:color="auto" w:fill="auto"/>
            <w:noWrap/>
            <w:vAlign w:val="center"/>
            <w:hideMark/>
          </w:tcPr>
          <w:p w14:paraId="402E93EA" w14:textId="77777777" w:rsidR="00840B57" w:rsidRPr="009B58E0" w:rsidRDefault="00840B57" w:rsidP="00840B57">
            <w:pPr>
              <w:spacing w:after="0"/>
              <w:ind w:left="-75"/>
              <w:jc w:val="center"/>
              <w:rPr>
                <w:rFonts w:ascii="Calibri" w:eastAsia="Times New Roman" w:hAnsi="Calibri" w:cs="Calibri"/>
                <w:color w:val="000000"/>
              </w:rPr>
            </w:pPr>
            <w:r w:rsidRPr="009B58E0">
              <w:rPr>
                <w:rFonts w:ascii="Calibri" w:eastAsia="Times New Roman" w:hAnsi="Calibri" w:cs="Calibri"/>
                <w:color w:val="000000"/>
              </w:rPr>
              <w:t>0.07</w:t>
            </w:r>
          </w:p>
        </w:tc>
        <w:tc>
          <w:tcPr>
            <w:tcW w:w="236" w:type="dxa"/>
            <w:gridSpan w:val="2"/>
            <w:vAlign w:val="center"/>
            <w:hideMark/>
          </w:tcPr>
          <w:p w14:paraId="55ED55F8" w14:textId="77777777" w:rsidR="00840B57" w:rsidRPr="009B58E0" w:rsidRDefault="00840B57" w:rsidP="00840B57">
            <w:pPr>
              <w:spacing w:after="0"/>
              <w:ind w:left="-75"/>
              <w:rPr>
                <w:rFonts w:ascii="Times New Roman" w:eastAsia="Times New Roman" w:hAnsi="Times New Roman" w:cs="Times New Roman"/>
                <w:sz w:val="20"/>
                <w:szCs w:val="20"/>
              </w:rPr>
            </w:pPr>
          </w:p>
        </w:tc>
      </w:tr>
    </w:tbl>
    <w:p w14:paraId="019EC53E" w14:textId="77777777" w:rsidR="00386AD0" w:rsidRDefault="00386AD0" w:rsidP="00386AD0"/>
    <w:tbl>
      <w:tblPr>
        <w:tblW w:w="9326" w:type="dxa"/>
        <w:tblLayout w:type="fixed"/>
        <w:tblLook w:val="04A0" w:firstRow="1" w:lastRow="0" w:firstColumn="1" w:lastColumn="0" w:noHBand="0" w:noVBand="1"/>
      </w:tblPr>
      <w:tblGrid>
        <w:gridCol w:w="1710"/>
        <w:gridCol w:w="1890"/>
        <w:gridCol w:w="1350"/>
        <w:gridCol w:w="1128"/>
        <w:gridCol w:w="1572"/>
        <w:gridCol w:w="1440"/>
        <w:gridCol w:w="236"/>
      </w:tblGrid>
      <w:tr w:rsidR="00386AD0" w:rsidRPr="00AD5D80" w14:paraId="5C4B3320" w14:textId="77777777" w:rsidTr="00C15B4E">
        <w:trPr>
          <w:gridAfter w:val="1"/>
          <w:wAfter w:w="236" w:type="dxa"/>
          <w:trHeight w:val="450"/>
        </w:trPr>
        <w:tc>
          <w:tcPr>
            <w:tcW w:w="1710" w:type="dxa"/>
            <w:vMerge w:val="restart"/>
            <w:tcBorders>
              <w:top w:val="nil"/>
              <w:left w:val="nil"/>
              <w:bottom w:val="double" w:sz="6" w:space="0" w:color="000000"/>
              <w:right w:val="nil"/>
            </w:tcBorders>
            <w:shd w:val="clear" w:color="auto" w:fill="auto"/>
            <w:vAlign w:val="center"/>
            <w:hideMark/>
          </w:tcPr>
          <w:p w14:paraId="430197FE" w14:textId="77777777" w:rsidR="00386AD0" w:rsidRPr="00AD5D80" w:rsidRDefault="00386AD0" w:rsidP="00C15B4E">
            <w:pPr>
              <w:spacing w:after="0"/>
              <w:jc w:val="center"/>
              <w:rPr>
                <w:rFonts w:ascii="Calibri" w:eastAsia="Times New Roman" w:hAnsi="Calibri" w:cs="Calibri"/>
                <w:b/>
                <w:bCs/>
                <w:color w:val="000000"/>
              </w:rPr>
            </w:pPr>
            <w:r w:rsidRPr="00AD5D80">
              <w:rPr>
                <w:rFonts w:ascii="Calibri" w:eastAsia="Times New Roman" w:hAnsi="Calibri" w:cs="Calibri"/>
                <w:b/>
                <w:bCs/>
                <w:color w:val="000000"/>
              </w:rPr>
              <w:t>Variability of outcome due to PSU</w:t>
            </w:r>
          </w:p>
        </w:tc>
        <w:tc>
          <w:tcPr>
            <w:tcW w:w="1890" w:type="dxa"/>
            <w:vMerge w:val="restart"/>
            <w:tcBorders>
              <w:top w:val="nil"/>
              <w:left w:val="nil"/>
              <w:bottom w:val="double" w:sz="6" w:space="0" w:color="000000"/>
              <w:right w:val="nil"/>
            </w:tcBorders>
            <w:shd w:val="clear" w:color="auto" w:fill="auto"/>
            <w:vAlign w:val="center"/>
            <w:hideMark/>
          </w:tcPr>
          <w:p w14:paraId="2F30B528" w14:textId="77777777" w:rsidR="00386AD0" w:rsidRPr="00AD5D80" w:rsidRDefault="00386AD0" w:rsidP="00C15B4E">
            <w:pPr>
              <w:spacing w:after="0"/>
              <w:jc w:val="center"/>
              <w:rPr>
                <w:rFonts w:ascii="Calibri" w:eastAsia="Times New Roman" w:hAnsi="Calibri" w:cs="Calibri"/>
                <w:b/>
                <w:bCs/>
                <w:color w:val="000000"/>
              </w:rPr>
            </w:pPr>
            <w:r w:rsidRPr="00AD5D80">
              <w:rPr>
                <w:rFonts w:ascii="Calibri" w:eastAsia="Times New Roman" w:hAnsi="Calibri" w:cs="Calibri"/>
                <w:b/>
                <w:bCs/>
                <w:color w:val="000000"/>
              </w:rPr>
              <w:t>Residual variability</w:t>
            </w:r>
          </w:p>
        </w:tc>
        <w:tc>
          <w:tcPr>
            <w:tcW w:w="1350" w:type="dxa"/>
            <w:vMerge w:val="restart"/>
            <w:tcBorders>
              <w:top w:val="nil"/>
              <w:left w:val="nil"/>
              <w:bottom w:val="double" w:sz="6" w:space="0" w:color="000000"/>
              <w:right w:val="nil"/>
            </w:tcBorders>
            <w:shd w:val="clear" w:color="auto" w:fill="auto"/>
            <w:vAlign w:val="center"/>
            <w:hideMark/>
          </w:tcPr>
          <w:p w14:paraId="7AA28237" w14:textId="77777777" w:rsidR="00386AD0" w:rsidRPr="00AD5D80" w:rsidRDefault="00386AD0" w:rsidP="00C15B4E">
            <w:pPr>
              <w:spacing w:after="0"/>
              <w:jc w:val="center"/>
              <w:rPr>
                <w:rFonts w:ascii="Calibri" w:eastAsia="Times New Roman" w:hAnsi="Calibri" w:cs="Calibri"/>
                <w:b/>
                <w:bCs/>
                <w:color w:val="000000"/>
              </w:rPr>
            </w:pPr>
            <w:r w:rsidRPr="00AD5D80">
              <w:rPr>
                <w:rFonts w:ascii="Calibri" w:eastAsia="Times New Roman" w:hAnsi="Calibri" w:cs="Calibri"/>
                <w:b/>
                <w:bCs/>
                <w:color w:val="000000"/>
              </w:rPr>
              <w:t>Effect size</w:t>
            </w:r>
          </w:p>
        </w:tc>
        <w:tc>
          <w:tcPr>
            <w:tcW w:w="1128" w:type="dxa"/>
            <w:vMerge w:val="restart"/>
            <w:tcBorders>
              <w:top w:val="nil"/>
              <w:left w:val="nil"/>
              <w:bottom w:val="double" w:sz="6" w:space="0" w:color="000000"/>
              <w:right w:val="nil"/>
            </w:tcBorders>
            <w:shd w:val="clear" w:color="auto" w:fill="auto"/>
            <w:vAlign w:val="center"/>
            <w:hideMark/>
          </w:tcPr>
          <w:p w14:paraId="476A6B25" w14:textId="77777777" w:rsidR="00386AD0" w:rsidRPr="00AD5D80" w:rsidRDefault="00386AD0" w:rsidP="00C15B4E">
            <w:pPr>
              <w:spacing w:after="0"/>
              <w:jc w:val="center"/>
              <w:rPr>
                <w:rFonts w:ascii="Calibri" w:eastAsia="Times New Roman" w:hAnsi="Calibri" w:cs="Calibri"/>
                <w:b/>
                <w:bCs/>
                <w:color w:val="000000"/>
              </w:rPr>
            </w:pPr>
            <w:r w:rsidRPr="00AD5D80">
              <w:rPr>
                <w:rFonts w:ascii="Calibri" w:eastAsia="Times New Roman" w:hAnsi="Calibri" w:cs="Calibri"/>
                <w:b/>
                <w:bCs/>
                <w:color w:val="000000"/>
              </w:rPr>
              <w:t>MDES</w:t>
            </w:r>
          </w:p>
        </w:tc>
        <w:tc>
          <w:tcPr>
            <w:tcW w:w="1572" w:type="dxa"/>
            <w:vMerge w:val="restart"/>
            <w:tcBorders>
              <w:top w:val="nil"/>
              <w:left w:val="nil"/>
              <w:bottom w:val="double" w:sz="6" w:space="0" w:color="000000"/>
              <w:right w:val="nil"/>
            </w:tcBorders>
            <w:shd w:val="clear" w:color="auto" w:fill="auto"/>
            <w:vAlign w:val="center"/>
            <w:hideMark/>
          </w:tcPr>
          <w:p w14:paraId="589D4B53" w14:textId="77777777" w:rsidR="00386AD0" w:rsidRPr="00AD5D80" w:rsidRDefault="00386AD0" w:rsidP="00C15B4E">
            <w:pPr>
              <w:spacing w:after="0"/>
              <w:jc w:val="center"/>
              <w:rPr>
                <w:rFonts w:ascii="Calibri" w:eastAsia="Times New Roman" w:hAnsi="Calibri" w:cs="Calibri"/>
                <w:b/>
                <w:bCs/>
                <w:color w:val="000000"/>
              </w:rPr>
            </w:pPr>
            <w:r w:rsidRPr="00AD5D80">
              <w:rPr>
                <w:rFonts w:ascii="Calibri" w:eastAsia="Times New Roman" w:hAnsi="Calibri" w:cs="Calibri"/>
                <w:b/>
                <w:bCs/>
                <w:color w:val="000000"/>
              </w:rPr>
              <w:t>Signficance level</w:t>
            </w:r>
          </w:p>
        </w:tc>
        <w:tc>
          <w:tcPr>
            <w:tcW w:w="1440" w:type="dxa"/>
            <w:vMerge w:val="restart"/>
            <w:tcBorders>
              <w:top w:val="nil"/>
              <w:left w:val="nil"/>
              <w:bottom w:val="double" w:sz="6" w:space="0" w:color="000000"/>
              <w:right w:val="nil"/>
            </w:tcBorders>
            <w:shd w:val="clear" w:color="auto" w:fill="auto"/>
            <w:vAlign w:val="center"/>
            <w:hideMark/>
          </w:tcPr>
          <w:p w14:paraId="255F83AC" w14:textId="77777777" w:rsidR="00386AD0" w:rsidRPr="00AD5D80" w:rsidRDefault="00386AD0" w:rsidP="00C15B4E">
            <w:pPr>
              <w:spacing w:after="0"/>
              <w:jc w:val="center"/>
              <w:rPr>
                <w:rFonts w:ascii="Calibri" w:eastAsia="Times New Roman" w:hAnsi="Calibri" w:cs="Calibri"/>
                <w:b/>
                <w:bCs/>
                <w:color w:val="000000"/>
              </w:rPr>
            </w:pPr>
            <w:r w:rsidRPr="00AD5D80">
              <w:rPr>
                <w:rFonts w:ascii="Calibri" w:eastAsia="Times New Roman" w:hAnsi="Calibri" w:cs="Calibri"/>
                <w:b/>
                <w:bCs/>
                <w:color w:val="000000"/>
              </w:rPr>
              <w:t>Power</w:t>
            </w:r>
          </w:p>
        </w:tc>
      </w:tr>
      <w:tr w:rsidR="00386AD0" w:rsidRPr="00AD5D80" w14:paraId="648F52F1" w14:textId="77777777" w:rsidTr="00C15B4E">
        <w:trPr>
          <w:trHeight w:val="288"/>
        </w:trPr>
        <w:tc>
          <w:tcPr>
            <w:tcW w:w="1710" w:type="dxa"/>
            <w:vMerge/>
            <w:tcBorders>
              <w:top w:val="nil"/>
              <w:left w:val="nil"/>
              <w:bottom w:val="double" w:sz="6" w:space="0" w:color="000000"/>
              <w:right w:val="nil"/>
            </w:tcBorders>
            <w:vAlign w:val="center"/>
            <w:hideMark/>
          </w:tcPr>
          <w:p w14:paraId="4BF54411" w14:textId="77777777" w:rsidR="00386AD0" w:rsidRPr="00AD5D80" w:rsidRDefault="00386AD0" w:rsidP="00C15B4E">
            <w:pPr>
              <w:spacing w:after="0"/>
              <w:rPr>
                <w:rFonts w:ascii="Calibri" w:eastAsia="Times New Roman" w:hAnsi="Calibri" w:cs="Calibri"/>
                <w:b/>
                <w:bCs/>
                <w:color w:val="000000"/>
              </w:rPr>
            </w:pPr>
          </w:p>
        </w:tc>
        <w:tc>
          <w:tcPr>
            <w:tcW w:w="1890" w:type="dxa"/>
            <w:vMerge/>
            <w:tcBorders>
              <w:top w:val="nil"/>
              <w:left w:val="nil"/>
              <w:bottom w:val="double" w:sz="6" w:space="0" w:color="000000"/>
              <w:right w:val="nil"/>
            </w:tcBorders>
            <w:vAlign w:val="center"/>
            <w:hideMark/>
          </w:tcPr>
          <w:p w14:paraId="1B411A2B" w14:textId="77777777" w:rsidR="00386AD0" w:rsidRPr="00AD5D80" w:rsidRDefault="00386AD0" w:rsidP="00C15B4E">
            <w:pPr>
              <w:spacing w:after="0"/>
              <w:rPr>
                <w:rFonts w:ascii="Calibri" w:eastAsia="Times New Roman" w:hAnsi="Calibri" w:cs="Calibri"/>
                <w:b/>
                <w:bCs/>
                <w:color w:val="000000"/>
              </w:rPr>
            </w:pPr>
          </w:p>
        </w:tc>
        <w:tc>
          <w:tcPr>
            <w:tcW w:w="1350" w:type="dxa"/>
            <w:vMerge/>
            <w:tcBorders>
              <w:top w:val="nil"/>
              <w:left w:val="nil"/>
              <w:bottom w:val="double" w:sz="6" w:space="0" w:color="000000"/>
              <w:right w:val="nil"/>
            </w:tcBorders>
            <w:vAlign w:val="center"/>
            <w:hideMark/>
          </w:tcPr>
          <w:p w14:paraId="2B959CDE" w14:textId="77777777" w:rsidR="00386AD0" w:rsidRPr="00AD5D80" w:rsidRDefault="00386AD0" w:rsidP="00C15B4E">
            <w:pPr>
              <w:spacing w:after="0"/>
              <w:rPr>
                <w:rFonts w:ascii="Calibri" w:eastAsia="Times New Roman" w:hAnsi="Calibri" w:cs="Calibri"/>
                <w:b/>
                <w:bCs/>
                <w:color w:val="000000"/>
              </w:rPr>
            </w:pPr>
          </w:p>
        </w:tc>
        <w:tc>
          <w:tcPr>
            <w:tcW w:w="1128" w:type="dxa"/>
            <w:vMerge/>
            <w:tcBorders>
              <w:top w:val="nil"/>
              <w:left w:val="nil"/>
              <w:bottom w:val="double" w:sz="6" w:space="0" w:color="000000"/>
              <w:right w:val="nil"/>
            </w:tcBorders>
            <w:vAlign w:val="center"/>
            <w:hideMark/>
          </w:tcPr>
          <w:p w14:paraId="25AFC1CC" w14:textId="77777777" w:rsidR="00386AD0" w:rsidRPr="00AD5D80" w:rsidRDefault="00386AD0" w:rsidP="00C15B4E">
            <w:pPr>
              <w:spacing w:after="0"/>
              <w:rPr>
                <w:rFonts w:ascii="Calibri" w:eastAsia="Times New Roman" w:hAnsi="Calibri" w:cs="Calibri"/>
                <w:b/>
                <w:bCs/>
                <w:color w:val="000000"/>
              </w:rPr>
            </w:pPr>
          </w:p>
        </w:tc>
        <w:tc>
          <w:tcPr>
            <w:tcW w:w="1572" w:type="dxa"/>
            <w:vMerge/>
            <w:tcBorders>
              <w:top w:val="nil"/>
              <w:left w:val="nil"/>
              <w:bottom w:val="double" w:sz="6" w:space="0" w:color="000000"/>
              <w:right w:val="nil"/>
            </w:tcBorders>
            <w:vAlign w:val="center"/>
            <w:hideMark/>
          </w:tcPr>
          <w:p w14:paraId="62AA7E15" w14:textId="77777777" w:rsidR="00386AD0" w:rsidRPr="00AD5D80" w:rsidRDefault="00386AD0" w:rsidP="00C15B4E">
            <w:pPr>
              <w:spacing w:after="0"/>
              <w:rPr>
                <w:rFonts w:ascii="Calibri" w:eastAsia="Times New Roman" w:hAnsi="Calibri" w:cs="Calibri"/>
                <w:b/>
                <w:bCs/>
                <w:color w:val="000000"/>
              </w:rPr>
            </w:pPr>
          </w:p>
        </w:tc>
        <w:tc>
          <w:tcPr>
            <w:tcW w:w="1440" w:type="dxa"/>
            <w:vMerge/>
            <w:tcBorders>
              <w:top w:val="nil"/>
              <w:left w:val="nil"/>
              <w:bottom w:val="double" w:sz="6" w:space="0" w:color="000000"/>
              <w:right w:val="nil"/>
            </w:tcBorders>
            <w:vAlign w:val="center"/>
            <w:hideMark/>
          </w:tcPr>
          <w:p w14:paraId="41B3D6B4" w14:textId="77777777" w:rsidR="00386AD0" w:rsidRPr="00AD5D80" w:rsidRDefault="00386AD0" w:rsidP="00C15B4E">
            <w:pPr>
              <w:spacing w:after="0"/>
              <w:rPr>
                <w:rFonts w:ascii="Calibri" w:eastAsia="Times New Roman" w:hAnsi="Calibri" w:cs="Calibri"/>
                <w:b/>
                <w:bCs/>
                <w:color w:val="000000"/>
              </w:rPr>
            </w:pPr>
          </w:p>
        </w:tc>
        <w:tc>
          <w:tcPr>
            <w:tcW w:w="236" w:type="dxa"/>
            <w:tcBorders>
              <w:top w:val="nil"/>
              <w:left w:val="nil"/>
              <w:bottom w:val="nil"/>
              <w:right w:val="nil"/>
            </w:tcBorders>
            <w:shd w:val="clear" w:color="auto" w:fill="auto"/>
            <w:noWrap/>
            <w:vAlign w:val="bottom"/>
            <w:hideMark/>
          </w:tcPr>
          <w:p w14:paraId="2B408086" w14:textId="77777777" w:rsidR="00386AD0" w:rsidRPr="00AD5D80" w:rsidRDefault="00386AD0" w:rsidP="00C15B4E">
            <w:pPr>
              <w:spacing w:after="0"/>
              <w:jc w:val="center"/>
              <w:rPr>
                <w:rFonts w:ascii="Calibri" w:eastAsia="Times New Roman" w:hAnsi="Calibri" w:cs="Calibri"/>
                <w:b/>
                <w:bCs/>
                <w:color w:val="000000"/>
              </w:rPr>
            </w:pPr>
          </w:p>
        </w:tc>
      </w:tr>
      <w:tr w:rsidR="00386AD0" w:rsidRPr="00AD5D80" w14:paraId="24C4E291" w14:textId="77777777" w:rsidTr="00C15B4E">
        <w:trPr>
          <w:trHeight w:val="153"/>
        </w:trPr>
        <w:tc>
          <w:tcPr>
            <w:tcW w:w="1710" w:type="dxa"/>
            <w:vMerge/>
            <w:tcBorders>
              <w:top w:val="nil"/>
              <w:left w:val="nil"/>
              <w:bottom w:val="double" w:sz="6" w:space="0" w:color="000000"/>
              <w:right w:val="nil"/>
            </w:tcBorders>
            <w:vAlign w:val="center"/>
            <w:hideMark/>
          </w:tcPr>
          <w:p w14:paraId="696DE594" w14:textId="77777777" w:rsidR="00386AD0" w:rsidRPr="00AD5D80" w:rsidRDefault="00386AD0" w:rsidP="00C15B4E">
            <w:pPr>
              <w:spacing w:after="0"/>
              <w:rPr>
                <w:rFonts w:ascii="Calibri" w:eastAsia="Times New Roman" w:hAnsi="Calibri" w:cs="Calibri"/>
                <w:b/>
                <w:bCs/>
                <w:color w:val="000000"/>
              </w:rPr>
            </w:pPr>
          </w:p>
        </w:tc>
        <w:tc>
          <w:tcPr>
            <w:tcW w:w="1890" w:type="dxa"/>
            <w:vMerge/>
            <w:tcBorders>
              <w:top w:val="nil"/>
              <w:left w:val="nil"/>
              <w:bottom w:val="double" w:sz="6" w:space="0" w:color="000000"/>
              <w:right w:val="nil"/>
            </w:tcBorders>
            <w:vAlign w:val="center"/>
            <w:hideMark/>
          </w:tcPr>
          <w:p w14:paraId="380D4C89" w14:textId="77777777" w:rsidR="00386AD0" w:rsidRPr="00AD5D80" w:rsidRDefault="00386AD0" w:rsidP="00C15B4E">
            <w:pPr>
              <w:spacing w:after="0"/>
              <w:rPr>
                <w:rFonts w:ascii="Calibri" w:eastAsia="Times New Roman" w:hAnsi="Calibri" w:cs="Calibri"/>
                <w:b/>
                <w:bCs/>
                <w:color w:val="000000"/>
              </w:rPr>
            </w:pPr>
          </w:p>
        </w:tc>
        <w:tc>
          <w:tcPr>
            <w:tcW w:w="1350" w:type="dxa"/>
            <w:vMerge/>
            <w:tcBorders>
              <w:top w:val="nil"/>
              <w:left w:val="nil"/>
              <w:bottom w:val="double" w:sz="6" w:space="0" w:color="000000"/>
              <w:right w:val="nil"/>
            </w:tcBorders>
            <w:vAlign w:val="center"/>
            <w:hideMark/>
          </w:tcPr>
          <w:p w14:paraId="713E0194" w14:textId="77777777" w:rsidR="00386AD0" w:rsidRPr="00AD5D80" w:rsidRDefault="00386AD0" w:rsidP="00C15B4E">
            <w:pPr>
              <w:spacing w:after="0"/>
              <w:rPr>
                <w:rFonts w:ascii="Calibri" w:eastAsia="Times New Roman" w:hAnsi="Calibri" w:cs="Calibri"/>
                <w:b/>
                <w:bCs/>
                <w:color w:val="000000"/>
              </w:rPr>
            </w:pPr>
          </w:p>
        </w:tc>
        <w:tc>
          <w:tcPr>
            <w:tcW w:w="1128" w:type="dxa"/>
            <w:vMerge/>
            <w:tcBorders>
              <w:top w:val="nil"/>
              <w:left w:val="nil"/>
              <w:bottom w:val="double" w:sz="6" w:space="0" w:color="000000"/>
              <w:right w:val="nil"/>
            </w:tcBorders>
            <w:vAlign w:val="center"/>
            <w:hideMark/>
          </w:tcPr>
          <w:p w14:paraId="72CF747D" w14:textId="77777777" w:rsidR="00386AD0" w:rsidRPr="00AD5D80" w:rsidRDefault="00386AD0" w:rsidP="00C15B4E">
            <w:pPr>
              <w:spacing w:after="0"/>
              <w:rPr>
                <w:rFonts w:ascii="Calibri" w:eastAsia="Times New Roman" w:hAnsi="Calibri" w:cs="Calibri"/>
                <w:b/>
                <w:bCs/>
                <w:color w:val="000000"/>
              </w:rPr>
            </w:pPr>
          </w:p>
        </w:tc>
        <w:tc>
          <w:tcPr>
            <w:tcW w:w="1572" w:type="dxa"/>
            <w:vMerge/>
            <w:tcBorders>
              <w:top w:val="nil"/>
              <w:left w:val="nil"/>
              <w:bottom w:val="double" w:sz="6" w:space="0" w:color="000000"/>
              <w:right w:val="nil"/>
            </w:tcBorders>
            <w:vAlign w:val="center"/>
            <w:hideMark/>
          </w:tcPr>
          <w:p w14:paraId="1BB4C4A4" w14:textId="77777777" w:rsidR="00386AD0" w:rsidRPr="00AD5D80" w:rsidRDefault="00386AD0" w:rsidP="00C15B4E">
            <w:pPr>
              <w:spacing w:after="0"/>
              <w:rPr>
                <w:rFonts w:ascii="Calibri" w:eastAsia="Times New Roman" w:hAnsi="Calibri" w:cs="Calibri"/>
                <w:b/>
                <w:bCs/>
                <w:color w:val="000000"/>
              </w:rPr>
            </w:pPr>
          </w:p>
        </w:tc>
        <w:tc>
          <w:tcPr>
            <w:tcW w:w="1440" w:type="dxa"/>
            <w:vMerge/>
            <w:tcBorders>
              <w:top w:val="nil"/>
              <w:left w:val="nil"/>
              <w:bottom w:val="double" w:sz="6" w:space="0" w:color="000000"/>
              <w:right w:val="nil"/>
            </w:tcBorders>
            <w:vAlign w:val="center"/>
            <w:hideMark/>
          </w:tcPr>
          <w:p w14:paraId="00E88A58" w14:textId="77777777" w:rsidR="00386AD0" w:rsidRPr="00AD5D80" w:rsidRDefault="00386AD0" w:rsidP="00C15B4E">
            <w:pPr>
              <w:spacing w:after="0"/>
              <w:rPr>
                <w:rFonts w:ascii="Calibri" w:eastAsia="Times New Roman" w:hAnsi="Calibri" w:cs="Calibri"/>
                <w:b/>
                <w:bCs/>
                <w:color w:val="000000"/>
              </w:rPr>
            </w:pPr>
          </w:p>
        </w:tc>
        <w:tc>
          <w:tcPr>
            <w:tcW w:w="236" w:type="dxa"/>
            <w:tcBorders>
              <w:top w:val="nil"/>
              <w:left w:val="nil"/>
              <w:bottom w:val="nil"/>
              <w:right w:val="nil"/>
            </w:tcBorders>
            <w:shd w:val="clear" w:color="auto" w:fill="auto"/>
            <w:noWrap/>
            <w:vAlign w:val="bottom"/>
            <w:hideMark/>
          </w:tcPr>
          <w:p w14:paraId="740FFF5F" w14:textId="77777777" w:rsidR="00386AD0" w:rsidRPr="00AD5D80" w:rsidRDefault="00386AD0" w:rsidP="00C15B4E">
            <w:pPr>
              <w:spacing w:after="0"/>
              <w:rPr>
                <w:rFonts w:ascii="Times New Roman" w:eastAsia="Times New Roman" w:hAnsi="Times New Roman" w:cs="Times New Roman"/>
                <w:sz w:val="20"/>
                <w:szCs w:val="20"/>
              </w:rPr>
            </w:pPr>
          </w:p>
        </w:tc>
      </w:tr>
      <w:tr w:rsidR="00386AD0" w:rsidRPr="00AD5D80" w14:paraId="71DBA13C" w14:textId="77777777" w:rsidTr="00C15B4E">
        <w:trPr>
          <w:trHeight w:val="288"/>
        </w:trPr>
        <w:tc>
          <w:tcPr>
            <w:tcW w:w="9090" w:type="dxa"/>
            <w:gridSpan w:val="6"/>
            <w:tcBorders>
              <w:top w:val="nil"/>
              <w:left w:val="nil"/>
              <w:bottom w:val="nil"/>
              <w:right w:val="nil"/>
            </w:tcBorders>
            <w:shd w:val="clear" w:color="auto" w:fill="auto"/>
            <w:noWrap/>
            <w:vAlign w:val="center"/>
            <w:hideMark/>
          </w:tcPr>
          <w:p w14:paraId="22905BF5" w14:textId="2D5A81F9" w:rsidR="00386AD0" w:rsidRPr="00AD5D80" w:rsidRDefault="00386AD0" w:rsidP="00C15B4E">
            <w:pPr>
              <w:spacing w:after="0"/>
              <w:rPr>
                <w:rFonts w:ascii="Calibri" w:eastAsia="Times New Roman" w:hAnsi="Calibri" w:cs="Calibri"/>
                <w:color w:val="000000"/>
              </w:rPr>
            </w:pPr>
            <w:r w:rsidRPr="00AD5D80">
              <w:rPr>
                <w:rFonts w:ascii="Calibri" w:eastAsia="Times New Roman" w:hAnsi="Calibri" w:cs="Calibri"/>
                <w:color w:val="000000"/>
              </w:rPr>
              <w:t xml:space="preserve">Evaluation question </w:t>
            </w:r>
            <w:r w:rsidR="00F70739">
              <w:rPr>
                <w:rFonts w:ascii="Calibri" w:eastAsia="Times New Roman" w:hAnsi="Calibri" w:cs="Calibri"/>
                <w:color w:val="000000"/>
              </w:rPr>
              <w:t>3</w:t>
            </w:r>
            <w:r w:rsidRPr="00AD5D80">
              <w:rPr>
                <w:rFonts w:ascii="Calibri" w:eastAsia="Times New Roman" w:hAnsi="Calibri" w:cs="Calibri"/>
                <w:color w:val="000000"/>
              </w:rPr>
              <w:t>, ANC quality scores, single difference comparison</w:t>
            </w:r>
          </w:p>
        </w:tc>
        <w:tc>
          <w:tcPr>
            <w:tcW w:w="236" w:type="dxa"/>
            <w:vAlign w:val="center"/>
            <w:hideMark/>
          </w:tcPr>
          <w:p w14:paraId="172497AE" w14:textId="77777777" w:rsidR="00386AD0" w:rsidRPr="00AD5D80" w:rsidRDefault="00386AD0" w:rsidP="00C15B4E">
            <w:pPr>
              <w:spacing w:after="0"/>
              <w:rPr>
                <w:rFonts w:ascii="Times New Roman" w:eastAsia="Times New Roman" w:hAnsi="Times New Roman" w:cs="Times New Roman"/>
                <w:sz w:val="20"/>
                <w:szCs w:val="20"/>
              </w:rPr>
            </w:pPr>
          </w:p>
        </w:tc>
      </w:tr>
      <w:tr w:rsidR="00840B57" w:rsidRPr="00AD5D80" w14:paraId="4D9D7132" w14:textId="77777777" w:rsidTr="00612C7F">
        <w:trPr>
          <w:trHeight w:val="288"/>
        </w:trPr>
        <w:tc>
          <w:tcPr>
            <w:tcW w:w="1710" w:type="dxa"/>
            <w:tcBorders>
              <w:top w:val="nil"/>
              <w:left w:val="nil"/>
              <w:bottom w:val="nil"/>
              <w:right w:val="nil"/>
            </w:tcBorders>
            <w:shd w:val="clear" w:color="auto" w:fill="auto"/>
            <w:noWrap/>
            <w:vAlign w:val="center"/>
            <w:hideMark/>
          </w:tcPr>
          <w:p w14:paraId="11C56F63" w14:textId="77777777" w:rsidR="00840B57" w:rsidRPr="00AD5D80" w:rsidRDefault="00840B57" w:rsidP="00840B57">
            <w:pPr>
              <w:spacing w:after="0"/>
              <w:jc w:val="center"/>
              <w:rPr>
                <w:rFonts w:ascii="Calibri" w:eastAsia="Times New Roman" w:hAnsi="Calibri" w:cs="Calibri"/>
                <w:color w:val="000000"/>
              </w:rPr>
            </w:pPr>
            <w:r w:rsidRPr="00AD5D80">
              <w:rPr>
                <w:rFonts w:ascii="Calibri" w:eastAsia="Times New Roman" w:hAnsi="Calibri" w:cs="Calibri"/>
                <w:color w:val="000000"/>
              </w:rPr>
              <w:t>0.12</w:t>
            </w:r>
          </w:p>
        </w:tc>
        <w:tc>
          <w:tcPr>
            <w:tcW w:w="1890" w:type="dxa"/>
            <w:tcBorders>
              <w:top w:val="nil"/>
              <w:left w:val="nil"/>
              <w:bottom w:val="nil"/>
              <w:right w:val="nil"/>
            </w:tcBorders>
            <w:shd w:val="clear" w:color="auto" w:fill="auto"/>
            <w:noWrap/>
            <w:vAlign w:val="center"/>
            <w:hideMark/>
          </w:tcPr>
          <w:p w14:paraId="5E4EF4B7" w14:textId="77777777" w:rsidR="00840B57" w:rsidRPr="00AD5D80" w:rsidRDefault="00840B57" w:rsidP="00840B57">
            <w:pPr>
              <w:spacing w:after="0"/>
              <w:jc w:val="center"/>
              <w:rPr>
                <w:rFonts w:ascii="Calibri" w:eastAsia="Times New Roman" w:hAnsi="Calibri" w:cs="Calibri"/>
                <w:color w:val="000000"/>
              </w:rPr>
            </w:pPr>
            <w:r w:rsidRPr="00AD5D80">
              <w:rPr>
                <w:rFonts w:ascii="Calibri" w:eastAsia="Times New Roman" w:hAnsi="Calibri" w:cs="Calibri"/>
                <w:color w:val="000000"/>
              </w:rPr>
              <w:t>0.38</w:t>
            </w:r>
          </w:p>
        </w:tc>
        <w:tc>
          <w:tcPr>
            <w:tcW w:w="1350" w:type="dxa"/>
            <w:tcBorders>
              <w:top w:val="nil"/>
              <w:left w:val="nil"/>
              <w:bottom w:val="nil"/>
              <w:right w:val="nil"/>
            </w:tcBorders>
            <w:shd w:val="clear" w:color="auto" w:fill="auto"/>
            <w:noWrap/>
            <w:vAlign w:val="center"/>
            <w:hideMark/>
          </w:tcPr>
          <w:p w14:paraId="4D72F6E8" w14:textId="77777777" w:rsidR="00840B57" w:rsidRDefault="00840B57" w:rsidP="00840B57">
            <w:pPr>
              <w:spacing w:after="0"/>
              <w:jc w:val="center"/>
              <w:rPr>
                <w:rFonts w:ascii="Calibri" w:hAnsi="Calibri" w:cs="Calibri"/>
                <w:b/>
                <w:bCs/>
                <w:color w:val="000000"/>
              </w:rPr>
            </w:pPr>
            <w:r>
              <w:rPr>
                <w:rFonts w:ascii="Calibri" w:hAnsi="Calibri" w:cs="Calibri"/>
                <w:b/>
                <w:bCs/>
                <w:color w:val="000000"/>
              </w:rPr>
              <w:t>0.130</w:t>
            </w:r>
          </w:p>
          <w:p w14:paraId="160F02D3" w14:textId="0C3E2D4B" w:rsidR="00840B57" w:rsidRPr="00AD5D80" w:rsidRDefault="00840B57" w:rsidP="00840B57">
            <w:pPr>
              <w:spacing w:after="0"/>
              <w:jc w:val="center"/>
              <w:rPr>
                <w:rFonts w:ascii="Calibri" w:eastAsia="Times New Roman" w:hAnsi="Calibri" w:cs="Calibri"/>
                <w:b/>
                <w:bCs/>
                <w:color w:val="000000"/>
              </w:rPr>
            </w:pPr>
          </w:p>
        </w:tc>
        <w:tc>
          <w:tcPr>
            <w:tcW w:w="1128" w:type="dxa"/>
            <w:tcBorders>
              <w:top w:val="nil"/>
              <w:left w:val="nil"/>
              <w:bottom w:val="nil"/>
              <w:right w:val="nil"/>
            </w:tcBorders>
            <w:shd w:val="clear" w:color="auto" w:fill="auto"/>
            <w:noWrap/>
            <w:vAlign w:val="bottom"/>
            <w:hideMark/>
          </w:tcPr>
          <w:p w14:paraId="58EC132C" w14:textId="1A01DCB6" w:rsidR="00840B57" w:rsidRPr="00AD5D80" w:rsidRDefault="00840B57" w:rsidP="00840B57">
            <w:pPr>
              <w:spacing w:after="0"/>
              <w:jc w:val="center"/>
              <w:rPr>
                <w:rFonts w:ascii="Calibri" w:eastAsia="Times New Roman" w:hAnsi="Calibri" w:cs="Calibri"/>
                <w:b/>
                <w:bCs/>
                <w:color w:val="000000"/>
              </w:rPr>
            </w:pPr>
            <w:r>
              <w:rPr>
                <w:rFonts w:ascii="Calibri" w:hAnsi="Calibri" w:cs="Calibri"/>
                <w:b/>
                <w:bCs/>
                <w:color w:val="000000"/>
              </w:rPr>
              <w:t>0.211</w:t>
            </w:r>
          </w:p>
        </w:tc>
        <w:tc>
          <w:tcPr>
            <w:tcW w:w="1572" w:type="dxa"/>
            <w:tcBorders>
              <w:top w:val="nil"/>
              <w:left w:val="nil"/>
              <w:bottom w:val="nil"/>
              <w:right w:val="nil"/>
            </w:tcBorders>
            <w:shd w:val="clear" w:color="auto" w:fill="auto"/>
            <w:noWrap/>
            <w:vAlign w:val="bottom"/>
            <w:hideMark/>
          </w:tcPr>
          <w:p w14:paraId="73A85380" w14:textId="10BDB82C" w:rsidR="00840B57" w:rsidRPr="00AD5D80" w:rsidRDefault="00840B57" w:rsidP="00840B57">
            <w:pPr>
              <w:spacing w:after="0"/>
              <w:jc w:val="center"/>
              <w:rPr>
                <w:rFonts w:ascii="Calibri" w:eastAsia="Times New Roman" w:hAnsi="Calibri" w:cs="Calibri"/>
                <w:color w:val="000000"/>
              </w:rPr>
            </w:pPr>
            <w:r>
              <w:rPr>
                <w:rFonts w:ascii="Calibri" w:hAnsi="Calibri" w:cs="Calibri"/>
                <w:color w:val="000000"/>
              </w:rPr>
              <w:t>0.05</w:t>
            </w:r>
          </w:p>
        </w:tc>
        <w:tc>
          <w:tcPr>
            <w:tcW w:w="1440" w:type="dxa"/>
            <w:tcBorders>
              <w:top w:val="nil"/>
              <w:left w:val="nil"/>
              <w:bottom w:val="nil"/>
              <w:right w:val="nil"/>
            </w:tcBorders>
            <w:shd w:val="clear" w:color="auto" w:fill="auto"/>
            <w:noWrap/>
            <w:vAlign w:val="bottom"/>
            <w:hideMark/>
          </w:tcPr>
          <w:p w14:paraId="1B985182" w14:textId="5938546B" w:rsidR="00840B57" w:rsidRPr="00AD5D80" w:rsidRDefault="00840B57" w:rsidP="00840B57">
            <w:pPr>
              <w:spacing w:after="0"/>
              <w:jc w:val="center"/>
              <w:rPr>
                <w:rFonts w:ascii="Calibri" w:eastAsia="Times New Roman" w:hAnsi="Calibri" w:cs="Calibri"/>
                <w:b/>
                <w:bCs/>
                <w:color w:val="000000"/>
              </w:rPr>
            </w:pPr>
            <w:r>
              <w:rPr>
                <w:rFonts w:ascii="Calibri" w:hAnsi="Calibri" w:cs="Calibri"/>
                <w:b/>
                <w:bCs/>
                <w:color w:val="000000"/>
              </w:rPr>
              <w:t>0.819</w:t>
            </w:r>
          </w:p>
        </w:tc>
        <w:tc>
          <w:tcPr>
            <w:tcW w:w="236" w:type="dxa"/>
            <w:vAlign w:val="center"/>
            <w:hideMark/>
          </w:tcPr>
          <w:p w14:paraId="3D7BB361" w14:textId="77777777" w:rsidR="00840B57" w:rsidRPr="00AD5D80" w:rsidRDefault="00840B57" w:rsidP="00840B57">
            <w:pPr>
              <w:spacing w:after="0"/>
              <w:rPr>
                <w:rFonts w:ascii="Times New Roman" w:eastAsia="Times New Roman" w:hAnsi="Times New Roman" w:cs="Times New Roman"/>
                <w:sz w:val="20"/>
                <w:szCs w:val="20"/>
              </w:rPr>
            </w:pPr>
          </w:p>
        </w:tc>
      </w:tr>
      <w:tr w:rsidR="00386AD0" w:rsidRPr="00AD5D80" w14:paraId="6CEDB140" w14:textId="77777777" w:rsidTr="00C15B4E">
        <w:trPr>
          <w:trHeight w:val="288"/>
        </w:trPr>
        <w:tc>
          <w:tcPr>
            <w:tcW w:w="9090" w:type="dxa"/>
            <w:gridSpan w:val="6"/>
            <w:tcBorders>
              <w:top w:val="nil"/>
              <w:left w:val="nil"/>
              <w:bottom w:val="nil"/>
              <w:right w:val="nil"/>
            </w:tcBorders>
            <w:shd w:val="clear" w:color="auto" w:fill="auto"/>
            <w:noWrap/>
            <w:vAlign w:val="center"/>
            <w:hideMark/>
          </w:tcPr>
          <w:p w14:paraId="2C0C66A7" w14:textId="4395809B" w:rsidR="00386AD0" w:rsidRPr="00AD5D80" w:rsidRDefault="00386AD0" w:rsidP="00C15B4E">
            <w:pPr>
              <w:spacing w:after="0"/>
              <w:rPr>
                <w:rFonts w:ascii="Calibri" w:eastAsia="Times New Roman" w:hAnsi="Calibri" w:cs="Calibri"/>
                <w:color w:val="000000"/>
              </w:rPr>
            </w:pPr>
            <w:r w:rsidRPr="00AD5D80">
              <w:rPr>
                <w:rFonts w:ascii="Calibri" w:eastAsia="Times New Roman" w:hAnsi="Calibri" w:cs="Calibri"/>
                <w:color w:val="000000"/>
              </w:rPr>
              <w:t>Evaluation question 4, GMP quality scores, single difference comparison</w:t>
            </w:r>
          </w:p>
        </w:tc>
        <w:tc>
          <w:tcPr>
            <w:tcW w:w="236" w:type="dxa"/>
            <w:vAlign w:val="center"/>
            <w:hideMark/>
          </w:tcPr>
          <w:p w14:paraId="72CAE630" w14:textId="77777777" w:rsidR="00386AD0" w:rsidRPr="00AD5D80" w:rsidRDefault="00386AD0" w:rsidP="00C15B4E">
            <w:pPr>
              <w:spacing w:after="0"/>
              <w:rPr>
                <w:rFonts w:ascii="Times New Roman" w:eastAsia="Times New Roman" w:hAnsi="Times New Roman" w:cs="Times New Roman"/>
                <w:sz w:val="20"/>
                <w:szCs w:val="20"/>
              </w:rPr>
            </w:pPr>
          </w:p>
        </w:tc>
      </w:tr>
      <w:tr w:rsidR="00840B57" w:rsidRPr="00AD5D80" w14:paraId="4E25015E" w14:textId="77777777" w:rsidTr="00612C7F">
        <w:trPr>
          <w:trHeight w:val="288"/>
        </w:trPr>
        <w:tc>
          <w:tcPr>
            <w:tcW w:w="1710" w:type="dxa"/>
            <w:tcBorders>
              <w:top w:val="nil"/>
              <w:left w:val="nil"/>
              <w:bottom w:val="single" w:sz="4" w:space="0" w:color="auto"/>
              <w:right w:val="nil"/>
            </w:tcBorders>
            <w:shd w:val="clear" w:color="auto" w:fill="auto"/>
            <w:noWrap/>
            <w:vAlign w:val="center"/>
            <w:hideMark/>
          </w:tcPr>
          <w:p w14:paraId="75B5E127" w14:textId="77777777" w:rsidR="00840B57" w:rsidRPr="00AD5D80" w:rsidRDefault="00840B57" w:rsidP="00840B57">
            <w:pPr>
              <w:spacing w:after="0"/>
              <w:jc w:val="center"/>
              <w:rPr>
                <w:rFonts w:ascii="Calibri" w:eastAsia="Times New Roman" w:hAnsi="Calibri" w:cs="Calibri"/>
                <w:color w:val="000000"/>
              </w:rPr>
            </w:pPr>
            <w:r w:rsidRPr="00AD5D80">
              <w:rPr>
                <w:rFonts w:ascii="Calibri" w:eastAsia="Times New Roman" w:hAnsi="Calibri" w:cs="Calibri"/>
                <w:color w:val="000000"/>
              </w:rPr>
              <w:t>0.07</w:t>
            </w:r>
          </w:p>
        </w:tc>
        <w:tc>
          <w:tcPr>
            <w:tcW w:w="1890" w:type="dxa"/>
            <w:tcBorders>
              <w:top w:val="nil"/>
              <w:left w:val="nil"/>
              <w:bottom w:val="single" w:sz="4" w:space="0" w:color="auto"/>
              <w:right w:val="nil"/>
            </w:tcBorders>
            <w:shd w:val="clear" w:color="auto" w:fill="auto"/>
            <w:noWrap/>
            <w:vAlign w:val="center"/>
            <w:hideMark/>
          </w:tcPr>
          <w:p w14:paraId="5D8B8D94" w14:textId="77777777" w:rsidR="00840B57" w:rsidRPr="00AD5D80" w:rsidRDefault="00840B57" w:rsidP="00840B57">
            <w:pPr>
              <w:spacing w:after="0"/>
              <w:jc w:val="center"/>
              <w:rPr>
                <w:rFonts w:ascii="Calibri" w:eastAsia="Times New Roman" w:hAnsi="Calibri" w:cs="Calibri"/>
                <w:color w:val="000000"/>
              </w:rPr>
            </w:pPr>
            <w:r w:rsidRPr="00AD5D80">
              <w:rPr>
                <w:rFonts w:ascii="Calibri" w:eastAsia="Times New Roman" w:hAnsi="Calibri" w:cs="Calibri"/>
                <w:color w:val="000000"/>
              </w:rPr>
              <w:t>0.69</w:t>
            </w:r>
          </w:p>
        </w:tc>
        <w:tc>
          <w:tcPr>
            <w:tcW w:w="1350" w:type="dxa"/>
            <w:tcBorders>
              <w:top w:val="nil"/>
              <w:left w:val="nil"/>
              <w:bottom w:val="single" w:sz="4" w:space="0" w:color="auto"/>
              <w:right w:val="nil"/>
            </w:tcBorders>
            <w:shd w:val="clear" w:color="auto" w:fill="auto"/>
            <w:noWrap/>
            <w:vAlign w:val="bottom"/>
            <w:hideMark/>
          </w:tcPr>
          <w:p w14:paraId="4DC33CB5" w14:textId="3A26EBCE" w:rsidR="00840B57" w:rsidRPr="00AD5D80" w:rsidRDefault="00840B57" w:rsidP="00840B57">
            <w:pPr>
              <w:spacing w:after="0"/>
              <w:jc w:val="center"/>
              <w:rPr>
                <w:rFonts w:ascii="Calibri" w:eastAsia="Times New Roman" w:hAnsi="Calibri" w:cs="Calibri"/>
                <w:b/>
                <w:bCs/>
                <w:color w:val="000000"/>
              </w:rPr>
            </w:pPr>
            <w:r>
              <w:rPr>
                <w:rFonts w:ascii="Calibri" w:hAnsi="Calibri" w:cs="Calibri"/>
                <w:b/>
                <w:bCs/>
                <w:color w:val="000000"/>
              </w:rPr>
              <w:t>0.150</w:t>
            </w:r>
          </w:p>
        </w:tc>
        <w:tc>
          <w:tcPr>
            <w:tcW w:w="1128" w:type="dxa"/>
            <w:tcBorders>
              <w:top w:val="nil"/>
              <w:left w:val="nil"/>
              <w:bottom w:val="single" w:sz="4" w:space="0" w:color="auto"/>
              <w:right w:val="nil"/>
            </w:tcBorders>
            <w:shd w:val="clear" w:color="auto" w:fill="auto"/>
            <w:noWrap/>
            <w:vAlign w:val="bottom"/>
            <w:hideMark/>
          </w:tcPr>
          <w:p w14:paraId="55FCD2B4" w14:textId="65BFDBDB" w:rsidR="00840B57" w:rsidRPr="00AD5D80" w:rsidRDefault="00840B57" w:rsidP="00840B57">
            <w:pPr>
              <w:spacing w:after="0"/>
              <w:jc w:val="center"/>
              <w:rPr>
                <w:rFonts w:ascii="Calibri" w:eastAsia="Times New Roman" w:hAnsi="Calibri" w:cs="Calibri"/>
                <w:b/>
                <w:bCs/>
                <w:color w:val="000000"/>
              </w:rPr>
            </w:pPr>
            <w:r>
              <w:rPr>
                <w:rFonts w:ascii="Calibri" w:hAnsi="Calibri" w:cs="Calibri"/>
                <w:b/>
                <w:bCs/>
                <w:color w:val="000000"/>
              </w:rPr>
              <w:t>0.182</w:t>
            </w:r>
          </w:p>
        </w:tc>
        <w:tc>
          <w:tcPr>
            <w:tcW w:w="1572" w:type="dxa"/>
            <w:tcBorders>
              <w:top w:val="nil"/>
              <w:left w:val="nil"/>
              <w:bottom w:val="single" w:sz="4" w:space="0" w:color="auto"/>
              <w:right w:val="nil"/>
            </w:tcBorders>
            <w:shd w:val="clear" w:color="auto" w:fill="auto"/>
            <w:noWrap/>
            <w:vAlign w:val="bottom"/>
            <w:hideMark/>
          </w:tcPr>
          <w:p w14:paraId="5F2C3342" w14:textId="05AACCCF" w:rsidR="00840B57" w:rsidRPr="00AD5D80" w:rsidRDefault="00840B57" w:rsidP="00840B57">
            <w:pPr>
              <w:spacing w:after="0"/>
              <w:jc w:val="center"/>
              <w:rPr>
                <w:rFonts w:ascii="Calibri" w:eastAsia="Times New Roman" w:hAnsi="Calibri" w:cs="Calibri"/>
                <w:color w:val="000000"/>
              </w:rPr>
            </w:pPr>
            <w:r>
              <w:rPr>
                <w:rFonts w:ascii="Calibri" w:hAnsi="Calibri" w:cs="Calibri"/>
                <w:color w:val="000000"/>
              </w:rPr>
              <w:t>0.05</w:t>
            </w:r>
          </w:p>
        </w:tc>
        <w:tc>
          <w:tcPr>
            <w:tcW w:w="1440" w:type="dxa"/>
            <w:tcBorders>
              <w:top w:val="nil"/>
              <w:left w:val="nil"/>
              <w:bottom w:val="single" w:sz="4" w:space="0" w:color="auto"/>
              <w:right w:val="nil"/>
            </w:tcBorders>
            <w:shd w:val="clear" w:color="auto" w:fill="auto"/>
            <w:noWrap/>
            <w:vAlign w:val="bottom"/>
            <w:hideMark/>
          </w:tcPr>
          <w:p w14:paraId="3DB74C16" w14:textId="1C70F404" w:rsidR="00840B57" w:rsidRPr="00AD5D80" w:rsidRDefault="00840B57" w:rsidP="00840B57">
            <w:pPr>
              <w:spacing w:after="0"/>
              <w:jc w:val="center"/>
              <w:rPr>
                <w:rFonts w:ascii="Calibri" w:eastAsia="Times New Roman" w:hAnsi="Calibri" w:cs="Calibri"/>
                <w:b/>
                <w:bCs/>
                <w:color w:val="000000"/>
              </w:rPr>
            </w:pPr>
            <w:r>
              <w:rPr>
                <w:rFonts w:ascii="Calibri" w:hAnsi="Calibri" w:cs="Calibri"/>
                <w:b/>
                <w:bCs/>
                <w:color w:val="000000"/>
              </w:rPr>
              <w:t>0.868</w:t>
            </w:r>
          </w:p>
        </w:tc>
        <w:tc>
          <w:tcPr>
            <w:tcW w:w="236" w:type="dxa"/>
            <w:vAlign w:val="center"/>
            <w:hideMark/>
          </w:tcPr>
          <w:p w14:paraId="3BEEAB0E" w14:textId="77777777" w:rsidR="00840B57" w:rsidRPr="00AD5D80" w:rsidRDefault="00840B57" w:rsidP="00840B57">
            <w:pPr>
              <w:spacing w:after="0"/>
              <w:rPr>
                <w:rFonts w:ascii="Times New Roman" w:eastAsia="Times New Roman" w:hAnsi="Times New Roman" w:cs="Times New Roman"/>
                <w:sz w:val="20"/>
                <w:szCs w:val="20"/>
              </w:rPr>
            </w:pPr>
          </w:p>
        </w:tc>
      </w:tr>
    </w:tbl>
    <w:p w14:paraId="7CB23F59" w14:textId="77777777" w:rsidR="00386AD0" w:rsidRDefault="00386AD0" w:rsidP="00386AD0"/>
    <w:tbl>
      <w:tblPr>
        <w:tblW w:w="13355" w:type="dxa"/>
        <w:tblLook w:val="04A0" w:firstRow="1" w:lastRow="0" w:firstColumn="1" w:lastColumn="0" w:noHBand="0" w:noVBand="1"/>
      </w:tblPr>
      <w:tblGrid>
        <w:gridCol w:w="13355"/>
      </w:tblGrid>
      <w:tr w:rsidR="00386AD0" w:rsidRPr="00AD5D80" w14:paraId="5C5D806B" w14:textId="77777777" w:rsidTr="00C15B4E">
        <w:trPr>
          <w:trHeight w:val="277"/>
        </w:trPr>
        <w:tc>
          <w:tcPr>
            <w:tcW w:w="13355" w:type="dxa"/>
            <w:tcBorders>
              <w:top w:val="nil"/>
              <w:left w:val="nil"/>
              <w:bottom w:val="nil"/>
              <w:right w:val="nil"/>
            </w:tcBorders>
            <w:shd w:val="clear" w:color="auto" w:fill="auto"/>
            <w:noWrap/>
            <w:vAlign w:val="bottom"/>
            <w:hideMark/>
          </w:tcPr>
          <w:p w14:paraId="5D352F1E" w14:textId="31707A79" w:rsidR="00386AD0" w:rsidRPr="00AD5D80" w:rsidRDefault="00386AD0" w:rsidP="00C15B4E">
            <w:pPr>
              <w:spacing w:after="0"/>
              <w:rPr>
                <w:rFonts w:ascii="Calibri" w:eastAsia="Times New Roman" w:hAnsi="Calibri" w:cs="Calibri"/>
                <w:color w:val="000000"/>
                <w:sz w:val="20"/>
                <w:szCs w:val="20"/>
              </w:rPr>
            </w:pPr>
            <w:r w:rsidRPr="00AD5D80">
              <w:rPr>
                <w:rFonts w:ascii="Calibri" w:eastAsia="Times New Roman" w:hAnsi="Calibri" w:cs="Calibri"/>
                <w:color w:val="000000"/>
                <w:sz w:val="20"/>
                <w:szCs w:val="20"/>
              </w:rPr>
              <w:t>Notes:</w:t>
            </w:r>
            <w:r w:rsidRPr="00AD5D80">
              <w:rPr>
                <w:rFonts w:ascii="Calibri" w:eastAsia="Times New Roman" w:hAnsi="Calibri" w:cs="Calibri"/>
                <w:color w:val="000000"/>
                <w:sz w:val="20"/>
                <w:szCs w:val="20"/>
              </w:rPr>
              <w:br/>
            </w:r>
          </w:p>
        </w:tc>
      </w:tr>
      <w:tr w:rsidR="00386AD0" w:rsidRPr="00AD5D80" w14:paraId="4AA5D717" w14:textId="77777777" w:rsidTr="00C15B4E">
        <w:trPr>
          <w:trHeight w:val="277"/>
        </w:trPr>
        <w:tc>
          <w:tcPr>
            <w:tcW w:w="13355" w:type="dxa"/>
            <w:tcBorders>
              <w:top w:val="nil"/>
              <w:left w:val="nil"/>
              <w:bottom w:val="nil"/>
              <w:right w:val="nil"/>
            </w:tcBorders>
            <w:shd w:val="clear" w:color="auto" w:fill="auto"/>
            <w:noWrap/>
            <w:vAlign w:val="bottom"/>
            <w:hideMark/>
          </w:tcPr>
          <w:p w14:paraId="0A145FA4" w14:textId="77777777" w:rsidR="00386AD0" w:rsidRPr="00AD5D80" w:rsidRDefault="00386AD0" w:rsidP="00C15B4E">
            <w:pPr>
              <w:spacing w:after="0"/>
              <w:rPr>
                <w:rFonts w:ascii="Calibri" w:eastAsia="Times New Roman" w:hAnsi="Calibri" w:cs="Calibri"/>
                <w:color w:val="000000"/>
                <w:sz w:val="20"/>
                <w:szCs w:val="20"/>
              </w:rPr>
            </w:pPr>
            <w:r w:rsidRPr="00AD5D80">
              <w:rPr>
                <w:rFonts w:ascii="Calibri" w:eastAsia="Times New Roman" w:hAnsi="Calibri" w:cs="Calibri"/>
                <w:color w:val="000000"/>
                <w:sz w:val="20"/>
                <w:szCs w:val="20"/>
              </w:rPr>
              <w:t>Additional expected power gains from: repeated measurement post-baseline, cluster and individual level controls or propensity weights</w:t>
            </w:r>
          </w:p>
        </w:tc>
      </w:tr>
      <w:tr w:rsidR="00386AD0" w:rsidRPr="00AD5D80" w14:paraId="527A80D7" w14:textId="77777777" w:rsidTr="00C15B4E">
        <w:trPr>
          <w:trHeight w:val="277"/>
        </w:trPr>
        <w:tc>
          <w:tcPr>
            <w:tcW w:w="13355" w:type="dxa"/>
            <w:tcBorders>
              <w:top w:val="nil"/>
              <w:left w:val="nil"/>
              <w:bottom w:val="nil"/>
              <w:right w:val="nil"/>
            </w:tcBorders>
            <w:shd w:val="clear" w:color="auto" w:fill="auto"/>
            <w:noWrap/>
            <w:vAlign w:val="bottom"/>
            <w:hideMark/>
          </w:tcPr>
          <w:p w14:paraId="57397641" w14:textId="5A47D6D0" w:rsidR="00386AD0" w:rsidRPr="00AD5D80" w:rsidRDefault="00386AD0" w:rsidP="00C15B4E">
            <w:pPr>
              <w:spacing w:after="0"/>
              <w:rPr>
                <w:rFonts w:ascii="Calibri" w:eastAsia="Times New Roman" w:hAnsi="Calibri" w:cs="Calibri"/>
                <w:color w:val="000000"/>
                <w:sz w:val="20"/>
                <w:szCs w:val="20"/>
              </w:rPr>
            </w:pPr>
            <w:r w:rsidRPr="00AD5D80">
              <w:rPr>
                <w:rFonts w:ascii="Calibri" w:eastAsia="Times New Roman" w:hAnsi="Calibri" w:cs="Calibri"/>
                <w:color w:val="000000"/>
                <w:sz w:val="20"/>
                <w:szCs w:val="20"/>
              </w:rPr>
              <w:t xml:space="preserve">Evaluation questions </w:t>
            </w:r>
            <w:r w:rsidR="00F70739">
              <w:rPr>
                <w:rFonts w:ascii="Calibri" w:eastAsia="Times New Roman" w:hAnsi="Calibri" w:cs="Calibri"/>
                <w:color w:val="000000"/>
                <w:sz w:val="20"/>
                <w:szCs w:val="20"/>
              </w:rPr>
              <w:t>3</w:t>
            </w:r>
            <w:r w:rsidRPr="00AD5D80">
              <w:rPr>
                <w:rFonts w:ascii="Calibri" w:eastAsia="Times New Roman" w:hAnsi="Calibri" w:cs="Calibri"/>
                <w:color w:val="000000"/>
                <w:sz w:val="20"/>
                <w:szCs w:val="20"/>
              </w:rPr>
              <w:t xml:space="preserve"> and 4 are single difference estimates computed with Stata's </w:t>
            </w:r>
            <w:r w:rsidRPr="00AD5D80">
              <w:rPr>
                <w:rFonts w:ascii="Calibri" w:eastAsia="Times New Roman" w:hAnsi="Calibri" w:cs="Calibri"/>
                <w:i/>
                <w:iCs/>
                <w:color w:val="000000"/>
                <w:sz w:val="20"/>
                <w:szCs w:val="20"/>
              </w:rPr>
              <w:t>powersim</w:t>
            </w:r>
            <w:r w:rsidRPr="00AD5D80">
              <w:rPr>
                <w:rFonts w:ascii="Calibri" w:eastAsia="Times New Roman" w:hAnsi="Calibri" w:cs="Calibri"/>
                <w:color w:val="000000"/>
                <w:sz w:val="20"/>
                <w:szCs w:val="20"/>
              </w:rPr>
              <w:t xml:space="preserve"> command, not th</w:t>
            </w:r>
            <w:r>
              <w:rPr>
                <w:rFonts w:ascii="Calibri" w:eastAsia="Times New Roman" w:hAnsi="Calibri" w:cs="Calibri"/>
                <w:color w:val="000000"/>
                <w:sz w:val="20"/>
                <w:szCs w:val="20"/>
              </w:rPr>
              <w:t>rough</w:t>
            </w:r>
            <w:r w:rsidRPr="00AD5D80">
              <w:rPr>
                <w:rFonts w:ascii="Calibri" w:eastAsia="Times New Roman" w:hAnsi="Calibri" w:cs="Calibri"/>
                <w:color w:val="000000"/>
                <w:sz w:val="20"/>
                <w:szCs w:val="20"/>
              </w:rPr>
              <w:t xml:space="preserve"> simulations</w:t>
            </w:r>
          </w:p>
        </w:tc>
      </w:tr>
    </w:tbl>
    <w:p w14:paraId="269E8321" w14:textId="7E5C59A0" w:rsidR="00386AD0" w:rsidRDefault="00386AD0" w:rsidP="00733507">
      <w:pPr>
        <w:autoSpaceDE w:val="0"/>
        <w:autoSpaceDN w:val="0"/>
        <w:adjustRightInd w:val="0"/>
        <w:sectPr w:rsidR="00386AD0" w:rsidSect="00386AD0">
          <w:pgSz w:w="15840" w:h="12240" w:orient="landscape"/>
          <w:pgMar w:top="1440" w:right="1440" w:bottom="1440" w:left="1440" w:header="720" w:footer="720" w:gutter="0"/>
          <w:cols w:space="720"/>
          <w:docGrid w:linePitch="360"/>
        </w:sectPr>
      </w:pPr>
    </w:p>
    <w:p w14:paraId="52794248" w14:textId="77777777" w:rsidR="00187799" w:rsidRPr="00733507" w:rsidRDefault="00187799" w:rsidP="00187799">
      <w:pPr>
        <w:pStyle w:val="Heading3"/>
        <w:rPr>
          <w:b/>
          <w:bCs/>
          <w:i w:val="0"/>
          <w:iCs/>
          <w:sz w:val="28"/>
        </w:rPr>
      </w:pPr>
      <w:bookmarkStart w:id="28" w:name="_Toc520742203"/>
      <w:bookmarkStart w:id="29" w:name="_Toc69728402"/>
      <w:r w:rsidRPr="00733507">
        <w:rPr>
          <w:b/>
          <w:bCs/>
          <w:i w:val="0"/>
          <w:iCs/>
        </w:rPr>
        <w:lastRenderedPageBreak/>
        <w:t>Timeline</w:t>
      </w:r>
    </w:p>
    <w:p w14:paraId="34B46FC7" w14:textId="29A51445" w:rsidR="00187799" w:rsidRDefault="00187799" w:rsidP="00187799">
      <w:pPr>
        <w:pStyle w:val="NoSpacing"/>
      </w:pPr>
      <w:r>
        <w:t xml:space="preserve">We will conduct three community surveys over four years of program operations, as well as two facility surveys. The baseline community survey was conducted in the second quarter of the 2019-20 fiscal year, and will be followed by a midline survey and by the first facility survey round in 2021-22. Endline surveys are expected to follow in </w:t>
      </w:r>
      <w:r w:rsidR="00F226AB">
        <w:t xml:space="preserve">the third quarter of </w:t>
      </w:r>
      <w:r>
        <w:t>2022-23. See the timeline below:</w:t>
      </w:r>
    </w:p>
    <w:p w14:paraId="093102E2" w14:textId="77777777" w:rsidR="00187799" w:rsidRDefault="00187799" w:rsidP="00187799">
      <w:pPr>
        <w:pStyle w:val="NoSpacing"/>
      </w:pPr>
    </w:p>
    <w:p w14:paraId="47C7A71A" w14:textId="46610CF4" w:rsidR="00187799" w:rsidRDefault="00F226AB" w:rsidP="00187799">
      <w:pPr>
        <w:pStyle w:val="NoSpacing"/>
      </w:pPr>
      <w:r>
        <w:rPr>
          <w:noProof/>
        </w:rPr>
        <w:drawing>
          <wp:inline distT="0" distB="0" distL="0" distR="0" wp14:anchorId="79E1A516" wp14:editId="2D844BA3">
            <wp:extent cx="5943600" cy="3162935"/>
            <wp:effectExtent l="0" t="0" r="0" b="0"/>
            <wp:docPr id="4" name="Picture 4" descr="Timelin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Timeline&#10;&#10;Description automatically generated"/>
                    <pic:cNvPicPr/>
                  </pic:nvPicPr>
                  <pic:blipFill>
                    <a:blip r:embed="rId11"/>
                    <a:stretch>
                      <a:fillRect/>
                    </a:stretch>
                  </pic:blipFill>
                  <pic:spPr>
                    <a:xfrm>
                      <a:off x="0" y="0"/>
                      <a:ext cx="5943600" cy="3162935"/>
                    </a:xfrm>
                    <a:prstGeom prst="rect">
                      <a:avLst/>
                    </a:prstGeom>
                  </pic:spPr>
                </pic:pic>
              </a:graphicData>
            </a:graphic>
          </wp:inline>
        </w:drawing>
      </w:r>
    </w:p>
    <w:p w14:paraId="142337E8" w14:textId="77777777" w:rsidR="00187799" w:rsidRDefault="00187799" w:rsidP="00733507">
      <w:pPr>
        <w:pStyle w:val="Heading1"/>
      </w:pPr>
    </w:p>
    <w:p w14:paraId="4C120939" w14:textId="0A810ED8" w:rsidR="001A0118" w:rsidRDefault="001A0118" w:rsidP="00733507">
      <w:pPr>
        <w:pStyle w:val="Heading1"/>
      </w:pPr>
      <w:r>
        <w:t>Process evaluation</w:t>
      </w:r>
      <w:bookmarkEnd w:id="28"/>
      <w:bookmarkEnd w:id="29"/>
    </w:p>
    <w:p w14:paraId="7593891A" w14:textId="66047BEC" w:rsidR="008A104D" w:rsidRDefault="00D15A80" w:rsidP="00C61DAE">
      <w:pPr>
        <w:pStyle w:val="NoSpacing"/>
      </w:pPr>
      <w:r>
        <w:t>A key assumption in assessing the impact of the program is that interventions will be delivered with</w:t>
      </w:r>
      <w:r w:rsidR="005E1F28">
        <w:t xml:space="preserve"> sufficient effort, high</w:t>
      </w:r>
      <w:r>
        <w:t xml:space="preserve"> quality</w:t>
      </w:r>
      <w:r w:rsidR="005E1F28">
        <w:t>,</w:t>
      </w:r>
      <w:r>
        <w:t xml:space="preserve"> and reach the intended targets. </w:t>
      </w:r>
      <w:r w:rsidR="005E1F28">
        <w:t>In other words, the interventions will be implemented with a high degree of fidelity</w:t>
      </w:r>
      <w:r w:rsidR="004A4298">
        <w:t xml:space="preserve"> to rigorous protocols</w:t>
      </w:r>
      <w:r w:rsidR="005E1F28">
        <w:t xml:space="preserve">. </w:t>
      </w:r>
      <w:r>
        <w:t xml:space="preserve">To assess the fidelity and consistency of the implementation of the interventions, </w:t>
      </w:r>
      <w:r w:rsidR="00297AC2">
        <w:t xml:space="preserve">identify </w:t>
      </w:r>
      <w:r>
        <w:t xml:space="preserve">barriers to and enablers of successful implementation, and to inform improvements in the delivery of interventions, we will undertake process evaluations in parallel with the </w:t>
      </w:r>
      <w:r w:rsidR="005E1F28">
        <w:t>quantitative data collection for the</w:t>
      </w:r>
      <w:r>
        <w:t xml:space="preserve"> impact evaluation.</w:t>
      </w:r>
      <w:r w:rsidR="005E1F28">
        <w:t xml:space="preserve"> </w:t>
      </w:r>
      <w:r>
        <w:t>The process evaluations will be conducted at three levels:</w:t>
      </w:r>
      <w:r w:rsidR="008A104D">
        <w:t xml:space="preserve"> </w:t>
      </w:r>
      <w:r w:rsidR="005E1F28">
        <w:t>at the household level of the</w:t>
      </w:r>
      <w:r w:rsidR="008A104D">
        <w:t xml:space="preserve"> target population</w:t>
      </w:r>
      <w:r w:rsidR="005E1F28">
        <w:t>,</w:t>
      </w:r>
      <w:r w:rsidR="008A104D">
        <w:t xml:space="preserve"> among providers at the community level (CHWs and social protection staff), and at health facilities.</w:t>
      </w:r>
    </w:p>
    <w:p w14:paraId="2E96B6F9" w14:textId="77777777" w:rsidR="00C61DAE" w:rsidRDefault="00C61DAE" w:rsidP="00C61DAE">
      <w:pPr>
        <w:pStyle w:val="NoSpacing"/>
      </w:pPr>
    </w:p>
    <w:p w14:paraId="166BAA2F" w14:textId="5C40E500" w:rsidR="00D15A80" w:rsidRDefault="00B03437" w:rsidP="00C61DAE">
      <w:pPr>
        <w:pStyle w:val="NoSpacing"/>
      </w:pPr>
      <w:r>
        <w:t xml:space="preserve">At the household level, the process evaluation will </w:t>
      </w:r>
      <w:r w:rsidR="00561269">
        <w:t>u</w:t>
      </w:r>
      <w:r w:rsidR="004A4298">
        <w:t>tilize</w:t>
      </w:r>
      <w:r w:rsidR="00561269">
        <w:t xml:space="preserve"> </w:t>
      </w:r>
      <w:r w:rsidR="005E1F28">
        <w:t>the</w:t>
      </w:r>
      <w:r w:rsidR="00561269">
        <w:t xml:space="preserve"> household </w:t>
      </w:r>
      <w:r w:rsidR="005E1F28">
        <w:t xml:space="preserve">questionnaire administered during the </w:t>
      </w:r>
      <w:r w:rsidR="00F32357">
        <w:t>community</w:t>
      </w:r>
      <w:r w:rsidR="005E1F28">
        <w:t xml:space="preserve"> survey</w:t>
      </w:r>
      <w:r>
        <w:t xml:space="preserve"> to assess coverage of key services and utilization of program interventions among the target populations</w:t>
      </w:r>
      <w:r w:rsidR="005E1F28">
        <w:t>, as well as self-reported beneficiary compliance with the NSDS/</w:t>
      </w:r>
      <w:r w:rsidR="00D77C07">
        <w:t>CT</w:t>
      </w:r>
      <w:r w:rsidR="005E1F28">
        <w:t xml:space="preserve"> conditions</w:t>
      </w:r>
      <w:r>
        <w:t>.</w:t>
      </w:r>
      <w:r w:rsidR="005E1F28">
        <w:t xml:space="preserve"> </w:t>
      </w:r>
      <w:r w:rsidR="0097008C">
        <w:t>Potential areas o</w:t>
      </w:r>
      <w:r w:rsidR="00114532">
        <w:t xml:space="preserve">f assessment include </w:t>
      </w:r>
      <w:r w:rsidR="00297AC2">
        <w:t xml:space="preserve">households’ exposure to and </w:t>
      </w:r>
      <w:r w:rsidR="00114532">
        <w:t xml:space="preserve">engagement in community nutrition counseling and demonstration activities, </w:t>
      </w:r>
      <w:r w:rsidR="00297AC2">
        <w:t>caregivers’</w:t>
      </w:r>
      <w:r w:rsidR="00114532">
        <w:t xml:space="preserve"> efficacy in translating intervention messages to improved care and feeding practices, </w:t>
      </w:r>
      <w:r w:rsidR="00297AC2">
        <w:t xml:space="preserve">and </w:t>
      </w:r>
      <w:r w:rsidR="00114532">
        <w:t>specific barriers encountered to participation in intervention activities</w:t>
      </w:r>
      <w:r w:rsidR="00297AC2">
        <w:t>.</w:t>
      </w:r>
      <w:r w:rsidR="005E1F28">
        <w:t xml:space="preserve"> </w:t>
      </w:r>
      <w:r w:rsidR="00297AC2">
        <w:t>Assessments will also be made on the extent to which households have access to improved water and sanitation facilities, as well as engagement in appropriate sanitation and hygiene practices</w:t>
      </w:r>
      <w:r w:rsidR="001529D9">
        <w:t>.</w:t>
      </w:r>
    </w:p>
    <w:p w14:paraId="40C88436" w14:textId="77777777" w:rsidR="00C61DAE" w:rsidRDefault="00C61DAE" w:rsidP="00C61DAE">
      <w:pPr>
        <w:pStyle w:val="NoSpacing"/>
      </w:pPr>
    </w:p>
    <w:p w14:paraId="1DA52887" w14:textId="0BEEC9B7" w:rsidR="001529D9" w:rsidRDefault="001529D9" w:rsidP="00C61DAE">
      <w:pPr>
        <w:pStyle w:val="NoSpacing"/>
      </w:pPr>
      <w:r>
        <w:lastRenderedPageBreak/>
        <w:t xml:space="preserve">Among providers at the community level, the process evaluation will assess </w:t>
      </w:r>
      <w:r w:rsidR="009F75C8">
        <w:t xml:space="preserve">the ability of </w:t>
      </w:r>
      <w:r w:rsidR="000B782C">
        <w:t>CHWs</w:t>
      </w:r>
      <w:r w:rsidR="009F75C8">
        <w:t xml:space="preserve"> to deliver the interventions as intended and the quality of services they provide.</w:t>
      </w:r>
      <w:r w:rsidR="005E1F28">
        <w:t xml:space="preserve"> </w:t>
      </w:r>
      <w:r w:rsidR="009F75C8">
        <w:t xml:space="preserve">This will be assessed using </w:t>
      </w:r>
      <w:r w:rsidR="004A4298">
        <w:t xml:space="preserve">a dedicated </w:t>
      </w:r>
      <w:r w:rsidR="009F75C8">
        <w:t>knowledge, attitudes, and practices</w:t>
      </w:r>
      <w:r w:rsidR="00107C9A">
        <w:t xml:space="preserve"> (KAP)</w:t>
      </w:r>
      <w:r w:rsidR="009F75C8">
        <w:t xml:space="preserve"> questionnair</w:t>
      </w:r>
      <w:r w:rsidR="000B782C">
        <w:t>e</w:t>
      </w:r>
      <w:r w:rsidR="004A4298">
        <w:t xml:space="preserve">. Barriers to the provision of quality services will be elicited from the surveyed professionals. In addition, </w:t>
      </w:r>
      <w:r w:rsidR="005E1F28">
        <w:t xml:space="preserve">client satisfaction </w:t>
      </w:r>
      <w:r w:rsidR="00C61DAE">
        <w:t xml:space="preserve">among </w:t>
      </w:r>
      <w:r w:rsidR="008A33AF">
        <w:t>beneficiaries</w:t>
      </w:r>
      <w:r w:rsidR="004A4298">
        <w:t xml:space="preserve"> will be estimated as part of the </w:t>
      </w:r>
      <w:r w:rsidR="00F32357">
        <w:t>community</w:t>
      </w:r>
      <w:r w:rsidR="004A4298">
        <w:t xml:space="preserve"> survey</w:t>
      </w:r>
      <w:r w:rsidR="009F75C8">
        <w:t>.</w:t>
      </w:r>
      <w:r w:rsidR="005E1F28">
        <w:t xml:space="preserve"> </w:t>
      </w:r>
    </w:p>
    <w:p w14:paraId="19018CA0" w14:textId="6743C67C" w:rsidR="009F75C8" w:rsidRDefault="009F75C8" w:rsidP="00C61DAE">
      <w:pPr>
        <w:pStyle w:val="NoSpacing"/>
      </w:pPr>
    </w:p>
    <w:p w14:paraId="2E22680D" w14:textId="0139634F" w:rsidR="009F75C8" w:rsidRDefault="009F75C8" w:rsidP="00C61DAE">
      <w:pPr>
        <w:pStyle w:val="NoSpacing"/>
      </w:pPr>
      <w:r>
        <w:t xml:space="preserve">At </w:t>
      </w:r>
      <w:r w:rsidR="00712B91">
        <w:t xml:space="preserve">health </w:t>
      </w:r>
      <w:r w:rsidR="00561269">
        <w:t>centers</w:t>
      </w:r>
      <w:r w:rsidR="00712B91">
        <w:t xml:space="preserve">, </w:t>
      </w:r>
      <w:r w:rsidR="00107C9A">
        <w:t xml:space="preserve">the process evaluation will assess the </w:t>
      </w:r>
      <w:r w:rsidR="00712B91">
        <w:t xml:space="preserve">quality of and satisfaction with </w:t>
      </w:r>
      <w:r w:rsidR="004A4298">
        <w:t>SPR</w:t>
      </w:r>
      <w:r w:rsidR="00905A5C">
        <w:t>P-</w:t>
      </w:r>
      <w:r w:rsidR="004A4298">
        <w:t xml:space="preserve">related </w:t>
      </w:r>
      <w:r w:rsidR="00712B91">
        <w:t>service delivery</w:t>
      </w:r>
      <w:r w:rsidR="00107C9A">
        <w:t>.</w:t>
      </w:r>
      <w:r w:rsidR="00712B91">
        <w:t xml:space="preserve"> </w:t>
      </w:r>
      <w:r w:rsidR="00107C9A">
        <w:t xml:space="preserve">This will </w:t>
      </w:r>
      <w:r w:rsidR="004A4298">
        <w:t xml:space="preserve">be pursued through </w:t>
      </w:r>
      <w:r w:rsidR="000B782C">
        <w:t xml:space="preserve">questions and practical scenarios to assess </w:t>
      </w:r>
      <w:r w:rsidR="00107C9A">
        <w:t>health providers</w:t>
      </w:r>
      <w:r w:rsidR="000B782C">
        <w:t>' knowledge of selected health and nutrition services,</w:t>
      </w:r>
      <w:r w:rsidR="00107C9A">
        <w:t xml:space="preserve"> and exit interviews </w:t>
      </w:r>
      <w:r w:rsidR="00561269">
        <w:t xml:space="preserve">with </w:t>
      </w:r>
      <w:r w:rsidR="00696A32">
        <w:t xml:space="preserve">a random sample of </w:t>
      </w:r>
      <w:r w:rsidR="00C61DAE">
        <w:t>-</w:t>
      </w:r>
      <w:r w:rsidR="004A4298">
        <w:t>patients</w:t>
      </w:r>
      <w:r w:rsidR="00561269">
        <w:t xml:space="preserve"> accessing</w:t>
      </w:r>
      <w:r w:rsidR="00C61DAE">
        <w:t xml:space="preserve"> relevant nutrition-related</w:t>
      </w:r>
      <w:r w:rsidR="00561269">
        <w:t xml:space="preserve"> services at the health centers. </w:t>
      </w:r>
      <w:r w:rsidR="004A4298">
        <w:t>The process evaluation will also seek to elicit perceived barriers to the provision of effective nutrition-related services on the part of both health workers and patients.</w:t>
      </w:r>
    </w:p>
    <w:p w14:paraId="6FB445B0" w14:textId="71E271BD" w:rsidR="004A4298" w:rsidRDefault="004A4298" w:rsidP="00C61DAE">
      <w:pPr>
        <w:pStyle w:val="NoSpacing"/>
      </w:pPr>
    </w:p>
    <w:p w14:paraId="173242CB" w14:textId="255A3299" w:rsidR="004A4298" w:rsidRDefault="004A4298" w:rsidP="00C61DAE">
      <w:pPr>
        <w:pStyle w:val="NoSpacing"/>
      </w:pPr>
      <w:r>
        <w:t>Finally, the timely analysis of routinely collected data through the HMIS and NSDS</w:t>
      </w:r>
      <w:r w:rsidR="00D42FB6">
        <w:t xml:space="preserve"> portals will review the reported coverages of the intervention activities. These coverages will be compared with anticipated coverage levels and local areas with large divergences will be communicated to implementers for further interrogation. In additional any local area with large changes in coverage over relatively short periods will also be flagged for further, possibly field-based, inquiry.</w:t>
      </w:r>
    </w:p>
    <w:p w14:paraId="7F9404B5" w14:textId="77777777" w:rsidR="00C61DAE" w:rsidRPr="00CE12C5" w:rsidRDefault="00C61DAE" w:rsidP="00C61DAE">
      <w:pPr>
        <w:pStyle w:val="NoSpacing"/>
      </w:pPr>
    </w:p>
    <w:p w14:paraId="1D5F3E6F" w14:textId="196EEE67" w:rsidR="00E448A9" w:rsidRDefault="00E448A9" w:rsidP="00C61DAE">
      <w:pPr>
        <w:pStyle w:val="NoSpacing"/>
      </w:pPr>
      <w:r>
        <w:t>The process evaluations will be implemented largely in parallel with the surveys for the impact evaluation.</w:t>
      </w:r>
      <w:r w:rsidR="005E1F28">
        <w:t xml:space="preserve"> </w:t>
      </w:r>
      <w:r>
        <w:t>Given that one aim of the process evaluation is to inform continuous improvements in the delivery of the project interventions, process evaluation activities may also be carried out in Year 3, when no impact evaluation services are planned.</w:t>
      </w:r>
      <w:r w:rsidR="005E1F28">
        <w:t xml:space="preserve"> </w:t>
      </w:r>
      <w:r>
        <w:t>The timeline below provides a schedule of potential process evaluation activities.</w:t>
      </w:r>
    </w:p>
    <w:p w14:paraId="4FBCB54A" w14:textId="1583C9DA" w:rsidR="00FA17EF" w:rsidRDefault="00FA17EF" w:rsidP="00C61DAE">
      <w:pPr>
        <w:pStyle w:val="NoSpacing"/>
      </w:pPr>
    </w:p>
    <w:p w14:paraId="7BE36E3C" w14:textId="792DDE2A" w:rsidR="00FA17EF" w:rsidRDefault="00FA17EF" w:rsidP="00C61DAE">
      <w:pPr>
        <w:pStyle w:val="NoSpacing"/>
      </w:pPr>
      <w:r>
        <w:t>In addition, a parallel effort on financial tracking on nutrition which is ongoing with World Bank support will provide additional information for the evaluation.</w:t>
      </w:r>
    </w:p>
    <w:p w14:paraId="4F9A9E67" w14:textId="34DC6BEF" w:rsidR="00BE684C" w:rsidRDefault="005E1F28" w:rsidP="00C61DAE">
      <w:pPr>
        <w:pStyle w:val="NoSpacing"/>
      </w:pPr>
      <w:r>
        <w:t xml:space="preserve"> </w:t>
      </w:r>
    </w:p>
    <w:p w14:paraId="0725840C" w14:textId="77777777" w:rsidR="004A4298" w:rsidRDefault="004A4298" w:rsidP="00C61DAE">
      <w:pPr>
        <w:pStyle w:val="NoSpacing"/>
      </w:pPr>
    </w:p>
    <w:p w14:paraId="751AA04E" w14:textId="604BA266" w:rsidR="0065541A" w:rsidRDefault="00E02866" w:rsidP="002D5F19">
      <w:pPr>
        <w:pStyle w:val="Heading1"/>
      </w:pPr>
      <w:bookmarkStart w:id="30" w:name="_Toc520742205"/>
      <w:bookmarkStart w:id="31" w:name="_Toc69728403"/>
      <w:r>
        <w:t>Study r</w:t>
      </w:r>
      <w:r w:rsidR="005E45C3" w:rsidRPr="005E45C3">
        <w:t>isks and mitigation of risk</w:t>
      </w:r>
      <w:r>
        <w:t>s</w:t>
      </w:r>
      <w:bookmarkEnd w:id="30"/>
      <w:bookmarkEnd w:id="31"/>
    </w:p>
    <w:p w14:paraId="376C2F42" w14:textId="7689EC4A" w:rsidR="000004F4" w:rsidRDefault="000004F4" w:rsidP="000004F4">
      <w:r>
        <w:t>There are several potential risks to study validity</w:t>
      </w:r>
      <w:r w:rsidR="006A5D80">
        <w:t xml:space="preserve"> that should be considered </w:t>
      </w:r>
      <w:r w:rsidR="00890549">
        <w:t>as well as possible</w:t>
      </w:r>
      <w:r w:rsidR="006A5D80">
        <w:t xml:space="preserve"> mitigation strategies discussed. These risks include:</w:t>
      </w:r>
    </w:p>
    <w:p w14:paraId="25ED2619" w14:textId="430E0047" w:rsidR="000D334D" w:rsidRDefault="007750F5" w:rsidP="007750F5">
      <w:pPr>
        <w:pStyle w:val="ListParagraph"/>
        <w:numPr>
          <w:ilvl w:val="0"/>
          <w:numId w:val="9"/>
        </w:numPr>
      </w:pPr>
      <w:r>
        <w:t xml:space="preserve">Concurrent </w:t>
      </w:r>
      <w:r w:rsidR="000D334D">
        <w:t xml:space="preserve">at-scale </w:t>
      </w:r>
      <w:r w:rsidR="006A5D80">
        <w:t>nutr</w:t>
      </w:r>
      <w:r w:rsidR="000D334D">
        <w:t>i</w:t>
      </w:r>
      <w:r w:rsidR="006A5D80">
        <w:t xml:space="preserve">tion related </w:t>
      </w:r>
      <w:r>
        <w:t>interventions</w:t>
      </w:r>
      <w:r w:rsidR="006A5D80">
        <w:t xml:space="preserve"> implemented</w:t>
      </w:r>
      <w:r>
        <w:t xml:space="preserve"> by GoR </w:t>
      </w:r>
      <w:r w:rsidR="000D334D">
        <w:t xml:space="preserve">or </w:t>
      </w:r>
      <w:r>
        <w:t xml:space="preserve">other organizations, </w:t>
      </w:r>
      <w:r w:rsidR="000C5844">
        <w:t>such as UNICEF or</w:t>
      </w:r>
      <w:r>
        <w:t xml:space="preserve"> USAID</w:t>
      </w:r>
      <w:r w:rsidR="000D334D">
        <w:t xml:space="preserve">, that may confound inferences </w:t>
      </w:r>
      <w:r w:rsidR="008B11BF">
        <w:t>derived from</w:t>
      </w:r>
      <w:r w:rsidR="000D334D">
        <w:t xml:space="preserve"> the Question 1 evaluation design.</w:t>
      </w:r>
    </w:p>
    <w:p w14:paraId="3777055A" w14:textId="5D3151AC" w:rsidR="000D334D" w:rsidRDefault="000D334D" w:rsidP="000D334D">
      <w:pPr>
        <w:pStyle w:val="ListParagraph"/>
        <w:numPr>
          <w:ilvl w:val="0"/>
          <w:numId w:val="9"/>
        </w:numPr>
      </w:pPr>
      <w:r>
        <w:t>The scale-up of the NSDS /</w:t>
      </w:r>
      <w:r w:rsidR="00D77C07">
        <w:t>CT</w:t>
      </w:r>
      <w:r>
        <w:t xml:space="preserve"> program before endline data collection</w:t>
      </w:r>
      <w:r w:rsidR="00890549">
        <w:t xml:space="preserve"> </w:t>
      </w:r>
      <w:r w:rsidR="00E81286">
        <w:t xml:space="preserve">necessitates a revisiting of the </w:t>
      </w:r>
      <w:r w:rsidR="00890549">
        <w:t>Question 2 evaluation design</w:t>
      </w:r>
      <w:r w:rsidR="00E81286">
        <w:t>.</w:t>
      </w:r>
    </w:p>
    <w:p w14:paraId="0B712C62" w14:textId="17189DFF" w:rsidR="00091A2B" w:rsidRDefault="00890549" w:rsidP="000D334D">
      <w:pPr>
        <w:pStyle w:val="ListParagraph"/>
        <w:numPr>
          <w:ilvl w:val="0"/>
          <w:numId w:val="9"/>
        </w:numPr>
      </w:pPr>
      <w:r>
        <w:t>Reduced</w:t>
      </w:r>
      <w:r w:rsidR="00091A2B">
        <w:t xml:space="preserve"> power of inference due to poor quality primary data collection.</w:t>
      </w:r>
    </w:p>
    <w:p w14:paraId="67A152C6" w14:textId="2FDE783A" w:rsidR="000D334D" w:rsidRDefault="000D334D" w:rsidP="000D334D">
      <w:pPr>
        <w:pStyle w:val="ListParagraph"/>
      </w:pPr>
    </w:p>
    <w:p w14:paraId="18FF65E8" w14:textId="60A88D07" w:rsidR="000D334D" w:rsidRDefault="000D334D" w:rsidP="000D334D">
      <w:r>
        <w:t>Certain study design decisions have been take</w:t>
      </w:r>
      <w:r w:rsidR="00091A2B">
        <w:t>n to insure against these risks:</w:t>
      </w:r>
    </w:p>
    <w:p w14:paraId="10F06599" w14:textId="5DF8D5C0" w:rsidR="007750F5" w:rsidRDefault="00890549" w:rsidP="007750F5">
      <w:pPr>
        <w:pStyle w:val="ListParagraph"/>
        <w:numPr>
          <w:ilvl w:val="0"/>
          <w:numId w:val="9"/>
        </w:numPr>
      </w:pPr>
      <w:r>
        <w:t>To mitigate risks presented by possible concurrent at-scale interventions, the evaluation team has p</w:t>
      </w:r>
      <w:r w:rsidR="007750F5">
        <w:t>r</w:t>
      </w:r>
      <w:r>
        <w:t xml:space="preserve">epared a comprehensive </w:t>
      </w:r>
      <w:r w:rsidR="007750F5">
        <w:t xml:space="preserve">overview of </w:t>
      </w:r>
      <w:r>
        <w:t xml:space="preserve">nutrition related </w:t>
      </w:r>
      <w:r w:rsidR="007750F5">
        <w:t>interventions by district</w:t>
      </w:r>
      <w:r>
        <w:t xml:space="preserve"> through an extensive mapping exercise with all </w:t>
      </w:r>
      <w:r w:rsidR="0001610D">
        <w:t xml:space="preserve">local and international </w:t>
      </w:r>
      <w:r>
        <w:t>counterparts.</w:t>
      </w:r>
      <w:r w:rsidR="007750F5">
        <w:t xml:space="preserve"> </w:t>
      </w:r>
      <w:r>
        <w:t>The resulting district-intervention</w:t>
      </w:r>
      <w:r w:rsidR="0001610D">
        <w:t xml:space="preserve"> level</w:t>
      </w:r>
      <w:r>
        <w:t xml:space="preserve"> data set </w:t>
      </w:r>
      <w:r w:rsidR="0001610D">
        <w:t>includes the geographic scope and nature of activity</w:t>
      </w:r>
      <w:r w:rsidR="00F452CF">
        <w:t xml:space="preserve"> for all identified nutrition related activities</w:t>
      </w:r>
      <w:r w:rsidR="0001610D">
        <w:t xml:space="preserve">. This data will be </w:t>
      </w:r>
      <w:r w:rsidR="00EA4163">
        <w:t>reviewed,</w:t>
      </w:r>
      <w:r w:rsidR="0001610D">
        <w:t xml:space="preserve"> and each listed intervention will be assigned a score regarding its threat to the internal validity of the Question 1 evaluation. Any </w:t>
      </w:r>
      <w:r w:rsidR="0001610D">
        <w:lastRenderedPageBreak/>
        <w:t>intervention deemed a high threat will either be</w:t>
      </w:r>
      <w:r w:rsidR="007750F5">
        <w:t xml:space="preserve"> (a) account</w:t>
      </w:r>
      <w:r w:rsidR="0001610D">
        <w:t>ed</w:t>
      </w:r>
      <w:r w:rsidR="007750F5">
        <w:t xml:space="preserve"> for in the design</w:t>
      </w:r>
      <w:r w:rsidR="0001610D">
        <w:t xml:space="preserve">, by excluding the districts of operation, or </w:t>
      </w:r>
      <w:r w:rsidR="007750F5">
        <w:t xml:space="preserve">(b) </w:t>
      </w:r>
      <w:r w:rsidR="0001610D">
        <w:t>directly controlled for in the analysis. The evaluation team will update this mapping exercise on an annual basis for the purposes of on-going monitoring and risk-mitigation.</w:t>
      </w:r>
    </w:p>
    <w:p w14:paraId="6716C2B6" w14:textId="594B4C63" w:rsidR="0001610D" w:rsidRDefault="0001610D" w:rsidP="007750F5">
      <w:pPr>
        <w:pStyle w:val="ListParagraph"/>
        <w:numPr>
          <w:ilvl w:val="0"/>
          <w:numId w:val="9"/>
        </w:numPr>
      </w:pPr>
      <w:r>
        <w:t xml:space="preserve">If the </w:t>
      </w:r>
      <w:r w:rsidR="00F452CF">
        <w:t xml:space="preserve">scale up of beneficiaries occurs </w:t>
      </w:r>
      <w:r w:rsidR="00E81286">
        <w:t xml:space="preserve">rapidly </w:t>
      </w:r>
      <w:r w:rsidR="00F452CF">
        <w:t xml:space="preserve">across space, i.e. </w:t>
      </w:r>
      <w:r w:rsidR="00E81286">
        <w:t xml:space="preserve">more </w:t>
      </w:r>
      <w:r w:rsidR="00F452CF">
        <w:t>comparison districts are included in the NSDS/</w:t>
      </w:r>
      <w:r w:rsidR="00D77C07">
        <w:t>CT</w:t>
      </w:r>
      <w:r w:rsidR="00F452CF">
        <w:t xml:space="preserve"> program, then program impacts can still be estimated by the comparison of Ubudehe</w:t>
      </w:r>
      <w:r w:rsidR="008B11BF">
        <w:t>-</w:t>
      </w:r>
      <w:r w:rsidR="00F452CF">
        <w:t xml:space="preserve">1 and </w:t>
      </w:r>
      <w:r w:rsidR="008B11BF">
        <w:t>-</w:t>
      </w:r>
      <w:r w:rsidR="00F452CF">
        <w:t xml:space="preserve">2 household outcomes over time using the same </w:t>
      </w:r>
      <w:r w:rsidR="009A1702">
        <w:t xml:space="preserve">difference-in-differences </w:t>
      </w:r>
      <w:r w:rsidR="00F452CF">
        <w:t xml:space="preserve">evaluation design described </w:t>
      </w:r>
      <w:r w:rsidR="008B11BF">
        <w:t>earlier</w:t>
      </w:r>
      <w:r w:rsidR="00F452CF">
        <w:t xml:space="preserve">. </w:t>
      </w:r>
      <w:r w:rsidR="00E81286">
        <w:t xml:space="preserve">Depending on the scale of </w:t>
      </w:r>
      <w:r w:rsidR="00F452CF">
        <w:t>the NSDS/</w:t>
      </w:r>
      <w:r w:rsidR="00D77C07">
        <w:t>CT</w:t>
      </w:r>
      <w:r w:rsidR="00F452CF">
        <w:t xml:space="preserve"> program</w:t>
      </w:r>
      <w:r w:rsidR="00E81286">
        <w:t>'s</w:t>
      </w:r>
      <w:r w:rsidR="00F452CF">
        <w:t xml:space="preserve"> scale up through the offer to Ubudehe-2 households</w:t>
      </w:r>
      <w:r w:rsidR="00E81286">
        <w:t xml:space="preserve">, </w:t>
      </w:r>
      <w:r w:rsidR="00F452CF">
        <w:t>program impacts can be estimated by a comparison of Ubudehe-2 beneficiaries with Ubudehe-3 non-beneficiaries. If both types of scale-up occur</w:t>
      </w:r>
      <w:r w:rsidR="00E81286">
        <w:t xml:space="preserve"> rapidly</w:t>
      </w:r>
      <w:r w:rsidR="00F452CF">
        <w:t xml:space="preserve">, estimates can still be pursued through the Ubudehe-2 and -3 </w:t>
      </w:r>
      <w:r w:rsidR="00FE2AB5">
        <w:t>comparisons</w:t>
      </w:r>
      <w:r w:rsidR="00F452CF">
        <w:t xml:space="preserve"> but the triple-difference estimate that controls for possible within-community spillovers is no longer possible.</w:t>
      </w:r>
    </w:p>
    <w:p w14:paraId="3CED515C" w14:textId="498C204F" w:rsidR="00F452CF" w:rsidRDefault="00F452CF" w:rsidP="007750F5">
      <w:pPr>
        <w:pStyle w:val="ListParagraph"/>
        <w:numPr>
          <w:ilvl w:val="0"/>
          <w:numId w:val="9"/>
        </w:numPr>
      </w:pPr>
      <w:r>
        <w:t>The evaluation team will invest in all feasible actions to ensure primary data of sufficient quality.</w:t>
      </w:r>
      <w:r w:rsidR="00E005F6">
        <w:t xml:space="preserve"> These </w:t>
      </w:r>
      <w:r w:rsidR="00FE2AB5">
        <w:t>actions include (a) the selection of a counter-part data collection firm with the capacity and oversight to ensure quality data collection through survey and field-based measurement</w:t>
      </w:r>
      <w:r w:rsidR="008B11BF">
        <w:t xml:space="preserve">, (b) </w:t>
      </w:r>
      <w:r w:rsidR="00E02866">
        <w:t>the placement of</w:t>
      </w:r>
      <w:r w:rsidR="008B11BF">
        <w:t xml:space="preserve"> a qualified consultant in Kigali with the responsibility to liaise on all aspects of data collection and conduct independent oversight of data collection efforts, (c) direct co-management along with the firm of both enumerator training and data template programming that includes automated checks on data quality, (</w:t>
      </w:r>
      <w:r w:rsidR="008E21D8">
        <w:t>d</w:t>
      </w:r>
      <w:r w:rsidR="008B11BF">
        <w:t>)</w:t>
      </w:r>
      <w:r w:rsidR="008E21D8">
        <w:t xml:space="preserve"> real-time monitoring of uploaded data to identify any need for correction while fieldwork is still underway.</w:t>
      </w:r>
      <w:r w:rsidR="005E1F28">
        <w:t xml:space="preserve"> </w:t>
      </w:r>
      <w:r w:rsidR="00E81286">
        <w:t>This strategy allowed to successfully administer a large and complex survey to a population of over 10,000 individuals in all 30 districts in Rwanda at baseline. The trends identified are largely consistent with the Rwandan context, confirming high data quality. This is expected to further improve at successive data collection rounds through lessons learned.</w:t>
      </w:r>
    </w:p>
    <w:p w14:paraId="791F6A34" w14:textId="77777777" w:rsidR="00E02866" w:rsidRDefault="00E02866" w:rsidP="00E02866"/>
    <w:p w14:paraId="37224048" w14:textId="79185C5D" w:rsidR="00E02866" w:rsidRDefault="00E02866" w:rsidP="00E02866">
      <w:pPr>
        <w:pStyle w:val="Heading1"/>
      </w:pPr>
      <w:bookmarkStart w:id="32" w:name="_Toc520742206"/>
      <w:bookmarkStart w:id="33" w:name="_Toc69728404"/>
      <w:r>
        <w:t>Evaluation team</w:t>
      </w:r>
      <w:bookmarkEnd w:id="32"/>
      <w:bookmarkEnd w:id="33"/>
    </w:p>
    <w:p w14:paraId="560079FD" w14:textId="1247E293" w:rsidR="00E02866" w:rsidRDefault="00E02866" w:rsidP="00474FA0">
      <w:r>
        <w:t>The evaluation team is composed of the following researchers and implementation specialists:</w:t>
      </w:r>
    </w:p>
    <w:p w14:paraId="0868F666" w14:textId="332CBCAD" w:rsidR="00E02866" w:rsidRDefault="00E02866" w:rsidP="00474FA0">
      <w:r>
        <w:t xml:space="preserve">Harold Alderman, IFPRI, </w:t>
      </w:r>
      <w:r w:rsidR="002427E2">
        <w:t>co-</w:t>
      </w:r>
      <w:r>
        <w:t>investigator</w:t>
      </w:r>
    </w:p>
    <w:p w14:paraId="5CF1F71D" w14:textId="2DEBD29C" w:rsidR="00E02866" w:rsidRDefault="00E02866" w:rsidP="00474FA0">
      <w:r>
        <w:t xml:space="preserve">Jed Friedman, World Bank Research Group, </w:t>
      </w:r>
      <w:r w:rsidR="002427E2">
        <w:t>co-</w:t>
      </w:r>
      <w:r>
        <w:t>investigator</w:t>
      </w:r>
    </w:p>
    <w:p w14:paraId="10276020" w14:textId="5C5C76B7" w:rsidR="00E02866" w:rsidRDefault="002427E2" w:rsidP="00474FA0">
      <w:r>
        <w:t>Meera Shek</w:t>
      </w:r>
      <w:r w:rsidR="00E02866">
        <w:t>ar,</w:t>
      </w:r>
      <w:r>
        <w:t xml:space="preserve"> Global Lead, Nutrition, World Bank, co-investigator</w:t>
      </w:r>
    </w:p>
    <w:p w14:paraId="62432810" w14:textId="20A9D11E" w:rsidR="002427E2" w:rsidRDefault="002427E2" w:rsidP="00474FA0">
      <w:r>
        <w:t>Jon</w:t>
      </w:r>
      <w:r w:rsidR="003354B8">
        <w:t>athan</w:t>
      </w:r>
      <w:r>
        <w:t xml:space="preserve"> </w:t>
      </w:r>
      <w:r w:rsidR="003354B8">
        <w:t>K. Akuoku</w:t>
      </w:r>
      <w:r>
        <w:t xml:space="preserve">, </w:t>
      </w:r>
      <w:r w:rsidR="007F6E62">
        <w:t>Nutrition Specialist</w:t>
      </w:r>
      <w:r w:rsidR="00773810">
        <w:t>, World Bank</w:t>
      </w:r>
      <w:r>
        <w:t>, co-investigator</w:t>
      </w:r>
    </w:p>
    <w:p w14:paraId="7BE4E2B2" w14:textId="2DC82479" w:rsidR="00773810" w:rsidRPr="00027073" w:rsidRDefault="00773810" w:rsidP="00474FA0">
      <w:r w:rsidRPr="00027073">
        <w:t>Chiara Dell'Aira, Consultant</w:t>
      </w:r>
      <w:r>
        <w:t>, World Bank</w:t>
      </w:r>
      <w:r w:rsidRPr="00027073">
        <w:t>, co-investigator</w:t>
      </w:r>
    </w:p>
    <w:p w14:paraId="10767243" w14:textId="77777777" w:rsidR="00E02866" w:rsidRPr="00027073" w:rsidRDefault="00E02866" w:rsidP="00474FA0"/>
    <w:p w14:paraId="35DC207B" w14:textId="17EFBEA8" w:rsidR="00563E83" w:rsidRPr="00027073" w:rsidRDefault="00563E83">
      <w:pPr>
        <w:spacing w:after="160" w:line="259" w:lineRule="auto"/>
        <w:rPr>
          <w:b/>
          <w:sz w:val="28"/>
          <w:highlight w:val="yellow"/>
        </w:rPr>
      </w:pPr>
      <w:r w:rsidRPr="00027073">
        <w:rPr>
          <w:b/>
          <w:sz w:val="28"/>
          <w:highlight w:val="yellow"/>
        </w:rPr>
        <w:br w:type="page"/>
      </w:r>
    </w:p>
    <w:p w14:paraId="29251982" w14:textId="13D93C6B" w:rsidR="00140E3A" w:rsidRDefault="00C24E07" w:rsidP="00140E3A">
      <w:pPr>
        <w:pStyle w:val="Heading1"/>
      </w:pPr>
      <w:bookmarkStart w:id="34" w:name="_Toc520742207"/>
      <w:bookmarkStart w:id="35" w:name="_Toc69728405"/>
      <w:r>
        <w:lastRenderedPageBreak/>
        <w:t>Annex 1</w:t>
      </w:r>
      <w:r w:rsidR="00140E3A" w:rsidRPr="00140E3A">
        <w:t xml:space="preserve">: </w:t>
      </w:r>
      <w:r w:rsidR="00140E3A">
        <w:t>Detailed program description</w:t>
      </w:r>
      <w:r w:rsidR="005A2EDB">
        <w:t>s</w:t>
      </w:r>
      <w:bookmarkEnd w:id="34"/>
      <w:bookmarkEnd w:id="35"/>
    </w:p>
    <w:p w14:paraId="20F7837C" w14:textId="4EB91839" w:rsidR="00140E3A" w:rsidRDefault="00140E3A" w:rsidP="00140E3A"/>
    <w:p w14:paraId="217E7091" w14:textId="64AEE239" w:rsidR="00B51585" w:rsidRPr="007A2AB1" w:rsidRDefault="00B51585" w:rsidP="00B51585">
      <w:pPr>
        <w:pStyle w:val="Heading2"/>
      </w:pPr>
      <w:bookmarkStart w:id="36" w:name="_Toc520742208"/>
      <w:bookmarkStart w:id="37" w:name="_Toc69728406"/>
      <w:r w:rsidRPr="007A2AB1">
        <w:t>The Stunting Prevention and Reduction Project</w:t>
      </w:r>
      <w:bookmarkEnd w:id="36"/>
      <w:r w:rsidR="00D62702">
        <w:t xml:space="preserve"> (SPRP)</w:t>
      </w:r>
      <w:bookmarkEnd w:id="37"/>
    </w:p>
    <w:p w14:paraId="4A9350AC" w14:textId="7A5FBBF2" w:rsidR="00B51585" w:rsidRPr="00B51585" w:rsidRDefault="00B51585" w:rsidP="00B51585">
      <w:r w:rsidRPr="007A2AB1">
        <w:t xml:space="preserve">The </w:t>
      </w:r>
      <w:r w:rsidR="00D62702">
        <w:t>SPRP</w:t>
      </w:r>
      <w:r w:rsidR="00D62702" w:rsidRPr="007A2AB1">
        <w:t xml:space="preserve"> </w:t>
      </w:r>
      <w:r w:rsidRPr="007A2AB1">
        <w:t>encompass</w:t>
      </w:r>
      <w:r w:rsidR="007C63D7">
        <w:t>es</w:t>
      </w:r>
      <w:r w:rsidRPr="007A2AB1">
        <w:t xml:space="preserve"> </w:t>
      </w:r>
      <w:r w:rsidR="00733507">
        <w:t>three</w:t>
      </w:r>
      <w:r w:rsidRPr="007A2AB1">
        <w:t xml:space="preserve"> core intervention components</w:t>
      </w:r>
      <w:r>
        <w:t xml:space="preserve">, alongside a </w:t>
      </w:r>
      <w:r w:rsidR="00733507">
        <w:t>fourth</w:t>
      </w:r>
      <w:r w:rsidR="00D47A12">
        <w:t xml:space="preserve"> </w:t>
      </w:r>
      <w:r>
        <w:t>component focused on M&amp;E and program management.</w:t>
      </w:r>
      <w:r w:rsidR="009064DB">
        <w:t xml:space="preserve"> </w:t>
      </w:r>
      <w:r w:rsidR="005A2EDB">
        <w:t>It is administered by the World Bank’s Health Global Practice.</w:t>
      </w:r>
    </w:p>
    <w:p w14:paraId="108AB426" w14:textId="77777777" w:rsidR="00B51585" w:rsidRPr="007A2AB1" w:rsidRDefault="00B51585" w:rsidP="005A2EDB">
      <w:pPr>
        <w:pStyle w:val="Heading3"/>
      </w:pPr>
      <w:bookmarkStart w:id="38" w:name="_Toc69728407"/>
      <w:r w:rsidRPr="007A2AB1">
        <w:t>Component 1: Prevention of Stunting at Community &amp; Household Levels</w:t>
      </w:r>
      <w:bookmarkEnd w:id="38"/>
      <w:r w:rsidRPr="007A2AB1">
        <w:t xml:space="preserve"> </w:t>
      </w:r>
    </w:p>
    <w:p w14:paraId="5BDA5D77" w14:textId="2C1468D5" w:rsidR="00B51585" w:rsidRDefault="00B51585" w:rsidP="00B51585">
      <w:r w:rsidRPr="007A2AB1">
        <w:t>This component support</w:t>
      </w:r>
      <w:r w:rsidR="007C63D7">
        <w:t>s</w:t>
      </w:r>
      <w:r w:rsidRPr="007A2AB1">
        <w:t xml:space="preserve"> the government to improve understanding of stunting in Rwanda, and deliver harmonized behavior change messages at all levels (i.e. national, local government, and household) and across several key sectors (i.e. health, social protection, agriculture, water and sanitation).</w:t>
      </w:r>
      <w:r>
        <w:t xml:space="preserve"> </w:t>
      </w:r>
      <w:r w:rsidRPr="007A2AB1">
        <w:t>It support</w:t>
      </w:r>
      <w:r w:rsidR="007C63D7">
        <w:t>s</w:t>
      </w:r>
      <w:r w:rsidRPr="007A2AB1">
        <w:t xml:space="preserve"> the MoH/RBC to design and implement a revamped national behavioral change communication strategy and develop communication tools, t</w:t>
      </w:r>
      <w:r w:rsidR="007C63D7">
        <w:t>hat are</w:t>
      </w:r>
      <w:r w:rsidRPr="007A2AB1">
        <w:t xml:space="preserve"> harmonized and disseminated through different channels and across all relevant sectors.</w:t>
      </w:r>
      <w:r>
        <w:t xml:space="preserve"> </w:t>
      </w:r>
      <w:r w:rsidRPr="007A2AB1">
        <w:t>It support</w:t>
      </w:r>
      <w:r w:rsidR="007C63D7">
        <w:t>s</w:t>
      </w:r>
      <w:r w:rsidRPr="007A2AB1">
        <w:t xml:space="preserve"> frontline CHWs to raise awareness about stunting, and systematically carry out growth promotion activities, including use of new tools to visualize growth and sensitize caregivers and communities on the importance of proper child growth.</w:t>
      </w:r>
      <w:r>
        <w:t xml:space="preserve"> </w:t>
      </w:r>
      <w:r w:rsidRPr="007A2AB1">
        <w:t xml:space="preserve">CHWs benefit from regular retraining on a revised curriculum; supportive supervision and mentorship; innovative technologies to enhance their effectiveness; and </w:t>
      </w:r>
      <w:r w:rsidR="007C63D7">
        <w:t>are</w:t>
      </w:r>
      <w:r w:rsidRPr="007A2AB1">
        <w:t xml:space="preserve"> incentivized through the </w:t>
      </w:r>
      <w:r w:rsidR="00A82A25">
        <w:t>performance-based financing (</w:t>
      </w:r>
      <w:r w:rsidRPr="007A2AB1">
        <w:t>PBF</w:t>
      </w:r>
      <w:r w:rsidR="00A82A25">
        <w:t>)</w:t>
      </w:r>
      <w:r w:rsidRPr="007A2AB1">
        <w:t xml:space="preserve"> scheme to deliver a set of interventions at the community level. In addition, component 1 </w:t>
      </w:r>
      <w:r w:rsidR="007C63D7">
        <w:t xml:space="preserve">involves the </w:t>
      </w:r>
      <w:r w:rsidRPr="007A2AB1">
        <w:t>roll out different community</w:t>
      </w:r>
      <w:r w:rsidR="00651318">
        <w:t>-</w:t>
      </w:r>
      <w:r w:rsidRPr="007A2AB1">
        <w:t xml:space="preserve">based approaches and strategies for bringing about behavioral change such as home-based early childhood development </w:t>
      </w:r>
      <w:r w:rsidR="00DD66C4">
        <w:t xml:space="preserve">(ECD) </w:t>
      </w:r>
      <w:r w:rsidRPr="007A2AB1">
        <w:t>models and positive deviance strategy.</w:t>
      </w:r>
      <w:r>
        <w:t xml:space="preserve"> </w:t>
      </w:r>
      <w:r w:rsidRPr="007A2AB1">
        <w:t>While the bulk of the proposed interventions address behavioral change, to address deficits in access to clean water and improve sanitation facilities that contribute to the high stunting rates, the component also support</w:t>
      </w:r>
      <w:r w:rsidR="007C63D7">
        <w:t>s</w:t>
      </w:r>
      <w:r w:rsidRPr="007A2AB1">
        <w:t xml:space="preserve"> complementary WASH interventions targeted to the most vulnerable groups (</w:t>
      </w:r>
      <w:r w:rsidR="00AB28D0">
        <w:rPr>
          <w:i/>
        </w:rPr>
        <w:t>U</w:t>
      </w:r>
      <w:r w:rsidRPr="007A2AB1">
        <w:rPr>
          <w:i/>
        </w:rPr>
        <w:t>budehe</w:t>
      </w:r>
      <w:r w:rsidRPr="007A2AB1">
        <w:t xml:space="preserve"> 1/2 households) in the 13 participating districts.</w:t>
      </w:r>
      <w:r>
        <w:t xml:space="preserve"> </w:t>
      </w:r>
      <w:r w:rsidR="00E306A0">
        <w:t>Additionally</w:t>
      </w:r>
      <w:r w:rsidRPr="007A2AB1">
        <w:t>, component 1 strengthen</w:t>
      </w:r>
      <w:r w:rsidR="007C63D7">
        <w:t>s</w:t>
      </w:r>
      <w:r w:rsidRPr="007A2AB1">
        <w:t xml:space="preserve"> accountability mechanisms and governance structures at the community and district levels to bolster the multi-se</w:t>
      </w:r>
      <w:r>
        <w:t>ctoral response.</w:t>
      </w:r>
    </w:p>
    <w:p w14:paraId="0C84047A" w14:textId="2E139E89" w:rsidR="00E306A0" w:rsidRDefault="00E306A0" w:rsidP="00E306A0">
      <w:pPr>
        <w:rPr>
          <w:iCs/>
        </w:rPr>
      </w:pPr>
      <w:r>
        <w:rPr>
          <w:iCs/>
        </w:rPr>
        <w:t xml:space="preserve">At the request of the Government of Rwanda, the first SPRP component was restructured in August 2019 to incorporate the provision of fortified blended foods (FBF) to targeted children under 6-23 months of age and pregnant and lactating women in Ubudehe </w:t>
      </w:r>
      <w:r w:rsidR="00502543">
        <w:rPr>
          <w:iCs/>
        </w:rPr>
        <w:t xml:space="preserve">1 </w:t>
      </w:r>
      <w:r>
        <w:rPr>
          <w:iCs/>
        </w:rPr>
        <w:t>households. FBF were originally provided to these targeted beneficiaries in all 30 districts of the country through a national program supported by development partners. Additionally, children 6-23 months old in Ubudehe 2 households in the 11 highest stunting districts also received FBF. Through the restructuring, the FBF program was expanded as it follows with support from the SPRP:</w:t>
      </w:r>
    </w:p>
    <w:p w14:paraId="3FAC6F32" w14:textId="77777777" w:rsidR="00E306A0" w:rsidRDefault="00E306A0" w:rsidP="00E306A0">
      <w:pPr>
        <w:pStyle w:val="ListParagraph"/>
        <w:numPr>
          <w:ilvl w:val="0"/>
          <w:numId w:val="22"/>
        </w:numPr>
        <w:rPr>
          <w:iCs/>
        </w:rPr>
      </w:pPr>
      <w:r>
        <w:rPr>
          <w:iCs/>
        </w:rPr>
        <w:t>Through process evaluation and coverage surveys of the existing program, GoR found that the product was often shared among all children in the household and the targeted children were likely not consuming adequate quantities of the product to be effective. To combat this, children 6-23 months old and pregnant and lactating women in Ubudehe 1 households in the 13 SPRP districts will receive double rations of FBF.</w:t>
      </w:r>
    </w:p>
    <w:p w14:paraId="15C2A0EC" w14:textId="78FC5FDE" w:rsidR="00E306A0" w:rsidRPr="00E306A0" w:rsidRDefault="00E306A0" w:rsidP="00E306A0">
      <w:pPr>
        <w:pStyle w:val="ListParagraph"/>
        <w:numPr>
          <w:ilvl w:val="0"/>
          <w:numId w:val="22"/>
        </w:numPr>
        <w:rPr>
          <w:iCs/>
        </w:rPr>
      </w:pPr>
      <w:r>
        <w:rPr>
          <w:iCs/>
        </w:rPr>
        <w:t>Not only children 6-23 months old, but also pregnant and lactating women in Ubudehe 2 households will now be targeted and receive single rations in the 13 SPRP districts.</w:t>
      </w:r>
    </w:p>
    <w:p w14:paraId="54C7B553" w14:textId="4BB80123" w:rsidR="00E306A0" w:rsidRDefault="00697186" w:rsidP="00B51585">
      <w:r>
        <w:t>The roll out of the restructured FBF subcomponent began in September 2019.</w:t>
      </w:r>
    </w:p>
    <w:p w14:paraId="6D106D29" w14:textId="77911D72" w:rsidR="00D275DC" w:rsidRPr="007A2AB1" w:rsidRDefault="00D275DC" w:rsidP="00B51585">
      <w:r>
        <w:t xml:space="preserve">Finally, as part of the restructuring of the SPRP, the use of </w:t>
      </w:r>
      <w:r w:rsidRPr="00D275DC">
        <w:t xml:space="preserve">length mats at the community level </w:t>
      </w:r>
      <w:r>
        <w:t xml:space="preserve">was introduced </w:t>
      </w:r>
      <w:r w:rsidRPr="00D275DC">
        <w:t>to ensure timely detection of growth</w:t>
      </w:r>
      <w:r>
        <w:t xml:space="preserve"> faltering in all 30 districts</w:t>
      </w:r>
      <w:r w:rsidRPr="00D275DC">
        <w:t>.</w:t>
      </w:r>
    </w:p>
    <w:p w14:paraId="63407F8F" w14:textId="77777777" w:rsidR="00B51585" w:rsidRPr="007A2AB1" w:rsidRDefault="00B51585" w:rsidP="005A2EDB">
      <w:pPr>
        <w:pStyle w:val="Heading3"/>
      </w:pPr>
      <w:bookmarkStart w:id="39" w:name="_Toc69728408"/>
      <w:r w:rsidRPr="007A2AB1">
        <w:t>Component 2: High-impact Health and Nutrition Services</w:t>
      </w:r>
      <w:bookmarkEnd w:id="39"/>
      <w:r w:rsidRPr="007A2AB1">
        <w:t xml:space="preserve"> </w:t>
      </w:r>
    </w:p>
    <w:p w14:paraId="3C6A8F47" w14:textId="035B2BC8" w:rsidR="00B51585" w:rsidRDefault="00B51585" w:rsidP="00B51585">
      <w:pPr>
        <w:rPr>
          <w:i/>
        </w:rPr>
      </w:pPr>
      <w:r w:rsidRPr="007A2AB1">
        <w:lastRenderedPageBreak/>
        <w:t>To address key gaps in service delivery</w:t>
      </w:r>
      <w:r w:rsidR="009A12CA">
        <w:t>,</w:t>
      </w:r>
      <w:r w:rsidRPr="007A2AB1">
        <w:t xml:space="preserve"> health facilities in the targeted districts </w:t>
      </w:r>
      <w:r w:rsidR="007C63D7">
        <w:t>are</w:t>
      </w:r>
      <w:r w:rsidRPr="007A2AB1">
        <w:t xml:space="preserve"> supported and incentivized to improve utilization and coverage of an enhanced package of high-impact nutrition and health interventions.</w:t>
      </w:r>
      <w:r>
        <w:t xml:space="preserve"> </w:t>
      </w:r>
      <w:r w:rsidRPr="007A2AB1">
        <w:t xml:space="preserve">These interventions include those identified in the government’s </w:t>
      </w:r>
      <w:r w:rsidRPr="007A2AB1">
        <w:rPr>
          <w:i/>
        </w:rPr>
        <w:t>Acceleration of Reduction of Stunting Strategy</w:t>
      </w:r>
      <w:r w:rsidRPr="007A2AB1">
        <w:t xml:space="preserve"> which are in line with the 2008/2013 Lancet recommendations: (i) </w:t>
      </w:r>
      <w:r w:rsidRPr="007A2AB1">
        <w:rPr>
          <w:i/>
        </w:rPr>
        <w:t xml:space="preserve">height monitoring and growth promotion </w:t>
      </w:r>
      <w:r w:rsidRPr="007A2AB1">
        <w:t>and effective tracking of faltering children, early initiation and exclusive breast feeding, deworming, micronutrient supplementation (i.e. Vitamin A supplementation; therapeutic zinc supplementation with ORS; multiple micronutrient supplement powders)</w:t>
      </w:r>
      <w:r w:rsidRPr="007A2AB1">
        <w:rPr>
          <w:i/>
        </w:rPr>
        <w:t>;</w:t>
      </w:r>
      <w:r w:rsidRPr="007A2AB1">
        <w:t xml:space="preserve"> and (ii) critical </w:t>
      </w:r>
      <w:r w:rsidRPr="007A2AB1">
        <w:rPr>
          <w:i/>
        </w:rPr>
        <w:t>nutrition and health interventions for women</w:t>
      </w:r>
      <w:r w:rsidRPr="007A2AB1">
        <w:t xml:space="preserve"> (i.e. four antenatal care visits, four postnatal care, iron/folic acid supplementation in pregnancy, post-partum family planning, counselling on child care, complementary feeding and hygiene).</w:t>
      </w:r>
      <w:r>
        <w:t xml:space="preserve"> </w:t>
      </w:r>
      <w:r w:rsidRPr="007A2AB1">
        <w:t xml:space="preserve">Health facilities </w:t>
      </w:r>
      <w:r w:rsidR="007C63D7">
        <w:t>are</w:t>
      </w:r>
      <w:r w:rsidRPr="007A2AB1">
        <w:t xml:space="preserve"> held accountable and incentivized to provide these interventions through the national PBF program.</w:t>
      </w:r>
      <w:r w:rsidR="009064DB">
        <w:t xml:space="preserve"> </w:t>
      </w:r>
      <w:r w:rsidRPr="007A2AB1">
        <w:t>The project support</w:t>
      </w:r>
      <w:r w:rsidR="007C63D7">
        <w:t>s</w:t>
      </w:r>
      <w:r w:rsidRPr="007A2AB1">
        <w:t xml:space="preserve"> health facilities with training, information technologies, and logistical support from the national level.</w:t>
      </w:r>
      <w:r>
        <w:t xml:space="preserve"> </w:t>
      </w:r>
      <w:r w:rsidRPr="007A2AB1">
        <w:t xml:space="preserve">To this end, support </w:t>
      </w:r>
      <w:r w:rsidR="007C63D7">
        <w:t>is</w:t>
      </w:r>
      <w:r w:rsidRPr="007A2AB1">
        <w:t xml:space="preserve"> provided for the design and roll out of new information technologies (i.e. two-way messaging system, tablets) and interactive systems for tracking every pregnant woman and child, ensuring prompt identification of growth faltering and effective response at the facility and household levels</w:t>
      </w:r>
      <w:r w:rsidRPr="007A2AB1">
        <w:rPr>
          <w:i/>
        </w:rPr>
        <w:t>.</w:t>
      </w:r>
    </w:p>
    <w:p w14:paraId="337A973A" w14:textId="53D03BA5" w:rsidR="007C63D7" w:rsidRDefault="007C63D7" w:rsidP="00B51585">
      <w:pPr>
        <w:rPr>
          <w:i/>
        </w:rPr>
      </w:pPr>
    </w:p>
    <w:p w14:paraId="3CE2F83B" w14:textId="5AA19C7B" w:rsidR="00B51585" w:rsidRPr="007A2AB1" w:rsidRDefault="00B51585" w:rsidP="00B51585">
      <w:pPr>
        <w:pStyle w:val="Heading2"/>
      </w:pPr>
      <w:bookmarkStart w:id="40" w:name="_Toc520742209"/>
      <w:bookmarkStart w:id="41" w:name="_Toc69728409"/>
      <w:r w:rsidRPr="007A2AB1">
        <w:t>The Strengthening Social Protection (SSP) Project</w:t>
      </w:r>
      <w:bookmarkEnd w:id="40"/>
      <w:bookmarkEnd w:id="41"/>
      <w:r w:rsidRPr="007A2AB1">
        <w:t xml:space="preserve"> </w:t>
      </w:r>
    </w:p>
    <w:p w14:paraId="0E667851" w14:textId="6319AAB4" w:rsidR="00B51585" w:rsidRPr="00B51585" w:rsidRDefault="0044761E" w:rsidP="00B51585">
      <w:r>
        <w:t xml:space="preserve">The SSP project is administered by the World Bank’s Social Protection Global Practice. </w:t>
      </w:r>
      <w:r w:rsidR="00B51585" w:rsidRPr="00B51585">
        <w:t>The project</w:t>
      </w:r>
      <w:r>
        <w:t xml:space="preserve"> includes</w:t>
      </w:r>
      <w:r w:rsidR="00B51585" w:rsidRPr="00B51585">
        <w:t xml:space="preserve"> one core intervention component, “Improving Coverage, Adequacy and Effectiveness of the</w:t>
      </w:r>
      <w:r w:rsidR="00A82A25">
        <w:t xml:space="preserve"> </w:t>
      </w:r>
      <w:r w:rsidR="00A82A25" w:rsidRPr="00A82A25">
        <w:t>Vision 2020 Umurenge Program</w:t>
      </w:r>
      <w:r w:rsidR="00B51585" w:rsidRPr="00B51585">
        <w:t xml:space="preserve"> </w:t>
      </w:r>
      <w:r w:rsidR="00A82A25">
        <w:t>(</w:t>
      </w:r>
      <w:r w:rsidR="00B51585" w:rsidRPr="00B51585">
        <w:t>VUP</w:t>
      </w:r>
      <w:r w:rsidR="00A82A25">
        <w:t>)</w:t>
      </w:r>
      <w:r w:rsidR="00B51585" w:rsidRPr="00B51585">
        <w:t xml:space="preserve">”, with a subcomponent on cash transfers </w:t>
      </w:r>
      <w:r>
        <w:t>(</w:t>
      </w:r>
      <w:r w:rsidR="00D77C07">
        <w:t>CT</w:t>
      </w:r>
      <w:r>
        <w:t xml:space="preserve">s) </w:t>
      </w:r>
      <w:r w:rsidR="00B51585" w:rsidRPr="00B51585">
        <w:t>to nutritionally vulnerable households. A second component aims to enhance access to human capital and economic inclusion services</w:t>
      </w:r>
      <w:r>
        <w:t>, and</w:t>
      </w:r>
      <w:r w:rsidR="00B51585" w:rsidRPr="00B51585">
        <w:t xml:space="preserve"> a third component focuses on M&amp;E and program management.</w:t>
      </w:r>
      <w:r w:rsidR="009064DB">
        <w:t xml:space="preserve"> </w:t>
      </w:r>
      <w:r>
        <w:t xml:space="preserve">For the purpose of the SPaR evaluation, the following description will focus on the first core intervention and its </w:t>
      </w:r>
      <w:r w:rsidR="00D77C07">
        <w:t>CT</w:t>
      </w:r>
      <w:r>
        <w:t xml:space="preserve"> subcomponent. </w:t>
      </w:r>
    </w:p>
    <w:p w14:paraId="0C227174" w14:textId="77777777" w:rsidR="00B51585" w:rsidRPr="00B51585" w:rsidRDefault="00B51585" w:rsidP="005A2EDB">
      <w:pPr>
        <w:pStyle w:val="Heading3"/>
      </w:pPr>
      <w:bookmarkStart w:id="42" w:name="_Toc69728410"/>
      <w:r w:rsidRPr="00B51585">
        <w:t>Component 1 Improving Coverage, Adequacy and Effectiveness of the VUP Cash</w:t>
      </w:r>
      <w:bookmarkEnd w:id="42"/>
      <w:r w:rsidRPr="00B51585">
        <w:t xml:space="preserve"> </w:t>
      </w:r>
    </w:p>
    <w:p w14:paraId="5A065DAE" w14:textId="388BEFF0" w:rsidR="0063088C" w:rsidRDefault="0063088C" w:rsidP="00B51585">
      <w:r>
        <w:t xml:space="preserve">The </w:t>
      </w:r>
      <w:r w:rsidRPr="0063088C">
        <w:t>VUP was established in 2008</w:t>
      </w:r>
      <w:r>
        <w:t xml:space="preserve"> and subsequently scaled up</w:t>
      </w:r>
      <w:r w:rsidRPr="0063088C">
        <w:t xml:space="preserve"> </w:t>
      </w:r>
      <w:r>
        <w:t xml:space="preserve">by the Government of Rwanda as an effort to accelerate the country's socio-economic development. Its </w:t>
      </w:r>
      <w:r w:rsidR="001A7A1E">
        <w:t xml:space="preserve">core </w:t>
      </w:r>
      <w:r>
        <w:t>Safety Net Component</w:t>
      </w:r>
      <w:r w:rsidR="001A7A1E">
        <w:t>s</w:t>
      </w:r>
      <w:r>
        <w:t xml:space="preserve"> </w:t>
      </w:r>
      <w:r w:rsidR="001A7A1E">
        <w:t>include</w:t>
      </w:r>
      <w:r>
        <w:t xml:space="preserve">d </w:t>
      </w:r>
      <w:r w:rsidR="002759DC">
        <w:t xml:space="preserve">nationwide </w:t>
      </w:r>
      <w:r w:rsidR="00D961AA">
        <w:t xml:space="preserve">Classic Public Work (cPW) and </w:t>
      </w:r>
      <w:r>
        <w:t>Direct Support (DS) grants</w:t>
      </w:r>
      <w:r w:rsidR="001A7A1E">
        <w:t xml:space="preserve">, which were strengthened </w:t>
      </w:r>
      <w:r w:rsidR="00D961AA">
        <w:t xml:space="preserve">and expanded </w:t>
      </w:r>
      <w:r w:rsidR="001A7A1E">
        <w:t>as part of the SSP project.</w:t>
      </w:r>
    </w:p>
    <w:p w14:paraId="61064008" w14:textId="77777777" w:rsidR="00D961AA" w:rsidRDefault="00D961AA" w:rsidP="00D961AA">
      <w:r>
        <w:t>The cPW element involves offering short-term work opportunities on labor-intensive projects to eligible households with labor capacity. T</w:t>
      </w:r>
      <w:r w:rsidRPr="00B51585">
        <w:t>he adequacy of</w:t>
      </w:r>
      <w:r>
        <w:t xml:space="preserve"> the</w:t>
      </w:r>
      <w:r w:rsidRPr="00B51585">
        <w:t xml:space="preserve"> total annual transfers</w:t>
      </w:r>
      <w:r>
        <w:t xml:space="preserve"> is expected to improve by </w:t>
      </w:r>
      <w:r w:rsidRPr="00B51585">
        <w:t>progressive</w:t>
      </w:r>
      <w:r>
        <w:t>ly</w:t>
      </w:r>
      <w:r w:rsidRPr="00B51585">
        <w:t xml:space="preserve"> </w:t>
      </w:r>
      <w:r>
        <w:t>increasing</w:t>
      </w:r>
      <w:r w:rsidRPr="00B51585">
        <w:t xml:space="preserve"> the percentage of eligible households that are covered</w:t>
      </w:r>
      <w:r>
        <w:t>, the</w:t>
      </w:r>
      <w:r w:rsidRPr="00B51585">
        <w:t xml:space="preserve"> timeliness of payments</w:t>
      </w:r>
      <w:r>
        <w:t>,</w:t>
      </w:r>
      <w:r w:rsidRPr="00B51585">
        <w:t xml:space="preserve"> and the average number of days of work offered. </w:t>
      </w:r>
    </w:p>
    <w:p w14:paraId="47D359C8" w14:textId="76D8DD8D" w:rsidR="00D961AA" w:rsidRPr="0063088C" w:rsidRDefault="00D961AA" w:rsidP="00D961AA">
      <w:r>
        <w:t xml:space="preserve">Since the cPW </w:t>
      </w:r>
      <w:r w:rsidR="00864F8D">
        <w:t xml:space="preserve">offered some challenges </w:t>
      </w:r>
      <w:r>
        <w:t xml:space="preserve">to households caring for children, a new expanded public works (ePW) component </w:t>
      </w:r>
      <w:r w:rsidR="00F56034">
        <w:t>was</w:t>
      </w:r>
      <w:r>
        <w:t xml:space="preserve"> introduced through the SSP. This </w:t>
      </w:r>
      <w:r w:rsidRPr="00B51585">
        <w:t>gender</w:t>
      </w:r>
      <w:r>
        <w:t>-</w:t>
      </w:r>
      <w:r w:rsidRPr="00B51585">
        <w:t xml:space="preserve"> and child-sensitive </w:t>
      </w:r>
      <w:r>
        <w:t xml:space="preserve">program was designed </w:t>
      </w:r>
      <w:r w:rsidRPr="00B51585">
        <w:t xml:space="preserve">for moderately labor-constrained households caring for children over the age of two, </w:t>
      </w:r>
      <w:r>
        <w:t xml:space="preserve">and </w:t>
      </w:r>
      <w:r w:rsidRPr="00B51585">
        <w:t>offer</w:t>
      </w:r>
      <w:r>
        <w:t>s</w:t>
      </w:r>
      <w:r w:rsidRPr="00B51585">
        <w:t xml:space="preserve"> a more flexible year-round work schedule</w:t>
      </w:r>
      <w:r>
        <w:t xml:space="preserve">, which is </w:t>
      </w:r>
      <w:r w:rsidRPr="00B51585">
        <w:t>more compatible with daily wage work and caring responsibilities</w:t>
      </w:r>
      <w:r w:rsidR="00F56034">
        <w:t xml:space="preserve"> of these households</w:t>
      </w:r>
      <w:r w:rsidRPr="00B51585">
        <w:t xml:space="preserve">. </w:t>
      </w:r>
    </w:p>
    <w:p w14:paraId="322933AE" w14:textId="45BA246E" w:rsidR="001A7A1E" w:rsidRPr="00B51585" w:rsidRDefault="001A7A1E" w:rsidP="001A7A1E">
      <w:r>
        <w:t xml:space="preserve">The DS grants </w:t>
      </w:r>
      <w:r w:rsidR="00F56034">
        <w:t>provide</w:t>
      </w:r>
      <w:r>
        <w:t xml:space="preserve"> unconditional cash transfers to eligible households lacking labor capacity. </w:t>
      </w:r>
      <w:r w:rsidR="00D961AA">
        <w:t>As a result of</w:t>
      </w:r>
      <w:r>
        <w:t xml:space="preserve"> the SSP</w:t>
      </w:r>
      <w:r w:rsidR="00D961AA">
        <w:t xml:space="preserve"> expansion</w:t>
      </w:r>
      <w:r>
        <w:t>, households with a member living with a disability</w:t>
      </w:r>
      <w:r w:rsidR="00D961AA">
        <w:t xml:space="preserve"> </w:t>
      </w:r>
      <w:r w:rsidR="00F56034">
        <w:t>have</w:t>
      </w:r>
      <w:r w:rsidR="00D961AA">
        <w:t xml:space="preserve"> also </w:t>
      </w:r>
      <w:r w:rsidR="00F56034">
        <w:t xml:space="preserve">become </w:t>
      </w:r>
      <w:r w:rsidR="00D961AA">
        <w:t>eligible for the grants</w:t>
      </w:r>
      <w:r>
        <w:t>,</w:t>
      </w:r>
      <w:r w:rsidR="00D961AA">
        <w:t xml:space="preserve"> which</w:t>
      </w:r>
      <w:r>
        <w:t xml:space="preserve"> are expected to reach populations nationwide</w:t>
      </w:r>
      <w:r w:rsidR="00733507">
        <w:t>.</w:t>
      </w:r>
      <w:r>
        <w:t xml:space="preserve"> </w:t>
      </w:r>
    </w:p>
    <w:p w14:paraId="3CCC64D6" w14:textId="0AB740C0" w:rsidR="00B51585" w:rsidRDefault="00593A04" w:rsidP="00B51585">
      <w:r>
        <w:t xml:space="preserve">The SSP project also led to the design of </w:t>
      </w:r>
      <w:r w:rsidR="00D961AA">
        <w:t>a n</w:t>
      </w:r>
      <w:r w:rsidR="00B51585" w:rsidRPr="00B51585">
        <w:t xml:space="preserve">ew </w:t>
      </w:r>
      <w:r w:rsidR="00733507">
        <w:t>cash transfer (</w:t>
      </w:r>
      <w:r w:rsidR="00D77C07">
        <w:t>CT</w:t>
      </w:r>
      <w:r w:rsidR="00733507">
        <w:t>)</w:t>
      </w:r>
      <w:r w:rsidR="00D961AA">
        <w:t xml:space="preserve"> component</w:t>
      </w:r>
      <w:r w:rsidR="00864F8D">
        <w:t xml:space="preserve">: the </w:t>
      </w:r>
      <w:r w:rsidR="00B51585" w:rsidRPr="00B51585">
        <w:t>Nutrition-Sensitive Direct Support (NSDS)</w:t>
      </w:r>
      <w:r w:rsidR="00861E68">
        <w:t>, targeting</w:t>
      </w:r>
      <w:r w:rsidR="00861E68" w:rsidRPr="00B51585" w:rsidDel="00861E68">
        <w:t xml:space="preserve"> </w:t>
      </w:r>
      <w:r w:rsidR="00861E68">
        <w:t>vulnerable households with</w:t>
      </w:r>
      <w:r w:rsidR="00861E68" w:rsidRPr="00B51585">
        <w:t xml:space="preserve"> pregnant women and infants in the 1,000-day window from pregnancy until age 2</w:t>
      </w:r>
      <w:r w:rsidR="00B51585" w:rsidRPr="00B51585">
        <w:t xml:space="preserve">. The objective of this </w:t>
      </w:r>
      <w:r w:rsidR="00D77C07">
        <w:t>CT</w:t>
      </w:r>
      <w:r w:rsidR="00B51585" w:rsidRPr="00B51585">
        <w:t xml:space="preserve">/NSDS is to provide a complementary </w:t>
      </w:r>
      <w:r w:rsidR="00B51585" w:rsidRPr="00B51585">
        <w:lastRenderedPageBreak/>
        <w:t xml:space="preserve">intervention as part of the current suite of social protection cash transfers managed by </w:t>
      </w:r>
      <w:r w:rsidR="00AD2C66">
        <w:t xml:space="preserve">VUP </w:t>
      </w:r>
      <w:r w:rsidR="00B51585" w:rsidRPr="00B51585">
        <w:t>(Public Works, Direct Support, Financial Services and more recently, gender and child sensitive expanded-Public Works). The NSDS scheme will be implemented as part of an integrated package of SSP services including behavioral change communications, parenting education and complemented with supply-side investments through the SPR</w:t>
      </w:r>
      <w:r w:rsidR="00905A5C">
        <w:t>P</w:t>
      </w:r>
      <w:r w:rsidR="00B51585" w:rsidRPr="00B51585">
        <w:t>.</w:t>
      </w:r>
    </w:p>
    <w:p w14:paraId="6838147B" w14:textId="011D038E" w:rsidR="00861E68" w:rsidRPr="00B51585" w:rsidRDefault="009B1821" w:rsidP="00861E68">
      <w:r>
        <w:t>G</w:t>
      </w:r>
      <w:r w:rsidRPr="00B51585">
        <w:t>iven the extreme/food poverty line of RWF 105,064 (approximately US$131)</w:t>
      </w:r>
      <w:r>
        <w:t>, t</w:t>
      </w:r>
      <w:r w:rsidR="00861E68" w:rsidRPr="00B51585">
        <w:t xml:space="preserve">he agreed upon transfer level is </w:t>
      </w:r>
      <w:r>
        <w:t xml:space="preserve">of </w:t>
      </w:r>
      <w:r w:rsidRPr="00B51585">
        <w:t>RW Francs 7</w:t>
      </w:r>
      <w:r>
        <w:t>,</w:t>
      </w:r>
      <w:r w:rsidRPr="00B51585">
        <w:t>500</w:t>
      </w:r>
      <w:r>
        <w:t xml:space="preserve"> (</w:t>
      </w:r>
      <w:r w:rsidR="00861E68" w:rsidRPr="00B51585">
        <w:t xml:space="preserve">about US$9) per </w:t>
      </w:r>
      <w:r w:rsidR="00861E68" w:rsidRPr="009B1821">
        <w:t>month per household</w:t>
      </w:r>
      <w:r w:rsidRPr="009B1821">
        <w:rPr>
          <w:rFonts w:eastAsiaTheme="majorEastAsia" w:cstheme="minorHAnsi"/>
        </w:rPr>
        <w:t xml:space="preserve"> irrespective of the number of eligible infants in the household or whether a woman becomes pregnant again before her previous child reaches its second birthday.</w:t>
      </w:r>
      <w:r w:rsidR="00861E68" w:rsidRPr="009B1821">
        <w:t xml:space="preserve"> These transfer levels would provide approximately 86% of the food poverty line for targeted individuals and equates to</w:t>
      </w:r>
      <w:r w:rsidR="00861E68" w:rsidRPr="00B51585">
        <w:t xml:space="preserve"> around 11</w:t>
      </w:r>
      <w:r w:rsidR="00861E68">
        <w:t>2</w:t>
      </w:r>
      <w:r w:rsidR="00861E68" w:rsidRPr="00B51585">
        <w:t>% of child-sensitive Productive Works (cPW) wages and 75% of the expanded Public Works (ePW) wages under the larger VUP program.</w:t>
      </w:r>
    </w:p>
    <w:p w14:paraId="23ECE943" w14:textId="2ED32919" w:rsidR="009B1821" w:rsidRPr="009B1821" w:rsidRDefault="00861E68" w:rsidP="009B1821">
      <w:r w:rsidRPr="00B51585">
        <w:t xml:space="preserve">Co-responsibilities associated with the nutrition-sensitive </w:t>
      </w:r>
      <w:r w:rsidR="00D77C07">
        <w:t>CT</w:t>
      </w:r>
      <w:r w:rsidRPr="00B51585">
        <w:t>s include a sub-set of the supply-side indicators from the SPR</w:t>
      </w:r>
      <w:r w:rsidR="00905A5C">
        <w:t>P</w:t>
      </w:r>
      <w:r w:rsidRPr="00B51585">
        <w:t xml:space="preserve"> project</w:t>
      </w:r>
      <w:r w:rsidR="009B1821">
        <w:t>, and vary by beneficiaries as described in the table below:</w:t>
      </w:r>
      <w:r w:rsidR="009B1821">
        <w:br/>
      </w:r>
    </w:p>
    <w:tbl>
      <w:tblPr>
        <w:tblW w:w="0" w:type="auto"/>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20"/>
        <w:gridCol w:w="6120"/>
      </w:tblGrid>
      <w:tr w:rsidR="009B1821" w14:paraId="2052F6EB" w14:textId="77777777" w:rsidTr="009B1821">
        <w:trPr>
          <w:trHeight w:val="57"/>
        </w:trPr>
        <w:tc>
          <w:tcPr>
            <w:tcW w:w="2520" w:type="dxa"/>
            <w:tcBorders>
              <w:top w:val="single" w:sz="4" w:space="0" w:color="auto"/>
              <w:left w:val="single" w:sz="4" w:space="0" w:color="auto"/>
              <w:bottom w:val="single" w:sz="4" w:space="0" w:color="auto"/>
              <w:right w:val="single" w:sz="4" w:space="0" w:color="auto"/>
            </w:tcBorders>
            <w:vAlign w:val="center"/>
            <w:hideMark/>
          </w:tcPr>
          <w:p w14:paraId="52BD6E81" w14:textId="77777777" w:rsidR="009B1821" w:rsidRDefault="009B1821">
            <w:pPr>
              <w:spacing w:line="256" w:lineRule="auto"/>
              <w:jc w:val="center"/>
              <w:rPr>
                <w:rFonts w:cstheme="minorHAnsi"/>
                <w:b/>
                <w:color w:val="000000"/>
                <w:sz w:val="20"/>
                <w:szCs w:val="20"/>
              </w:rPr>
            </w:pPr>
            <w:r>
              <w:rPr>
                <w:rFonts w:cstheme="minorHAnsi"/>
                <w:b/>
                <w:sz w:val="20"/>
                <w:szCs w:val="20"/>
              </w:rPr>
              <w:t>Beneficiary group</w:t>
            </w:r>
          </w:p>
        </w:tc>
        <w:tc>
          <w:tcPr>
            <w:tcW w:w="6120" w:type="dxa"/>
            <w:tcBorders>
              <w:top w:val="single" w:sz="4" w:space="0" w:color="auto"/>
              <w:left w:val="single" w:sz="4" w:space="0" w:color="auto"/>
              <w:bottom w:val="single" w:sz="4" w:space="0" w:color="auto"/>
              <w:right w:val="single" w:sz="4" w:space="0" w:color="auto"/>
            </w:tcBorders>
            <w:vAlign w:val="center"/>
            <w:hideMark/>
          </w:tcPr>
          <w:p w14:paraId="4845296C" w14:textId="77777777" w:rsidR="009B1821" w:rsidRDefault="009B1821">
            <w:pPr>
              <w:spacing w:line="256" w:lineRule="auto"/>
              <w:jc w:val="center"/>
              <w:rPr>
                <w:rFonts w:cstheme="minorHAnsi"/>
                <w:b/>
                <w:sz w:val="20"/>
                <w:szCs w:val="20"/>
              </w:rPr>
            </w:pPr>
            <w:r>
              <w:rPr>
                <w:rFonts w:cstheme="minorHAnsi"/>
                <w:b/>
                <w:sz w:val="20"/>
                <w:szCs w:val="20"/>
              </w:rPr>
              <w:t>Responsibilities</w:t>
            </w:r>
          </w:p>
        </w:tc>
      </w:tr>
      <w:tr w:rsidR="009B1821" w14:paraId="64A0B1E5" w14:textId="77777777" w:rsidTr="009B1821">
        <w:trPr>
          <w:trHeight w:val="57"/>
        </w:trPr>
        <w:tc>
          <w:tcPr>
            <w:tcW w:w="2520" w:type="dxa"/>
            <w:tcBorders>
              <w:top w:val="single" w:sz="4" w:space="0" w:color="auto"/>
              <w:left w:val="single" w:sz="4" w:space="0" w:color="auto"/>
              <w:bottom w:val="single" w:sz="4" w:space="0" w:color="auto"/>
              <w:right w:val="single" w:sz="4" w:space="0" w:color="auto"/>
            </w:tcBorders>
            <w:hideMark/>
          </w:tcPr>
          <w:p w14:paraId="29D75151" w14:textId="77777777" w:rsidR="009B1821" w:rsidRDefault="009B1821">
            <w:pPr>
              <w:spacing w:line="256" w:lineRule="auto"/>
              <w:rPr>
                <w:rFonts w:cstheme="minorHAnsi"/>
                <w:sz w:val="20"/>
                <w:szCs w:val="20"/>
              </w:rPr>
            </w:pPr>
            <w:r>
              <w:rPr>
                <w:rFonts w:cstheme="minorHAnsi"/>
                <w:sz w:val="20"/>
                <w:szCs w:val="20"/>
              </w:rPr>
              <w:t xml:space="preserve">Pregnant women </w:t>
            </w:r>
          </w:p>
        </w:tc>
        <w:tc>
          <w:tcPr>
            <w:tcW w:w="6120" w:type="dxa"/>
            <w:tcBorders>
              <w:top w:val="single" w:sz="4" w:space="0" w:color="auto"/>
              <w:left w:val="single" w:sz="4" w:space="0" w:color="auto"/>
              <w:bottom w:val="single" w:sz="4" w:space="0" w:color="auto"/>
              <w:right w:val="single" w:sz="4" w:space="0" w:color="auto"/>
            </w:tcBorders>
            <w:hideMark/>
          </w:tcPr>
          <w:p w14:paraId="44574FE4" w14:textId="77777777" w:rsidR="009B1821" w:rsidRDefault="009B1821">
            <w:pPr>
              <w:spacing w:line="256" w:lineRule="auto"/>
              <w:rPr>
                <w:rFonts w:cstheme="minorHAnsi"/>
                <w:sz w:val="20"/>
                <w:szCs w:val="20"/>
              </w:rPr>
            </w:pPr>
            <w:r>
              <w:rPr>
                <w:rFonts w:cstheme="minorHAnsi"/>
                <w:sz w:val="20"/>
                <w:szCs w:val="20"/>
              </w:rPr>
              <w:t>4 ANC visits at health facility</w:t>
            </w:r>
          </w:p>
        </w:tc>
      </w:tr>
      <w:tr w:rsidR="009B1821" w14:paraId="44CB4A54" w14:textId="77777777" w:rsidTr="009B1821">
        <w:trPr>
          <w:trHeight w:val="879"/>
        </w:trPr>
        <w:tc>
          <w:tcPr>
            <w:tcW w:w="2520" w:type="dxa"/>
            <w:tcBorders>
              <w:top w:val="single" w:sz="4" w:space="0" w:color="auto"/>
              <w:left w:val="single" w:sz="4" w:space="0" w:color="auto"/>
              <w:bottom w:val="single" w:sz="4" w:space="0" w:color="auto"/>
              <w:right w:val="single" w:sz="4" w:space="0" w:color="auto"/>
            </w:tcBorders>
            <w:hideMark/>
          </w:tcPr>
          <w:p w14:paraId="03D596C1" w14:textId="77777777" w:rsidR="009B1821" w:rsidRDefault="009B1821">
            <w:pPr>
              <w:spacing w:line="256" w:lineRule="auto"/>
              <w:rPr>
                <w:rFonts w:cstheme="minorHAnsi"/>
                <w:sz w:val="20"/>
                <w:szCs w:val="20"/>
              </w:rPr>
            </w:pPr>
            <w:r>
              <w:rPr>
                <w:rFonts w:cstheme="minorHAnsi"/>
                <w:sz w:val="20"/>
                <w:szCs w:val="20"/>
              </w:rPr>
              <w:t>Mothers and newborn children ages 0–6 weeks</w:t>
            </w:r>
          </w:p>
        </w:tc>
        <w:tc>
          <w:tcPr>
            <w:tcW w:w="6120" w:type="dxa"/>
            <w:tcBorders>
              <w:top w:val="single" w:sz="4" w:space="0" w:color="auto"/>
              <w:left w:val="single" w:sz="4" w:space="0" w:color="auto"/>
              <w:bottom w:val="single" w:sz="4" w:space="0" w:color="auto"/>
              <w:right w:val="single" w:sz="4" w:space="0" w:color="auto"/>
            </w:tcBorders>
            <w:hideMark/>
          </w:tcPr>
          <w:p w14:paraId="3405278E" w14:textId="77777777" w:rsidR="009B1821" w:rsidRDefault="009B1821">
            <w:pPr>
              <w:spacing w:line="256" w:lineRule="auto"/>
              <w:rPr>
                <w:rFonts w:cstheme="minorHAnsi"/>
                <w:sz w:val="20"/>
                <w:szCs w:val="20"/>
              </w:rPr>
            </w:pPr>
            <w:r>
              <w:rPr>
                <w:rFonts w:cstheme="minorHAnsi"/>
                <w:sz w:val="20"/>
                <w:szCs w:val="20"/>
              </w:rPr>
              <w:t xml:space="preserve">2 PNC visits at health facility, including child height-for-age measurement </w:t>
            </w:r>
          </w:p>
        </w:tc>
      </w:tr>
      <w:tr w:rsidR="009B1821" w14:paraId="3F591C0D" w14:textId="77777777" w:rsidTr="009B1821">
        <w:trPr>
          <w:trHeight w:val="100"/>
        </w:trPr>
        <w:tc>
          <w:tcPr>
            <w:tcW w:w="2520" w:type="dxa"/>
            <w:tcBorders>
              <w:top w:val="single" w:sz="4" w:space="0" w:color="auto"/>
              <w:left w:val="single" w:sz="4" w:space="0" w:color="auto"/>
              <w:bottom w:val="single" w:sz="4" w:space="0" w:color="auto"/>
              <w:right w:val="single" w:sz="4" w:space="0" w:color="auto"/>
            </w:tcBorders>
            <w:hideMark/>
          </w:tcPr>
          <w:p w14:paraId="45EF46E4" w14:textId="77777777" w:rsidR="009B1821" w:rsidRDefault="009B1821">
            <w:pPr>
              <w:spacing w:line="256" w:lineRule="auto"/>
              <w:rPr>
                <w:rFonts w:cstheme="minorHAnsi"/>
                <w:sz w:val="20"/>
                <w:szCs w:val="20"/>
              </w:rPr>
            </w:pPr>
            <w:r>
              <w:rPr>
                <w:rFonts w:cstheme="minorHAnsi"/>
                <w:sz w:val="20"/>
                <w:szCs w:val="20"/>
              </w:rPr>
              <w:t xml:space="preserve">Children 7 weeks–24 months </w:t>
            </w:r>
          </w:p>
        </w:tc>
        <w:tc>
          <w:tcPr>
            <w:tcW w:w="6120" w:type="dxa"/>
            <w:tcBorders>
              <w:top w:val="single" w:sz="4" w:space="0" w:color="auto"/>
              <w:left w:val="single" w:sz="4" w:space="0" w:color="auto"/>
              <w:bottom w:val="single" w:sz="4" w:space="0" w:color="auto"/>
              <w:right w:val="single" w:sz="4" w:space="0" w:color="auto"/>
            </w:tcBorders>
            <w:hideMark/>
          </w:tcPr>
          <w:p w14:paraId="077F7285" w14:textId="77777777" w:rsidR="009B1821" w:rsidRDefault="009B1821">
            <w:pPr>
              <w:spacing w:line="256" w:lineRule="auto"/>
              <w:rPr>
                <w:rFonts w:cstheme="minorHAnsi"/>
                <w:sz w:val="20"/>
                <w:szCs w:val="20"/>
              </w:rPr>
            </w:pPr>
            <w:r>
              <w:rPr>
                <w:rFonts w:cstheme="minorHAnsi"/>
                <w:sz w:val="20"/>
                <w:szCs w:val="20"/>
              </w:rPr>
              <w:t xml:space="preserve">Attend all (6) child height-for-age measurements at health facility </w:t>
            </w:r>
          </w:p>
        </w:tc>
      </w:tr>
    </w:tbl>
    <w:p w14:paraId="4A76B223" w14:textId="551DAAA3" w:rsidR="00861E68" w:rsidRPr="00B51585" w:rsidRDefault="00861E68" w:rsidP="00861E68">
      <w:r w:rsidRPr="00B51585">
        <w:t xml:space="preserve"> </w:t>
      </w:r>
    </w:p>
    <w:p w14:paraId="175CFF4D" w14:textId="77777777" w:rsidR="00733507" w:rsidRDefault="009B1821" w:rsidP="00B51585">
      <w:pPr>
        <w:rPr>
          <w:rFonts w:eastAsiaTheme="majorEastAsia" w:cstheme="minorHAnsi"/>
        </w:rPr>
      </w:pPr>
      <w:r>
        <w:rPr>
          <w:rFonts w:eastAsiaTheme="majorEastAsia" w:cstheme="minorHAnsi"/>
        </w:rPr>
        <w:t xml:space="preserve">In the event of </w:t>
      </w:r>
      <w:r w:rsidR="006B6C60">
        <w:rPr>
          <w:rFonts w:eastAsiaTheme="majorEastAsia" w:cstheme="minorHAnsi"/>
        </w:rPr>
        <w:t>household not undertaking</w:t>
      </w:r>
      <w:r>
        <w:rPr>
          <w:rFonts w:eastAsiaTheme="majorEastAsia" w:cstheme="minorHAnsi"/>
        </w:rPr>
        <w:t xml:space="preserve"> relevant co-responsibilities, CHW</w:t>
      </w:r>
      <w:r w:rsidR="006B6C60">
        <w:rPr>
          <w:rFonts w:eastAsiaTheme="majorEastAsia" w:cstheme="minorHAnsi"/>
        </w:rPr>
        <w:t>s</w:t>
      </w:r>
      <w:r>
        <w:rPr>
          <w:rFonts w:eastAsiaTheme="majorEastAsia" w:cstheme="minorHAnsi"/>
        </w:rPr>
        <w:t>, local government staff, and other outreach agents will approach households to encourage</w:t>
      </w:r>
      <w:r w:rsidR="006B6C60">
        <w:rPr>
          <w:rFonts w:eastAsiaTheme="majorEastAsia" w:cstheme="minorHAnsi"/>
        </w:rPr>
        <w:t xml:space="preserve"> performance of the co-responsibilities</w:t>
      </w:r>
      <w:r>
        <w:rPr>
          <w:rFonts w:eastAsiaTheme="majorEastAsia" w:cstheme="minorHAnsi"/>
        </w:rPr>
        <w:t>.</w:t>
      </w:r>
      <w:r w:rsidR="00255068">
        <w:rPr>
          <w:rFonts w:eastAsiaTheme="majorEastAsia" w:cstheme="minorHAnsi"/>
        </w:rPr>
        <w:t xml:space="preserve"> </w:t>
      </w:r>
    </w:p>
    <w:p w14:paraId="3025CBA2" w14:textId="333BC763" w:rsidR="00B51585" w:rsidRPr="00B51585" w:rsidRDefault="00B51585" w:rsidP="00B51585">
      <w:r w:rsidRPr="00B51585">
        <w:t>After children are two years of age (</w:t>
      </w:r>
      <w:r w:rsidR="00861E68">
        <w:t xml:space="preserve">from age </w:t>
      </w:r>
      <w:r w:rsidRPr="00B51585">
        <w:t>2</w:t>
      </w:r>
      <w:r w:rsidR="00861E68">
        <w:t xml:space="preserve"> to </w:t>
      </w:r>
      <w:r w:rsidRPr="00B51585">
        <w:t>5 years</w:t>
      </w:r>
      <w:r w:rsidR="00861E68">
        <w:t xml:space="preserve"> old</w:t>
      </w:r>
      <w:r w:rsidRPr="00B51585">
        <w:t>) the mothers would then transition to work on Community/Home based ECD where they will benefit from other nutrition targeted interventions as provided for under the guidelines for community and home</w:t>
      </w:r>
      <w:r w:rsidR="00255068">
        <w:t>-</w:t>
      </w:r>
      <w:r w:rsidRPr="00B51585">
        <w:t>based childcare, under the flagship VUP program. Furthermore, parents participating in the NSDS will be required to participate in regular parenting education sessions (including those delivered at village level ECD centers) throughout the period of their enrollment in the NSDS. This will also be combined with financial literacy training to support the development of sustainable livelihoods. These sensiti</w:t>
      </w:r>
      <w:r w:rsidR="00255068">
        <w:t>z</w:t>
      </w:r>
      <w:r w:rsidRPr="00B51585">
        <w:t xml:space="preserve">ation services will be delivered through CHWs and health center staff. Furthermore, these households will be eligible for livelihood development support provided under the Minimum Package for Graduation framework, where this is operational. </w:t>
      </w:r>
    </w:p>
    <w:p w14:paraId="559E69C5" w14:textId="3D735511" w:rsidR="00713569" w:rsidRDefault="00A66A22">
      <w:pPr>
        <w:spacing w:after="160" w:line="259" w:lineRule="auto"/>
      </w:pPr>
      <w:r w:rsidRPr="00B51585">
        <w:t xml:space="preserve">The </w:t>
      </w:r>
      <w:r w:rsidR="000A5DB0">
        <w:t xml:space="preserve">NSDS was </w:t>
      </w:r>
      <w:r>
        <w:t xml:space="preserve">initially </w:t>
      </w:r>
      <w:r w:rsidR="000A5DB0">
        <w:t>designed to target</w:t>
      </w:r>
      <w:r w:rsidRPr="00B51585">
        <w:t xml:space="preserve"> 17 districts</w:t>
      </w:r>
      <w:r>
        <w:t xml:space="preserve"> (</w:t>
      </w:r>
      <w:r w:rsidRPr="00B51585">
        <w:t>13 of which overlap</w:t>
      </w:r>
      <w:r w:rsidR="000C3C7D">
        <w:t>ping</w:t>
      </w:r>
      <w:r w:rsidRPr="00B51585">
        <w:t xml:space="preserve"> with the SPR</w:t>
      </w:r>
      <w:r w:rsidR="00905A5C">
        <w:t>P</w:t>
      </w:r>
      <w:r w:rsidRPr="00B51585">
        <w:t xml:space="preserve"> project</w:t>
      </w:r>
      <w:r>
        <w:t>) and to be limited to extremely poor and vulnerable (</w:t>
      </w:r>
      <w:r w:rsidR="00D47A12">
        <w:t>Ubudehe</w:t>
      </w:r>
      <w:r>
        <w:t xml:space="preserve"> 1) eligible households, </w:t>
      </w:r>
      <w:r w:rsidR="00F56034">
        <w:t xml:space="preserve">with the </w:t>
      </w:r>
      <w:r w:rsidR="000C3C7D">
        <w:t>aim to</w:t>
      </w:r>
      <w:r>
        <w:t xml:space="preserve"> </w:t>
      </w:r>
      <w:r w:rsidRPr="00B51585">
        <w:t xml:space="preserve">cover approximately 61,000 households. </w:t>
      </w:r>
      <w:r w:rsidR="00CD0406">
        <w:t xml:space="preserve">The roll out of this intervention began during the second quarter of 2019-2020. </w:t>
      </w:r>
      <w:r>
        <w:t xml:space="preserve">However, </w:t>
      </w:r>
      <w:r w:rsidR="00F56034">
        <w:t>Ubudehe 1</w:t>
      </w:r>
      <w:r w:rsidR="000A5DB0">
        <w:t xml:space="preserve"> households were found to be mainly composed of </w:t>
      </w:r>
      <w:r>
        <w:t>elderly and persons with disabilities</w:t>
      </w:r>
      <w:r w:rsidR="000A5DB0">
        <w:t xml:space="preserve">, leading to </w:t>
      </w:r>
      <w:r w:rsidR="000C3C7D">
        <w:t>a lower-than-expected</w:t>
      </w:r>
      <w:r w:rsidR="000A5DB0">
        <w:t xml:space="preserve"> incidence of program eligibility. Additionally, with the spread of the COVID-19 pandemic and its effect of vulnerability, it became apparent that the safety net program </w:t>
      </w:r>
      <w:r w:rsidR="00F56034">
        <w:t>should be targeted to benefit</w:t>
      </w:r>
      <w:r w:rsidR="000A5DB0">
        <w:t xml:space="preserve"> additional families. </w:t>
      </w:r>
      <w:r w:rsidR="000C3C7D">
        <w:t xml:space="preserve">In the first expansion, </w:t>
      </w:r>
      <w:r w:rsidR="00D47A12">
        <w:t>Ubudehe</w:t>
      </w:r>
      <w:r w:rsidR="000C3C7D">
        <w:t xml:space="preserve"> 2 households with children 6-23 months old or pregnant and lactating women</w:t>
      </w:r>
      <w:r w:rsidR="000C3C7D" w:rsidRPr="00B51585" w:rsidDel="000A5DB0">
        <w:t xml:space="preserve"> </w:t>
      </w:r>
      <w:r w:rsidR="000C3C7D">
        <w:lastRenderedPageBreak/>
        <w:t>became eligible</w:t>
      </w:r>
      <w:r w:rsidR="00CD0406">
        <w:t xml:space="preserve"> to receive NSDS in April 2020</w:t>
      </w:r>
      <w:r w:rsidR="000C3C7D">
        <w:t>, bringing the coverage of beneficiaries from 20,353 as of March 31, 2020 to 41,000 by June 30, 2020.</w:t>
      </w:r>
    </w:p>
    <w:p w14:paraId="3D186713" w14:textId="65BAFABF" w:rsidR="00A938AD" w:rsidRDefault="004D0EE0">
      <w:pPr>
        <w:spacing w:after="160" w:line="259" w:lineRule="auto"/>
      </w:pPr>
      <w:r w:rsidRPr="004D0EE0">
        <w:t>On April 30, 2020, Rwanda’s Cabinet approved the Post COVID-19 Economic Recovery Plan, which provides broad outline of different measures</w:t>
      </w:r>
      <w:r w:rsidR="00D008FF">
        <w:t xml:space="preserve"> for mitigating the impact of COVID-19,</w:t>
      </w:r>
      <w:r w:rsidRPr="004D0EE0">
        <w:t xml:space="preserve"> including </w:t>
      </w:r>
      <w:r w:rsidR="00D008FF">
        <w:t>social protection programs</w:t>
      </w:r>
      <w:r w:rsidRPr="004D0EE0">
        <w:t xml:space="preserve">. The implementation timeline for this plan is from </w:t>
      </w:r>
      <w:r w:rsidR="009A75BE">
        <w:t>March</w:t>
      </w:r>
      <w:r w:rsidR="009A75BE" w:rsidRPr="004D0EE0">
        <w:t xml:space="preserve"> </w:t>
      </w:r>
      <w:r w:rsidRPr="004D0EE0">
        <w:t xml:space="preserve">2020 to December 2021. Among others, it includes </w:t>
      </w:r>
      <w:r w:rsidR="006D1093">
        <w:t xml:space="preserve">increasing the NSDS transfer amount to 15,000 Rwandan Francs per month and </w:t>
      </w:r>
      <w:r w:rsidRPr="004D0EE0">
        <w:t>expan</w:t>
      </w:r>
      <w:r w:rsidR="006D1093">
        <w:t>ding</w:t>
      </w:r>
      <w:r w:rsidRPr="004D0EE0">
        <w:t xml:space="preserve"> the coverage of </w:t>
      </w:r>
      <w:r w:rsidR="006D1093">
        <w:t>the intervention</w:t>
      </w:r>
      <w:r w:rsidR="00255068">
        <w:t xml:space="preserve"> </w:t>
      </w:r>
      <w:r w:rsidRPr="004D0EE0">
        <w:t xml:space="preserve">to all </w:t>
      </w:r>
      <w:r w:rsidR="000C3C7D">
        <w:t xml:space="preserve">30 </w:t>
      </w:r>
      <w:r w:rsidRPr="004D0EE0">
        <w:t>districts</w:t>
      </w:r>
      <w:r w:rsidR="00CD0406">
        <w:t xml:space="preserve"> beginning in January 2021,</w:t>
      </w:r>
      <w:r w:rsidRPr="004D0EE0">
        <w:t xml:space="preserve"> which should help the GoR in reaching an overall 74,000 beneficiaries. Implementation of the plan is dependent upon financial support from various DPs </w:t>
      </w:r>
      <w:r w:rsidR="00D008FF">
        <w:t>beyond the support provided by the World Bank</w:t>
      </w:r>
      <w:r w:rsidRPr="004D0EE0">
        <w:t xml:space="preserve">. </w:t>
      </w:r>
    </w:p>
    <w:p w14:paraId="5BB4DB46" w14:textId="0E2B390B" w:rsidR="000C3C7D" w:rsidRDefault="00265A93">
      <w:pPr>
        <w:spacing w:after="160" w:line="259" w:lineRule="auto"/>
      </w:pPr>
      <w:r>
        <w:t xml:space="preserve">A further expansion of NSDS is expected under a World Bank financed human capital DPO. Under this DPO, </w:t>
      </w:r>
      <w:r w:rsidR="009A0654">
        <w:t>the coverage target for NSDS will be expanded to 148</w:t>
      </w:r>
      <w:r w:rsidR="00536ABC">
        <w:t xml:space="preserve">,812 beneficiaries. This will be accomplished through both </w:t>
      </w:r>
      <w:r w:rsidR="005A3C82">
        <w:t>vertical</w:t>
      </w:r>
      <w:r w:rsidR="00536ABC">
        <w:t xml:space="preserve"> (</w:t>
      </w:r>
      <w:r w:rsidR="005A3C82">
        <w:t xml:space="preserve">support for </w:t>
      </w:r>
      <w:r w:rsidR="00D47A12">
        <w:t>Ubudehe</w:t>
      </w:r>
      <w:r w:rsidR="005A3C82">
        <w:t xml:space="preserve"> 2 households) </w:t>
      </w:r>
      <w:r w:rsidR="00956175">
        <w:t xml:space="preserve">and horizontal (nationwide) expansion. </w:t>
      </w:r>
      <w:r w:rsidR="00255068">
        <w:t>To date, only one district has been added to the list of NSDS beneficiaries (Kirehe district), but the overall</w:t>
      </w:r>
      <w:r w:rsidR="00956175">
        <w:t xml:space="preserve"> target is expected to be achieved by June 2022.</w:t>
      </w:r>
    </w:p>
    <w:p w14:paraId="467E3F3A" w14:textId="2B3814C4" w:rsidR="00A55463" w:rsidRDefault="000C3C7D" w:rsidP="003A0B4F">
      <w:pPr>
        <w:pStyle w:val="Heading1"/>
      </w:pPr>
      <w:r>
        <w:br w:type="page"/>
      </w:r>
      <w:bookmarkStart w:id="43" w:name="_Toc520742210"/>
      <w:bookmarkStart w:id="44" w:name="_Toc69728411"/>
      <w:r w:rsidR="00C24E07" w:rsidRPr="00AB0919">
        <w:lastRenderedPageBreak/>
        <w:t>Annex 2</w:t>
      </w:r>
      <w:r w:rsidR="00A55463" w:rsidRPr="00AB0919">
        <w:t>: Priority ranking of Rwanda’s districts</w:t>
      </w:r>
      <w:bookmarkEnd w:id="43"/>
      <w:bookmarkEnd w:id="44"/>
    </w:p>
    <w:p w14:paraId="00442EDB" w14:textId="7AC83000" w:rsidR="00C24E07" w:rsidRDefault="005A2EDB">
      <w:pPr>
        <w:spacing w:after="160" w:line="259" w:lineRule="auto"/>
      </w:pPr>
      <w:r w:rsidRPr="005A2EDB">
        <w:t>Districts were ranked and selected by the Government of Rwanda based on a summary score composed of three criteria: stunting prevalence, household poverty, and household food insecurity.</w:t>
      </w:r>
      <w:r w:rsidR="00CD21AE">
        <w:t xml:space="preserve"> Districts in red constitute the 13 SPR</w:t>
      </w:r>
      <w:r w:rsidR="00905A5C">
        <w:t>P</w:t>
      </w:r>
      <w:r w:rsidR="00CD21AE">
        <w:t xml:space="preserve"> districts.</w:t>
      </w:r>
    </w:p>
    <w:tbl>
      <w:tblPr>
        <w:tblW w:w="9180" w:type="dxa"/>
        <w:tblLook w:val="04A0" w:firstRow="1" w:lastRow="0" w:firstColumn="1" w:lastColumn="0" w:noHBand="0" w:noVBand="1"/>
      </w:tblPr>
      <w:tblGrid>
        <w:gridCol w:w="1445"/>
        <w:gridCol w:w="1040"/>
        <w:gridCol w:w="725"/>
        <w:gridCol w:w="2482"/>
        <w:gridCol w:w="725"/>
        <w:gridCol w:w="1324"/>
        <w:gridCol w:w="725"/>
        <w:gridCol w:w="714"/>
      </w:tblGrid>
      <w:tr w:rsidR="00AB0919" w:rsidRPr="00AB0919" w14:paraId="300A0DB7" w14:textId="77777777" w:rsidTr="00AB0919">
        <w:trPr>
          <w:trHeight w:val="1210"/>
        </w:trPr>
        <w:tc>
          <w:tcPr>
            <w:tcW w:w="1452"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0A879060" w14:textId="77777777" w:rsidR="00AB0919" w:rsidRPr="00733507" w:rsidRDefault="00AB0919" w:rsidP="00AB0919">
            <w:pPr>
              <w:spacing w:after="0"/>
              <w:rPr>
                <w:rFonts w:ascii="Cambria" w:eastAsia="Times New Roman" w:hAnsi="Cambria" w:cs="Calibri"/>
                <w:b/>
                <w:bCs/>
                <w:color w:val="000000"/>
                <w:sz w:val="20"/>
                <w:szCs w:val="20"/>
              </w:rPr>
            </w:pPr>
            <w:r w:rsidRPr="00733507">
              <w:rPr>
                <w:rFonts w:ascii="Cambria" w:eastAsia="Times New Roman" w:hAnsi="Cambria" w:cs="Calibri"/>
                <w:b/>
                <w:bCs/>
                <w:color w:val="000000"/>
                <w:sz w:val="20"/>
                <w:szCs w:val="20"/>
              </w:rPr>
              <w:t>Districts</w:t>
            </w:r>
          </w:p>
        </w:tc>
        <w:tc>
          <w:tcPr>
            <w:tcW w:w="1055" w:type="dxa"/>
            <w:tcBorders>
              <w:top w:val="single" w:sz="8" w:space="0" w:color="auto"/>
              <w:left w:val="nil"/>
              <w:bottom w:val="single" w:sz="8" w:space="0" w:color="auto"/>
              <w:right w:val="single" w:sz="8" w:space="0" w:color="auto"/>
            </w:tcBorders>
            <w:shd w:val="clear" w:color="auto" w:fill="auto"/>
            <w:vAlign w:val="center"/>
            <w:hideMark/>
          </w:tcPr>
          <w:p w14:paraId="0DBA6F32" w14:textId="77777777" w:rsidR="00AB0919" w:rsidRPr="00733507" w:rsidRDefault="00AB0919" w:rsidP="00AB0919">
            <w:pPr>
              <w:spacing w:after="0"/>
              <w:rPr>
                <w:rFonts w:ascii="Cambria" w:eastAsia="Times New Roman" w:hAnsi="Cambria" w:cs="Calibri"/>
                <w:b/>
                <w:bCs/>
                <w:color w:val="000000"/>
                <w:sz w:val="20"/>
                <w:szCs w:val="20"/>
              </w:rPr>
            </w:pPr>
            <w:r w:rsidRPr="00733507">
              <w:rPr>
                <w:rFonts w:ascii="Cambria" w:eastAsia="Times New Roman" w:hAnsi="Cambria" w:cs="Calibri"/>
                <w:b/>
                <w:bCs/>
                <w:color w:val="000000"/>
                <w:sz w:val="20"/>
                <w:szCs w:val="20"/>
              </w:rPr>
              <w:t>Stunting (DHS 2014-2015)</w:t>
            </w:r>
          </w:p>
        </w:tc>
        <w:tc>
          <w:tcPr>
            <w:tcW w:w="719" w:type="dxa"/>
            <w:tcBorders>
              <w:top w:val="single" w:sz="8" w:space="0" w:color="auto"/>
              <w:left w:val="nil"/>
              <w:bottom w:val="single" w:sz="8" w:space="0" w:color="auto"/>
              <w:right w:val="single" w:sz="8" w:space="0" w:color="auto"/>
            </w:tcBorders>
            <w:shd w:val="clear" w:color="auto" w:fill="auto"/>
            <w:vAlign w:val="center"/>
            <w:hideMark/>
          </w:tcPr>
          <w:p w14:paraId="44488D1B" w14:textId="77777777" w:rsidR="00AB0919" w:rsidRPr="00733507" w:rsidRDefault="00AB0919" w:rsidP="00AB0919">
            <w:pPr>
              <w:spacing w:after="0"/>
              <w:rPr>
                <w:rFonts w:ascii="Cambria" w:eastAsia="Times New Roman" w:hAnsi="Cambria" w:cs="Calibri"/>
                <w:b/>
                <w:bCs/>
                <w:color w:val="000000"/>
                <w:sz w:val="20"/>
                <w:szCs w:val="20"/>
              </w:rPr>
            </w:pPr>
            <w:r w:rsidRPr="00733507">
              <w:rPr>
                <w:rFonts w:ascii="Cambria" w:eastAsia="Times New Roman" w:hAnsi="Cambria" w:cs="Calibri"/>
                <w:b/>
                <w:bCs/>
                <w:color w:val="000000"/>
                <w:sz w:val="20"/>
                <w:szCs w:val="20"/>
              </w:rPr>
              <w:t xml:space="preserve">Score </w:t>
            </w:r>
          </w:p>
        </w:tc>
        <w:tc>
          <w:tcPr>
            <w:tcW w:w="2537" w:type="dxa"/>
            <w:tcBorders>
              <w:top w:val="single" w:sz="8" w:space="0" w:color="auto"/>
              <w:left w:val="nil"/>
              <w:bottom w:val="single" w:sz="8" w:space="0" w:color="auto"/>
              <w:right w:val="single" w:sz="8" w:space="0" w:color="auto"/>
            </w:tcBorders>
            <w:shd w:val="clear" w:color="auto" w:fill="auto"/>
            <w:vAlign w:val="center"/>
            <w:hideMark/>
          </w:tcPr>
          <w:p w14:paraId="2E5A2AA3" w14:textId="77777777" w:rsidR="00AB0919" w:rsidRPr="00733507" w:rsidRDefault="00AB0919" w:rsidP="00AB0919">
            <w:pPr>
              <w:spacing w:after="0"/>
              <w:rPr>
                <w:rFonts w:ascii="Cambria" w:eastAsia="Times New Roman" w:hAnsi="Cambria" w:cs="Calibri"/>
                <w:b/>
                <w:bCs/>
                <w:color w:val="000000"/>
                <w:sz w:val="20"/>
                <w:szCs w:val="20"/>
              </w:rPr>
            </w:pPr>
            <w:r w:rsidRPr="00733507">
              <w:rPr>
                <w:rFonts w:ascii="Cambria" w:eastAsia="Times New Roman" w:hAnsi="Cambria" w:cs="Calibri"/>
                <w:b/>
                <w:bCs/>
                <w:color w:val="000000"/>
                <w:sz w:val="20"/>
                <w:szCs w:val="20"/>
              </w:rPr>
              <w:t>Moderately food insecure(CFSVA_2015)</w:t>
            </w:r>
          </w:p>
        </w:tc>
        <w:tc>
          <w:tcPr>
            <w:tcW w:w="687" w:type="dxa"/>
            <w:tcBorders>
              <w:top w:val="single" w:sz="8" w:space="0" w:color="auto"/>
              <w:left w:val="nil"/>
              <w:bottom w:val="single" w:sz="8" w:space="0" w:color="auto"/>
              <w:right w:val="single" w:sz="8" w:space="0" w:color="auto"/>
            </w:tcBorders>
            <w:shd w:val="clear" w:color="auto" w:fill="auto"/>
            <w:vAlign w:val="center"/>
            <w:hideMark/>
          </w:tcPr>
          <w:p w14:paraId="54228349" w14:textId="77777777" w:rsidR="00AB0919" w:rsidRPr="00733507" w:rsidRDefault="00AB0919" w:rsidP="00AB0919">
            <w:pPr>
              <w:spacing w:after="0"/>
              <w:rPr>
                <w:rFonts w:ascii="Cambria" w:eastAsia="Times New Roman" w:hAnsi="Cambria" w:cs="Calibri"/>
                <w:b/>
                <w:bCs/>
                <w:color w:val="000000"/>
                <w:sz w:val="20"/>
                <w:szCs w:val="20"/>
              </w:rPr>
            </w:pPr>
            <w:r w:rsidRPr="00733507">
              <w:rPr>
                <w:rFonts w:ascii="Cambria" w:eastAsia="Times New Roman" w:hAnsi="Cambria" w:cs="Calibri"/>
                <w:b/>
                <w:bCs/>
                <w:color w:val="000000"/>
                <w:sz w:val="20"/>
                <w:szCs w:val="20"/>
              </w:rPr>
              <w:t>Score</w:t>
            </w:r>
          </w:p>
        </w:tc>
        <w:tc>
          <w:tcPr>
            <w:tcW w:w="1324" w:type="dxa"/>
            <w:tcBorders>
              <w:top w:val="single" w:sz="8" w:space="0" w:color="auto"/>
              <w:left w:val="nil"/>
              <w:bottom w:val="single" w:sz="8" w:space="0" w:color="auto"/>
              <w:right w:val="single" w:sz="8" w:space="0" w:color="auto"/>
            </w:tcBorders>
            <w:shd w:val="clear" w:color="auto" w:fill="auto"/>
            <w:vAlign w:val="center"/>
            <w:hideMark/>
          </w:tcPr>
          <w:p w14:paraId="4B1359B7" w14:textId="77777777" w:rsidR="00AB0919" w:rsidRPr="00733507" w:rsidRDefault="00AB0919" w:rsidP="00AB0919">
            <w:pPr>
              <w:spacing w:after="0"/>
              <w:rPr>
                <w:rFonts w:ascii="Cambria" w:eastAsia="Times New Roman" w:hAnsi="Cambria" w:cs="Calibri"/>
                <w:b/>
                <w:bCs/>
                <w:color w:val="000000"/>
                <w:sz w:val="20"/>
                <w:szCs w:val="20"/>
              </w:rPr>
            </w:pPr>
            <w:r w:rsidRPr="00733507">
              <w:rPr>
                <w:rFonts w:ascii="Cambria" w:eastAsia="Times New Roman" w:hAnsi="Cambria" w:cs="Calibri"/>
                <w:b/>
                <w:bCs/>
                <w:color w:val="000000"/>
                <w:sz w:val="20"/>
                <w:szCs w:val="20"/>
              </w:rPr>
              <w:t>Poor and extremerly poor HH (EICV4)</w:t>
            </w:r>
          </w:p>
        </w:tc>
        <w:tc>
          <w:tcPr>
            <w:tcW w:w="719" w:type="dxa"/>
            <w:tcBorders>
              <w:top w:val="single" w:sz="8" w:space="0" w:color="auto"/>
              <w:left w:val="nil"/>
              <w:bottom w:val="single" w:sz="8" w:space="0" w:color="auto"/>
              <w:right w:val="single" w:sz="8" w:space="0" w:color="auto"/>
            </w:tcBorders>
            <w:shd w:val="clear" w:color="auto" w:fill="auto"/>
            <w:vAlign w:val="center"/>
            <w:hideMark/>
          </w:tcPr>
          <w:p w14:paraId="4065A549" w14:textId="77777777" w:rsidR="00AB0919" w:rsidRPr="00733507" w:rsidRDefault="00AB0919" w:rsidP="00AB0919">
            <w:pPr>
              <w:spacing w:after="0"/>
              <w:rPr>
                <w:rFonts w:ascii="Cambria" w:eastAsia="Times New Roman" w:hAnsi="Cambria" w:cs="Calibri"/>
                <w:b/>
                <w:bCs/>
                <w:color w:val="000000"/>
                <w:sz w:val="20"/>
                <w:szCs w:val="20"/>
              </w:rPr>
            </w:pPr>
            <w:r w:rsidRPr="00733507">
              <w:rPr>
                <w:rFonts w:ascii="Cambria" w:eastAsia="Times New Roman" w:hAnsi="Cambria" w:cs="Calibri"/>
                <w:b/>
                <w:bCs/>
                <w:color w:val="000000"/>
                <w:sz w:val="20"/>
                <w:szCs w:val="20"/>
              </w:rPr>
              <w:t>Score</w:t>
            </w:r>
          </w:p>
        </w:tc>
        <w:tc>
          <w:tcPr>
            <w:tcW w:w="687" w:type="dxa"/>
            <w:tcBorders>
              <w:top w:val="single" w:sz="8" w:space="0" w:color="auto"/>
              <w:left w:val="nil"/>
              <w:bottom w:val="single" w:sz="8" w:space="0" w:color="auto"/>
              <w:right w:val="single" w:sz="8" w:space="0" w:color="auto"/>
            </w:tcBorders>
            <w:shd w:val="clear" w:color="auto" w:fill="auto"/>
            <w:vAlign w:val="center"/>
            <w:hideMark/>
          </w:tcPr>
          <w:p w14:paraId="1682B943" w14:textId="77777777" w:rsidR="00AB0919" w:rsidRPr="00733507" w:rsidRDefault="00AB0919" w:rsidP="00AB0919">
            <w:pPr>
              <w:spacing w:after="0"/>
              <w:rPr>
                <w:rFonts w:ascii="Cambria" w:eastAsia="Times New Roman" w:hAnsi="Cambria" w:cs="Calibri"/>
                <w:b/>
                <w:bCs/>
                <w:color w:val="000000"/>
                <w:sz w:val="20"/>
                <w:szCs w:val="20"/>
              </w:rPr>
            </w:pPr>
            <w:r w:rsidRPr="00733507">
              <w:rPr>
                <w:rFonts w:ascii="Cambria" w:eastAsia="Times New Roman" w:hAnsi="Cambria" w:cs="Calibri"/>
                <w:b/>
                <w:bCs/>
                <w:color w:val="000000"/>
                <w:sz w:val="20"/>
                <w:szCs w:val="20"/>
              </w:rPr>
              <w:t>Total score</w:t>
            </w:r>
          </w:p>
        </w:tc>
      </w:tr>
      <w:tr w:rsidR="00AB0919" w:rsidRPr="00AB0919" w14:paraId="6C690B9A" w14:textId="77777777" w:rsidTr="00AB0919">
        <w:trPr>
          <w:trHeight w:val="310"/>
        </w:trPr>
        <w:tc>
          <w:tcPr>
            <w:tcW w:w="1452" w:type="dxa"/>
            <w:tcBorders>
              <w:top w:val="nil"/>
              <w:left w:val="single" w:sz="8" w:space="0" w:color="auto"/>
              <w:bottom w:val="single" w:sz="8" w:space="0" w:color="auto"/>
              <w:right w:val="single" w:sz="8" w:space="0" w:color="auto"/>
            </w:tcBorders>
            <w:shd w:val="clear" w:color="auto" w:fill="auto"/>
            <w:vAlign w:val="center"/>
            <w:hideMark/>
          </w:tcPr>
          <w:p w14:paraId="0CBCFF2C" w14:textId="77777777" w:rsidR="00AB0919" w:rsidRPr="00AB0919" w:rsidRDefault="00AB0919" w:rsidP="00AB0919">
            <w:pPr>
              <w:spacing w:after="0"/>
              <w:rPr>
                <w:rFonts w:ascii="Cambria" w:eastAsia="Times New Roman" w:hAnsi="Cambria" w:cs="Calibri"/>
                <w:color w:val="FF0000"/>
              </w:rPr>
            </w:pPr>
            <w:r w:rsidRPr="00AB0919">
              <w:rPr>
                <w:rFonts w:ascii="Cambria" w:eastAsia="Times New Roman" w:hAnsi="Cambria" w:cs="Calibri"/>
                <w:color w:val="FF0000"/>
              </w:rPr>
              <w:t>Nyabihu</w:t>
            </w:r>
          </w:p>
        </w:tc>
        <w:tc>
          <w:tcPr>
            <w:tcW w:w="1055" w:type="dxa"/>
            <w:tcBorders>
              <w:top w:val="nil"/>
              <w:left w:val="nil"/>
              <w:bottom w:val="single" w:sz="8" w:space="0" w:color="auto"/>
              <w:right w:val="single" w:sz="8" w:space="0" w:color="auto"/>
            </w:tcBorders>
            <w:shd w:val="clear" w:color="auto" w:fill="auto"/>
            <w:vAlign w:val="center"/>
            <w:hideMark/>
          </w:tcPr>
          <w:p w14:paraId="4995FEB8" w14:textId="77777777" w:rsidR="00AB0919" w:rsidRPr="00AB0919" w:rsidRDefault="00AB0919" w:rsidP="00AB0919">
            <w:pPr>
              <w:spacing w:after="0"/>
              <w:jc w:val="right"/>
              <w:rPr>
                <w:rFonts w:ascii="Cambria" w:eastAsia="Times New Roman" w:hAnsi="Cambria" w:cs="Calibri"/>
                <w:color w:val="000000"/>
              </w:rPr>
            </w:pPr>
            <w:r w:rsidRPr="00AB0919">
              <w:rPr>
                <w:rFonts w:ascii="Cambria" w:eastAsia="Times New Roman" w:hAnsi="Cambria" w:cs="Calibri"/>
                <w:color w:val="000000"/>
              </w:rPr>
              <w:t>59%</w:t>
            </w:r>
          </w:p>
        </w:tc>
        <w:tc>
          <w:tcPr>
            <w:tcW w:w="719" w:type="dxa"/>
            <w:tcBorders>
              <w:top w:val="nil"/>
              <w:left w:val="nil"/>
              <w:bottom w:val="single" w:sz="8" w:space="0" w:color="auto"/>
              <w:right w:val="single" w:sz="8" w:space="0" w:color="auto"/>
            </w:tcBorders>
            <w:shd w:val="clear" w:color="auto" w:fill="auto"/>
            <w:vAlign w:val="center"/>
            <w:hideMark/>
          </w:tcPr>
          <w:p w14:paraId="1A59BA7A" w14:textId="77777777" w:rsidR="00AB0919" w:rsidRPr="00AB0919" w:rsidRDefault="00AB0919" w:rsidP="00AB0919">
            <w:pPr>
              <w:spacing w:after="0"/>
              <w:jc w:val="right"/>
              <w:rPr>
                <w:rFonts w:ascii="Cambria" w:eastAsia="Times New Roman" w:hAnsi="Cambria" w:cs="Calibri"/>
                <w:color w:val="000000"/>
              </w:rPr>
            </w:pPr>
            <w:r w:rsidRPr="00AB0919">
              <w:rPr>
                <w:rFonts w:ascii="Cambria" w:eastAsia="Times New Roman" w:hAnsi="Cambria" w:cs="Calibri"/>
                <w:color w:val="000000"/>
              </w:rPr>
              <w:t>5</w:t>
            </w:r>
          </w:p>
        </w:tc>
        <w:tc>
          <w:tcPr>
            <w:tcW w:w="2537" w:type="dxa"/>
            <w:tcBorders>
              <w:top w:val="nil"/>
              <w:left w:val="nil"/>
              <w:bottom w:val="single" w:sz="8" w:space="0" w:color="auto"/>
              <w:right w:val="nil"/>
            </w:tcBorders>
            <w:shd w:val="clear" w:color="auto" w:fill="auto"/>
            <w:vAlign w:val="center"/>
            <w:hideMark/>
          </w:tcPr>
          <w:p w14:paraId="7F53A7CB" w14:textId="77777777" w:rsidR="00AB0919" w:rsidRPr="00AB0919" w:rsidRDefault="00AB0919" w:rsidP="00AB0919">
            <w:pPr>
              <w:spacing w:after="0"/>
              <w:jc w:val="right"/>
              <w:rPr>
                <w:rFonts w:ascii="Cambria" w:eastAsia="Times New Roman" w:hAnsi="Cambria" w:cs="Calibri"/>
                <w:color w:val="000000"/>
              </w:rPr>
            </w:pPr>
            <w:r w:rsidRPr="00AB0919">
              <w:rPr>
                <w:rFonts w:ascii="Cambria" w:eastAsia="Times New Roman" w:hAnsi="Cambria" w:cs="Calibri"/>
                <w:color w:val="000000"/>
              </w:rPr>
              <w:t>32%</w:t>
            </w:r>
          </w:p>
        </w:tc>
        <w:tc>
          <w:tcPr>
            <w:tcW w:w="687" w:type="dxa"/>
            <w:tcBorders>
              <w:top w:val="nil"/>
              <w:left w:val="single" w:sz="8" w:space="0" w:color="auto"/>
              <w:bottom w:val="single" w:sz="8" w:space="0" w:color="auto"/>
              <w:right w:val="single" w:sz="8" w:space="0" w:color="auto"/>
            </w:tcBorders>
            <w:shd w:val="clear" w:color="auto" w:fill="auto"/>
            <w:vAlign w:val="center"/>
            <w:hideMark/>
          </w:tcPr>
          <w:p w14:paraId="47590FE8" w14:textId="77777777" w:rsidR="00AB0919" w:rsidRPr="00AB0919" w:rsidRDefault="00AB0919" w:rsidP="00AB0919">
            <w:pPr>
              <w:spacing w:after="0"/>
              <w:jc w:val="right"/>
              <w:rPr>
                <w:rFonts w:ascii="Cambria" w:eastAsia="Times New Roman" w:hAnsi="Cambria" w:cs="Calibri"/>
                <w:color w:val="000000"/>
              </w:rPr>
            </w:pPr>
            <w:r w:rsidRPr="00AB0919">
              <w:rPr>
                <w:rFonts w:ascii="Cambria" w:eastAsia="Times New Roman" w:hAnsi="Cambria" w:cs="Calibri"/>
                <w:color w:val="000000"/>
              </w:rPr>
              <w:t>4</w:t>
            </w:r>
          </w:p>
        </w:tc>
        <w:tc>
          <w:tcPr>
            <w:tcW w:w="1324" w:type="dxa"/>
            <w:tcBorders>
              <w:top w:val="nil"/>
              <w:left w:val="nil"/>
              <w:bottom w:val="single" w:sz="8" w:space="0" w:color="auto"/>
              <w:right w:val="single" w:sz="8" w:space="0" w:color="auto"/>
            </w:tcBorders>
            <w:shd w:val="clear" w:color="auto" w:fill="auto"/>
            <w:noWrap/>
            <w:vAlign w:val="center"/>
            <w:hideMark/>
          </w:tcPr>
          <w:p w14:paraId="3EC4062E" w14:textId="77777777" w:rsidR="00AB0919" w:rsidRPr="00AB0919" w:rsidRDefault="00AB0919" w:rsidP="00AB0919">
            <w:pPr>
              <w:spacing w:after="0"/>
              <w:jc w:val="right"/>
              <w:rPr>
                <w:rFonts w:ascii="Cambria" w:eastAsia="Times New Roman" w:hAnsi="Cambria" w:cs="Calibri"/>
                <w:color w:val="000000"/>
              </w:rPr>
            </w:pPr>
            <w:r w:rsidRPr="00AB0919">
              <w:rPr>
                <w:rFonts w:ascii="Cambria" w:eastAsia="Times New Roman" w:hAnsi="Cambria" w:cs="Calibri"/>
                <w:color w:val="000000"/>
              </w:rPr>
              <w:t>49.60%</w:t>
            </w:r>
          </w:p>
        </w:tc>
        <w:tc>
          <w:tcPr>
            <w:tcW w:w="719" w:type="dxa"/>
            <w:tcBorders>
              <w:top w:val="nil"/>
              <w:left w:val="nil"/>
              <w:bottom w:val="single" w:sz="8" w:space="0" w:color="auto"/>
              <w:right w:val="single" w:sz="8" w:space="0" w:color="auto"/>
            </w:tcBorders>
            <w:shd w:val="clear" w:color="auto" w:fill="auto"/>
            <w:noWrap/>
            <w:vAlign w:val="center"/>
            <w:hideMark/>
          </w:tcPr>
          <w:p w14:paraId="012DF6D2" w14:textId="77777777" w:rsidR="00AB0919" w:rsidRPr="00AB0919" w:rsidRDefault="00AB0919" w:rsidP="00AB0919">
            <w:pPr>
              <w:spacing w:after="0"/>
              <w:jc w:val="right"/>
              <w:rPr>
                <w:rFonts w:ascii="Cambria" w:eastAsia="Times New Roman" w:hAnsi="Cambria" w:cs="Calibri"/>
                <w:color w:val="000000"/>
              </w:rPr>
            </w:pPr>
            <w:r w:rsidRPr="00AB0919">
              <w:rPr>
                <w:rFonts w:ascii="Cambria" w:eastAsia="Times New Roman" w:hAnsi="Cambria" w:cs="Calibri"/>
                <w:color w:val="000000"/>
              </w:rPr>
              <w:t>4</w:t>
            </w:r>
          </w:p>
        </w:tc>
        <w:tc>
          <w:tcPr>
            <w:tcW w:w="687" w:type="dxa"/>
            <w:tcBorders>
              <w:top w:val="nil"/>
              <w:left w:val="nil"/>
              <w:bottom w:val="single" w:sz="8" w:space="0" w:color="auto"/>
              <w:right w:val="single" w:sz="8" w:space="0" w:color="auto"/>
            </w:tcBorders>
            <w:shd w:val="clear" w:color="auto" w:fill="auto"/>
            <w:noWrap/>
            <w:vAlign w:val="center"/>
            <w:hideMark/>
          </w:tcPr>
          <w:p w14:paraId="5B627D2D" w14:textId="77777777" w:rsidR="00AB0919" w:rsidRPr="00AB0919" w:rsidRDefault="00AB0919" w:rsidP="00AB0919">
            <w:pPr>
              <w:spacing w:after="0"/>
              <w:jc w:val="right"/>
              <w:rPr>
                <w:rFonts w:ascii="Cambria" w:eastAsia="Times New Roman" w:hAnsi="Cambria" w:cs="Calibri"/>
                <w:color w:val="000000"/>
              </w:rPr>
            </w:pPr>
            <w:r w:rsidRPr="00AB0919">
              <w:rPr>
                <w:rFonts w:ascii="Cambria" w:eastAsia="Times New Roman" w:hAnsi="Cambria" w:cs="Calibri"/>
                <w:color w:val="000000"/>
              </w:rPr>
              <w:t>13</w:t>
            </w:r>
          </w:p>
        </w:tc>
      </w:tr>
      <w:tr w:rsidR="00AB0919" w:rsidRPr="00AB0919" w14:paraId="3525201C" w14:textId="77777777" w:rsidTr="00AB0919">
        <w:trPr>
          <w:trHeight w:val="310"/>
        </w:trPr>
        <w:tc>
          <w:tcPr>
            <w:tcW w:w="1452" w:type="dxa"/>
            <w:tcBorders>
              <w:top w:val="nil"/>
              <w:left w:val="single" w:sz="8" w:space="0" w:color="auto"/>
              <w:bottom w:val="single" w:sz="8" w:space="0" w:color="auto"/>
              <w:right w:val="single" w:sz="8" w:space="0" w:color="auto"/>
            </w:tcBorders>
            <w:shd w:val="clear" w:color="auto" w:fill="auto"/>
            <w:vAlign w:val="center"/>
            <w:hideMark/>
          </w:tcPr>
          <w:p w14:paraId="14EEF99A" w14:textId="77777777" w:rsidR="00AB0919" w:rsidRPr="00AB0919" w:rsidRDefault="00AB0919" w:rsidP="00AB0919">
            <w:pPr>
              <w:spacing w:after="0"/>
              <w:rPr>
                <w:rFonts w:ascii="Cambria" w:eastAsia="Times New Roman" w:hAnsi="Cambria" w:cs="Calibri"/>
                <w:color w:val="FF0000"/>
              </w:rPr>
            </w:pPr>
            <w:r w:rsidRPr="00AB0919">
              <w:rPr>
                <w:rFonts w:ascii="Cambria" w:eastAsia="Times New Roman" w:hAnsi="Cambria" w:cs="Calibri"/>
                <w:color w:val="FF0000"/>
              </w:rPr>
              <w:t>Ngororero</w:t>
            </w:r>
          </w:p>
        </w:tc>
        <w:tc>
          <w:tcPr>
            <w:tcW w:w="1055" w:type="dxa"/>
            <w:tcBorders>
              <w:top w:val="nil"/>
              <w:left w:val="nil"/>
              <w:bottom w:val="single" w:sz="8" w:space="0" w:color="auto"/>
              <w:right w:val="single" w:sz="8" w:space="0" w:color="auto"/>
            </w:tcBorders>
            <w:shd w:val="clear" w:color="auto" w:fill="auto"/>
            <w:vAlign w:val="center"/>
            <w:hideMark/>
          </w:tcPr>
          <w:p w14:paraId="2EEA36BA" w14:textId="77777777" w:rsidR="00AB0919" w:rsidRPr="00AB0919" w:rsidRDefault="00AB0919" w:rsidP="00AB0919">
            <w:pPr>
              <w:spacing w:after="0"/>
              <w:jc w:val="right"/>
              <w:rPr>
                <w:rFonts w:ascii="Cambria" w:eastAsia="Times New Roman" w:hAnsi="Cambria" w:cs="Calibri"/>
                <w:color w:val="000000"/>
              </w:rPr>
            </w:pPr>
            <w:r w:rsidRPr="00AB0919">
              <w:rPr>
                <w:rFonts w:ascii="Cambria" w:eastAsia="Times New Roman" w:hAnsi="Cambria" w:cs="Calibri"/>
                <w:color w:val="000000"/>
              </w:rPr>
              <w:t>55.50%</w:t>
            </w:r>
          </w:p>
        </w:tc>
        <w:tc>
          <w:tcPr>
            <w:tcW w:w="719" w:type="dxa"/>
            <w:tcBorders>
              <w:top w:val="nil"/>
              <w:left w:val="nil"/>
              <w:bottom w:val="single" w:sz="8" w:space="0" w:color="auto"/>
              <w:right w:val="single" w:sz="8" w:space="0" w:color="auto"/>
            </w:tcBorders>
            <w:shd w:val="clear" w:color="auto" w:fill="auto"/>
            <w:vAlign w:val="center"/>
            <w:hideMark/>
          </w:tcPr>
          <w:p w14:paraId="6A4256BC" w14:textId="77777777" w:rsidR="00AB0919" w:rsidRPr="00AB0919" w:rsidRDefault="00AB0919" w:rsidP="00AB0919">
            <w:pPr>
              <w:spacing w:after="0"/>
              <w:jc w:val="right"/>
              <w:rPr>
                <w:rFonts w:ascii="Cambria" w:eastAsia="Times New Roman" w:hAnsi="Cambria" w:cs="Calibri"/>
                <w:color w:val="000000"/>
              </w:rPr>
            </w:pPr>
            <w:r w:rsidRPr="00AB0919">
              <w:rPr>
                <w:rFonts w:ascii="Cambria" w:eastAsia="Times New Roman" w:hAnsi="Cambria" w:cs="Calibri"/>
                <w:color w:val="000000"/>
              </w:rPr>
              <w:t>5</w:t>
            </w:r>
          </w:p>
        </w:tc>
        <w:tc>
          <w:tcPr>
            <w:tcW w:w="2537" w:type="dxa"/>
            <w:tcBorders>
              <w:top w:val="nil"/>
              <w:left w:val="nil"/>
              <w:bottom w:val="single" w:sz="8" w:space="0" w:color="auto"/>
              <w:right w:val="nil"/>
            </w:tcBorders>
            <w:shd w:val="clear" w:color="auto" w:fill="auto"/>
            <w:vAlign w:val="center"/>
            <w:hideMark/>
          </w:tcPr>
          <w:p w14:paraId="0E0649FC" w14:textId="77777777" w:rsidR="00AB0919" w:rsidRPr="00AB0919" w:rsidRDefault="00AB0919" w:rsidP="00AB0919">
            <w:pPr>
              <w:spacing w:after="0"/>
              <w:jc w:val="right"/>
              <w:rPr>
                <w:rFonts w:ascii="Cambria" w:eastAsia="Times New Roman" w:hAnsi="Cambria" w:cs="Calibri"/>
                <w:color w:val="000000"/>
              </w:rPr>
            </w:pPr>
            <w:r w:rsidRPr="00AB0919">
              <w:rPr>
                <w:rFonts w:ascii="Cambria" w:eastAsia="Times New Roman" w:hAnsi="Cambria" w:cs="Calibri"/>
                <w:color w:val="000000"/>
              </w:rPr>
              <w:t>22%</w:t>
            </w:r>
          </w:p>
        </w:tc>
        <w:tc>
          <w:tcPr>
            <w:tcW w:w="687" w:type="dxa"/>
            <w:tcBorders>
              <w:top w:val="nil"/>
              <w:left w:val="single" w:sz="8" w:space="0" w:color="auto"/>
              <w:bottom w:val="single" w:sz="8" w:space="0" w:color="auto"/>
              <w:right w:val="single" w:sz="8" w:space="0" w:color="auto"/>
            </w:tcBorders>
            <w:shd w:val="clear" w:color="auto" w:fill="auto"/>
            <w:vAlign w:val="center"/>
            <w:hideMark/>
          </w:tcPr>
          <w:p w14:paraId="2250FA4D" w14:textId="77777777" w:rsidR="00AB0919" w:rsidRPr="00AB0919" w:rsidRDefault="00AB0919" w:rsidP="00AB0919">
            <w:pPr>
              <w:spacing w:after="0"/>
              <w:jc w:val="right"/>
              <w:rPr>
                <w:rFonts w:ascii="Cambria" w:eastAsia="Times New Roman" w:hAnsi="Cambria" w:cs="Calibri"/>
                <w:color w:val="000000"/>
              </w:rPr>
            </w:pPr>
            <w:r w:rsidRPr="00AB0919">
              <w:rPr>
                <w:rFonts w:ascii="Cambria" w:eastAsia="Times New Roman" w:hAnsi="Cambria" w:cs="Calibri"/>
                <w:color w:val="000000"/>
              </w:rPr>
              <w:t>4</w:t>
            </w:r>
          </w:p>
        </w:tc>
        <w:tc>
          <w:tcPr>
            <w:tcW w:w="1324" w:type="dxa"/>
            <w:tcBorders>
              <w:top w:val="nil"/>
              <w:left w:val="nil"/>
              <w:bottom w:val="single" w:sz="8" w:space="0" w:color="auto"/>
              <w:right w:val="single" w:sz="8" w:space="0" w:color="auto"/>
            </w:tcBorders>
            <w:shd w:val="clear" w:color="auto" w:fill="auto"/>
            <w:noWrap/>
            <w:vAlign w:val="center"/>
            <w:hideMark/>
          </w:tcPr>
          <w:p w14:paraId="179F26D4" w14:textId="77777777" w:rsidR="00AB0919" w:rsidRPr="00AB0919" w:rsidRDefault="00AB0919" w:rsidP="00AB0919">
            <w:pPr>
              <w:spacing w:after="0"/>
              <w:jc w:val="right"/>
              <w:rPr>
                <w:rFonts w:ascii="Cambria" w:eastAsia="Times New Roman" w:hAnsi="Cambria" w:cs="Calibri"/>
                <w:color w:val="000000"/>
              </w:rPr>
            </w:pPr>
            <w:r w:rsidRPr="00AB0919">
              <w:rPr>
                <w:rFonts w:ascii="Cambria" w:eastAsia="Times New Roman" w:hAnsi="Cambria" w:cs="Calibri"/>
                <w:color w:val="000000"/>
              </w:rPr>
              <w:t>45.30%</w:t>
            </w:r>
          </w:p>
        </w:tc>
        <w:tc>
          <w:tcPr>
            <w:tcW w:w="719" w:type="dxa"/>
            <w:tcBorders>
              <w:top w:val="nil"/>
              <w:left w:val="nil"/>
              <w:bottom w:val="single" w:sz="8" w:space="0" w:color="auto"/>
              <w:right w:val="single" w:sz="8" w:space="0" w:color="auto"/>
            </w:tcBorders>
            <w:shd w:val="clear" w:color="auto" w:fill="auto"/>
            <w:noWrap/>
            <w:vAlign w:val="center"/>
            <w:hideMark/>
          </w:tcPr>
          <w:p w14:paraId="4FA15819" w14:textId="77777777" w:rsidR="00AB0919" w:rsidRPr="00AB0919" w:rsidRDefault="00AB0919" w:rsidP="00AB0919">
            <w:pPr>
              <w:spacing w:after="0"/>
              <w:jc w:val="right"/>
              <w:rPr>
                <w:rFonts w:ascii="Cambria" w:eastAsia="Times New Roman" w:hAnsi="Cambria" w:cs="Calibri"/>
                <w:color w:val="000000"/>
              </w:rPr>
            </w:pPr>
            <w:r w:rsidRPr="00AB0919">
              <w:rPr>
                <w:rFonts w:ascii="Cambria" w:eastAsia="Times New Roman" w:hAnsi="Cambria" w:cs="Calibri"/>
                <w:color w:val="000000"/>
              </w:rPr>
              <w:t>4</w:t>
            </w:r>
          </w:p>
        </w:tc>
        <w:tc>
          <w:tcPr>
            <w:tcW w:w="687" w:type="dxa"/>
            <w:tcBorders>
              <w:top w:val="nil"/>
              <w:left w:val="nil"/>
              <w:bottom w:val="single" w:sz="8" w:space="0" w:color="auto"/>
              <w:right w:val="single" w:sz="8" w:space="0" w:color="auto"/>
            </w:tcBorders>
            <w:shd w:val="clear" w:color="auto" w:fill="auto"/>
            <w:noWrap/>
            <w:vAlign w:val="center"/>
            <w:hideMark/>
          </w:tcPr>
          <w:p w14:paraId="7BBDA30D" w14:textId="77777777" w:rsidR="00AB0919" w:rsidRPr="00AB0919" w:rsidRDefault="00AB0919" w:rsidP="00AB0919">
            <w:pPr>
              <w:spacing w:after="0"/>
              <w:jc w:val="right"/>
              <w:rPr>
                <w:rFonts w:ascii="Cambria" w:eastAsia="Times New Roman" w:hAnsi="Cambria" w:cs="Calibri"/>
                <w:color w:val="000000"/>
              </w:rPr>
            </w:pPr>
            <w:r w:rsidRPr="00AB0919">
              <w:rPr>
                <w:rFonts w:ascii="Cambria" w:eastAsia="Times New Roman" w:hAnsi="Cambria" w:cs="Calibri"/>
                <w:color w:val="000000"/>
              </w:rPr>
              <w:t>13</w:t>
            </w:r>
          </w:p>
        </w:tc>
      </w:tr>
      <w:tr w:rsidR="00AB0919" w:rsidRPr="00AB0919" w14:paraId="21C646BE" w14:textId="77777777" w:rsidTr="00AB0919">
        <w:trPr>
          <w:trHeight w:val="310"/>
        </w:trPr>
        <w:tc>
          <w:tcPr>
            <w:tcW w:w="1452" w:type="dxa"/>
            <w:tcBorders>
              <w:top w:val="nil"/>
              <w:left w:val="single" w:sz="8" w:space="0" w:color="auto"/>
              <w:bottom w:val="single" w:sz="8" w:space="0" w:color="auto"/>
              <w:right w:val="single" w:sz="8" w:space="0" w:color="auto"/>
            </w:tcBorders>
            <w:shd w:val="clear" w:color="auto" w:fill="auto"/>
            <w:vAlign w:val="center"/>
            <w:hideMark/>
          </w:tcPr>
          <w:p w14:paraId="6C4DABB5" w14:textId="77777777" w:rsidR="00AB0919" w:rsidRPr="00AB0919" w:rsidRDefault="00AB0919" w:rsidP="00AB0919">
            <w:pPr>
              <w:spacing w:after="0"/>
              <w:rPr>
                <w:rFonts w:ascii="Cambria" w:eastAsia="Times New Roman" w:hAnsi="Cambria" w:cs="Calibri"/>
                <w:color w:val="FF0000"/>
              </w:rPr>
            </w:pPr>
            <w:r w:rsidRPr="00AB0919">
              <w:rPr>
                <w:rFonts w:ascii="Cambria" w:eastAsia="Times New Roman" w:hAnsi="Cambria" w:cs="Calibri"/>
                <w:color w:val="FF0000"/>
              </w:rPr>
              <w:t>Rubavu</w:t>
            </w:r>
          </w:p>
        </w:tc>
        <w:tc>
          <w:tcPr>
            <w:tcW w:w="1055" w:type="dxa"/>
            <w:tcBorders>
              <w:top w:val="nil"/>
              <w:left w:val="nil"/>
              <w:bottom w:val="single" w:sz="8" w:space="0" w:color="auto"/>
              <w:right w:val="single" w:sz="8" w:space="0" w:color="auto"/>
            </w:tcBorders>
            <w:shd w:val="clear" w:color="auto" w:fill="auto"/>
            <w:vAlign w:val="center"/>
            <w:hideMark/>
          </w:tcPr>
          <w:p w14:paraId="7AC14147" w14:textId="77777777" w:rsidR="00AB0919" w:rsidRPr="00AB0919" w:rsidRDefault="00AB0919" w:rsidP="00AB0919">
            <w:pPr>
              <w:spacing w:after="0"/>
              <w:jc w:val="right"/>
              <w:rPr>
                <w:rFonts w:ascii="Cambria" w:eastAsia="Times New Roman" w:hAnsi="Cambria" w:cs="Calibri"/>
                <w:color w:val="000000"/>
              </w:rPr>
            </w:pPr>
            <w:r w:rsidRPr="00AB0919">
              <w:rPr>
                <w:rFonts w:ascii="Cambria" w:eastAsia="Times New Roman" w:hAnsi="Cambria" w:cs="Calibri"/>
                <w:color w:val="000000"/>
              </w:rPr>
              <w:t>46.30%</w:t>
            </w:r>
          </w:p>
        </w:tc>
        <w:tc>
          <w:tcPr>
            <w:tcW w:w="719" w:type="dxa"/>
            <w:tcBorders>
              <w:top w:val="nil"/>
              <w:left w:val="nil"/>
              <w:bottom w:val="single" w:sz="8" w:space="0" w:color="auto"/>
              <w:right w:val="single" w:sz="8" w:space="0" w:color="auto"/>
            </w:tcBorders>
            <w:shd w:val="clear" w:color="auto" w:fill="auto"/>
            <w:vAlign w:val="center"/>
            <w:hideMark/>
          </w:tcPr>
          <w:p w14:paraId="62F22AD1" w14:textId="77777777" w:rsidR="00AB0919" w:rsidRPr="00AB0919" w:rsidRDefault="00AB0919" w:rsidP="00AB0919">
            <w:pPr>
              <w:spacing w:after="0"/>
              <w:jc w:val="right"/>
              <w:rPr>
                <w:rFonts w:ascii="Cambria" w:eastAsia="Times New Roman" w:hAnsi="Cambria" w:cs="Calibri"/>
                <w:color w:val="000000"/>
              </w:rPr>
            </w:pPr>
            <w:r w:rsidRPr="00AB0919">
              <w:rPr>
                <w:rFonts w:ascii="Cambria" w:eastAsia="Times New Roman" w:hAnsi="Cambria" w:cs="Calibri"/>
                <w:color w:val="000000"/>
              </w:rPr>
              <w:t>4</w:t>
            </w:r>
          </w:p>
        </w:tc>
        <w:tc>
          <w:tcPr>
            <w:tcW w:w="2537" w:type="dxa"/>
            <w:tcBorders>
              <w:top w:val="nil"/>
              <w:left w:val="nil"/>
              <w:bottom w:val="single" w:sz="8" w:space="0" w:color="auto"/>
              <w:right w:val="nil"/>
            </w:tcBorders>
            <w:shd w:val="clear" w:color="auto" w:fill="auto"/>
            <w:vAlign w:val="center"/>
            <w:hideMark/>
          </w:tcPr>
          <w:p w14:paraId="7F616EA9" w14:textId="77777777" w:rsidR="00AB0919" w:rsidRPr="00AB0919" w:rsidRDefault="00AB0919" w:rsidP="00AB0919">
            <w:pPr>
              <w:spacing w:after="0"/>
              <w:jc w:val="right"/>
              <w:rPr>
                <w:rFonts w:ascii="Cambria" w:eastAsia="Times New Roman" w:hAnsi="Cambria" w:cs="Calibri"/>
                <w:color w:val="000000"/>
              </w:rPr>
            </w:pPr>
            <w:r w:rsidRPr="00AB0919">
              <w:rPr>
                <w:rFonts w:ascii="Cambria" w:eastAsia="Times New Roman" w:hAnsi="Cambria" w:cs="Calibri"/>
                <w:color w:val="000000"/>
              </w:rPr>
              <w:t>22%</w:t>
            </w:r>
          </w:p>
        </w:tc>
        <w:tc>
          <w:tcPr>
            <w:tcW w:w="687" w:type="dxa"/>
            <w:tcBorders>
              <w:top w:val="nil"/>
              <w:left w:val="single" w:sz="8" w:space="0" w:color="auto"/>
              <w:bottom w:val="single" w:sz="8" w:space="0" w:color="auto"/>
              <w:right w:val="single" w:sz="8" w:space="0" w:color="auto"/>
            </w:tcBorders>
            <w:shd w:val="clear" w:color="auto" w:fill="auto"/>
            <w:vAlign w:val="center"/>
            <w:hideMark/>
          </w:tcPr>
          <w:p w14:paraId="57DF4852" w14:textId="77777777" w:rsidR="00AB0919" w:rsidRPr="00AB0919" w:rsidRDefault="00AB0919" w:rsidP="00AB0919">
            <w:pPr>
              <w:spacing w:after="0"/>
              <w:jc w:val="right"/>
              <w:rPr>
                <w:rFonts w:ascii="Cambria" w:eastAsia="Times New Roman" w:hAnsi="Cambria" w:cs="Calibri"/>
                <w:color w:val="000000"/>
              </w:rPr>
            </w:pPr>
            <w:r w:rsidRPr="00AB0919">
              <w:rPr>
                <w:rFonts w:ascii="Cambria" w:eastAsia="Times New Roman" w:hAnsi="Cambria" w:cs="Calibri"/>
                <w:color w:val="000000"/>
              </w:rPr>
              <w:t>4</w:t>
            </w:r>
          </w:p>
        </w:tc>
        <w:tc>
          <w:tcPr>
            <w:tcW w:w="1324" w:type="dxa"/>
            <w:tcBorders>
              <w:top w:val="nil"/>
              <w:left w:val="nil"/>
              <w:bottom w:val="single" w:sz="8" w:space="0" w:color="auto"/>
              <w:right w:val="single" w:sz="8" w:space="0" w:color="auto"/>
            </w:tcBorders>
            <w:shd w:val="clear" w:color="auto" w:fill="auto"/>
            <w:noWrap/>
            <w:vAlign w:val="center"/>
            <w:hideMark/>
          </w:tcPr>
          <w:p w14:paraId="2BE6669B" w14:textId="77777777" w:rsidR="00AB0919" w:rsidRPr="00AB0919" w:rsidRDefault="00AB0919" w:rsidP="00AB0919">
            <w:pPr>
              <w:spacing w:after="0"/>
              <w:jc w:val="right"/>
              <w:rPr>
                <w:rFonts w:ascii="Cambria" w:eastAsia="Times New Roman" w:hAnsi="Cambria" w:cs="Calibri"/>
                <w:color w:val="000000"/>
              </w:rPr>
            </w:pPr>
            <w:r w:rsidRPr="00AB0919">
              <w:rPr>
                <w:rFonts w:ascii="Cambria" w:eastAsia="Times New Roman" w:hAnsi="Cambria" w:cs="Calibri"/>
                <w:color w:val="000000"/>
              </w:rPr>
              <w:t>51.40%</w:t>
            </w:r>
          </w:p>
        </w:tc>
        <w:tc>
          <w:tcPr>
            <w:tcW w:w="719" w:type="dxa"/>
            <w:tcBorders>
              <w:top w:val="nil"/>
              <w:left w:val="nil"/>
              <w:bottom w:val="single" w:sz="8" w:space="0" w:color="auto"/>
              <w:right w:val="single" w:sz="8" w:space="0" w:color="auto"/>
            </w:tcBorders>
            <w:shd w:val="clear" w:color="auto" w:fill="auto"/>
            <w:noWrap/>
            <w:vAlign w:val="center"/>
            <w:hideMark/>
          </w:tcPr>
          <w:p w14:paraId="40FB029A" w14:textId="77777777" w:rsidR="00AB0919" w:rsidRPr="00AB0919" w:rsidRDefault="00AB0919" w:rsidP="00AB0919">
            <w:pPr>
              <w:spacing w:after="0"/>
              <w:jc w:val="right"/>
              <w:rPr>
                <w:rFonts w:ascii="Cambria" w:eastAsia="Times New Roman" w:hAnsi="Cambria" w:cs="Calibri"/>
                <w:color w:val="000000"/>
              </w:rPr>
            </w:pPr>
            <w:r w:rsidRPr="00AB0919">
              <w:rPr>
                <w:rFonts w:ascii="Cambria" w:eastAsia="Times New Roman" w:hAnsi="Cambria" w:cs="Calibri"/>
                <w:color w:val="000000"/>
              </w:rPr>
              <w:t>5</w:t>
            </w:r>
          </w:p>
        </w:tc>
        <w:tc>
          <w:tcPr>
            <w:tcW w:w="687" w:type="dxa"/>
            <w:tcBorders>
              <w:top w:val="nil"/>
              <w:left w:val="nil"/>
              <w:bottom w:val="single" w:sz="8" w:space="0" w:color="auto"/>
              <w:right w:val="single" w:sz="8" w:space="0" w:color="auto"/>
            </w:tcBorders>
            <w:shd w:val="clear" w:color="auto" w:fill="auto"/>
            <w:noWrap/>
            <w:vAlign w:val="center"/>
            <w:hideMark/>
          </w:tcPr>
          <w:p w14:paraId="789FB3EB" w14:textId="77777777" w:rsidR="00AB0919" w:rsidRPr="00AB0919" w:rsidRDefault="00AB0919" w:rsidP="00AB0919">
            <w:pPr>
              <w:spacing w:after="0"/>
              <w:jc w:val="right"/>
              <w:rPr>
                <w:rFonts w:ascii="Cambria" w:eastAsia="Times New Roman" w:hAnsi="Cambria" w:cs="Calibri"/>
                <w:color w:val="000000"/>
              </w:rPr>
            </w:pPr>
            <w:r w:rsidRPr="00AB0919">
              <w:rPr>
                <w:rFonts w:ascii="Cambria" w:eastAsia="Times New Roman" w:hAnsi="Cambria" w:cs="Calibri"/>
                <w:color w:val="000000"/>
              </w:rPr>
              <w:t>13</w:t>
            </w:r>
          </w:p>
        </w:tc>
      </w:tr>
      <w:tr w:rsidR="00AB0919" w:rsidRPr="00AB0919" w14:paraId="7F393A45" w14:textId="77777777" w:rsidTr="00AB0919">
        <w:trPr>
          <w:trHeight w:val="310"/>
        </w:trPr>
        <w:tc>
          <w:tcPr>
            <w:tcW w:w="1452" w:type="dxa"/>
            <w:tcBorders>
              <w:top w:val="nil"/>
              <w:left w:val="single" w:sz="8" w:space="0" w:color="auto"/>
              <w:bottom w:val="single" w:sz="8" w:space="0" w:color="auto"/>
              <w:right w:val="single" w:sz="8" w:space="0" w:color="auto"/>
            </w:tcBorders>
            <w:shd w:val="clear" w:color="auto" w:fill="auto"/>
            <w:vAlign w:val="center"/>
            <w:hideMark/>
          </w:tcPr>
          <w:p w14:paraId="4E94B0FA" w14:textId="77777777" w:rsidR="00AB0919" w:rsidRPr="00AB0919" w:rsidRDefault="00AB0919" w:rsidP="00AB0919">
            <w:pPr>
              <w:spacing w:after="0"/>
              <w:rPr>
                <w:rFonts w:ascii="Cambria" w:eastAsia="Times New Roman" w:hAnsi="Cambria" w:cs="Calibri"/>
                <w:color w:val="FF0000"/>
              </w:rPr>
            </w:pPr>
            <w:r w:rsidRPr="00AB0919">
              <w:rPr>
                <w:rFonts w:ascii="Cambria" w:eastAsia="Times New Roman" w:hAnsi="Cambria" w:cs="Calibri"/>
                <w:color w:val="FF0000"/>
              </w:rPr>
              <w:t>Ruhango</w:t>
            </w:r>
          </w:p>
        </w:tc>
        <w:tc>
          <w:tcPr>
            <w:tcW w:w="1055" w:type="dxa"/>
            <w:tcBorders>
              <w:top w:val="nil"/>
              <w:left w:val="nil"/>
              <w:bottom w:val="single" w:sz="8" w:space="0" w:color="auto"/>
              <w:right w:val="single" w:sz="8" w:space="0" w:color="auto"/>
            </w:tcBorders>
            <w:shd w:val="clear" w:color="auto" w:fill="auto"/>
            <w:vAlign w:val="center"/>
            <w:hideMark/>
          </w:tcPr>
          <w:p w14:paraId="39564B60" w14:textId="77777777" w:rsidR="00AB0919" w:rsidRPr="00AB0919" w:rsidRDefault="00AB0919" w:rsidP="00AB0919">
            <w:pPr>
              <w:spacing w:after="0"/>
              <w:jc w:val="right"/>
              <w:rPr>
                <w:rFonts w:ascii="Cambria" w:eastAsia="Times New Roman" w:hAnsi="Cambria" w:cs="Calibri"/>
                <w:color w:val="000000"/>
              </w:rPr>
            </w:pPr>
            <w:r w:rsidRPr="00AB0919">
              <w:rPr>
                <w:rFonts w:ascii="Cambria" w:eastAsia="Times New Roman" w:hAnsi="Cambria" w:cs="Calibri"/>
                <w:color w:val="000000"/>
              </w:rPr>
              <w:t>41.10%</w:t>
            </w:r>
          </w:p>
        </w:tc>
        <w:tc>
          <w:tcPr>
            <w:tcW w:w="719" w:type="dxa"/>
            <w:tcBorders>
              <w:top w:val="nil"/>
              <w:left w:val="nil"/>
              <w:bottom w:val="single" w:sz="8" w:space="0" w:color="auto"/>
              <w:right w:val="single" w:sz="8" w:space="0" w:color="auto"/>
            </w:tcBorders>
            <w:shd w:val="clear" w:color="auto" w:fill="auto"/>
            <w:vAlign w:val="center"/>
            <w:hideMark/>
          </w:tcPr>
          <w:p w14:paraId="3E967293" w14:textId="77777777" w:rsidR="00AB0919" w:rsidRPr="00AB0919" w:rsidRDefault="00AB0919" w:rsidP="00AB0919">
            <w:pPr>
              <w:spacing w:after="0"/>
              <w:jc w:val="right"/>
              <w:rPr>
                <w:rFonts w:ascii="Cambria" w:eastAsia="Times New Roman" w:hAnsi="Cambria" w:cs="Calibri"/>
                <w:color w:val="000000"/>
              </w:rPr>
            </w:pPr>
            <w:r w:rsidRPr="00AB0919">
              <w:rPr>
                <w:rFonts w:ascii="Cambria" w:eastAsia="Times New Roman" w:hAnsi="Cambria" w:cs="Calibri"/>
                <w:color w:val="000000"/>
              </w:rPr>
              <w:t>4</w:t>
            </w:r>
          </w:p>
        </w:tc>
        <w:tc>
          <w:tcPr>
            <w:tcW w:w="2537" w:type="dxa"/>
            <w:tcBorders>
              <w:top w:val="nil"/>
              <w:left w:val="nil"/>
              <w:bottom w:val="single" w:sz="8" w:space="0" w:color="auto"/>
              <w:right w:val="nil"/>
            </w:tcBorders>
            <w:shd w:val="clear" w:color="auto" w:fill="auto"/>
            <w:vAlign w:val="center"/>
            <w:hideMark/>
          </w:tcPr>
          <w:p w14:paraId="2CB63CEE" w14:textId="77777777" w:rsidR="00AB0919" w:rsidRPr="00AB0919" w:rsidRDefault="00AB0919" w:rsidP="00AB0919">
            <w:pPr>
              <w:spacing w:after="0"/>
              <w:jc w:val="right"/>
              <w:rPr>
                <w:rFonts w:ascii="Cambria" w:eastAsia="Times New Roman" w:hAnsi="Cambria" w:cs="Calibri"/>
                <w:color w:val="000000"/>
              </w:rPr>
            </w:pPr>
            <w:r w:rsidRPr="00AB0919">
              <w:rPr>
                <w:rFonts w:ascii="Cambria" w:eastAsia="Times New Roman" w:hAnsi="Cambria" w:cs="Calibri"/>
                <w:color w:val="000000"/>
              </w:rPr>
              <w:t>24%</w:t>
            </w:r>
          </w:p>
        </w:tc>
        <w:tc>
          <w:tcPr>
            <w:tcW w:w="687" w:type="dxa"/>
            <w:tcBorders>
              <w:top w:val="nil"/>
              <w:left w:val="single" w:sz="8" w:space="0" w:color="auto"/>
              <w:bottom w:val="single" w:sz="8" w:space="0" w:color="auto"/>
              <w:right w:val="single" w:sz="8" w:space="0" w:color="auto"/>
            </w:tcBorders>
            <w:shd w:val="clear" w:color="auto" w:fill="auto"/>
            <w:vAlign w:val="center"/>
            <w:hideMark/>
          </w:tcPr>
          <w:p w14:paraId="664C53E5" w14:textId="77777777" w:rsidR="00AB0919" w:rsidRPr="00AB0919" w:rsidRDefault="00AB0919" w:rsidP="00AB0919">
            <w:pPr>
              <w:spacing w:after="0"/>
              <w:jc w:val="right"/>
              <w:rPr>
                <w:rFonts w:ascii="Cambria" w:eastAsia="Times New Roman" w:hAnsi="Cambria" w:cs="Calibri"/>
                <w:color w:val="000000"/>
              </w:rPr>
            </w:pPr>
            <w:r w:rsidRPr="00AB0919">
              <w:rPr>
                <w:rFonts w:ascii="Cambria" w:eastAsia="Times New Roman" w:hAnsi="Cambria" w:cs="Calibri"/>
                <w:color w:val="000000"/>
              </w:rPr>
              <w:t>4</w:t>
            </w:r>
          </w:p>
        </w:tc>
        <w:tc>
          <w:tcPr>
            <w:tcW w:w="1324" w:type="dxa"/>
            <w:tcBorders>
              <w:top w:val="nil"/>
              <w:left w:val="nil"/>
              <w:bottom w:val="single" w:sz="8" w:space="0" w:color="auto"/>
              <w:right w:val="single" w:sz="8" w:space="0" w:color="auto"/>
            </w:tcBorders>
            <w:shd w:val="clear" w:color="auto" w:fill="auto"/>
            <w:noWrap/>
            <w:vAlign w:val="center"/>
            <w:hideMark/>
          </w:tcPr>
          <w:p w14:paraId="193B6571" w14:textId="77777777" w:rsidR="00AB0919" w:rsidRPr="00AB0919" w:rsidRDefault="00AB0919" w:rsidP="00AB0919">
            <w:pPr>
              <w:spacing w:after="0"/>
              <w:jc w:val="right"/>
              <w:rPr>
                <w:rFonts w:ascii="Cambria" w:eastAsia="Times New Roman" w:hAnsi="Cambria" w:cs="Calibri"/>
                <w:color w:val="000000"/>
              </w:rPr>
            </w:pPr>
            <w:r w:rsidRPr="00AB0919">
              <w:rPr>
                <w:rFonts w:ascii="Cambria" w:eastAsia="Times New Roman" w:hAnsi="Cambria" w:cs="Calibri"/>
                <w:color w:val="000000"/>
              </w:rPr>
              <w:t>53.30%</w:t>
            </w:r>
          </w:p>
        </w:tc>
        <w:tc>
          <w:tcPr>
            <w:tcW w:w="719" w:type="dxa"/>
            <w:tcBorders>
              <w:top w:val="nil"/>
              <w:left w:val="nil"/>
              <w:bottom w:val="single" w:sz="8" w:space="0" w:color="auto"/>
              <w:right w:val="single" w:sz="8" w:space="0" w:color="auto"/>
            </w:tcBorders>
            <w:shd w:val="clear" w:color="auto" w:fill="auto"/>
            <w:noWrap/>
            <w:vAlign w:val="center"/>
            <w:hideMark/>
          </w:tcPr>
          <w:p w14:paraId="16AF4D16" w14:textId="77777777" w:rsidR="00AB0919" w:rsidRPr="00AB0919" w:rsidRDefault="00AB0919" w:rsidP="00AB0919">
            <w:pPr>
              <w:spacing w:after="0"/>
              <w:jc w:val="right"/>
              <w:rPr>
                <w:rFonts w:ascii="Cambria" w:eastAsia="Times New Roman" w:hAnsi="Cambria" w:cs="Calibri"/>
                <w:color w:val="000000"/>
              </w:rPr>
            </w:pPr>
            <w:r w:rsidRPr="00AB0919">
              <w:rPr>
                <w:rFonts w:ascii="Cambria" w:eastAsia="Times New Roman" w:hAnsi="Cambria" w:cs="Calibri"/>
                <w:color w:val="000000"/>
              </w:rPr>
              <w:t>5</w:t>
            </w:r>
          </w:p>
        </w:tc>
        <w:tc>
          <w:tcPr>
            <w:tcW w:w="687" w:type="dxa"/>
            <w:tcBorders>
              <w:top w:val="nil"/>
              <w:left w:val="nil"/>
              <w:bottom w:val="single" w:sz="8" w:space="0" w:color="auto"/>
              <w:right w:val="single" w:sz="8" w:space="0" w:color="auto"/>
            </w:tcBorders>
            <w:shd w:val="clear" w:color="auto" w:fill="auto"/>
            <w:noWrap/>
            <w:vAlign w:val="center"/>
            <w:hideMark/>
          </w:tcPr>
          <w:p w14:paraId="5E2CFED6" w14:textId="77777777" w:rsidR="00AB0919" w:rsidRPr="00AB0919" w:rsidRDefault="00AB0919" w:rsidP="00AB0919">
            <w:pPr>
              <w:spacing w:after="0"/>
              <w:jc w:val="right"/>
              <w:rPr>
                <w:rFonts w:ascii="Cambria" w:eastAsia="Times New Roman" w:hAnsi="Cambria" w:cs="Calibri"/>
                <w:color w:val="000000"/>
              </w:rPr>
            </w:pPr>
            <w:r w:rsidRPr="00AB0919">
              <w:rPr>
                <w:rFonts w:ascii="Cambria" w:eastAsia="Times New Roman" w:hAnsi="Cambria" w:cs="Calibri"/>
                <w:color w:val="000000"/>
              </w:rPr>
              <w:t>13</w:t>
            </w:r>
          </w:p>
        </w:tc>
      </w:tr>
      <w:tr w:rsidR="00AB0919" w:rsidRPr="00AB0919" w14:paraId="19CD7BB9" w14:textId="77777777" w:rsidTr="00AB0919">
        <w:trPr>
          <w:trHeight w:val="310"/>
        </w:trPr>
        <w:tc>
          <w:tcPr>
            <w:tcW w:w="1452" w:type="dxa"/>
            <w:tcBorders>
              <w:top w:val="nil"/>
              <w:left w:val="single" w:sz="8" w:space="0" w:color="auto"/>
              <w:bottom w:val="single" w:sz="8" w:space="0" w:color="auto"/>
              <w:right w:val="single" w:sz="8" w:space="0" w:color="auto"/>
            </w:tcBorders>
            <w:shd w:val="clear" w:color="auto" w:fill="auto"/>
            <w:vAlign w:val="center"/>
            <w:hideMark/>
          </w:tcPr>
          <w:p w14:paraId="517D63CC" w14:textId="77777777" w:rsidR="00AB0919" w:rsidRPr="00AB0919" w:rsidRDefault="00AB0919" w:rsidP="00AB0919">
            <w:pPr>
              <w:spacing w:after="0"/>
              <w:rPr>
                <w:rFonts w:ascii="Cambria" w:eastAsia="Times New Roman" w:hAnsi="Cambria" w:cs="Calibri"/>
                <w:color w:val="FF0000"/>
              </w:rPr>
            </w:pPr>
            <w:r w:rsidRPr="00AB0919">
              <w:rPr>
                <w:rFonts w:ascii="Cambria" w:eastAsia="Times New Roman" w:hAnsi="Cambria" w:cs="Calibri"/>
                <w:color w:val="FF0000"/>
              </w:rPr>
              <w:t>Nyamagabe</w:t>
            </w:r>
          </w:p>
        </w:tc>
        <w:tc>
          <w:tcPr>
            <w:tcW w:w="1055" w:type="dxa"/>
            <w:tcBorders>
              <w:top w:val="nil"/>
              <w:left w:val="nil"/>
              <w:bottom w:val="single" w:sz="8" w:space="0" w:color="auto"/>
              <w:right w:val="single" w:sz="8" w:space="0" w:color="auto"/>
            </w:tcBorders>
            <w:shd w:val="clear" w:color="auto" w:fill="auto"/>
            <w:vAlign w:val="center"/>
            <w:hideMark/>
          </w:tcPr>
          <w:p w14:paraId="526A7754" w14:textId="77777777" w:rsidR="00AB0919" w:rsidRPr="00AB0919" w:rsidRDefault="00AB0919" w:rsidP="00AB0919">
            <w:pPr>
              <w:spacing w:after="0"/>
              <w:jc w:val="right"/>
              <w:rPr>
                <w:rFonts w:ascii="Cambria" w:eastAsia="Times New Roman" w:hAnsi="Cambria" w:cs="Calibri"/>
                <w:color w:val="000000"/>
              </w:rPr>
            </w:pPr>
            <w:r w:rsidRPr="00AB0919">
              <w:rPr>
                <w:rFonts w:ascii="Cambria" w:eastAsia="Times New Roman" w:hAnsi="Cambria" w:cs="Calibri"/>
                <w:color w:val="000000"/>
              </w:rPr>
              <w:t>51.80%</w:t>
            </w:r>
          </w:p>
        </w:tc>
        <w:tc>
          <w:tcPr>
            <w:tcW w:w="719" w:type="dxa"/>
            <w:tcBorders>
              <w:top w:val="nil"/>
              <w:left w:val="nil"/>
              <w:bottom w:val="single" w:sz="8" w:space="0" w:color="auto"/>
              <w:right w:val="single" w:sz="8" w:space="0" w:color="auto"/>
            </w:tcBorders>
            <w:shd w:val="clear" w:color="auto" w:fill="auto"/>
            <w:vAlign w:val="center"/>
            <w:hideMark/>
          </w:tcPr>
          <w:p w14:paraId="5970B2C5" w14:textId="77777777" w:rsidR="00AB0919" w:rsidRPr="00AB0919" w:rsidRDefault="00AB0919" w:rsidP="00AB0919">
            <w:pPr>
              <w:spacing w:after="0"/>
              <w:jc w:val="right"/>
              <w:rPr>
                <w:rFonts w:ascii="Cambria" w:eastAsia="Times New Roman" w:hAnsi="Cambria" w:cs="Calibri"/>
                <w:color w:val="000000"/>
              </w:rPr>
            </w:pPr>
            <w:r w:rsidRPr="00AB0919">
              <w:rPr>
                <w:rFonts w:ascii="Cambria" w:eastAsia="Times New Roman" w:hAnsi="Cambria" w:cs="Calibri"/>
                <w:color w:val="000000"/>
              </w:rPr>
              <w:t>5</w:t>
            </w:r>
          </w:p>
        </w:tc>
        <w:tc>
          <w:tcPr>
            <w:tcW w:w="2537" w:type="dxa"/>
            <w:tcBorders>
              <w:top w:val="nil"/>
              <w:left w:val="nil"/>
              <w:bottom w:val="single" w:sz="8" w:space="0" w:color="auto"/>
              <w:right w:val="nil"/>
            </w:tcBorders>
            <w:shd w:val="clear" w:color="auto" w:fill="auto"/>
            <w:vAlign w:val="center"/>
            <w:hideMark/>
          </w:tcPr>
          <w:p w14:paraId="538726ED" w14:textId="77777777" w:rsidR="00AB0919" w:rsidRPr="00AB0919" w:rsidRDefault="00AB0919" w:rsidP="00AB0919">
            <w:pPr>
              <w:spacing w:after="0"/>
              <w:jc w:val="right"/>
              <w:rPr>
                <w:rFonts w:ascii="Cambria" w:eastAsia="Times New Roman" w:hAnsi="Cambria" w:cs="Calibri"/>
                <w:color w:val="000000"/>
              </w:rPr>
            </w:pPr>
            <w:r w:rsidRPr="00AB0919">
              <w:rPr>
                <w:rFonts w:ascii="Cambria" w:eastAsia="Times New Roman" w:hAnsi="Cambria" w:cs="Calibri"/>
                <w:color w:val="000000"/>
              </w:rPr>
              <w:t>37%</w:t>
            </w:r>
          </w:p>
        </w:tc>
        <w:tc>
          <w:tcPr>
            <w:tcW w:w="687" w:type="dxa"/>
            <w:tcBorders>
              <w:top w:val="nil"/>
              <w:left w:val="single" w:sz="8" w:space="0" w:color="auto"/>
              <w:bottom w:val="single" w:sz="8" w:space="0" w:color="auto"/>
              <w:right w:val="single" w:sz="8" w:space="0" w:color="auto"/>
            </w:tcBorders>
            <w:shd w:val="clear" w:color="auto" w:fill="auto"/>
            <w:vAlign w:val="center"/>
            <w:hideMark/>
          </w:tcPr>
          <w:p w14:paraId="02ED3981" w14:textId="77777777" w:rsidR="00AB0919" w:rsidRPr="00AB0919" w:rsidRDefault="00AB0919" w:rsidP="00AB0919">
            <w:pPr>
              <w:spacing w:after="0"/>
              <w:jc w:val="right"/>
              <w:rPr>
                <w:rFonts w:ascii="Cambria" w:eastAsia="Times New Roman" w:hAnsi="Cambria" w:cs="Calibri"/>
                <w:color w:val="000000"/>
              </w:rPr>
            </w:pPr>
            <w:r w:rsidRPr="00AB0919">
              <w:rPr>
                <w:rFonts w:ascii="Cambria" w:eastAsia="Times New Roman" w:hAnsi="Cambria" w:cs="Calibri"/>
                <w:color w:val="000000"/>
              </w:rPr>
              <w:t>5</w:t>
            </w:r>
          </w:p>
        </w:tc>
        <w:tc>
          <w:tcPr>
            <w:tcW w:w="1324" w:type="dxa"/>
            <w:tcBorders>
              <w:top w:val="nil"/>
              <w:left w:val="nil"/>
              <w:bottom w:val="single" w:sz="8" w:space="0" w:color="auto"/>
              <w:right w:val="single" w:sz="8" w:space="0" w:color="auto"/>
            </w:tcBorders>
            <w:shd w:val="clear" w:color="auto" w:fill="auto"/>
            <w:noWrap/>
            <w:vAlign w:val="center"/>
            <w:hideMark/>
          </w:tcPr>
          <w:p w14:paraId="61C3B073" w14:textId="77777777" w:rsidR="00AB0919" w:rsidRPr="00AB0919" w:rsidRDefault="00AB0919" w:rsidP="00AB0919">
            <w:pPr>
              <w:spacing w:after="0"/>
              <w:jc w:val="right"/>
              <w:rPr>
                <w:rFonts w:ascii="Cambria" w:eastAsia="Times New Roman" w:hAnsi="Cambria" w:cs="Calibri"/>
                <w:color w:val="000000"/>
              </w:rPr>
            </w:pPr>
            <w:r w:rsidRPr="00AB0919">
              <w:rPr>
                <w:rFonts w:ascii="Cambria" w:eastAsia="Times New Roman" w:hAnsi="Cambria" w:cs="Calibri"/>
                <w:color w:val="000000"/>
              </w:rPr>
              <w:t>32.50%</w:t>
            </w:r>
          </w:p>
        </w:tc>
        <w:tc>
          <w:tcPr>
            <w:tcW w:w="719" w:type="dxa"/>
            <w:tcBorders>
              <w:top w:val="nil"/>
              <w:left w:val="nil"/>
              <w:bottom w:val="single" w:sz="8" w:space="0" w:color="auto"/>
              <w:right w:val="single" w:sz="8" w:space="0" w:color="auto"/>
            </w:tcBorders>
            <w:shd w:val="clear" w:color="auto" w:fill="auto"/>
            <w:noWrap/>
            <w:vAlign w:val="center"/>
            <w:hideMark/>
          </w:tcPr>
          <w:p w14:paraId="2B551A86" w14:textId="77777777" w:rsidR="00AB0919" w:rsidRPr="00AB0919" w:rsidRDefault="00AB0919" w:rsidP="00AB0919">
            <w:pPr>
              <w:spacing w:after="0"/>
              <w:jc w:val="right"/>
              <w:rPr>
                <w:rFonts w:ascii="Cambria" w:eastAsia="Times New Roman" w:hAnsi="Cambria" w:cs="Calibri"/>
                <w:color w:val="000000"/>
              </w:rPr>
            </w:pPr>
            <w:r w:rsidRPr="00AB0919">
              <w:rPr>
                <w:rFonts w:ascii="Cambria" w:eastAsia="Times New Roman" w:hAnsi="Cambria" w:cs="Calibri"/>
                <w:color w:val="000000"/>
              </w:rPr>
              <w:t>2</w:t>
            </w:r>
          </w:p>
        </w:tc>
        <w:tc>
          <w:tcPr>
            <w:tcW w:w="687" w:type="dxa"/>
            <w:tcBorders>
              <w:top w:val="nil"/>
              <w:left w:val="nil"/>
              <w:bottom w:val="single" w:sz="8" w:space="0" w:color="auto"/>
              <w:right w:val="single" w:sz="8" w:space="0" w:color="auto"/>
            </w:tcBorders>
            <w:shd w:val="clear" w:color="auto" w:fill="auto"/>
            <w:noWrap/>
            <w:vAlign w:val="center"/>
            <w:hideMark/>
          </w:tcPr>
          <w:p w14:paraId="7AE762FD" w14:textId="77777777" w:rsidR="00AB0919" w:rsidRPr="00AB0919" w:rsidRDefault="00AB0919" w:rsidP="00AB0919">
            <w:pPr>
              <w:spacing w:after="0"/>
              <w:jc w:val="right"/>
              <w:rPr>
                <w:rFonts w:ascii="Cambria" w:eastAsia="Times New Roman" w:hAnsi="Cambria" w:cs="Calibri"/>
                <w:color w:val="000000"/>
              </w:rPr>
            </w:pPr>
            <w:r w:rsidRPr="00AB0919">
              <w:rPr>
                <w:rFonts w:ascii="Cambria" w:eastAsia="Times New Roman" w:hAnsi="Cambria" w:cs="Calibri"/>
                <w:color w:val="000000"/>
              </w:rPr>
              <w:t>12</w:t>
            </w:r>
          </w:p>
        </w:tc>
      </w:tr>
      <w:tr w:rsidR="00AB0919" w:rsidRPr="00AB0919" w14:paraId="6444FFB2" w14:textId="77777777" w:rsidTr="00AB0919">
        <w:trPr>
          <w:trHeight w:val="310"/>
        </w:trPr>
        <w:tc>
          <w:tcPr>
            <w:tcW w:w="1452" w:type="dxa"/>
            <w:tcBorders>
              <w:top w:val="nil"/>
              <w:left w:val="single" w:sz="8" w:space="0" w:color="auto"/>
              <w:bottom w:val="single" w:sz="8" w:space="0" w:color="auto"/>
              <w:right w:val="single" w:sz="8" w:space="0" w:color="auto"/>
            </w:tcBorders>
            <w:shd w:val="clear" w:color="auto" w:fill="auto"/>
            <w:vAlign w:val="center"/>
            <w:hideMark/>
          </w:tcPr>
          <w:p w14:paraId="7B102CC3" w14:textId="77777777" w:rsidR="00AB0919" w:rsidRPr="00AB0919" w:rsidRDefault="00AB0919" w:rsidP="00AB0919">
            <w:pPr>
              <w:spacing w:after="0"/>
              <w:rPr>
                <w:rFonts w:ascii="Cambria" w:eastAsia="Times New Roman" w:hAnsi="Cambria" w:cs="Calibri"/>
                <w:color w:val="FF0000"/>
              </w:rPr>
            </w:pPr>
            <w:r w:rsidRPr="00AB0919">
              <w:rPr>
                <w:rFonts w:ascii="Cambria" w:eastAsia="Times New Roman" w:hAnsi="Cambria" w:cs="Calibri"/>
                <w:color w:val="FF0000"/>
              </w:rPr>
              <w:t>Rutsiro</w:t>
            </w:r>
          </w:p>
        </w:tc>
        <w:tc>
          <w:tcPr>
            <w:tcW w:w="1055" w:type="dxa"/>
            <w:tcBorders>
              <w:top w:val="nil"/>
              <w:left w:val="nil"/>
              <w:bottom w:val="single" w:sz="8" w:space="0" w:color="auto"/>
              <w:right w:val="single" w:sz="8" w:space="0" w:color="auto"/>
            </w:tcBorders>
            <w:shd w:val="clear" w:color="auto" w:fill="auto"/>
            <w:vAlign w:val="center"/>
            <w:hideMark/>
          </w:tcPr>
          <w:p w14:paraId="36923CC3" w14:textId="77777777" w:rsidR="00AB0919" w:rsidRPr="00AB0919" w:rsidRDefault="00AB0919" w:rsidP="00AB0919">
            <w:pPr>
              <w:spacing w:after="0"/>
              <w:jc w:val="right"/>
              <w:rPr>
                <w:rFonts w:ascii="Cambria" w:eastAsia="Times New Roman" w:hAnsi="Cambria" w:cs="Calibri"/>
                <w:color w:val="000000"/>
              </w:rPr>
            </w:pPr>
            <w:r w:rsidRPr="00AB0919">
              <w:rPr>
                <w:rFonts w:ascii="Cambria" w:eastAsia="Times New Roman" w:hAnsi="Cambria" w:cs="Calibri"/>
                <w:color w:val="000000"/>
              </w:rPr>
              <w:t>45.80%</w:t>
            </w:r>
          </w:p>
        </w:tc>
        <w:tc>
          <w:tcPr>
            <w:tcW w:w="719" w:type="dxa"/>
            <w:tcBorders>
              <w:top w:val="nil"/>
              <w:left w:val="nil"/>
              <w:bottom w:val="single" w:sz="8" w:space="0" w:color="auto"/>
              <w:right w:val="single" w:sz="8" w:space="0" w:color="auto"/>
            </w:tcBorders>
            <w:shd w:val="clear" w:color="auto" w:fill="auto"/>
            <w:vAlign w:val="center"/>
            <w:hideMark/>
          </w:tcPr>
          <w:p w14:paraId="2331CB80" w14:textId="77777777" w:rsidR="00AB0919" w:rsidRPr="00AB0919" w:rsidRDefault="00AB0919" w:rsidP="00AB0919">
            <w:pPr>
              <w:spacing w:after="0"/>
              <w:jc w:val="right"/>
              <w:rPr>
                <w:rFonts w:ascii="Cambria" w:eastAsia="Times New Roman" w:hAnsi="Cambria" w:cs="Calibri"/>
                <w:color w:val="000000"/>
              </w:rPr>
            </w:pPr>
            <w:r w:rsidRPr="00AB0919">
              <w:rPr>
                <w:rFonts w:ascii="Cambria" w:eastAsia="Times New Roman" w:hAnsi="Cambria" w:cs="Calibri"/>
                <w:color w:val="000000"/>
              </w:rPr>
              <w:t>4</w:t>
            </w:r>
          </w:p>
        </w:tc>
        <w:tc>
          <w:tcPr>
            <w:tcW w:w="2537" w:type="dxa"/>
            <w:tcBorders>
              <w:top w:val="nil"/>
              <w:left w:val="nil"/>
              <w:bottom w:val="single" w:sz="8" w:space="0" w:color="auto"/>
              <w:right w:val="nil"/>
            </w:tcBorders>
            <w:shd w:val="clear" w:color="auto" w:fill="auto"/>
            <w:vAlign w:val="center"/>
            <w:hideMark/>
          </w:tcPr>
          <w:p w14:paraId="4858ABFD" w14:textId="77777777" w:rsidR="00AB0919" w:rsidRPr="00AB0919" w:rsidRDefault="00AB0919" w:rsidP="00AB0919">
            <w:pPr>
              <w:spacing w:after="0"/>
              <w:jc w:val="right"/>
              <w:rPr>
                <w:rFonts w:ascii="Cambria" w:eastAsia="Times New Roman" w:hAnsi="Cambria" w:cs="Calibri"/>
                <w:color w:val="000000"/>
              </w:rPr>
            </w:pPr>
            <w:r w:rsidRPr="00AB0919">
              <w:rPr>
                <w:rFonts w:ascii="Cambria" w:eastAsia="Times New Roman" w:hAnsi="Cambria" w:cs="Calibri"/>
                <w:color w:val="000000"/>
              </w:rPr>
              <w:t>48%</w:t>
            </w:r>
          </w:p>
        </w:tc>
        <w:tc>
          <w:tcPr>
            <w:tcW w:w="687" w:type="dxa"/>
            <w:tcBorders>
              <w:top w:val="nil"/>
              <w:left w:val="single" w:sz="8" w:space="0" w:color="auto"/>
              <w:bottom w:val="single" w:sz="8" w:space="0" w:color="auto"/>
              <w:right w:val="single" w:sz="8" w:space="0" w:color="auto"/>
            </w:tcBorders>
            <w:shd w:val="clear" w:color="auto" w:fill="auto"/>
            <w:vAlign w:val="center"/>
            <w:hideMark/>
          </w:tcPr>
          <w:p w14:paraId="0CCAF57C" w14:textId="77777777" w:rsidR="00AB0919" w:rsidRPr="00AB0919" w:rsidRDefault="00AB0919" w:rsidP="00AB0919">
            <w:pPr>
              <w:spacing w:after="0"/>
              <w:jc w:val="right"/>
              <w:rPr>
                <w:rFonts w:ascii="Cambria" w:eastAsia="Times New Roman" w:hAnsi="Cambria" w:cs="Calibri"/>
                <w:color w:val="000000"/>
              </w:rPr>
            </w:pPr>
            <w:r w:rsidRPr="00AB0919">
              <w:rPr>
                <w:rFonts w:ascii="Cambria" w:eastAsia="Times New Roman" w:hAnsi="Cambria" w:cs="Calibri"/>
                <w:color w:val="000000"/>
              </w:rPr>
              <w:t>5</w:t>
            </w:r>
          </w:p>
        </w:tc>
        <w:tc>
          <w:tcPr>
            <w:tcW w:w="1324" w:type="dxa"/>
            <w:tcBorders>
              <w:top w:val="nil"/>
              <w:left w:val="nil"/>
              <w:bottom w:val="single" w:sz="8" w:space="0" w:color="auto"/>
              <w:right w:val="single" w:sz="8" w:space="0" w:color="auto"/>
            </w:tcBorders>
            <w:shd w:val="clear" w:color="auto" w:fill="auto"/>
            <w:noWrap/>
            <w:vAlign w:val="center"/>
            <w:hideMark/>
          </w:tcPr>
          <w:p w14:paraId="61385117" w14:textId="77777777" w:rsidR="00AB0919" w:rsidRPr="00AB0919" w:rsidRDefault="00AB0919" w:rsidP="00AB0919">
            <w:pPr>
              <w:spacing w:after="0"/>
              <w:jc w:val="right"/>
              <w:rPr>
                <w:rFonts w:ascii="Cambria" w:eastAsia="Times New Roman" w:hAnsi="Cambria" w:cs="Calibri"/>
                <w:color w:val="000000"/>
              </w:rPr>
            </w:pPr>
            <w:r w:rsidRPr="00AB0919">
              <w:rPr>
                <w:rFonts w:ascii="Cambria" w:eastAsia="Times New Roman" w:hAnsi="Cambria" w:cs="Calibri"/>
                <w:color w:val="000000"/>
              </w:rPr>
              <w:t>35.10%</w:t>
            </w:r>
          </w:p>
        </w:tc>
        <w:tc>
          <w:tcPr>
            <w:tcW w:w="719" w:type="dxa"/>
            <w:tcBorders>
              <w:top w:val="nil"/>
              <w:left w:val="nil"/>
              <w:bottom w:val="single" w:sz="8" w:space="0" w:color="auto"/>
              <w:right w:val="single" w:sz="8" w:space="0" w:color="auto"/>
            </w:tcBorders>
            <w:shd w:val="clear" w:color="auto" w:fill="auto"/>
            <w:noWrap/>
            <w:vAlign w:val="center"/>
            <w:hideMark/>
          </w:tcPr>
          <w:p w14:paraId="488BBE4A" w14:textId="77777777" w:rsidR="00AB0919" w:rsidRPr="00AB0919" w:rsidRDefault="00AB0919" w:rsidP="00AB0919">
            <w:pPr>
              <w:spacing w:after="0"/>
              <w:jc w:val="right"/>
              <w:rPr>
                <w:rFonts w:ascii="Cambria" w:eastAsia="Times New Roman" w:hAnsi="Cambria" w:cs="Calibri"/>
                <w:color w:val="000000"/>
              </w:rPr>
            </w:pPr>
            <w:r w:rsidRPr="00AB0919">
              <w:rPr>
                <w:rFonts w:ascii="Cambria" w:eastAsia="Times New Roman" w:hAnsi="Cambria" w:cs="Calibri"/>
                <w:color w:val="000000"/>
              </w:rPr>
              <w:t>2</w:t>
            </w:r>
          </w:p>
        </w:tc>
        <w:tc>
          <w:tcPr>
            <w:tcW w:w="687" w:type="dxa"/>
            <w:tcBorders>
              <w:top w:val="nil"/>
              <w:left w:val="nil"/>
              <w:bottom w:val="single" w:sz="8" w:space="0" w:color="auto"/>
              <w:right w:val="single" w:sz="8" w:space="0" w:color="auto"/>
            </w:tcBorders>
            <w:shd w:val="clear" w:color="auto" w:fill="auto"/>
            <w:noWrap/>
            <w:vAlign w:val="center"/>
            <w:hideMark/>
          </w:tcPr>
          <w:p w14:paraId="340FFC0B" w14:textId="77777777" w:rsidR="00AB0919" w:rsidRPr="00AB0919" w:rsidRDefault="00AB0919" w:rsidP="00AB0919">
            <w:pPr>
              <w:spacing w:after="0"/>
              <w:jc w:val="right"/>
              <w:rPr>
                <w:rFonts w:ascii="Cambria" w:eastAsia="Times New Roman" w:hAnsi="Cambria" w:cs="Calibri"/>
                <w:color w:val="000000"/>
              </w:rPr>
            </w:pPr>
            <w:r w:rsidRPr="00AB0919">
              <w:rPr>
                <w:rFonts w:ascii="Cambria" w:eastAsia="Times New Roman" w:hAnsi="Cambria" w:cs="Calibri"/>
                <w:color w:val="000000"/>
              </w:rPr>
              <w:t>11</w:t>
            </w:r>
          </w:p>
        </w:tc>
      </w:tr>
      <w:tr w:rsidR="00AB0919" w:rsidRPr="00AB0919" w14:paraId="01179E87" w14:textId="77777777" w:rsidTr="00AB0919">
        <w:trPr>
          <w:trHeight w:val="310"/>
        </w:trPr>
        <w:tc>
          <w:tcPr>
            <w:tcW w:w="1452" w:type="dxa"/>
            <w:tcBorders>
              <w:top w:val="nil"/>
              <w:left w:val="single" w:sz="8" w:space="0" w:color="auto"/>
              <w:bottom w:val="single" w:sz="8" w:space="0" w:color="auto"/>
              <w:right w:val="single" w:sz="8" w:space="0" w:color="auto"/>
            </w:tcBorders>
            <w:shd w:val="clear" w:color="auto" w:fill="auto"/>
            <w:vAlign w:val="center"/>
            <w:hideMark/>
          </w:tcPr>
          <w:p w14:paraId="4612375D" w14:textId="77777777" w:rsidR="00AB0919" w:rsidRPr="00AB0919" w:rsidRDefault="00AB0919" w:rsidP="00AB0919">
            <w:pPr>
              <w:spacing w:after="0"/>
              <w:rPr>
                <w:rFonts w:ascii="Cambria" w:eastAsia="Times New Roman" w:hAnsi="Cambria" w:cs="Calibri"/>
                <w:color w:val="FF0000"/>
              </w:rPr>
            </w:pPr>
            <w:r w:rsidRPr="00AB0919">
              <w:rPr>
                <w:rFonts w:ascii="Cambria" w:eastAsia="Times New Roman" w:hAnsi="Cambria" w:cs="Calibri"/>
                <w:color w:val="FF0000"/>
              </w:rPr>
              <w:t>Rusizi</w:t>
            </w:r>
          </w:p>
        </w:tc>
        <w:tc>
          <w:tcPr>
            <w:tcW w:w="1055" w:type="dxa"/>
            <w:tcBorders>
              <w:top w:val="nil"/>
              <w:left w:val="nil"/>
              <w:bottom w:val="single" w:sz="8" w:space="0" w:color="auto"/>
              <w:right w:val="single" w:sz="8" w:space="0" w:color="auto"/>
            </w:tcBorders>
            <w:shd w:val="clear" w:color="auto" w:fill="auto"/>
            <w:vAlign w:val="center"/>
            <w:hideMark/>
          </w:tcPr>
          <w:p w14:paraId="43E2D39C" w14:textId="77777777" w:rsidR="00AB0919" w:rsidRPr="00AB0919" w:rsidRDefault="00AB0919" w:rsidP="00AB0919">
            <w:pPr>
              <w:spacing w:after="0"/>
              <w:jc w:val="right"/>
              <w:rPr>
                <w:rFonts w:ascii="Cambria" w:eastAsia="Times New Roman" w:hAnsi="Cambria" w:cs="Calibri"/>
                <w:color w:val="000000"/>
              </w:rPr>
            </w:pPr>
            <w:r w:rsidRPr="00AB0919">
              <w:rPr>
                <w:rFonts w:ascii="Cambria" w:eastAsia="Times New Roman" w:hAnsi="Cambria" w:cs="Calibri"/>
                <w:color w:val="000000"/>
              </w:rPr>
              <w:t>34.70%</w:t>
            </w:r>
          </w:p>
        </w:tc>
        <w:tc>
          <w:tcPr>
            <w:tcW w:w="719" w:type="dxa"/>
            <w:tcBorders>
              <w:top w:val="nil"/>
              <w:left w:val="nil"/>
              <w:bottom w:val="single" w:sz="8" w:space="0" w:color="auto"/>
              <w:right w:val="single" w:sz="8" w:space="0" w:color="auto"/>
            </w:tcBorders>
            <w:shd w:val="clear" w:color="auto" w:fill="auto"/>
            <w:vAlign w:val="center"/>
            <w:hideMark/>
          </w:tcPr>
          <w:p w14:paraId="6FDCE5EE" w14:textId="77777777" w:rsidR="00AB0919" w:rsidRPr="00AB0919" w:rsidRDefault="00AB0919" w:rsidP="00AB0919">
            <w:pPr>
              <w:spacing w:after="0"/>
              <w:jc w:val="right"/>
              <w:rPr>
                <w:rFonts w:ascii="Cambria" w:eastAsia="Times New Roman" w:hAnsi="Cambria" w:cs="Calibri"/>
                <w:color w:val="000000"/>
              </w:rPr>
            </w:pPr>
            <w:r w:rsidRPr="00AB0919">
              <w:rPr>
                <w:rFonts w:ascii="Cambria" w:eastAsia="Times New Roman" w:hAnsi="Cambria" w:cs="Calibri"/>
                <w:color w:val="000000"/>
              </w:rPr>
              <w:t>2</w:t>
            </w:r>
          </w:p>
        </w:tc>
        <w:tc>
          <w:tcPr>
            <w:tcW w:w="2537" w:type="dxa"/>
            <w:tcBorders>
              <w:top w:val="nil"/>
              <w:left w:val="nil"/>
              <w:bottom w:val="single" w:sz="8" w:space="0" w:color="auto"/>
              <w:right w:val="nil"/>
            </w:tcBorders>
            <w:shd w:val="clear" w:color="auto" w:fill="auto"/>
            <w:vAlign w:val="center"/>
            <w:hideMark/>
          </w:tcPr>
          <w:p w14:paraId="086DC8A3" w14:textId="77777777" w:rsidR="00AB0919" w:rsidRPr="00AB0919" w:rsidRDefault="00AB0919" w:rsidP="00AB0919">
            <w:pPr>
              <w:spacing w:after="0"/>
              <w:jc w:val="right"/>
              <w:rPr>
                <w:rFonts w:ascii="Cambria" w:eastAsia="Times New Roman" w:hAnsi="Cambria" w:cs="Calibri"/>
                <w:color w:val="000000"/>
              </w:rPr>
            </w:pPr>
            <w:r w:rsidRPr="00AB0919">
              <w:rPr>
                <w:rFonts w:ascii="Cambria" w:eastAsia="Times New Roman" w:hAnsi="Cambria" w:cs="Calibri"/>
                <w:color w:val="000000"/>
              </w:rPr>
              <w:t>30%</w:t>
            </w:r>
          </w:p>
        </w:tc>
        <w:tc>
          <w:tcPr>
            <w:tcW w:w="687" w:type="dxa"/>
            <w:tcBorders>
              <w:top w:val="nil"/>
              <w:left w:val="single" w:sz="8" w:space="0" w:color="auto"/>
              <w:bottom w:val="single" w:sz="8" w:space="0" w:color="auto"/>
              <w:right w:val="single" w:sz="8" w:space="0" w:color="auto"/>
            </w:tcBorders>
            <w:shd w:val="clear" w:color="auto" w:fill="auto"/>
            <w:vAlign w:val="center"/>
            <w:hideMark/>
          </w:tcPr>
          <w:p w14:paraId="76B6BB5A" w14:textId="77777777" w:rsidR="00AB0919" w:rsidRPr="00AB0919" w:rsidRDefault="00AB0919" w:rsidP="00AB0919">
            <w:pPr>
              <w:spacing w:after="0"/>
              <w:jc w:val="right"/>
              <w:rPr>
                <w:rFonts w:ascii="Cambria" w:eastAsia="Times New Roman" w:hAnsi="Cambria" w:cs="Calibri"/>
                <w:color w:val="000000"/>
              </w:rPr>
            </w:pPr>
            <w:r w:rsidRPr="00AB0919">
              <w:rPr>
                <w:rFonts w:ascii="Cambria" w:eastAsia="Times New Roman" w:hAnsi="Cambria" w:cs="Calibri"/>
                <w:color w:val="000000"/>
              </w:rPr>
              <w:t>4</w:t>
            </w:r>
          </w:p>
        </w:tc>
        <w:tc>
          <w:tcPr>
            <w:tcW w:w="1324" w:type="dxa"/>
            <w:tcBorders>
              <w:top w:val="nil"/>
              <w:left w:val="nil"/>
              <w:bottom w:val="single" w:sz="8" w:space="0" w:color="auto"/>
              <w:right w:val="single" w:sz="8" w:space="0" w:color="auto"/>
            </w:tcBorders>
            <w:shd w:val="clear" w:color="auto" w:fill="auto"/>
            <w:noWrap/>
            <w:vAlign w:val="center"/>
            <w:hideMark/>
          </w:tcPr>
          <w:p w14:paraId="5B3E56FE" w14:textId="77777777" w:rsidR="00AB0919" w:rsidRPr="00AB0919" w:rsidRDefault="00AB0919" w:rsidP="00AB0919">
            <w:pPr>
              <w:spacing w:after="0"/>
              <w:jc w:val="right"/>
              <w:rPr>
                <w:rFonts w:ascii="Cambria" w:eastAsia="Times New Roman" w:hAnsi="Cambria" w:cs="Calibri"/>
                <w:color w:val="000000"/>
              </w:rPr>
            </w:pPr>
            <w:r w:rsidRPr="00AB0919">
              <w:rPr>
                <w:rFonts w:ascii="Cambria" w:eastAsia="Times New Roman" w:hAnsi="Cambria" w:cs="Calibri"/>
                <w:color w:val="000000"/>
              </w:rPr>
              <w:t>62.00%</w:t>
            </w:r>
          </w:p>
        </w:tc>
        <w:tc>
          <w:tcPr>
            <w:tcW w:w="719" w:type="dxa"/>
            <w:tcBorders>
              <w:top w:val="nil"/>
              <w:left w:val="nil"/>
              <w:bottom w:val="single" w:sz="8" w:space="0" w:color="auto"/>
              <w:right w:val="single" w:sz="8" w:space="0" w:color="auto"/>
            </w:tcBorders>
            <w:shd w:val="clear" w:color="auto" w:fill="auto"/>
            <w:noWrap/>
            <w:vAlign w:val="center"/>
            <w:hideMark/>
          </w:tcPr>
          <w:p w14:paraId="019C2C50" w14:textId="77777777" w:rsidR="00AB0919" w:rsidRPr="00AB0919" w:rsidRDefault="00AB0919" w:rsidP="00AB0919">
            <w:pPr>
              <w:spacing w:after="0"/>
              <w:jc w:val="right"/>
              <w:rPr>
                <w:rFonts w:ascii="Cambria" w:eastAsia="Times New Roman" w:hAnsi="Cambria" w:cs="Calibri"/>
                <w:color w:val="000000"/>
              </w:rPr>
            </w:pPr>
            <w:r w:rsidRPr="00AB0919">
              <w:rPr>
                <w:rFonts w:ascii="Cambria" w:eastAsia="Times New Roman" w:hAnsi="Cambria" w:cs="Calibri"/>
                <w:color w:val="000000"/>
              </w:rPr>
              <w:t>5</w:t>
            </w:r>
          </w:p>
        </w:tc>
        <w:tc>
          <w:tcPr>
            <w:tcW w:w="687" w:type="dxa"/>
            <w:tcBorders>
              <w:top w:val="nil"/>
              <w:left w:val="nil"/>
              <w:bottom w:val="single" w:sz="8" w:space="0" w:color="auto"/>
              <w:right w:val="single" w:sz="8" w:space="0" w:color="auto"/>
            </w:tcBorders>
            <w:shd w:val="clear" w:color="auto" w:fill="auto"/>
            <w:noWrap/>
            <w:vAlign w:val="center"/>
            <w:hideMark/>
          </w:tcPr>
          <w:p w14:paraId="5F5CAAF7" w14:textId="77777777" w:rsidR="00AB0919" w:rsidRPr="00AB0919" w:rsidRDefault="00AB0919" w:rsidP="00AB0919">
            <w:pPr>
              <w:spacing w:after="0"/>
              <w:jc w:val="right"/>
              <w:rPr>
                <w:rFonts w:ascii="Cambria" w:eastAsia="Times New Roman" w:hAnsi="Cambria" w:cs="Calibri"/>
                <w:color w:val="000000"/>
              </w:rPr>
            </w:pPr>
            <w:r w:rsidRPr="00AB0919">
              <w:rPr>
                <w:rFonts w:ascii="Cambria" w:eastAsia="Times New Roman" w:hAnsi="Cambria" w:cs="Calibri"/>
                <w:color w:val="000000"/>
              </w:rPr>
              <w:t>11</w:t>
            </w:r>
          </w:p>
        </w:tc>
      </w:tr>
      <w:tr w:rsidR="00AB0919" w:rsidRPr="00AB0919" w14:paraId="2433C041" w14:textId="77777777" w:rsidTr="00AB0919">
        <w:trPr>
          <w:trHeight w:val="310"/>
        </w:trPr>
        <w:tc>
          <w:tcPr>
            <w:tcW w:w="1452" w:type="dxa"/>
            <w:tcBorders>
              <w:top w:val="nil"/>
              <w:left w:val="single" w:sz="8" w:space="0" w:color="auto"/>
              <w:bottom w:val="single" w:sz="8" w:space="0" w:color="auto"/>
              <w:right w:val="single" w:sz="8" w:space="0" w:color="auto"/>
            </w:tcBorders>
            <w:shd w:val="clear" w:color="auto" w:fill="auto"/>
            <w:vAlign w:val="center"/>
            <w:hideMark/>
          </w:tcPr>
          <w:p w14:paraId="022942FD" w14:textId="77777777" w:rsidR="00AB0919" w:rsidRPr="00AB0919" w:rsidRDefault="00AB0919" w:rsidP="00AB0919">
            <w:pPr>
              <w:spacing w:after="0"/>
              <w:rPr>
                <w:rFonts w:ascii="Cambria" w:eastAsia="Times New Roman" w:hAnsi="Cambria" w:cs="Calibri"/>
                <w:color w:val="FF0000"/>
              </w:rPr>
            </w:pPr>
            <w:r w:rsidRPr="00AB0919">
              <w:rPr>
                <w:rFonts w:ascii="Cambria" w:eastAsia="Times New Roman" w:hAnsi="Cambria" w:cs="Calibri"/>
                <w:color w:val="FF0000"/>
              </w:rPr>
              <w:t>Gakenke</w:t>
            </w:r>
          </w:p>
        </w:tc>
        <w:tc>
          <w:tcPr>
            <w:tcW w:w="1055" w:type="dxa"/>
            <w:tcBorders>
              <w:top w:val="nil"/>
              <w:left w:val="nil"/>
              <w:bottom w:val="single" w:sz="8" w:space="0" w:color="auto"/>
              <w:right w:val="single" w:sz="8" w:space="0" w:color="auto"/>
            </w:tcBorders>
            <w:shd w:val="clear" w:color="auto" w:fill="auto"/>
            <w:vAlign w:val="center"/>
            <w:hideMark/>
          </w:tcPr>
          <w:p w14:paraId="03FBA241" w14:textId="77777777" w:rsidR="00AB0919" w:rsidRPr="00AB0919" w:rsidRDefault="00AB0919" w:rsidP="00AB0919">
            <w:pPr>
              <w:spacing w:after="0"/>
              <w:jc w:val="right"/>
              <w:rPr>
                <w:rFonts w:ascii="Cambria" w:eastAsia="Times New Roman" w:hAnsi="Cambria" w:cs="Calibri"/>
                <w:color w:val="000000"/>
              </w:rPr>
            </w:pPr>
            <w:r w:rsidRPr="00AB0919">
              <w:rPr>
                <w:rFonts w:ascii="Cambria" w:eastAsia="Times New Roman" w:hAnsi="Cambria" w:cs="Calibri"/>
                <w:color w:val="000000"/>
              </w:rPr>
              <w:t>46%</w:t>
            </w:r>
          </w:p>
        </w:tc>
        <w:tc>
          <w:tcPr>
            <w:tcW w:w="719" w:type="dxa"/>
            <w:tcBorders>
              <w:top w:val="nil"/>
              <w:left w:val="nil"/>
              <w:bottom w:val="single" w:sz="8" w:space="0" w:color="auto"/>
              <w:right w:val="single" w:sz="8" w:space="0" w:color="auto"/>
            </w:tcBorders>
            <w:shd w:val="clear" w:color="auto" w:fill="auto"/>
            <w:vAlign w:val="center"/>
            <w:hideMark/>
          </w:tcPr>
          <w:p w14:paraId="678C5B62" w14:textId="77777777" w:rsidR="00AB0919" w:rsidRPr="00AB0919" w:rsidRDefault="00AB0919" w:rsidP="00AB0919">
            <w:pPr>
              <w:spacing w:after="0"/>
              <w:jc w:val="right"/>
              <w:rPr>
                <w:rFonts w:ascii="Cambria" w:eastAsia="Times New Roman" w:hAnsi="Cambria" w:cs="Calibri"/>
                <w:color w:val="000000"/>
              </w:rPr>
            </w:pPr>
            <w:r w:rsidRPr="00AB0919">
              <w:rPr>
                <w:rFonts w:ascii="Cambria" w:eastAsia="Times New Roman" w:hAnsi="Cambria" w:cs="Calibri"/>
                <w:color w:val="000000"/>
              </w:rPr>
              <w:t>4</w:t>
            </w:r>
          </w:p>
        </w:tc>
        <w:tc>
          <w:tcPr>
            <w:tcW w:w="2537" w:type="dxa"/>
            <w:tcBorders>
              <w:top w:val="nil"/>
              <w:left w:val="nil"/>
              <w:bottom w:val="single" w:sz="8" w:space="0" w:color="auto"/>
              <w:right w:val="nil"/>
            </w:tcBorders>
            <w:shd w:val="clear" w:color="auto" w:fill="auto"/>
            <w:vAlign w:val="center"/>
            <w:hideMark/>
          </w:tcPr>
          <w:p w14:paraId="0E9A9FE9" w14:textId="77777777" w:rsidR="00AB0919" w:rsidRPr="00AB0919" w:rsidRDefault="00AB0919" w:rsidP="00AB0919">
            <w:pPr>
              <w:spacing w:after="0"/>
              <w:jc w:val="right"/>
              <w:rPr>
                <w:rFonts w:ascii="Cambria" w:eastAsia="Times New Roman" w:hAnsi="Cambria" w:cs="Calibri"/>
                <w:color w:val="000000"/>
              </w:rPr>
            </w:pPr>
            <w:r w:rsidRPr="00AB0919">
              <w:rPr>
                <w:rFonts w:ascii="Cambria" w:eastAsia="Times New Roman" w:hAnsi="Cambria" w:cs="Calibri"/>
                <w:color w:val="000000"/>
              </w:rPr>
              <w:t>21%</w:t>
            </w:r>
          </w:p>
        </w:tc>
        <w:tc>
          <w:tcPr>
            <w:tcW w:w="687" w:type="dxa"/>
            <w:tcBorders>
              <w:top w:val="nil"/>
              <w:left w:val="single" w:sz="8" w:space="0" w:color="auto"/>
              <w:bottom w:val="single" w:sz="8" w:space="0" w:color="auto"/>
              <w:right w:val="single" w:sz="8" w:space="0" w:color="auto"/>
            </w:tcBorders>
            <w:shd w:val="clear" w:color="auto" w:fill="auto"/>
            <w:vAlign w:val="center"/>
            <w:hideMark/>
          </w:tcPr>
          <w:p w14:paraId="5CF557D4" w14:textId="77777777" w:rsidR="00AB0919" w:rsidRPr="00AB0919" w:rsidRDefault="00AB0919" w:rsidP="00AB0919">
            <w:pPr>
              <w:spacing w:after="0"/>
              <w:jc w:val="right"/>
              <w:rPr>
                <w:rFonts w:ascii="Cambria" w:eastAsia="Times New Roman" w:hAnsi="Cambria" w:cs="Calibri"/>
                <w:color w:val="000000"/>
              </w:rPr>
            </w:pPr>
            <w:r w:rsidRPr="00AB0919">
              <w:rPr>
                <w:rFonts w:ascii="Cambria" w:eastAsia="Times New Roman" w:hAnsi="Cambria" w:cs="Calibri"/>
                <w:color w:val="000000"/>
              </w:rPr>
              <w:t>3</w:t>
            </w:r>
          </w:p>
        </w:tc>
        <w:tc>
          <w:tcPr>
            <w:tcW w:w="1324" w:type="dxa"/>
            <w:tcBorders>
              <w:top w:val="nil"/>
              <w:left w:val="nil"/>
              <w:bottom w:val="single" w:sz="8" w:space="0" w:color="auto"/>
              <w:right w:val="single" w:sz="8" w:space="0" w:color="auto"/>
            </w:tcBorders>
            <w:shd w:val="clear" w:color="auto" w:fill="auto"/>
            <w:noWrap/>
            <w:vAlign w:val="center"/>
            <w:hideMark/>
          </w:tcPr>
          <w:p w14:paraId="4B3743F8" w14:textId="77777777" w:rsidR="00AB0919" w:rsidRPr="00AB0919" w:rsidRDefault="00AB0919" w:rsidP="00AB0919">
            <w:pPr>
              <w:spacing w:after="0"/>
              <w:jc w:val="right"/>
              <w:rPr>
                <w:rFonts w:ascii="Cambria" w:eastAsia="Times New Roman" w:hAnsi="Cambria" w:cs="Calibri"/>
                <w:color w:val="000000"/>
              </w:rPr>
            </w:pPr>
            <w:r w:rsidRPr="00AB0919">
              <w:rPr>
                <w:rFonts w:ascii="Cambria" w:eastAsia="Times New Roman" w:hAnsi="Cambria" w:cs="Calibri"/>
                <w:color w:val="000000"/>
              </w:rPr>
              <w:t>50.40%</w:t>
            </w:r>
          </w:p>
        </w:tc>
        <w:tc>
          <w:tcPr>
            <w:tcW w:w="719" w:type="dxa"/>
            <w:tcBorders>
              <w:top w:val="nil"/>
              <w:left w:val="nil"/>
              <w:bottom w:val="single" w:sz="8" w:space="0" w:color="auto"/>
              <w:right w:val="single" w:sz="8" w:space="0" w:color="auto"/>
            </w:tcBorders>
            <w:shd w:val="clear" w:color="auto" w:fill="auto"/>
            <w:noWrap/>
            <w:vAlign w:val="center"/>
            <w:hideMark/>
          </w:tcPr>
          <w:p w14:paraId="223766C6" w14:textId="77777777" w:rsidR="00AB0919" w:rsidRPr="00AB0919" w:rsidRDefault="00AB0919" w:rsidP="00AB0919">
            <w:pPr>
              <w:spacing w:after="0"/>
              <w:jc w:val="right"/>
              <w:rPr>
                <w:rFonts w:ascii="Cambria" w:eastAsia="Times New Roman" w:hAnsi="Cambria" w:cs="Calibri"/>
                <w:color w:val="000000"/>
              </w:rPr>
            </w:pPr>
            <w:r w:rsidRPr="00AB0919">
              <w:rPr>
                <w:rFonts w:ascii="Cambria" w:eastAsia="Times New Roman" w:hAnsi="Cambria" w:cs="Calibri"/>
                <w:color w:val="000000"/>
              </w:rPr>
              <w:t>4</w:t>
            </w:r>
          </w:p>
        </w:tc>
        <w:tc>
          <w:tcPr>
            <w:tcW w:w="687" w:type="dxa"/>
            <w:tcBorders>
              <w:top w:val="nil"/>
              <w:left w:val="nil"/>
              <w:bottom w:val="single" w:sz="8" w:space="0" w:color="auto"/>
              <w:right w:val="single" w:sz="8" w:space="0" w:color="auto"/>
            </w:tcBorders>
            <w:shd w:val="clear" w:color="auto" w:fill="auto"/>
            <w:noWrap/>
            <w:vAlign w:val="center"/>
            <w:hideMark/>
          </w:tcPr>
          <w:p w14:paraId="426E8010" w14:textId="77777777" w:rsidR="00AB0919" w:rsidRPr="00AB0919" w:rsidRDefault="00AB0919" w:rsidP="00AB0919">
            <w:pPr>
              <w:spacing w:after="0"/>
              <w:jc w:val="right"/>
              <w:rPr>
                <w:rFonts w:ascii="Cambria" w:eastAsia="Times New Roman" w:hAnsi="Cambria" w:cs="Calibri"/>
                <w:color w:val="000000"/>
              </w:rPr>
            </w:pPr>
            <w:r w:rsidRPr="00AB0919">
              <w:rPr>
                <w:rFonts w:ascii="Cambria" w:eastAsia="Times New Roman" w:hAnsi="Cambria" w:cs="Calibri"/>
                <w:color w:val="000000"/>
              </w:rPr>
              <w:t>11</w:t>
            </w:r>
          </w:p>
        </w:tc>
      </w:tr>
      <w:tr w:rsidR="00AB0919" w:rsidRPr="00AB0919" w14:paraId="578E352D" w14:textId="77777777" w:rsidTr="00AB0919">
        <w:trPr>
          <w:trHeight w:val="310"/>
        </w:trPr>
        <w:tc>
          <w:tcPr>
            <w:tcW w:w="1452" w:type="dxa"/>
            <w:tcBorders>
              <w:top w:val="nil"/>
              <w:left w:val="single" w:sz="8" w:space="0" w:color="auto"/>
              <w:bottom w:val="single" w:sz="8" w:space="0" w:color="auto"/>
              <w:right w:val="single" w:sz="8" w:space="0" w:color="auto"/>
            </w:tcBorders>
            <w:shd w:val="clear" w:color="auto" w:fill="auto"/>
            <w:vAlign w:val="center"/>
            <w:hideMark/>
          </w:tcPr>
          <w:p w14:paraId="70633A4D" w14:textId="77777777" w:rsidR="00AB0919" w:rsidRPr="00AB0919" w:rsidRDefault="00AB0919" w:rsidP="00AB0919">
            <w:pPr>
              <w:spacing w:after="0"/>
              <w:rPr>
                <w:rFonts w:ascii="Cambria" w:eastAsia="Times New Roman" w:hAnsi="Cambria" w:cs="Calibri"/>
                <w:color w:val="FF0000"/>
              </w:rPr>
            </w:pPr>
            <w:r w:rsidRPr="00AB0919">
              <w:rPr>
                <w:rFonts w:ascii="Cambria" w:eastAsia="Times New Roman" w:hAnsi="Cambria" w:cs="Calibri"/>
                <w:color w:val="FF0000"/>
              </w:rPr>
              <w:t>Karongi</w:t>
            </w:r>
          </w:p>
        </w:tc>
        <w:tc>
          <w:tcPr>
            <w:tcW w:w="1055" w:type="dxa"/>
            <w:tcBorders>
              <w:top w:val="nil"/>
              <w:left w:val="nil"/>
              <w:bottom w:val="single" w:sz="8" w:space="0" w:color="auto"/>
              <w:right w:val="single" w:sz="8" w:space="0" w:color="auto"/>
            </w:tcBorders>
            <w:shd w:val="clear" w:color="auto" w:fill="auto"/>
            <w:vAlign w:val="center"/>
            <w:hideMark/>
          </w:tcPr>
          <w:p w14:paraId="29C0A11F" w14:textId="77777777" w:rsidR="00AB0919" w:rsidRPr="00AB0919" w:rsidRDefault="00AB0919" w:rsidP="00AB0919">
            <w:pPr>
              <w:spacing w:after="0"/>
              <w:jc w:val="right"/>
              <w:rPr>
                <w:rFonts w:ascii="Cambria" w:eastAsia="Times New Roman" w:hAnsi="Cambria" w:cs="Calibri"/>
                <w:color w:val="000000"/>
              </w:rPr>
            </w:pPr>
            <w:r w:rsidRPr="00AB0919">
              <w:rPr>
                <w:rFonts w:ascii="Cambria" w:eastAsia="Times New Roman" w:hAnsi="Cambria" w:cs="Calibri"/>
                <w:color w:val="000000"/>
              </w:rPr>
              <w:t>49.10%</w:t>
            </w:r>
          </w:p>
        </w:tc>
        <w:tc>
          <w:tcPr>
            <w:tcW w:w="719" w:type="dxa"/>
            <w:tcBorders>
              <w:top w:val="nil"/>
              <w:left w:val="nil"/>
              <w:bottom w:val="single" w:sz="8" w:space="0" w:color="auto"/>
              <w:right w:val="single" w:sz="8" w:space="0" w:color="auto"/>
            </w:tcBorders>
            <w:shd w:val="clear" w:color="auto" w:fill="auto"/>
            <w:vAlign w:val="center"/>
            <w:hideMark/>
          </w:tcPr>
          <w:p w14:paraId="5DF1F38F" w14:textId="77777777" w:rsidR="00AB0919" w:rsidRPr="00AB0919" w:rsidRDefault="00AB0919" w:rsidP="00AB0919">
            <w:pPr>
              <w:spacing w:after="0"/>
              <w:jc w:val="right"/>
              <w:rPr>
                <w:rFonts w:ascii="Cambria" w:eastAsia="Times New Roman" w:hAnsi="Cambria" w:cs="Calibri"/>
                <w:color w:val="000000"/>
              </w:rPr>
            </w:pPr>
            <w:r w:rsidRPr="00AB0919">
              <w:rPr>
                <w:rFonts w:ascii="Cambria" w:eastAsia="Times New Roman" w:hAnsi="Cambria" w:cs="Calibri"/>
                <w:color w:val="000000"/>
              </w:rPr>
              <w:t>4</w:t>
            </w:r>
          </w:p>
        </w:tc>
        <w:tc>
          <w:tcPr>
            <w:tcW w:w="2537" w:type="dxa"/>
            <w:tcBorders>
              <w:top w:val="nil"/>
              <w:left w:val="nil"/>
              <w:bottom w:val="single" w:sz="8" w:space="0" w:color="auto"/>
              <w:right w:val="nil"/>
            </w:tcBorders>
            <w:shd w:val="clear" w:color="auto" w:fill="auto"/>
            <w:vAlign w:val="center"/>
            <w:hideMark/>
          </w:tcPr>
          <w:p w14:paraId="261991DD" w14:textId="77777777" w:rsidR="00AB0919" w:rsidRPr="00AB0919" w:rsidRDefault="00AB0919" w:rsidP="00AB0919">
            <w:pPr>
              <w:spacing w:after="0"/>
              <w:jc w:val="right"/>
              <w:rPr>
                <w:rFonts w:ascii="Cambria" w:eastAsia="Times New Roman" w:hAnsi="Cambria" w:cs="Calibri"/>
                <w:color w:val="000000"/>
              </w:rPr>
            </w:pPr>
            <w:r w:rsidRPr="00AB0919">
              <w:rPr>
                <w:rFonts w:ascii="Cambria" w:eastAsia="Times New Roman" w:hAnsi="Cambria" w:cs="Calibri"/>
                <w:color w:val="000000"/>
              </w:rPr>
              <w:t>29%</w:t>
            </w:r>
          </w:p>
        </w:tc>
        <w:tc>
          <w:tcPr>
            <w:tcW w:w="687" w:type="dxa"/>
            <w:tcBorders>
              <w:top w:val="nil"/>
              <w:left w:val="single" w:sz="8" w:space="0" w:color="auto"/>
              <w:bottom w:val="single" w:sz="8" w:space="0" w:color="auto"/>
              <w:right w:val="single" w:sz="8" w:space="0" w:color="auto"/>
            </w:tcBorders>
            <w:shd w:val="clear" w:color="auto" w:fill="auto"/>
            <w:vAlign w:val="center"/>
            <w:hideMark/>
          </w:tcPr>
          <w:p w14:paraId="3DFD87C1" w14:textId="77777777" w:rsidR="00AB0919" w:rsidRPr="00AB0919" w:rsidRDefault="00AB0919" w:rsidP="00AB0919">
            <w:pPr>
              <w:spacing w:after="0"/>
              <w:jc w:val="right"/>
              <w:rPr>
                <w:rFonts w:ascii="Cambria" w:eastAsia="Times New Roman" w:hAnsi="Cambria" w:cs="Calibri"/>
                <w:color w:val="000000"/>
              </w:rPr>
            </w:pPr>
            <w:r w:rsidRPr="00AB0919">
              <w:rPr>
                <w:rFonts w:ascii="Cambria" w:eastAsia="Times New Roman" w:hAnsi="Cambria" w:cs="Calibri"/>
                <w:color w:val="000000"/>
              </w:rPr>
              <w:t>4</w:t>
            </w:r>
          </w:p>
        </w:tc>
        <w:tc>
          <w:tcPr>
            <w:tcW w:w="1324" w:type="dxa"/>
            <w:tcBorders>
              <w:top w:val="nil"/>
              <w:left w:val="nil"/>
              <w:bottom w:val="single" w:sz="8" w:space="0" w:color="auto"/>
              <w:right w:val="single" w:sz="8" w:space="0" w:color="auto"/>
            </w:tcBorders>
            <w:shd w:val="clear" w:color="auto" w:fill="auto"/>
            <w:noWrap/>
            <w:vAlign w:val="center"/>
            <w:hideMark/>
          </w:tcPr>
          <w:p w14:paraId="424DC0FE" w14:textId="77777777" w:rsidR="00AB0919" w:rsidRPr="00AB0919" w:rsidRDefault="00AB0919" w:rsidP="00AB0919">
            <w:pPr>
              <w:spacing w:after="0"/>
              <w:jc w:val="right"/>
              <w:rPr>
                <w:rFonts w:ascii="Cambria" w:eastAsia="Times New Roman" w:hAnsi="Cambria" w:cs="Calibri"/>
                <w:color w:val="000000"/>
              </w:rPr>
            </w:pPr>
            <w:r w:rsidRPr="00AB0919">
              <w:rPr>
                <w:rFonts w:ascii="Cambria" w:eastAsia="Times New Roman" w:hAnsi="Cambria" w:cs="Calibri"/>
                <w:color w:val="000000"/>
              </w:rPr>
              <w:t>35.50%</w:t>
            </w:r>
          </w:p>
        </w:tc>
        <w:tc>
          <w:tcPr>
            <w:tcW w:w="719" w:type="dxa"/>
            <w:tcBorders>
              <w:top w:val="nil"/>
              <w:left w:val="nil"/>
              <w:bottom w:val="single" w:sz="8" w:space="0" w:color="auto"/>
              <w:right w:val="single" w:sz="8" w:space="0" w:color="auto"/>
            </w:tcBorders>
            <w:shd w:val="clear" w:color="auto" w:fill="auto"/>
            <w:noWrap/>
            <w:vAlign w:val="center"/>
            <w:hideMark/>
          </w:tcPr>
          <w:p w14:paraId="3BF1ADDC" w14:textId="77777777" w:rsidR="00AB0919" w:rsidRPr="00AB0919" w:rsidRDefault="00AB0919" w:rsidP="00AB0919">
            <w:pPr>
              <w:spacing w:after="0"/>
              <w:jc w:val="right"/>
              <w:rPr>
                <w:rFonts w:ascii="Cambria" w:eastAsia="Times New Roman" w:hAnsi="Cambria" w:cs="Calibri"/>
                <w:color w:val="000000"/>
              </w:rPr>
            </w:pPr>
            <w:r w:rsidRPr="00AB0919">
              <w:rPr>
                <w:rFonts w:ascii="Cambria" w:eastAsia="Times New Roman" w:hAnsi="Cambria" w:cs="Calibri"/>
                <w:color w:val="000000"/>
              </w:rPr>
              <w:t>2</w:t>
            </w:r>
          </w:p>
        </w:tc>
        <w:tc>
          <w:tcPr>
            <w:tcW w:w="687" w:type="dxa"/>
            <w:tcBorders>
              <w:top w:val="nil"/>
              <w:left w:val="nil"/>
              <w:bottom w:val="single" w:sz="8" w:space="0" w:color="auto"/>
              <w:right w:val="single" w:sz="8" w:space="0" w:color="auto"/>
            </w:tcBorders>
            <w:shd w:val="clear" w:color="auto" w:fill="auto"/>
            <w:noWrap/>
            <w:vAlign w:val="center"/>
            <w:hideMark/>
          </w:tcPr>
          <w:p w14:paraId="41A7A5BE" w14:textId="77777777" w:rsidR="00AB0919" w:rsidRPr="00AB0919" w:rsidRDefault="00AB0919" w:rsidP="00AB0919">
            <w:pPr>
              <w:spacing w:after="0"/>
              <w:jc w:val="right"/>
              <w:rPr>
                <w:rFonts w:ascii="Cambria" w:eastAsia="Times New Roman" w:hAnsi="Cambria" w:cs="Calibri"/>
                <w:color w:val="000000"/>
              </w:rPr>
            </w:pPr>
            <w:r w:rsidRPr="00AB0919">
              <w:rPr>
                <w:rFonts w:ascii="Cambria" w:eastAsia="Times New Roman" w:hAnsi="Cambria" w:cs="Calibri"/>
                <w:color w:val="000000"/>
              </w:rPr>
              <w:t>10</w:t>
            </w:r>
          </w:p>
        </w:tc>
      </w:tr>
      <w:tr w:rsidR="00AB0919" w:rsidRPr="00AB0919" w14:paraId="7E7AD9A4" w14:textId="77777777" w:rsidTr="00AB0919">
        <w:trPr>
          <w:trHeight w:val="310"/>
        </w:trPr>
        <w:tc>
          <w:tcPr>
            <w:tcW w:w="1452" w:type="dxa"/>
            <w:tcBorders>
              <w:top w:val="nil"/>
              <w:left w:val="single" w:sz="8" w:space="0" w:color="auto"/>
              <w:bottom w:val="single" w:sz="8" w:space="0" w:color="auto"/>
              <w:right w:val="single" w:sz="8" w:space="0" w:color="auto"/>
            </w:tcBorders>
            <w:shd w:val="clear" w:color="auto" w:fill="auto"/>
            <w:vAlign w:val="center"/>
            <w:hideMark/>
          </w:tcPr>
          <w:p w14:paraId="059AE04F" w14:textId="77777777" w:rsidR="00AB0919" w:rsidRPr="00AB0919" w:rsidRDefault="00AB0919" w:rsidP="00AB0919">
            <w:pPr>
              <w:spacing w:after="0"/>
              <w:rPr>
                <w:rFonts w:ascii="Cambria" w:eastAsia="Times New Roman" w:hAnsi="Cambria" w:cs="Calibri"/>
                <w:color w:val="FF0000"/>
              </w:rPr>
            </w:pPr>
            <w:r w:rsidRPr="00AB0919">
              <w:rPr>
                <w:rFonts w:ascii="Cambria" w:eastAsia="Times New Roman" w:hAnsi="Cambria" w:cs="Calibri"/>
                <w:color w:val="FF0000"/>
              </w:rPr>
              <w:t>Huye</w:t>
            </w:r>
          </w:p>
        </w:tc>
        <w:tc>
          <w:tcPr>
            <w:tcW w:w="1055" w:type="dxa"/>
            <w:tcBorders>
              <w:top w:val="nil"/>
              <w:left w:val="nil"/>
              <w:bottom w:val="single" w:sz="8" w:space="0" w:color="auto"/>
              <w:right w:val="single" w:sz="8" w:space="0" w:color="auto"/>
            </w:tcBorders>
            <w:shd w:val="clear" w:color="auto" w:fill="auto"/>
            <w:vAlign w:val="center"/>
            <w:hideMark/>
          </w:tcPr>
          <w:p w14:paraId="219BEBD3" w14:textId="77777777" w:rsidR="00AB0919" w:rsidRPr="00AB0919" w:rsidRDefault="00AB0919" w:rsidP="00AB0919">
            <w:pPr>
              <w:spacing w:after="0"/>
              <w:jc w:val="right"/>
              <w:rPr>
                <w:rFonts w:ascii="Cambria" w:eastAsia="Times New Roman" w:hAnsi="Cambria" w:cs="Calibri"/>
                <w:color w:val="000000"/>
              </w:rPr>
            </w:pPr>
            <w:r w:rsidRPr="00AB0919">
              <w:rPr>
                <w:rFonts w:ascii="Cambria" w:eastAsia="Times New Roman" w:hAnsi="Cambria" w:cs="Calibri"/>
                <w:color w:val="000000"/>
              </w:rPr>
              <w:t>42.60%</w:t>
            </w:r>
          </w:p>
        </w:tc>
        <w:tc>
          <w:tcPr>
            <w:tcW w:w="719" w:type="dxa"/>
            <w:tcBorders>
              <w:top w:val="nil"/>
              <w:left w:val="nil"/>
              <w:bottom w:val="single" w:sz="8" w:space="0" w:color="auto"/>
              <w:right w:val="single" w:sz="8" w:space="0" w:color="auto"/>
            </w:tcBorders>
            <w:shd w:val="clear" w:color="auto" w:fill="auto"/>
            <w:vAlign w:val="center"/>
            <w:hideMark/>
          </w:tcPr>
          <w:p w14:paraId="75B2CF2C" w14:textId="77777777" w:rsidR="00AB0919" w:rsidRPr="00AB0919" w:rsidRDefault="00AB0919" w:rsidP="00AB0919">
            <w:pPr>
              <w:spacing w:after="0"/>
              <w:jc w:val="right"/>
              <w:rPr>
                <w:rFonts w:ascii="Cambria" w:eastAsia="Times New Roman" w:hAnsi="Cambria" w:cs="Calibri"/>
                <w:color w:val="000000"/>
              </w:rPr>
            </w:pPr>
            <w:r w:rsidRPr="00AB0919">
              <w:rPr>
                <w:rFonts w:ascii="Cambria" w:eastAsia="Times New Roman" w:hAnsi="Cambria" w:cs="Calibri"/>
                <w:color w:val="000000"/>
              </w:rPr>
              <w:t>4</w:t>
            </w:r>
          </w:p>
        </w:tc>
        <w:tc>
          <w:tcPr>
            <w:tcW w:w="2537" w:type="dxa"/>
            <w:tcBorders>
              <w:top w:val="nil"/>
              <w:left w:val="nil"/>
              <w:bottom w:val="single" w:sz="8" w:space="0" w:color="auto"/>
              <w:right w:val="nil"/>
            </w:tcBorders>
            <w:shd w:val="clear" w:color="auto" w:fill="auto"/>
            <w:vAlign w:val="center"/>
            <w:hideMark/>
          </w:tcPr>
          <w:p w14:paraId="67C2BCCC" w14:textId="77777777" w:rsidR="00AB0919" w:rsidRPr="00AB0919" w:rsidRDefault="00AB0919" w:rsidP="00AB0919">
            <w:pPr>
              <w:spacing w:after="0"/>
              <w:jc w:val="right"/>
              <w:rPr>
                <w:rFonts w:ascii="Cambria" w:eastAsia="Times New Roman" w:hAnsi="Cambria" w:cs="Calibri"/>
                <w:color w:val="000000"/>
              </w:rPr>
            </w:pPr>
            <w:r w:rsidRPr="00AB0919">
              <w:rPr>
                <w:rFonts w:ascii="Cambria" w:eastAsia="Times New Roman" w:hAnsi="Cambria" w:cs="Calibri"/>
                <w:color w:val="000000"/>
              </w:rPr>
              <w:t>13%</w:t>
            </w:r>
          </w:p>
        </w:tc>
        <w:tc>
          <w:tcPr>
            <w:tcW w:w="687" w:type="dxa"/>
            <w:tcBorders>
              <w:top w:val="nil"/>
              <w:left w:val="single" w:sz="8" w:space="0" w:color="auto"/>
              <w:bottom w:val="single" w:sz="8" w:space="0" w:color="auto"/>
              <w:right w:val="single" w:sz="8" w:space="0" w:color="auto"/>
            </w:tcBorders>
            <w:shd w:val="clear" w:color="auto" w:fill="auto"/>
            <w:vAlign w:val="center"/>
            <w:hideMark/>
          </w:tcPr>
          <w:p w14:paraId="34D1DB04" w14:textId="77777777" w:rsidR="00AB0919" w:rsidRPr="00AB0919" w:rsidRDefault="00AB0919" w:rsidP="00AB0919">
            <w:pPr>
              <w:spacing w:after="0"/>
              <w:jc w:val="right"/>
              <w:rPr>
                <w:rFonts w:ascii="Cambria" w:eastAsia="Times New Roman" w:hAnsi="Cambria" w:cs="Calibri"/>
                <w:color w:val="000000"/>
              </w:rPr>
            </w:pPr>
            <w:r w:rsidRPr="00AB0919">
              <w:rPr>
                <w:rFonts w:ascii="Cambria" w:eastAsia="Times New Roman" w:hAnsi="Cambria" w:cs="Calibri"/>
                <w:color w:val="000000"/>
              </w:rPr>
              <w:t>2</w:t>
            </w:r>
          </w:p>
        </w:tc>
        <w:tc>
          <w:tcPr>
            <w:tcW w:w="1324" w:type="dxa"/>
            <w:tcBorders>
              <w:top w:val="nil"/>
              <w:left w:val="nil"/>
              <w:bottom w:val="single" w:sz="8" w:space="0" w:color="auto"/>
              <w:right w:val="single" w:sz="8" w:space="0" w:color="auto"/>
            </w:tcBorders>
            <w:shd w:val="clear" w:color="auto" w:fill="auto"/>
            <w:noWrap/>
            <w:vAlign w:val="center"/>
            <w:hideMark/>
          </w:tcPr>
          <w:p w14:paraId="71CBFA6C" w14:textId="77777777" w:rsidR="00AB0919" w:rsidRPr="00AB0919" w:rsidRDefault="00AB0919" w:rsidP="00AB0919">
            <w:pPr>
              <w:spacing w:after="0"/>
              <w:jc w:val="right"/>
              <w:rPr>
                <w:rFonts w:ascii="Cambria" w:eastAsia="Times New Roman" w:hAnsi="Cambria" w:cs="Calibri"/>
                <w:color w:val="000000"/>
              </w:rPr>
            </w:pPr>
            <w:r w:rsidRPr="00AB0919">
              <w:rPr>
                <w:rFonts w:ascii="Cambria" w:eastAsia="Times New Roman" w:hAnsi="Cambria" w:cs="Calibri"/>
                <w:color w:val="000000"/>
              </w:rPr>
              <w:t>47.90%</w:t>
            </w:r>
          </w:p>
        </w:tc>
        <w:tc>
          <w:tcPr>
            <w:tcW w:w="719" w:type="dxa"/>
            <w:tcBorders>
              <w:top w:val="nil"/>
              <w:left w:val="nil"/>
              <w:bottom w:val="single" w:sz="8" w:space="0" w:color="auto"/>
              <w:right w:val="single" w:sz="8" w:space="0" w:color="auto"/>
            </w:tcBorders>
            <w:shd w:val="clear" w:color="auto" w:fill="auto"/>
            <w:noWrap/>
            <w:vAlign w:val="center"/>
            <w:hideMark/>
          </w:tcPr>
          <w:p w14:paraId="3952F67F" w14:textId="77777777" w:rsidR="00AB0919" w:rsidRPr="00AB0919" w:rsidRDefault="00AB0919" w:rsidP="00AB0919">
            <w:pPr>
              <w:spacing w:after="0"/>
              <w:jc w:val="right"/>
              <w:rPr>
                <w:rFonts w:ascii="Cambria" w:eastAsia="Times New Roman" w:hAnsi="Cambria" w:cs="Calibri"/>
                <w:color w:val="000000"/>
              </w:rPr>
            </w:pPr>
            <w:r w:rsidRPr="00AB0919">
              <w:rPr>
                <w:rFonts w:ascii="Cambria" w:eastAsia="Times New Roman" w:hAnsi="Cambria" w:cs="Calibri"/>
                <w:color w:val="000000"/>
              </w:rPr>
              <w:t>4</w:t>
            </w:r>
          </w:p>
        </w:tc>
        <w:tc>
          <w:tcPr>
            <w:tcW w:w="687" w:type="dxa"/>
            <w:tcBorders>
              <w:top w:val="nil"/>
              <w:left w:val="nil"/>
              <w:bottom w:val="single" w:sz="8" w:space="0" w:color="auto"/>
              <w:right w:val="single" w:sz="8" w:space="0" w:color="auto"/>
            </w:tcBorders>
            <w:shd w:val="clear" w:color="auto" w:fill="auto"/>
            <w:noWrap/>
            <w:vAlign w:val="center"/>
            <w:hideMark/>
          </w:tcPr>
          <w:p w14:paraId="3EC74A51" w14:textId="77777777" w:rsidR="00AB0919" w:rsidRPr="00AB0919" w:rsidRDefault="00AB0919" w:rsidP="00AB0919">
            <w:pPr>
              <w:spacing w:after="0"/>
              <w:jc w:val="right"/>
              <w:rPr>
                <w:rFonts w:ascii="Cambria" w:eastAsia="Times New Roman" w:hAnsi="Cambria" w:cs="Calibri"/>
                <w:color w:val="000000"/>
              </w:rPr>
            </w:pPr>
            <w:r w:rsidRPr="00AB0919">
              <w:rPr>
                <w:rFonts w:ascii="Cambria" w:eastAsia="Times New Roman" w:hAnsi="Cambria" w:cs="Calibri"/>
                <w:color w:val="000000"/>
              </w:rPr>
              <w:t>10</w:t>
            </w:r>
          </w:p>
        </w:tc>
      </w:tr>
      <w:tr w:rsidR="00AB0919" w:rsidRPr="00AB0919" w14:paraId="71837C67" w14:textId="77777777" w:rsidTr="00AB0919">
        <w:trPr>
          <w:trHeight w:val="310"/>
        </w:trPr>
        <w:tc>
          <w:tcPr>
            <w:tcW w:w="1452" w:type="dxa"/>
            <w:tcBorders>
              <w:top w:val="nil"/>
              <w:left w:val="single" w:sz="8" w:space="0" w:color="auto"/>
              <w:bottom w:val="single" w:sz="8" w:space="0" w:color="auto"/>
              <w:right w:val="single" w:sz="8" w:space="0" w:color="auto"/>
            </w:tcBorders>
            <w:shd w:val="clear" w:color="auto" w:fill="auto"/>
            <w:vAlign w:val="center"/>
            <w:hideMark/>
          </w:tcPr>
          <w:p w14:paraId="49FC6F13" w14:textId="77777777" w:rsidR="00AB0919" w:rsidRPr="00AB0919" w:rsidRDefault="00AB0919" w:rsidP="00AB0919">
            <w:pPr>
              <w:spacing w:after="0"/>
              <w:rPr>
                <w:rFonts w:ascii="Cambria" w:eastAsia="Times New Roman" w:hAnsi="Cambria" w:cs="Calibri"/>
                <w:color w:val="FF0000"/>
              </w:rPr>
            </w:pPr>
            <w:r w:rsidRPr="00AB0919">
              <w:rPr>
                <w:rFonts w:ascii="Cambria" w:eastAsia="Times New Roman" w:hAnsi="Cambria" w:cs="Calibri"/>
                <w:color w:val="FF0000"/>
              </w:rPr>
              <w:t>Nyaruguru</w:t>
            </w:r>
          </w:p>
        </w:tc>
        <w:tc>
          <w:tcPr>
            <w:tcW w:w="1055" w:type="dxa"/>
            <w:tcBorders>
              <w:top w:val="nil"/>
              <w:left w:val="nil"/>
              <w:bottom w:val="single" w:sz="8" w:space="0" w:color="auto"/>
              <w:right w:val="single" w:sz="8" w:space="0" w:color="auto"/>
            </w:tcBorders>
            <w:shd w:val="clear" w:color="auto" w:fill="auto"/>
            <w:vAlign w:val="center"/>
            <w:hideMark/>
          </w:tcPr>
          <w:p w14:paraId="743E0789" w14:textId="77777777" w:rsidR="00AB0919" w:rsidRPr="00AB0919" w:rsidRDefault="00AB0919" w:rsidP="00AB0919">
            <w:pPr>
              <w:spacing w:after="0"/>
              <w:jc w:val="right"/>
              <w:rPr>
                <w:rFonts w:ascii="Cambria" w:eastAsia="Times New Roman" w:hAnsi="Cambria" w:cs="Calibri"/>
                <w:color w:val="000000"/>
              </w:rPr>
            </w:pPr>
            <w:r w:rsidRPr="00AB0919">
              <w:rPr>
                <w:rFonts w:ascii="Cambria" w:eastAsia="Times New Roman" w:hAnsi="Cambria" w:cs="Calibri"/>
                <w:color w:val="000000"/>
              </w:rPr>
              <w:t>41.70%</w:t>
            </w:r>
          </w:p>
        </w:tc>
        <w:tc>
          <w:tcPr>
            <w:tcW w:w="719" w:type="dxa"/>
            <w:tcBorders>
              <w:top w:val="nil"/>
              <w:left w:val="nil"/>
              <w:bottom w:val="single" w:sz="8" w:space="0" w:color="auto"/>
              <w:right w:val="single" w:sz="8" w:space="0" w:color="auto"/>
            </w:tcBorders>
            <w:shd w:val="clear" w:color="auto" w:fill="auto"/>
            <w:vAlign w:val="center"/>
            <w:hideMark/>
          </w:tcPr>
          <w:p w14:paraId="0AB41898" w14:textId="77777777" w:rsidR="00AB0919" w:rsidRPr="00AB0919" w:rsidRDefault="00AB0919" w:rsidP="00AB0919">
            <w:pPr>
              <w:spacing w:after="0"/>
              <w:jc w:val="right"/>
              <w:rPr>
                <w:rFonts w:ascii="Cambria" w:eastAsia="Times New Roman" w:hAnsi="Cambria" w:cs="Calibri"/>
                <w:color w:val="000000"/>
              </w:rPr>
            </w:pPr>
            <w:r w:rsidRPr="00AB0919">
              <w:rPr>
                <w:rFonts w:ascii="Cambria" w:eastAsia="Times New Roman" w:hAnsi="Cambria" w:cs="Calibri"/>
                <w:color w:val="000000"/>
              </w:rPr>
              <w:t>4</w:t>
            </w:r>
          </w:p>
        </w:tc>
        <w:tc>
          <w:tcPr>
            <w:tcW w:w="2537" w:type="dxa"/>
            <w:tcBorders>
              <w:top w:val="nil"/>
              <w:left w:val="nil"/>
              <w:bottom w:val="single" w:sz="8" w:space="0" w:color="auto"/>
              <w:right w:val="nil"/>
            </w:tcBorders>
            <w:shd w:val="clear" w:color="auto" w:fill="auto"/>
            <w:vAlign w:val="center"/>
            <w:hideMark/>
          </w:tcPr>
          <w:p w14:paraId="3A204294" w14:textId="77777777" w:rsidR="00AB0919" w:rsidRPr="00AB0919" w:rsidRDefault="00AB0919" w:rsidP="00AB0919">
            <w:pPr>
              <w:spacing w:after="0"/>
              <w:jc w:val="right"/>
              <w:rPr>
                <w:rFonts w:ascii="Cambria" w:eastAsia="Times New Roman" w:hAnsi="Cambria" w:cs="Calibri"/>
                <w:color w:val="000000"/>
              </w:rPr>
            </w:pPr>
            <w:r w:rsidRPr="00AB0919">
              <w:rPr>
                <w:rFonts w:ascii="Cambria" w:eastAsia="Times New Roman" w:hAnsi="Cambria" w:cs="Calibri"/>
                <w:color w:val="000000"/>
              </w:rPr>
              <w:t>32%</w:t>
            </w:r>
          </w:p>
        </w:tc>
        <w:tc>
          <w:tcPr>
            <w:tcW w:w="687" w:type="dxa"/>
            <w:tcBorders>
              <w:top w:val="nil"/>
              <w:left w:val="single" w:sz="8" w:space="0" w:color="auto"/>
              <w:bottom w:val="single" w:sz="8" w:space="0" w:color="auto"/>
              <w:right w:val="single" w:sz="8" w:space="0" w:color="auto"/>
            </w:tcBorders>
            <w:shd w:val="clear" w:color="auto" w:fill="auto"/>
            <w:vAlign w:val="center"/>
            <w:hideMark/>
          </w:tcPr>
          <w:p w14:paraId="02A70CEC" w14:textId="77777777" w:rsidR="00AB0919" w:rsidRPr="00AB0919" w:rsidRDefault="00AB0919" w:rsidP="00AB0919">
            <w:pPr>
              <w:spacing w:after="0"/>
              <w:jc w:val="right"/>
              <w:rPr>
                <w:rFonts w:ascii="Cambria" w:eastAsia="Times New Roman" w:hAnsi="Cambria" w:cs="Calibri"/>
                <w:color w:val="000000"/>
              </w:rPr>
            </w:pPr>
            <w:r w:rsidRPr="00AB0919">
              <w:rPr>
                <w:rFonts w:ascii="Cambria" w:eastAsia="Times New Roman" w:hAnsi="Cambria" w:cs="Calibri"/>
                <w:color w:val="000000"/>
              </w:rPr>
              <w:t>4</w:t>
            </w:r>
          </w:p>
        </w:tc>
        <w:tc>
          <w:tcPr>
            <w:tcW w:w="1324" w:type="dxa"/>
            <w:tcBorders>
              <w:top w:val="nil"/>
              <w:left w:val="nil"/>
              <w:bottom w:val="single" w:sz="8" w:space="0" w:color="auto"/>
              <w:right w:val="single" w:sz="8" w:space="0" w:color="auto"/>
            </w:tcBorders>
            <w:shd w:val="clear" w:color="auto" w:fill="auto"/>
            <w:noWrap/>
            <w:vAlign w:val="center"/>
            <w:hideMark/>
          </w:tcPr>
          <w:p w14:paraId="5DA77573" w14:textId="77777777" w:rsidR="00AB0919" w:rsidRPr="00AB0919" w:rsidRDefault="00AB0919" w:rsidP="00AB0919">
            <w:pPr>
              <w:spacing w:after="0"/>
              <w:jc w:val="right"/>
              <w:rPr>
                <w:rFonts w:ascii="Cambria" w:eastAsia="Times New Roman" w:hAnsi="Cambria" w:cs="Calibri"/>
                <w:color w:val="000000"/>
              </w:rPr>
            </w:pPr>
            <w:r w:rsidRPr="00AB0919">
              <w:rPr>
                <w:rFonts w:ascii="Cambria" w:eastAsia="Times New Roman" w:hAnsi="Cambria" w:cs="Calibri"/>
                <w:color w:val="000000"/>
              </w:rPr>
              <w:t>30.50%</w:t>
            </w:r>
          </w:p>
        </w:tc>
        <w:tc>
          <w:tcPr>
            <w:tcW w:w="719" w:type="dxa"/>
            <w:tcBorders>
              <w:top w:val="nil"/>
              <w:left w:val="nil"/>
              <w:bottom w:val="single" w:sz="8" w:space="0" w:color="auto"/>
              <w:right w:val="single" w:sz="8" w:space="0" w:color="auto"/>
            </w:tcBorders>
            <w:shd w:val="clear" w:color="auto" w:fill="auto"/>
            <w:noWrap/>
            <w:vAlign w:val="center"/>
            <w:hideMark/>
          </w:tcPr>
          <w:p w14:paraId="7C51B410" w14:textId="77777777" w:rsidR="00AB0919" w:rsidRPr="00AB0919" w:rsidRDefault="00AB0919" w:rsidP="00AB0919">
            <w:pPr>
              <w:spacing w:after="0"/>
              <w:jc w:val="right"/>
              <w:rPr>
                <w:rFonts w:ascii="Cambria" w:eastAsia="Times New Roman" w:hAnsi="Cambria" w:cs="Calibri"/>
                <w:color w:val="000000"/>
              </w:rPr>
            </w:pPr>
            <w:r w:rsidRPr="00AB0919">
              <w:rPr>
                <w:rFonts w:ascii="Cambria" w:eastAsia="Times New Roman" w:hAnsi="Cambria" w:cs="Calibri"/>
                <w:color w:val="000000"/>
              </w:rPr>
              <w:t>2</w:t>
            </w:r>
          </w:p>
        </w:tc>
        <w:tc>
          <w:tcPr>
            <w:tcW w:w="687" w:type="dxa"/>
            <w:tcBorders>
              <w:top w:val="nil"/>
              <w:left w:val="nil"/>
              <w:bottom w:val="single" w:sz="8" w:space="0" w:color="auto"/>
              <w:right w:val="single" w:sz="8" w:space="0" w:color="auto"/>
            </w:tcBorders>
            <w:shd w:val="clear" w:color="auto" w:fill="auto"/>
            <w:noWrap/>
            <w:vAlign w:val="center"/>
            <w:hideMark/>
          </w:tcPr>
          <w:p w14:paraId="6575C13F" w14:textId="77777777" w:rsidR="00AB0919" w:rsidRPr="00AB0919" w:rsidRDefault="00AB0919" w:rsidP="00AB0919">
            <w:pPr>
              <w:spacing w:after="0"/>
              <w:jc w:val="right"/>
              <w:rPr>
                <w:rFonts w:ascii="Cambria" w:eastAsia="Times New Roman" w:hAnsi="Cambria" w:cs="Calibri"/>
                <w:color w:val="000000"/>
              </w:rPr>
            </w:pPr>
            <w:r w:rsidRPr="00AB0919">
              <w:rPr>
                <w:rFonts w:ascii="Cambria" w:eastAsia="Times New Roman" w:hAnsi="Cambria" w:cs="Calibri"/>
                <w:color w:val="000000"/>
              </w:rPr>
              <w:t>10</w:t>
            </w:r>
          </w:p>
        </w:tc>
      </w:tr>
      <w:tr w:rsidR="00AB0919" w:rsidRPr="00AB0919" w14:paraId="14615F21" w14:textId="77777777" w:rsidTr="00AB0919">
        <w:trPr>
          <w:trHeight w:val="310"/>
        </w:trPr>
        <w:tc>
          <w:tcPr>
            <w:tcW w:w="1452" w:type="dxa"/>
            <w:tcBorders>
              <w:top w:val="nil"/>
              <w:left w:val="single" w:sz="8" w:space="0" w:color="auto"/>
              <w:bottom w:val="single" w:sz="8" w:space="0" w:color="auto"/>
              <w:right w:val="single" w:sz="8" w:space="0" w:color="auto"/>
            </w:tcBorders>
            <w:shd w:val="clear" w:color="auto" w:fill="auto"/>
            <w:vAlign w:val="center"/>
            <w:hideMark/>
          </w:tcPr>
          <w:p w14:paraId="5C48788C" w14:textId="77777777" w:rsidR="00AB0919" w:rsidRPr="00AB0919" w:rsidRDefault="00AB0919" w:rsidP="00AB0919">
            <w:pPr>
              <w:spacing w:after="0"/>
              <w:rPr>
                <w:rFonts w:ascii="Cambria" w:eastAsia="Times New Roman" w:hAnsi="Cambria" w:cs="Calibri"/>
                <w:color w:val="FF0000"/>
              </w:rPr>
            </w:pPr>
            <w:r w:rsidRPr="00AB0919">
              <w:rPr>
                <w:rFonts w:ascii="Cambria" w:eastAsia="Times New Roman" w:hAnsi="Cambria" w:cs="Calibri"/>
                <w:color w:val="FF0000"/>
              </w:rPr>
              <w:t>Kayonza</w:t>
            </w:r>
          </w:p>
        </w:tc>
        <w:tc>
          <w:tcPr>
            <w:tcW w:w="1055" w:type="dxa"/>
            <w:tcBorders>
              <w:top w:val="nil"/>
              <w:left w:val="nil"/>
              <w:bottom w:val="single" w:sz="8" w:space="0" w:color="auto"/>
              <w:right w:val="single" w:sz="8" w:space="0" w:color="auto"/>
            </w:tcBorders>
            <w:shd w:val="clear" w:color="auto" w:fill="auto"/>
            <w:vAlign w:val="center"/>
            <w:hideMark/>
          </w:tcPr>
          <w:p w14:paraId="634579E2" w14:textId="77777777" w:rsidR="00AB0919" w:rsidRPr="00AB0919" w:rsidRDefault="00AB0919" w:rsidP="00AB0919">
            <w:pPr>
              <w:spacing w:after="0"/>
              <w:jc w:val="right"/>
              <w:rPr>
                <w:rFonts w:ascii="Cambria" w:eastAsia="Times New Roman" w:hAnsi="Cambria" w:cs="Calibri"/>
                <w:color w:val="000000"/>
              </w:rPr>
            </w:pPr>
            <w:r w:rsidRPr="00AB0919">
              <w:rPr>
                <w:rFonts w:ascii="Cambria" w:eastAsia="Times New Roman" w:hAnsi="Cambria" w:cs="Calibri"/>
                <w:color w:val="000000"/>
              </w:rPr>
              <w:t>42.40%</w:t>
            </w:r>
          </w:p>
        </w:tc>
        <w:tc>
          <w:tcPr>
            <w:tcW w:w="719" w:type="dxa"/>
            <w:tcBorders>
              <w:top w:val="nil"/>
              <w:left w:val="nil"/>
              <w:bottom w:val="single" w:sz="8" w:space="0" w:color="auto"/>
              <w:right w:val="single" w:sz="8" w:space="0" w:color="auto"/>
            </w:tcBorders>
            <w:shd w:val="clear" w:color="auto" w:fill="auto"/>
            <w:vAlign w:val="center"/>
            <w:hideMark/>
          </w:tcPr>
          <w:p w14:paraId="7B61C9EF" w14:textId="77777777" w:rsidR="00AB0919" w:rsidRPr="00AB0919" w:rsidRDefault="00AB0919" w:rsidP="00AB0919">
            <w:pPr>
              <w:spacing w:after="0"/>
              <w:jc w:val="right"/>
              <w:rPr>
                <w:rFonts w:ascii="Cambria" w:eastAsia="Times New Roman" w:hAnsi="Cambria" w:cs="Calibri"/>
                <w:color w:val="000000"/>
              </w:rPr>
            </w:pPr>
            <w:r w:rsidRPr="00AB0919">
              <w:rPr>
                <w:rFonts w:ascii="Cambria" w:eastAsia="Times New Roman" w:hAnsi="Cambria" w:cs="Calibri"/>
                <w:color w:val="000000"/>
              </w:rPr>
              <w:t>4</w:t>
            </w:r>
          </w:p>
        </w:tc>
        <w:tc>
          <w:tcPr>
            <w:tcW w:w="2537" w:type="dxa"/>
            <w:tcBorders>
              <w:top w:val="nil"/>
              <w:left w:val="nil"/>
              <w:bottom w:val="single" w:sz="8" w:space="0" w:color="auto"/>
              <w:right w:val="nil"/>
            </w:tcBorders>
            <w:shd w:val="clear" w:color="auto" w:fill="auto"/>
            <w:vAlign w:val="center"/>
            <w:hideMark/>
          </w:tcPr>
          <w:p w14:paraId="718CD92C" w14:textId="77777777" w:rsidR="00AB0919" w:rsidRPr="00AB0919" w:rsidRDefault="00AB0919" w:rsidP="00AB0919">
            <w:pPr>
              <w:spacing w:after="0"/>
              <w:jc w:val="right"/>
              <w:rPr>
                <w:rFonts w:ascii="Cambria" w:eastAsia="Times New Roman" w:hAnsi="Cambria" w:cs="Calibri"/>
                <w:color w:val="000000"/>
              </w:rPr>
            </w:pPr>
            <w:r w:rsidRPr="00AB0919">
              <w:rPr>
                <w:rFonts w:ascii="Cambria" w:eastAsia="Times New Roman" w:hAnsi="Cambria" w:cs="Calibri"/>
                <w:color w:val="000000"/>
              </w:rPr>
              <w:t>10%</w:t>
            </w:r>
          </w:p>
        </w:tc>
        <w:tc>
          <w:tcPr>
            <w:tcW w:w="687" w:type="dxa"/>
            <w:tcBorders>
              <w:top w:val="nil"/>
              <w:left w:val="single" w:sz="8" w:space="0" w:color="auto"/>
              <w:bottom w:val="single" w:sz="8" w:space="0" w:color="auto"/>
              <w:right w:val="single" w:sz="8" w:space="0" w:color="auto"/>
            </w:tcBorders>
            <w:shd w:val="clear" w:color="auto" w:fill="auto"/>
            <w:vAlign w:val="center"/>
            <w:hideMark/>
          </w:tcPr>
          <w:p w14:paraId="437456DC" w14:textId="77777777" w:rsidR="00AB0919" w:rsidRPr="00AB0919" w:rsidRDefault="00AB0919" w:rsidP="00AB0919">
            <w:pPr>
              <w:spacing w:after="0"/>
              <w:jc w:val="right"/>
              <w:rPr>
                <w:rFonts w:ascii="Cambria" w:eastAsia="Times New Roman" w:hAnsi="Cambria" w:cs="Calibri"/>
                <w:color w:val="000000"/>
              </w:rPr>
            </w:pPr>
            <w:r w:rsidRPr="00AB0919">
              <w:rPr>
                <w:rFonts w:ascii="Cambria" w:eastAsia="Times New Roman" w:hAnsi="Cambria" w:cs="Calibri"/>
                <w:color w:val="000000"/>
              </w:rPr>
              <w:t>2</w:t>
            </w:r>
          </w:p>
        </w:tc>
        <w:tc>
          <w:tcPr>
            <w:tcW w:w="1324" w:type="dxa"/>
            <w:tcBorders>
              <w:top w:val="nil"/>
              <w:left w:val="nil"/>
              <w:bottom w:val="single" w:sz="8" w:space="0" w:color="auto"/>
              <w:right w:val="single" w:sz="8" w:space="0" w:color="auto"/>
            </w:tcBorders>
            <w:shd w:val="clear" w:color="auto" w:fill="auto"/>
            <w:noWrap/>
            <w:vAlign w:val="center"/>
            <w:hideMark/>
          </w:tcPr>
          <w:p w14:paraId="613502B9" w14:textId="77777777" w:rsidR="00AB0919" w:rsidRPr="00AB0919" w:rsidRDefault="00AB0919" w:rsidP="00AB0919">
            <w:pPr>
              <w:spacing w:after="0"/>
              <w:jc w:val="right"/>
              <w:rPr>
                <w:rFonts w:ascii="Cambria" w:eastAsia="Times New Roman" w:hAnsi="Cambria" w:cs="Calibri"/>
                <w:color w:val="000000"/>
              </w:rPr>
            </w:pPr>
            <w:r w:rsidRPr="00AB0919">
              <w:rPr>
                <w:rFonts w:ascii="Cambria" w:eastAsia="Times New Roman" w:hAnsi="Cambria" w:cs="Calibri"/>
                <w:color w:val="000000"/>
              </w:rPr>
              <w:t>46.80%</w:t>
            </w:r>
          </w:p>
        </w:tc>
        <w:tc>
          <w:tcPr>
            <w:tcW w:w="719" w:type="dxa"/>
            <w:tcBorders>
              <w:top w:val="nil"/>
              <w:left w:val="nil"/>
              <w:bottom w:val="single" w:sz="8" w:space="0" w:color="auto"/>
              <w:right w:val="single" w:sz="8" w:space="0" w:color="auto"/>
            </w:tcBorders>
            <w:shd w:val="clear" w:color="auto" w:fill="auto"/>
            <w:noWrap/>
            <w:vAlign w:val="center"/>
            <w:hideMark/>
          </w:tcPr>
          <w:p w14:paraId="49B65404" w14:textId="77777777" w:rsidR="00AB0919" w:rsidRPr="00AB0919" w:rsidRDefault="00AB0919" w:rsidP="00AB0919">
            <w:pPr>
              <w:spacing w:after="0"/>
              <w:jc w:val="right"/>
              <w:rPr>
                <w:rFonts w:ascii="Cambria" w:eastAsia="Times New Roman" w:hAnsi="Cambria" w:cs="Calibri"/>
                <w:color w:val="000000"/>
              </w:rPr>
            </w:pPr>
            <w:r w:rsidRPr="00AB0919">
              <w:rPr>
                <w:rFonts w:ascii="Cambria" w:eastAsia="Times New Roman" w:hAnsi="Cambria" w:cs="Calibri"/>
                <w:color w:val="000000"/>
              </w:rPr>
              <w:t>4</w:t>
            </w:r>
          </w:p>
        </w:tc>
        <w:tc>
          <w:tcPr>
            <w:tcW w:w="687" w:type="dxa"/>
            <w:tcBorders>
              <w:top w:val="nil"/>
              <w:left w:val="nil"/>
              <w:bottom w:val="single" w:sz="8" w:space="0" w:color="auto"/>
              <w:right w:val="single" w:sz="8" w:space="0" w:color="auto"/>
            </w:tcBorders>
            <w:shd w:val="clear" w:color="auto" w:fill="auto"/>
            <w:noWrap/>
            <w:vAlign w:val="center"/>
            <w:hideMark/>
          </w:tcPr>
          <w:p w14:paraId="72C1EB00" w14:textId="77777777" w:rsidR="00AB0919" w:rsidRPr="00AB0919" w:rsidRDefault="00AB0919" w:rsidP="00AB0919">
            <w:pPr>
              <w:spacing w:after="0"/>
              <w:jc w:val="right"/>
              <w:rPr>
                <w:rFonts w:ascii="Cambria" w:eastAsia="Times New Roman" w:hAnsi="Cambria" w:cs="Calibri"/>
                <w:color w:val="000000"/>
              </w:rPr>
            </w:pPr>
            <w:r w:rsidRPr="00AB0919">
              <w:rPr>
                <w:rFonts w:ascii="Cambria" w:eastAsia="Times New Roman" w:hAnsi="Cambria" w:cs="Calibri"/>
                <w:color w:val="000000"/>
              </w:rPr>
              <w:t>10</w:t>
            </w:r>
          </w:p>
        </w:tc>
      </w:tr>
      <w:tr w:rsidR="00AB0919" w:rsidRPr="00AB0919" w14:paraId="07743080" w14:textId="77777777" w:rsidTr="00AB0919">
        <w:trPr>
          <w:trHeight w:val="310"/>
        </w:trPr>
        <w:tc>
          <w:tcPr>
            <w:tcW w:w="1452" w:type="dxa"/>
            <w:tcBorders>
              <w:top w:val="nil"/>
              <w:left w:val="single" w:sz="8" w:space="0" w:color="auto"/>
              <w:bottom w:val="single" w:sz="8" w:space="0" w:color="auto"/>
              <w:right w:val="single" w:sz="8" w:space="0" w:color="auto"/>
            </w:tcBorders>
            <w:shd w:val="clear" w:color="auto" w:fill="auto"/>
            <w:vAlign w:val="center"/>
            <w:hideMark/>
          </w:tcPr>
          <w:p w14:paraId="768B3FD7" w14:textId="77777777" w:rsidR="00AB0919" w:rsidRPr="00AB0919" w:rsidRDefault="00AB0919" w:rsidP="00AB0919">
            <w:pPr>
              <w:spacing w:after="0"/>
              <w:rPr>
                <w:rFonts w:ascii="Cambria" w:eastAsia="Times New Roman" w:hAnsi="Cambria" w:cs="Calibri"/>
                <w:color w:val="FF0000"/>
              </w:rPr>
            </w:pPr>
            <w:r w:rsidRPr="00AB0919">
              <w:rPr>
                <w:rFonts w:ascii="Cambria" w:eastAsia="Times New Roman" w:hAnsi="Cambria" w:cs="Calibri"/>
                <w:color w:val="FF0000"/>
              </w:rPr>
              <w:t>Bugesera</w:t>
            </w:r>
          </w:p>
        </w:tc>
        <w:tc>
          <w:tcPr>
            <w:tcW w:w="1055" w:type="dxa"/>
            <w:tcBorders>
              <w:top w:val="nil"/>
              <w:left w:val="nil"/>
              <w:bottom w:val="single" w:sz="8" w:space="0" w:color="auto"/>
              <w:right w:val="single" w:sz="8" w:space="0" w:color="auto"/>
            </w:tcBorders>
            <w:shd w:val="clear" w:color="auto" w:fill="auto"/>
            <w:vAlign w:val="center"/>
            <w:hideMark/>
          </w:tcPr>
          <w:p w14:paraId="571D068D" w14:textId="77777777" w:rsidR="00AB0919" w:rsidRPr="00AB0919" w:rsidRDefault="00AB0919" w:rsidP="00AB0919">
            <w:pPr>
              <w:spacing w:after="0"/>
              <w:jc w:val="right"/>
              <w:rPr>
                <w:rFonts w:ascii="Cambria" w:eastAsia="Times New Roman" w:hAnsi="Cambria" w:cs="Calibri"/>
                <w:color w:val="000000"/>
              </w:rPr>
            </w:pPr>
            <w:r w:rsidRPr="00AB0919">
              <w:rPr>
                <w:rFonts w:ascii="Cambria" w:eastAsia="Times New Roman" w:hAnsi="Cambria" w:cs="Calibri"/>
                <w:color w:val="000000"/>
              </w:rPr>
              <w:t>39.40%</w:t>
            </w:r>
          </w:p>
        </w:tc>
        <w:tc>
          <w:tcPr>
            <w:tcW w:w="719" w:type="dxa"/>
            <w:tcBorders>
              <w:top w:val="nil"/>
              <w:left w:val="nil"/>
              <w:bottom w:val="single" w:sz="8" w:space="0" w:color="auto"/>
              <w:right w:val="single" w:sz="8" w:space="0" w:color="auto"/>
            </w:tcBorders>
            <w:shd w:val="clear" w:color="auto" w:fill="auto"/>
            <w:vAlign w:val="center"/>
            <w:hideMark/>
          </w:tcPr>
          <w:p w14:paraId="0F913B59" w14:textId="77777777" w:rsidR="00AB0919" w:rsidRPr="00AB0919" w:rsidRDefault="00AB0919" w:rsidP="00AB0919">
            <w:pPr>
              <w:spacing w:after="0"/>
              <w:jc w:val="right"/>
              <w:rPr>
                <w:rFonts w:ascii="Cambria" w:eastAsia="Times New Roman" w:hAnsi="Cambria" w:cs="Calibri"/>
                <w:color w:val="000000"/>
              </w:rPr>
            </w:pPr>
            <w:r w:rsidRPr="00AB0919">
              <w:rPr>
                <w:rFonts w:ascii="Cambria" w:eastAsia="Times New Roman" w:hAnsi="Cambria" w:cs="Calibri"/>
                <w:color w:val="000000"/>
              </w:rPr>
              <w:t>2</w:t>
            </w:r>
          </w:p>
        </w:tc>
        <w:tc>
          <w:tcPr>
            <w:tcW w:w="2537" w:type="dxa"/>
            <w:tcBorders>
              <w:top w:val="nil"/>
              <w:left w:val="nil"/>
              <w:bottom w:val="single" w:sz="8" w:space="0" w:color="auto"/>
              <w:right w:val="nil"/>
            </w:tcBorders>
            <w:shd w:val="clear" w:color="auto" w:fill="auto"/>
            <w:vAlign w:val="center"/>
            <w:hideMark/>
          </w:tcPr>
          <w:p w14:paraId="519E7CEE" w14:textId="77777777" w:rsidR="00AB0919" w:rsidRPr="00AB0919" w:rsidRDefault="00AB0919" w:rsidP="00AB0919">
            <w:pPr>
              <w:spacing w:after="0"/>
              <w:jc w:val="right"/>
              <w:rPr>
                <w:rFonts w:ascii="Cambria" w:eastAsia="Times New Roman" w:hAnsi="Cambria" w:cs="Calibri"/>
                <w:color w:val="000000"/>
              </w:rPr>
            </w:pPr>
            <w:r w:rsidRPr="00AB0919">
              <w:rPr>
                <w:rFonts w:ascii="Cambria" w:eastAsia="Times New Roman" w:hAnsi="Cambria" w:cs="Calibri"/>
                <w:color w:val="000000"/>
              </w:rPr>
              <w:t>27%</w:t>
            </w:r>
          </w:p>
        </w:tc>
        <w:tc>
          <w:tcPr>
            <w:tcW w:w="687" w:type="dxa"/>
            <w:tcBorders>
              <w:top w:val="nil"/>
              <w:left w:val="single" w:sz="8" w:space="0" w:color="auto"/>
              <w:bottom w:val="single" w:sz="8" w:space="0" w:color="auto"/>
              <w:right w:val="single" w:sz="8" w:space="0" w:color="auto"/>
            </w:tcBorders>
            <w:shd w:val="clear" w:color="auto" w:fill="auto"/>
            <w:vAlign w:val="center"/>
            <w:hideMark/>
          </w:tcPr>
          <w:p w14:paraId="482B87C2" w14:textId="77777777" w:rsidR="00AB0919" w:rsidRPr="00AB0919" w:rsidRDefault="00AB0919" w:rsidP="00AB0919">
            <w:pPr>
              <w:spacing w:after="0"/>
              <w:jc w:val="right"/>
              <w:rPr>
                <w:rFonts w:ascii="Cambria" w:eastAsia="Times New Roman" w:hAnsi="Cambria" w:cs="Calibri"/>
                <w:color w:val="000000"/>
              </w:rPr>
            </w:pPr>
            <w:r w:rsidRPr="00AB0919">
              <w:rPr>
                <w:rFonts w:ascii="Cambria" w:eastAsia="Times New Roman" w:hAnsi="Cambria" w:cs="Calibri"/>
                <w:color w:val="000000"/>
              </w:rPr>
              <w:t>4</w:t>
            </w:r>
          </w:p>
        </w:tc>
        <w:tc>
          <w:tcPr>
            <w:tcW w:w="1324" w:type="dxa"/>
            <w:tcBorders>
              <w:top w:val="nil"/>
              <w:left w:val="nil"/>
              <w:bottom w:val="single" w:sz="8" w:space="0" w:color="auto"/>
              <w:right w:val="single" w:sz="8" w:space="0" w:color="auto"/>
            </w:tcBorders>
            <w:shd w:val="clear" w:color="auto" w:fill="auto"/>
            <w:noWrap/>
            <w:vAlign w:val="center"/>
            <w:hideMark/>
          </w:tcPr>
          <w:p w14:paraId="4903FA63" w14:textId="77777777" w:rsidR="00AB0919" w:rsidRPr="00AB0919" w:rsidRDefault="00AB0919" w:rsidP="00AB0919">
            <w:pPr>
              <w:spacing w:after="0"/>
              <w:jc w:val="right"/>
              <w:rPr>
                <w:rFonts w:ascii="Cambria" w:eastAsia="Times New Roman" w:hAnsi="Cambria" w:cs="Calibri"/>
                <w:color w:val="000000"/>
              </w:rPr>
            </w:pPr>
            <w:r w:rsidRPr="00AB0919">
              <w:rPr>
                <w:rFonts w:ascii="Cambria" w:eastAsia="Times New Roman" w:hAnsi="Cambria" w:cs="Calibri"/>
                <w:color w:val="000000"/>
              </w:rPr>
              <w:t>44.10%</w:t>
            </w:r>
          </w:p>
        </w:tc>
        <w:tc>
          <w:tcPr>
            <w:tcW w:w="719" w:type="dxa"/>
            <w:tcBorders>
              <w:top w:val="nil"/>
              <w:left w:val="nil"/>
              <w:bottom w:val="single" w:sz="8" w:space="0" w:color="auto"/>
              <w:right w:val="single" w:sz="8" w:space="0" w:color="auto"/>
            </w:tcBorders>
            <w:shd w:val="clear" w:color="auto" w:fill="auto"/>
            <w:noWrap/>
            <w:vAlign w:val="center"/>
            <w:hideMark/>
          </w:tcPr>
          <w:p w14:paraId="38A98ACC" w14:textId="77777777" w:rsidR="00AB0919" w:rsidRPr="00AB0919" w:rsidRDefault="00AB0919" w:rsidP="00AB0919">
            <w:pPr>
              <w:spacing w:after="0"/>
              <w:jc w:val="right"/>
              <w:rPr>
                <w:rFonts w:ascii="Cambria" w:eastAsia="Times New Roman" w:hAnsi="Cambria" w:cs="Calibri"/>
                <w:color w:val="000000"/>
              </w:rPr>
            </w:pPr>
            <w:r w:rsidRPr="00AB0919">
              <w:rPr>
                <w:rFonts w:ascii="Cambria" w:eastAsia="Times New Roman" w:hAnsi="Cambria" w:cs="Calibri"/>
                <w:color w:val="000000"/>
              </w:rPr>
              <w:t>4</w:t>
            </w:r>
          </w:p>
        </w:tc>
        <w:tc>
          <w:tcPr>
            <w:tcW w:w="687" w:type="dxa"/>
            <w:tcBorders>
              <w:top w:val="nil"/>
              <w:left w:val="nil"/>
              <w:bottom w:val="single" w:sz="8" w:space="0" w:color="auto"/>
              <w:right w:val="single" w:sz="8" w:space="0" w:color="auto"/>
            </w:tcBorders>
            <w:shd w:val="clear" w:color="auto" w:fill="auto"/>
            <w:noWrap/>
            <w:vAlign w:val="center"/>
            <w:hideMark/>
          </w:tcPr>
          <w:p w14:paraId="5B3E7DFD" w14:textId="77777777" w:rsidR="00AB0919" w:rsidRPr="00AB0919" w:rsidRDefault="00AB0919" w:rsidP="00AB0919">
            <w:pPr>
              <w:spacing w:after="0"/>
              <w:jc w:val="right"/>
              <w:rPr>
                <w:rFonts w:ascii="Cambria" w:eastAsia="Times New Roman" w:hAnsi="Cambria" w:cs="Calibri"/>
                <w:color w:val="000000"/>
              </w:rPr>
            </w:pPr>
            <w:r w:rsidRPr="00AB0919">
              <w:rPr>
                <w:rFonts w:ascii="Cambria" w:eastAsia="Times New Roman" w:hAnsi="Cambria" w:cs="Calibri"/>
                <w:color w:val="000000"/>
              </w:rPr>
              <w:t>10</w:t>
            </w:r>
          </w:p>
        </w:tc>
      </w:tr>
      <w:tr w:rsidR="00AB0919" w:rsidRPr="00AB0919" w14:paraId="09981E33" w14:textId="77777777" w:rsidTr="00AB0919">
        <w:trPr>
          <w:trHeight w:val="310"/>
        </w:trPr>
        <w:tc>
          <w:tcPr>
            <w:tcW w:w="1452" w:type="dxa"/>
            <w:tcBorders>
              <w:top w:val="nil"/>
              <w:left w:val="single" w:sz="8" w:space="0" w:color="auto"/>
              <w:bottom w:val="single" w:sz="8" w:space="0" w:color="auto"/>
              <w:right w:val="single" w:sz="8" w:space="0" w:color="auto"/>
            </w:tcBorders>
            <w:shd w:val="clear" w:color="auto" w:fill="auto"/>
            <w:vAlign w:val="center"/>
            <w:hideMark/>
          </w:tcPr>
          <w:p w14:paraId="0F754CF5" w14:textId="77777777" w:rsidR="00AB0919" w:rsidRPr="00AB0919" w:rsidRDefault="00AB0919" w:rsidP="00AB0919">
            <w:pPr>
              <w:spacing w:after="0"/>
              <w:rPr>
                <w:rFonts w:ascii="Cambria" w:eastAsia="Times New Roman" w:hAnsi="Cambria" w:cs="Calibri"/>
                <w:color w:val="000000"/>
              </w:rPr>
            </w:pPr>
            <w:r w:rsidRPr="00AB0919">
              <w:rPr>
                <w:rFonts w:ascii="Cambria" w:eastAsia="Times New Roman" w:hAnsi="Cambria" w:cs="Calibri"/>
                <w:color w:val="000000"/>
              </w:rPr>
              <w:t>Nyanza</w:t>
            </w:r>
          </w:p>
        </w:tc>
        <w:tc>
          <w:tcPr>
            <w:tcW w:w="1055" w:type="dxa"/>
            <w:tcBorders>
              <w:top w:val="nil"/>
              <w:left w:val="nil"/>
              <w:bottom w:val="single" w:sz="8" w:space="0" w:color="auto"/>
              <w:right w:val="single" w:sz="8" w:space="0" w:color="auto"/>
            </w:tcBorders>
            <w:shd w:val="clear" w:color="auto" w:fill="auto"/>
            <w:vAlign w:val="center"/>
            <w:hideMark/>
          </w:tcPr>
          <w:p w14:paraId="22161E29" w14:textId="77777777" w:rsidR="00AB0919" w:rsidRPr="00AB0919" w:rsidRDefault="00AB0919" w:rsidP="00AB0919">
            <w:pPr>
              <w:spacing w:after="0"/>
              <w:jc w:val="right"/>
              <w:rPr>
                <w:rFonts w:ascii="Cambria" w:eastAsia="Times New Roman" w:hAnsi="Cambria" w:cs="Calibri"/>
                <w:color w:val="000000"/>
              </w:rPr>
            </w:pPr>
            <w:r w:rsidRPr="00AB0919">
              <w:rPr>
                <w:rFonts w:ascii="Cambria" w:eastAsia="Times New Roman" w:hAnsi="Cambria" w:cs="Calibri"/>
                <w:color w:val="000000"/>
              </w:rPr>
              <w:t>33.30%</w:t>
            </w:r>
          </w:p>
        </w:tc>
        <w:tc>
          <w:tcPr>
            <w:tcW w:w="719" w:type="dxa"/>
            <w:tcBorders>
              <w:top w:val="nil"/>
              <w:left w:val="nil"/>
              <w:bottom w:val="single" w:sz="8" w:space="0" w:color="auto"/>
              <w:right w:val="single" w:sz="8" w:space="0" w:color="auto"/>
            </w:tcBorders>
            <w:shd w:val="clear" w:color="auto" w:fill="auto"/>
            <w:vAlign w:val="center"/>
            <w:hideMark/>
          </w:tcPr>
          <w:p w14:paraId="458FC57D" w14:textId="77777777" w:rsidR="00AB0919" w:rsidRPr="00AB0919" w:rsidRDefault="00AB0919" w:rsidP="00AB0919">
            <w:pPr>
              <w:spacing w:after="0"/>
              <w:jc w:val="right"/>
              <w:rPr>
                <w:rFonts w:ascii="Cambria" w:eastAsia="Times New Roman" w:hAnsi="Cambria" w:cs="Calibri"/>
                <w:color w:val="000000"/>
              </w:rPr>
            </w:pPr>
            <w:r w:rsidRPr="00AB0919">
              <w:rPr>
                <w:rFonts w:ascii="Cambria" w:eastAsia="Times New Roman" w:hAnsi="Cambria" w:cs="Calibri"/>
                <w:color w:val="000000"/>
              </w:rPr>
              <w:t>2</w:t>
            </w:r>
          </w:p>
        </w:tc>
        <w:tc>
          <w:tcPr>
            <w:tcW w:w="2537" w:type="dxa"/>
            <w:tcBorders>
              <w:top w:val="nil"/>
              <w:left w:val="nil"/>
              <w:bottom w:val="single" w:sz="8" w:space="0" w:color="auto"/>
              <w:right w:val="nil"/>
            </w:tcBorders>
            <w:shd w:val="clear" w:color="auto" w:fill="auto"/>
            <w:vAlign w:val="center"/>
            <w:hideMark/>
          </w:tcPr>
          <w:p w14:paraId="379827E6" w14:textId="77777777" w:rsidR="00AB0919" w:rsidRPr="00AB0919" w:rsidRDefault="00AB0919" w:rsidP="00AB0919">
            <w:pPr>
              <w:spacing w:after="0"/>
              <w:jc w:val="right"/>
              <w:rPr>
                <w:rFonts w:ascii="Cambria" w:eastAsia="Times New Roman" w:hAnsi="Cambria" w:cs="Calibri"/>
                <w:color w:val="000000"/>
              </w:rPr>
            </w:pPr>
            <w:r w:rsidRPr="00AB0919">
              <w:rPr>
                <w:rFonts w:ascii="Cambria" w:eastAsia="Times New Roman" w:hAnsi="Cambria" w:cs="Calibri"/>
                <w:color w:val="000000"/>
              </w:rPr>
              <w:t>30%</w:t>
            </w:r>
          </w:p>
        </w:tc>
        <w:tc>
          <w:tcPr>
            <w:tcW w:w="687" w:type="dxa"/>
            <w:tcBorders>
              <w:top w:val="nil"/>
              <w:left w:val="single" w:sz="8" w:space="0" w:color="auto"/>
              <w:bottom w:val="single" w:sz="8" w:space="0" w:color="auto"/>
              <w:right w:val="single" w:sz="8" w:space="0" w:color="auto"/>
            </w:tcBorders>
            <w:shd w:val="clear" w:color="auto" w:fill="auto"/>
            <w:vAlign w:val="center"/>
            <w:hideMark/>
          </w:tcPr>
          <w:p w14:paraId="633F7413" w14:textId="77777777" w:rsidR="00AB0919" w:rsidRPr="00AB0919" w:rsidRDefault="00AB0919" w:rsidP="00AB0919">
            <w:pPr>
              <w:spacing w:after="0"/>
              <w:jc w:val="right"/>
              <w:rPr>
                <w:rFonts w:ascii="Cambria" w:eastAsia="Times New Roman" w:hAnsi="Cambria" w:cs="Calibri"/>
                <w:color w:val="000000"/>
              </w:rPr>
            </w:pPr>
            <w:r w:rsidRPr="00AB0919">
              <w:rPr>
                <w:rFonts w:ascii="Cambria" w:eastAsia="Times New Roman" w:hAnsi="Cambria" w:cs="Calibri"/>
                <w:color w:val="000000"/>
              </w:rPr>
              <w:t>4</w:t>
            </w:r>
          </w:p>
        </w:tc>
        <w:tc>
          <w:tcPr>
            <w:tcW w:w="1324" w:type="dxa"/>
            <w:tcBorders>
              <w:top w:val="nil"/>
              <w:left w:val="nil"/>
              <w:bottom w:val="single" w:sz="8" w:space="0" w:color="auto"/>
              <w:right w:val="single" w:sz="8" w:space="0" w:color="auto"/>
            </w:tcBorders>
            <w:shd w:val="clear" w:color="auto" w:fill="auto"/>
            <w:noWrap/>
            <w:vAlign w:val="center"/>
            <w:hideMark/>
          </w:tcPr>
          <w:p w14:paraId="1454EEB9" w14:textId="77777777" w:rsidR="00AB0919" w:rsidRPr="00AB0919" w:rsidRDefault="00AB0919" w:rsidP="00AB0919">
            <w:pPr>
              <w:spacing w:after="0"/>
              <w:jc w:val="right"/>
              <w:rPr>
                <w:rFonts w:ascii="Cambria" w:eastAsia="Times New Roman" w:hAnsi="Cambria" w:cs="Calibri"/>
                <w:color w:val="000000"/>
              </w:rPr>
            </w:pPr>
            <w:r w:rsidRPr="00AB0919">
              <w:rPr>
                <w:rFonts w:ascii="Cambria" w:eastAsia="Times New Roman" w:hAnsi="Cambria" w:cs="Calibri"/>
                <w:color w:val="000000"/>
              </w:rPr>
              <w:t>42.00%</w:t>
            </w:r>
          </w:p>
        </w:tc>
        <w:tc>
          <w:tcPr>
            <w:tcW w:w="719" w:type="dxa"/>
            <w:tcBorders>
              <w:top w:val="nil"/>
              <w:left w:val="nil"/>
              <w:bottom w:val="single" w:sz="8" w:space="0" w:color="auto"/>
              <w:right w:val="single" w:sz="8" w:space="0" w:color="auto"/>
            </w:tcBorders>
            <w:shd w:val="clear" w:color="auto" w:fill="auto"/>
            <w:noWrap/>
            <w:vAlign w:val="center"/>
            <w:hideMark/>
          </w:tcPr>
          <w:p w14:paraId="1956DF50" w14:textId="77777777" w:rsidR="00AB0919" w:rsidRPr="00AB0919" w:rsidRDefault="00AB0919" w:rsidP="00AB0919">
            <w:pPr>
              <w:spacing w:after="0"/>
              <w:jc w:val="right"/>
              <w:rPr>
                <w:rFonts w:ascii="Cambria" w:eastAsia="Times New Roman" w:hAnsi="Cambria" w:cs="Calibri"/>
                <w:color w:val="000000"/>
              </w:rPr>
            </w:pPr>
            <w:r w:rsidRPr="00AB0919">
              <w:rPr>
                <w:rFonts w:ascii="Cambria" w:eastAsia="Times New Roman" w:hAnsi="Cambria" w:cs="Calibri"/>
                <w:color w:val="000000"/>
              </w:rPr>
              <w:t>3</w:t>
            </w:r>
          </w:p>
        </w:tc>
        <w:tc>
          <w:tcPr>
            <w:tcW w:w="687" w:type="dxa"/>
            <w:tcBorders>
              <w:top w:val="nil"/>
              <w:left w:val="nil"/>
              <w:bottom w:val="single" w:sz="8" w:space="0" w:color="auto"/>
              <w:right w:val="single" w:sz="8" w:space="0" w:color="auto"/>
            </w:tcBorders>
            <w:shd w:val="clear" w:color="auto" w:fill="auto"/>
            <w:noWrap/>
            <w:vAlign w:val="center"/>
            <w:hideMark/>
          </w:tcPr>
          <w:p w14:paraId="34C1CB11" w14:textId="77777777" w:rsidR="00AB0919" w:rsidRPr="00AB0919" w:rsidRDefault="00AB0919" w:rsidP="00AB0919">
            <w:pPr>
              <w:spacing w:after="0"/>
              <w:jc w:val="right"/>
              <w:rPr>
                <w:rFonts w:ascii="Cambria" w:eastAsia="Times New Roman" w:hAnsi="Cambria" w:cs="Calibri"/>
                <w:color w:val="000000"/>
              </w:rPr>
            </w:pPr>
            <w:r w:rsidRPr="00AB0919">
              <w:rPr>
                <w:rFonts w:ascii="Cambria" w:eastAsia="Times New Roman" w:hAnsi="Cambria" w:cs="Calibri"/>
                <w:color w:val="000000"/>
              </w:rPr>
              <w:t>9</w:t>
            </w:r>
          </w:p>
        </w:tc>
      </w:tr>
      <w:tr w:rsidR="00AB0919" w:rsidRPr="00AB0919" w14:paraId="326D185E" w14:textId="77777777" w:rsidTr="00AB0919">
        <w:trPr>
          <w:trHeight w:val="310"/>
        </w:trPr>
        <w:tc>
          <w:tcPr>
            <w:tcW w:w="1452" w:type="dxa"/>
            <w:tcBorders>
              <w:top w:val="nil"/>
              <w:left w:val="single" w:sz="8" w:space="0" w:color="auto"/>
              <w:bottom w:val="single" w:sz="8" w:space="0" w:color="auto"/>
              <w:right w:val="single" w:sz="8" w:space="0" w:color="auto"/>
            </w:tcBorders>
            <w:shd w:val="clear" w:color="auto" w:fill="auto"/>
            <w:vAlign w:val="center"/>
            <w:hideMark/>
          </w:tcPr>
          <w:p w14:paraId="2BCB47E5" w14:textId="77777777" w:rsidR="00AB0919" w:rsidRPr="00AB0919" w:rsidRDefault="00AB0919" w:rsidP="00AB0919">
            <w:pPr>
              <w:spacing w:after="0"/>
              <w:rPr>
                <w:rFonts w:ascii="Cambria" w:eastAsia="Times New Roman" w:hAnsi="Cambria" w:cs="Calibri"/>
                <w:color w:val="000000"/>
              </w:rPr>
            </w:pPr>
            <w:r w:rsidRPr="00AB0919">
              <w:rPr>
                <w:rFonts w:ascii="Cambria" w:eastAsia="Times New Roman" w:hAnsi="Cambria" w:cs="Calibri"/>
                <w:color w:val="000000"/>
              </w:rPr>
              <w:t>Burera</w:t>
            </w:r>
          </w:p>
        </w:tc>
        <w:tc>
          <w:tcPr>
            <w:tcW w:w="1055" w:type="dxa"/>
            <w:tcBorders>
              <w:top w:val="nil"/>
              <w:left w:val="nil"/>
              <w:bottom w:val="single" w:sz="8" w:space="0" w:color="auto"/>
              <w:right w:val="single" w:sz="8" w:space="0" w:color="auto"/>
            </w:tcBorders>
            <w:shd w:val="clear" w:color="auto" w:fill="auto"/>
            <w:vAlign w:val="center"/>
            <w:hideMark/>
          </w:tcPr>
          <w:p w14:paraId="3091ECF7" w14:textId="77777777" w:rsidR="00AB0919" w:rsidRPr="00AB0919" w:rsidRDefault="00AB0919" w:rsidP="00AB0919">
            <w:pPr>
              <w:spacing w:after="0"/>
              <w:jc w:val="right"/>
              <w:rPr>
                <w:rFonts w:ascii="Cambria" w:eastAsia="Times New Roman" w:hAnsi="Cambria" w:cs="Calibri"/>
                <w:color w:val="000000"/>
              </w:rPr>
            </w:pPr>
            <w:r w:rsidRPr="00AB0919">
              <w:rPr>
                <w:rFonts w:ascii="Cambria" w:eastAsia="Times New Roman" w:hAnsi="Cambria" w:cs="Calibri"/>
                <w:color w:val="000000"/>
              </w:rPr>
              <w:t>42.90%</w:t>
            </w:r>
          </w:p>
        </w:tc>
        <w:tc>
          <w:tcPr>
            <w:tcW w:w="719" w:type="dxa"/>
            <w:tcBorders>
              <w:top w:val="nil"/>
              <w:left w:val="nil"/>
              <w:bottom w:val="single" w:sz="8" w:space="0" w:color="auto"/>
              <w:right w:val="single" w:sz="8" w:space="0" w:color="auto"/>
            </w:tcBorders>
            <w:shd w:val="clear" w:color="auto" w:fill="auto"/>
            <w:vAlign w:val="center"/>
            <w:hideMark/>
          </w:tcPr>
          <w:p w14:paraId="693C9239" w14:textId="77777777" w:rsidR="00AB0919" w:rsidRPr="00AB0919" w:rsidRDefault="00AB0919" w:rsidP="00AB0919">
            <w:pPr>
              <w:spacing w:after="0"/>
              <w:jc w:val="right"/>
              <w:rPr>
                <w:rFonts w:ascii="Cambria" w:eastAsia="Times New Roman" w:hAnsi="Cambria" w:cs="Calibri"/>
                <w:color w:val="000000"/>
              </w:rPr>
            </w:pPr>
            <w:r w:rsidRPr="00AB0919">
              <w:rPr>
                <w:rFonts w:ascii="Cambria" w:eastAsia="Times New Roman" w:hAnsi="Cambria" w:cs="Calibri"/>
                <w:color w:val="000000"/>
              </w:rPr>
              <w:t>4</w:t>
            </w:r>
          </w:p>
        </w:tc>
        <w:tc>
          <w:tcPr>
            <w:tcW w:w="2537" w:type="dxa"/>
            <w:tcBorders>
              <w:top w:val="nil"/>
              <w:left w:val="nil"/>
              <w:bottom w:val="single" w:sz="8" w:space="0" w:color="auto"/>
              <w:right w:val="nil"/>
            </w:tcBorders>
            <w:shd w:val="clear" w:color="auto" w:fill="auto"/>
            <w:vAlign w:val="center"/>
            <w:hideMark/>
          </w:tcPr>
          <w:p w14:paraId="53C29462" w14:textId="77777777" w:rsidR="00AB0919" w:rsidRPr="00AB0919" w:rsidRDefault="00AB0919" w:rsidP="00AB0919">
            <w:pPr>
              <w:spacing w:after="0"/>
              <w:jc w:val="right"/>
              <w:rPr>
                <w:rFonts w:ascii="Cambria" w:eastAsia="Times New Roman" w:hAnsi="Cambria" w:cs="Calibri"/>
                <w:color w:val="000000"/>
              </w:rPr>
            </w:pPr>
            <w:r w:rsidRPr="00AB0919">
              <w:rPr>
                <w:rFonts w:ascii="Cambria" w:eastAsia="Times New Roman" w:hAnsi="Cambria" w:cs="Calibri"/>
                <w:color w:val="000000"/>
              </w:rPr>
              <w:t>21%</w:t>
            </w:r>
          </w:p>
        </w:tc>
        <w:tc>
          <w:tcPr>
            <w:tcW w:w="687" w:type="dxa"/>
            <w:tcBorders>
              <w:top w:val="nil"/>
              <w:left w:val="single" w:sz="8" w:space="0" w:color="auto"/>
              <w:bottom w:val="single" w:sz="8" w:space="0" w:color="auto"/>
              <w:right w:val="single" w:sz="8" w:space="0" w:color="auto"/>
            </w:tcBorders>
            <w:shd w:val="clear" w:color="auto" w:fill="auto"/>
            <w:vAlign w:val="center"/>
            <w:hideMark/>
          </w:tcPr>
          <w:p w14:paraId="6AC36138" w14:textId="77777777" w:rsidR="00AB0919" w:rsidRPr="00AB0919" w:rsidRDefault="00AB0919" w:rsidP="00AB0919">
            <w:pPr>
              <w:spacing w:after="0"/>
              <w:jc w:val="right"/>
              <w:rPr>
                <w:rFonts w:ascii="Cambria" w:eastAsia="Times New Roman" w:hAnsi="Cambria" w:cs="Calibri"/>
                <w:color w:val="000000"/>
              </w:rPr>
            </w:pPr>
            <w:r w:rsidRPr="00AB0919">
              <w:rPr>
                <w:rFonts w:ascii="Cambria" w:eastAsia="Times New Roman" w:hAnsi="Cambria" w:cs="Calibri"/>
                <w:color w:val="000000"/>
              </w:rPr>
              <w:t>3</w:t>
            </w:r>
          </w:p>
        </w:tc>
        <w:tc>
          <w:tcPr>
            <w:tcW w:w="1324" w:type="dxa"/>
            <w:tcBorders>
              <w:top w:val="nil"/>
              <w:left w:val="nil"/>
              <w:bottom w:val="single" w:sz="8" w:space="0" w:color="auto"/>
              <w:right w:val="single" w:sz="8" w:space="0" w:color="auto"/>
            </w:tcBorders>
            <w:shd w:val="clear" w:color="auto" w:fill="auto"/>
            <w:noWrap/>
            <w:vAlign w:val="center"/>
            <w:hideMark/>
          </w:tcPr>
          <w:p w14:paraId="64759794" w14:textId="77777777" w:rsidR="00AB0919" w:rsidRPr="00AB0919" w:rsidRDefault="00AB0919" w:rsidP="00AB0919">
            <w:pPr>
              <w:spacing w:after="0"/>
              <w:jc w:val="right"/>
              <w:rPr>
                <w:rFonts w:ascii="Cambria" w:eastAsia="Times New Roman" w:hAnsi="Cambria" w:cs="Calibri"/>
                <w:color w:val="000000"/>
              </w:rPr>
            </w:pPr>
            <w:r w:rsidRPr="00AB0919">
              <w:rPr>
                <w:rFonts w:ascii="Cambria" w:eastAsia="Times New Roman" w:hAnsi="Cambria" w:cs="Calibri"/>
                <w:color w:val="000000"/>
              </w:rPr>
              <w:t>34.90%</w:t>
            </w:r>
          </w:p>
        </w:tc>
        <w:tc>
          <w:tcPr>
            <w:tcW w:w="719" w:type="dxa"/>
            <w:tcBorders>
              <w:top w:val="nil"/>
              <w:left w:val="nil"/>
              <w:bottom w:val="single" w:sz="8" w:space="0" w:color="auto"/>
              <w:right w:val="single" w:sz="8" w:space="0" w:color="auto"/>
            </w:tcBorders>
            <w:shd w:val="clear" w:color="auto" w:fill="auto"/>
            <w:noWrap/>
            <w:vAlign w:val="center"/>
            <w:hideMark/>
          </w:tcPr>
          <w:p w14:paraId="0E44FABC" w14:textId="77777777" w:rsidR="00AB0919" w:rsidRPr="00AB0919" w:rsidRDefault="00AB0919" w:rsidP="00AB0919">
            <w:pPr>
              <w:spacing w:after="0"/>
              <w:jc w:val="right"/>
              <w:rPr>
                <w:rFonts w:ascii="Cambria" w:eastAsia="Times New Roman" w:hAnsi="Cambria" w:cs="Calibri"/>
                <w:color w:val="000000"/>
              </w:rPr>
            </w:pPr>
            <w:r w:rsidRPr="00AB0919">
              <w:rPr>
                <w:rFonts w:ascii="Cambria" w:eastAsia="Times New Roman" w:hAnsi="Cambria" w:cs="Calibri"/>
                <w:color w:val="000000"/>
              </w:rPr>
              <w:t>2</w:t>
            </w:r>
          </w:p>
        </w:tc>
        <w:tc>
          <w:tcPr>
            <w:tcW w:w="687" w:type="dxa"/>
            <w:tcBorders>
              <w:top w:val="nil"/>
              <w:left w:val="nil"/>
              <w:bottom w:val="single" w:sz="8" w:space="0" w:color="auto"/>
              <w:right w:val="single" w:sz="8" w:space="0" w:color="auto"/>
            </w:tcBorders>
            <w:shd w:val="clear" w:color="auto" w:fill="auto"/>
            <w:noWrap/>
            <w:vAlign w:val="center"/>
            <w:hideMark/>
          </w:tcPr>
          <w:p w14:paraId="0753BC57" w14:textId="77777777" w:rsidR="00AB0919" w:rsidRPr="00AB0919" w:rsidRDefault="00AB0919" w:rsidP="00AB0919">
            <w:pPr>
              <w:spacing w:after="0"/>
              <w:jc w:val="right"/>
              <w:rPr>
                <w:rFonts w:ascii="Cambria" w:eastAsia="Times New Roman" w:hAnsi="Cambria" w:cs="Calibri"/>
                <w:color w:val="000000"/>
              </w:rPr>
            </w:pPr>
            <w:r w:rsidRPr="00AB0919">
              <w:rPr>
                <w:rFonts w:ascii="Cambria" w:eastAsia="Times New Roman" w:hAnsi="Cambria" w:cs="Calibri"/>
                <w:color w:val="000000"/>
              </w:rPr>
              <w:t>9</w:t>
            </w:r>
          </w:p>
        </w:tc>
      </w:tr>
      <w:tr w:rsidR="00AB0919" w:rsidRPr="00AB0919" w14:paraId="7E8E2CE9" w14:textId="77777777" w:rsidTr="00AB0919">
        <w:trPr>
          <w:trHeight w:val="310"/>
        </w:trPr>
        <w:tc>
          <w:tcPr>
            <w:tcW w:w="1452" w:type="dxa"/>
            <w:tcBorders>
              <w:top w:val="nil"/>
              <w:left w:val="single" w:sz="8" w:space="0" w:color="auto"/>
              <w:bottom w:val="single" w:sz="8" w:space="0" w:color="auto"/>
              <w:right w:val="single" w:sz="8" w:space="0" w:color="auto"/>
            </w:tcBorders>
            <w:shd w:val="clear" w:color="auto" w:fill="auto"/>
            <w:vAlign w:val="center"/>
            <w:hideMark/>
          </w:tcPr>
          <w:p w14:paraId="1E4CA1EC" w14:textId="77777777" w:rsidR="00AB0919" w:rsidRPr="00AB0919" w:rsidRDefault="00AB0919" w:rsidP="00AB0919">
            <w:pPr>
              <w:spacing w:after="0"/>
              <w:rPr>
                <w:rFonts w:ascii="Cambria" w:eastAsia="Times New Roman" w:hAnsi="Cambria" w:cs="Calibri"/>
                <w:color w:val="000000"/>
              </w:rPr>
            </w:pPr>
            <w:r w:rsidRPr="00AB0919">
              <w:rPr>
                <w:rFonts w:ascii="Cambria" w:eastAsia="Times New Roman" w:hAnsi="Cambria" w:cs="Calibri"/>
                <w:color w:val="000000"/>
              </w:rPr>
              <w:t>Musanze</w:t>
            </w:r>
          </w:p>
        </w:tc>
        <w:tc>
          <w:tcPr>
            <w:tcW w:w="1055" w:type="dxa"/>
            <w:tcBorders>
              <w:top w:val="nil"/>
              <w:left w:val="nil"/>
              <w:bottom w:val="single" w:sz="8" w:space="0" w:color="auto"/>
              <w:right w:val="single" w:sz="8" w:space="0" w:color="auto"/>
            </w:tcBorders>
            <w:shd w:val="clear" w:color="auto" w:fill="auto"/>
            <w:vAlign w:val="center"/>
            <w:hideMark/>
          </w:tcPr>
          <w:p w14:paraId="7CEC910E" w14:textId="77777777" w:rsidR="00AB0919" w:rsidRPr="00AB0919" w:rsidRDefault="00AB0919" w:rsidP="00AB0919">
            <w:pPr>
              <w:spacing w:after="0"/>
              <w:jc w:val="right"/>
              <w:rPr>
                <w:rFonts w:ascii="Cambria" w:eastAsia="Times New Roman" w:hAnsi="Cambria" w:cs="Calibri"/>
                <w:color w:val="000000"/>
              </w:rPr>
            </w:pPr>
            <w:r w:rsidRPr="00AB0919">
              <w:rPr>
                <w:rFonts w:ascii="Cambria" w:eastAsia="Times New Roman" w:hAnsi="Cambria" w:cs="Calibri"/>
                <w:color w:val="000000"/>
              </w:rPr>
              <w:t>37.80%</w:t>
            </w:r>
          </w:p>
        </w:tc>
        <w:tc>
          <w:tcPr>
            <w:tcW w:w="719" w:type="dxa"/>
            <w:tcBorders>
              <w:top w:val="nil"/>
              <w:left w:val="nil"/>
              <w:bottom w:val="single" w:sz="8" w:space="0" w:color="auto"/>
              <w:right w:val="single" w:sz="8" w:space="0" w:color="auto"/>
            </w:tcBorders>
            <w:shd w:val="clear" w:color="auto" w:fill="auto"/>
            <w:vAlign w:val="center"/>
            <w:hideMark/>
          </w:tcPr>
          <w:p w14:paraId="1A85BA61" w14:textId="77777777" w:rsidR="00AB0919" w:rsidRPr="00AB0919" w:rsidRDefault="00AB0919" w:rsidP="00AB0919">
            <w:pPr>
              <w:spacing w:after="0"/>
              <w:jc w:val="right"/>
              <w:rPr>
                <w:rFonts w:ascii="Cambria" w:eastAsia="Times New Roman" w:hAnsi="Cambria" w:cs="Calibri"/>
                <w:color w:val="000000"/>
              </w:rPr>
            </w:pPr>
            <w:r w:rsidRPr="00AB0919">
              <w:rPr>
                <w:rFonts w:ascii="Cambria" w:eastAsia="Times New Roman" w:hAnsi="Cambria" w:cs="Calibri"/>
                <w:color w:val="000000"/>
              </w:rPr>
              <w:t>2</w:t>
            </w:r>
          </w:p>
        </w:tc>
        <w:tc>
          <w:tcPr>
            <w:tcW w:w="2537" w:type="dxa"/>
            <w:tcBorders>
              <w:top w:val="nil"/>
              <w:left w:val="nil"/>
              <w:bottom w:val="single" w:sz="8" w:space="0" w:color="auto"/>
              <w:right w:val="nil"/>
            </w:tcBorders>
            <w:shd w:val="clear" w:color="auto" w:fill="auto"/>
            <w:vAlign w:val="center"/>
            <w:hideMark/>
          </w:tcPr>
          <w:p w14:paraId="174BCB1F" w14:textId="77777777" w:rsidR="00AB0919" w:rsidRPr="00AB0919" w:rsidRDefault="00AB0919" w:rsidP="00AB0919">
            <w:pPr>
              <w:spacing w:after="0"/>
              <w:jc w:val="right"/>
              <w:rPr>
                <w:rFonts w:ascii="Cambria" w:eastAsia="Times New Roman" w:hAnsi="Cambria" w:cs="Calibri"/>
                <w:color w:val="000000"/>
              </w:rPr>
            </w:pPr>
            <w:r w:rsidRPr="00AB0919">
              <w:rPr>
                <w:rFonts w:ascii="Cambria" w:eastAsia="Times New Roman" w:hAnsi="Cambria" w:cs="Calibri"/>
                <w:color w:val="000000"/>
              </w:rPr>
              <w:t>15%</w:t>
            </w:r>
          </w:p>
        </w:tc>
        <w:tc>
          <w:tcPr>
            <w:tcW w:w="687" w:type="dxa"/>
            <w:tcBorders>
              <w:top w:val="nil"/>
              <w:left w:val="single" w:sz="8" w:space="0" w:color="auto"/>
              <w:bottom w:val="single" w:sz="8" w:space="0" w:color="auto"/>
              <w:right w:val="single" w:sz="8" w:space="0" w:color="auto"/>
            </w:tcBorders>
            <w:shd w:val="clear" w:color="auto" w:fill="auto"/>
            <w:vAlign w:val="center"/>
            <w:hideMark/>
          </w:tcPr>
          <w:p w14:paraId="51BC1A5C" w14:textId="77777777" w:rsidR="00AB0919" w:rsidRPr="00AB0919" w:rsidRDefault="00AB0919" w:rsidP="00AB0919">
            <w:pPr>
              <w:spacing w:after="0"/>
              <w:jc w:val="right"/>
              <w:rPr>
                <w:rFonts w:ascii="Cambria" w:eastAsia="Times New Roman" w:hAnsi="Cambria" w:cs="Calibri"/>
                <w:color w:val="000000"/>
              </w:rPr>
            </w:pPr>
            <w:r w:rsidRPr="00AB0919">
              <w:rPr>
                <w:rFonts w:ascii="Cambria" w:eastAsia="Times New Roman" w:hAnsi="Cambria" w:cs="Calibri"/>
                <w:color w:val="000000"/>
              </w:rPr>
              <w:t>2</w:t>
            </w:r>
          </w:p>
        </w:tc>
        <w:tc>
          <w:tcPr>
            <w:tcW w:w="1324" w:type="dxa"/>
            <w:tcBorders>
              <w:top w:val="nil"/>
              <w:left w:val="nil"/>
              <w:bottom w:val="single" w:sz="8" w:space="0" w:color="auto"/>
              <w:right w:val="single" w:sz="8" w:space="0" w:color="auto"/>
            </w:tcBorders>
            <w:shd w:val="clear" w:color="auto" w:fill="auto"/>
            <w:noWrap/>
            <w:vAlign w:val="center"/>
            <w:hideMark/>
          </w:tcPr>
          <w:p w14:paraId="384C1ACE" w14:textId="77777777" w:rsidR="00AB0919" w:rsidRPr="00AB0919" w:rsidRDefault="00AB0919" w:rsidP="00AB0919">
            <w:pPr>
              <w:spacing w:after="0"/>
              <w:jc w:val="right"/>
              <w:rPr>
                <w:rFonts w:ascii="Cambria" w:eastAsia="Times New Roman" w:hAnsi="Cambria" w:cs="Calibri"/>
                <w:color w:val="000000"/>
              </w:rPr>
            </w:pPr>
            <w:r w:rsidRPr="00AB0919">
              <w:rPr>
                <w:rFonts w:ascii="Cambria" w:eastAsia="Times New Roman" w:hAnsi="Cambria" w:cs="Calibri"/>
                <w:color w:val="000000"/>
              </w:rPr>
              <w:t>55.30%</w:t>
            </w:r>
          </w:p>
        </w:tc>
        <w:tc>
          <w:tcPr>
            <w:tcW w:w="719" w:type="dxa"/>
            <w:tcBorders>
              <w:top w:val="nil"/>
              <w:left w:val="nil"/>
              <w:bottom w:val="single" w:sz="8" w:space="0" w:color="auto"/>
              <w:right w:val="single" w:sz="8" w:space="0" w:color="auto"/>
            </w:tcBorders>
            <w:shd w:val="clear" w:color="auto" w:fill="auto"/>
            <w:noWrap/>
            <w:vAlign w:val="center"/>
            <w:hideMark/>
          </w:tcPr>
          <w:p w14:paraId="5AAD3371" w14:textId="77777777" w:rsidR="00AB0919" w:rsidRPr="00AB0919" w:rsidRDefault="00AB0919" w:rsidP="00AB0919">
            <w:pPr>
              <w:spacing w:after="0"/>
              <w:jc w:val="right"/>
              <w:rPr>
                <w:rFonts w:ascii="Cambria" w:eastAsia="Times New Roman" w:hAnsi="Cambria" w:cs="Calibri"/>
                <w:color w:val="000000"/>
              </w:rPr>
            </w:pPr>
            <w:r w:rsidRPr="00AB0919">
              <w:rPr>
                <w:rFonts w:ascii="Cambria" w:eastAsia="Times New Roman" w:hAnsi="Cambria" w:cs="Calibri"/>
                <w:color w:val="000000"/>
              </w:rPr>
              <w:t>5</w:t>
            </w:r>
          </w:p>
        </w:tc>
        <w:tc>
          <w:tcPr>
            <w:tcW w:w="687" w:type="dxa"/>
            <w:tcBorders>
              <w:top w:val="nil"/>
              <w:left w:val="nil"/>
              <w:bottom w:val="single" w:sz="8" w:space="0" w:color="auto"/>
              <w:right w:val="single" w:sz="8" w:space="0" w:color="auto"/>
            </w:tcBorders>
            <w:shd w:val="clear" w:color="auto" w:fill="auto"/>
            <w:noWrap/>
            <w:vAlign w:val="center"/>
            <w:hideMark/>
          </w:tcPr>
          <w:p w14:paraId="419B5163" w14:textId="77777777" w:rsidR="00AB0919" w:rsidRPr="00AB0919" w:rsidRDefault="00AB0919" w:rsidP="00AB0919">
            <w:pPr>
              <w:spacing w:after="0"/>
              <w:jc w:val="right"/>
              <w:rPr>
                <w:rFonts w:ascii="Cambria" w:eastAsia="Times New Roman" w:hAnsi="Cambria" w:cs="Calibri"/>
                <w:color w:val="000000"/>
              </w:rPr>
            </w:pPr>
            <w:r w:rsidRPr="00AB0919">
              <w:rPr>
                <w:rFonts w:ascii="Cambria" w:eastAsia="Times New Roman" w:hAnsi="Cambria" w:cs="Calibri"/>
                <w:color w:val="000000"/>
              </w:rPr>
              <w:t>9</w:t>
            </w:r>
          </w:p>
        </w:tc>
      </w:tr>
      <w:tr w:rsidR="00AB0919" w:rsidRPr="00AB0919" w14:paraId="71DB5A54" w14:textId="77777777" w:rsidTr="00AB0919">
        <w:trPr>
          <w:trHeight w:val="310"/>
        </w:trPr>
        <w:tc>
          <w:tcPr>
            <w:tcW w:w="1452" w:type="dxa"/>
            <w:tcBorders>
              <w:top w:val="nil"/>
              <w:left w:val="single" w:sz="8" w:space="0" w:color="auto"/>
              <w:bottom w:val="single" w:sz="8" w:space="0" w:color="auto"/>
              <w:right w:val="single" w:sz="8" w:space="0" w:color="auto"/>
            </w:tcBorders>
            <w:shd w:val="clear" w:color="auto" w:fill="auto"/>
            <w:vAlign w:val="center"/>
            <w:hideMark/>
          </w:tcPr>
          <w:p w14:paraId="2F5DE0B4" w14:textId="77777777" w:rsidR="00AB0919" w:rsidRPr="00AB0919" w:rsidRDefault="00AB0919" w:rsidP="00AB0919">
            <w:pPr>
              <w:spacing w:after="0"/>
              <w:rPr>
                <w:rFonts w:ascii="Cambria" w:eastAsia="Times New Roman" w:hAnsi="Cambria" w:cs="Calibri"/>
                <w:color w:val="000000"/>
              </w:rPr>
            </w:pPr>
            <w:r w:rsidRPr="00AB0919">
              <w:rPr>
                <w:rFonts w:ascii="Cambria" w:eastAsia="Times New Roman" w:hAnsi="Cambria" w:cs="Calibri"/>
                <w:color w:val="000000"/>
              </w:rPr>
              <w:t>Nyamasheke</w:t>
            </w:r>
          </w:p>
        </w:tc>
        <w:tc>
          <w:tcPr>
            <w:tcW w:w="1055" w:type="dxa"/>
            <w:tcBorders>
              <w:top w:val="nil"/>
              <w:left w:val="nil"/>
              <w:bottom w:val="single" w:sz="8" w:space="0" w:color="auto"/>
              <w:right w:val="single" w:sz="8" w:space="0" w:color="auto"/>
            </w:tcBorders>
            <w:shd w:val="clear" w:color="auto" w:fill="auto"/>
            <w:vAlign w:val="center"/>
            <w:hideMark/>
          </w:tcPr>
          <w:p w14:paraId="3F822F2F" w14:textId="77777777" w:rsidR="00AB0919" w:rsidRPr="00AB0919" w:rsidRDefault="00AB0919" w:rsidP="00AB0919">
            <w:pPr>
              <w:spacing w:after="0"/>
              <w:jc w:val="right"/>
              <w:rPr>
                <w:rFonts w:ascii="Cambria" w:eastAsia="Times New Roman" w:hAnsi="Cambria" w:cs="Calibri"/>
                <w:color w:val="000000"/>
              </w:rPr>
            </w:pPr>
            <w:r w:rsidRPr="00AB0919">
              <w:rPr>
                <w:rFonts w:ascii="Cambria" w:eastAsia="Times New Roman" w:hAnsi="Cambria" w:cs="Calibri"/>
                <w:color w:val="000000"/>
              </w:rPr>
              <w:t>34%</w:t>
            </w:r>
          </w:p>
        </w:tc>
        <w:tc>
          <w:tcPr>
            <w:tcW w:w="719" w:type="dxa"/>
            <w:tcBorders>
              <w:top w:val="nil"/>
              <w:left w:val="nil"/>
              <w:bottom w:val="single" w:sz="8" w:space="0" w:color="auto"/>
              <w:right w:val="single" w:sz="8" w:space="0" w:color="auto"/>
            </w:tcBorders>
            <w:shd w:val="clear" w:color="auto" w:fill="auto"/>
            <w:vAlign w:val="center"/>
            <w:hideMark/>
          </w:tcPr>
          <w:p w14:paraId="0058F718" w14:textId="77777777" w:rsidR="00AB0919" w:rsidRPr="00AB0919" w:rsidRDefault="00AB0919" w:rsidP="00AB0919">
            <w:pPr>
              <w:spacing w:after="0"/>
              <w:jc w:val="right"/>
              <w:rPr>
                <w:rFonts w:ascii="Cambria" w:eastAsia="Times New Roman" w:hAnsi="Cambria" w:cs="Calibri"/>
                <w:color w:val="000000"/>
              </w:rPr>
            </w:pPr>
            <w:r w:rsidRPr="00AB0919">
              <w:rPr>
                <w:rFonts w:ascii="Cambria" w:eastAsia="Times New Roman" w:hAnsi="Cambria" w:cs="Calibri"/>
                <w:color w:val="000000"/>
              </w:rPr>
              <w:t>2</w:t>
            </w:r>
          </w:p>
        </w:tc>
        <w:tc>
          <w:tcPr>
            <w:tcW w:w="2537" w:type="dxa"/>
            <w:tcBorders>
              <w:top w:val="nil"/>
              <w:left w:val="nil"/>
              <w:bottom w:val="single" w:sz="8" w:space="0" w:color="auto"/>
              <w:right w:val="nil"/>
            </w:tcBorders>
            <w:shd w:val="clear" w:color="auto" w:fill="auto"/>
            <w:vAlign w:val="center"/>
            <w:hideMark/>
          </w:tcPr>
          <w:p w14:paraId="700BFF1A" w14:textId="77777777" w:rsidR="00AB0919" w:rsidRPr="00AB0919" w:rsidRDefault="00AB0919" w:rsidP="00AB0919">
            <w:pPr>
              <w:spacing w:after="0"/>
              <w:jc w:val="right"/>
              <w:rPr>
                <w:rFonts w:ascii="Cambria" w:eastAsia="Times New Roman" w:hAnsi="Cambria" w:cs="Calibri"/>
                <w:color w:val="000000"/>
              </w:rPr>
            </w:pPr>
            <w:r w:rsidRPr="00AB0919">
              <w:rPr>
                <w:rFonts w:ascii="Cambria" w:eastAsia="Times New Roman" w:hAnsi="Cambria" w:cs="Calibri"/>
                <w:color w:val="000000"/>
              </w:rPr>
              <w:t>28%</w:t>
            </w:r>
          </w:p>
        </w:tc>
        <w:tc>
          <w:tcPr>
            <w:tcW w:w="687" w:type="dxa"/>
            <w:tcBorders>
              <w:top w:val="nil"/>
              <w:left w:val="single" w:sz="8" w:space="0" w:color="auto"/>
              <w:bottom w:val="single" w:sz="8" w:space="0" w:color="auto"/>
              <w:right w:val="single" w:sz="8" w:space="0" w:color="auto"/>
            </w:tcBorders>
            <w:shd w:val="clear" w:color="auto" w:fill="auto"/>
            <w:vAlign w:val="center"/>
            <w:hideMark/>
          </w:tcPr>
          <w:p w14:paraId="174668CF" w14:textId="77777777" w:rsidR="00AB0919" w:rsidRPr="00AB0919" w:rsidRDefault="00AB0919" w:rsidP="00AB0919">
            <w:pPr>
              <w:spacing w:after="0"/>
              <w:jc w:val="right"/>
              <w:rPr>
                <w:rFonts w:ascii="Cambria" w:eastAsia="Times New Roman" w:hAnsi="Cambria" w:cs="Calibri"/>
                <w:color w:val="000000"/>
              </w:rPr>
            </w:pPr>
            <w:r w:rsidRPr="00AB0919">
              <w:rPr>
                <w:rFonts w:ascii="Cambria" w:eastAsia="Times New Roman" w:hAnsi="Cambria" w:cs="Calibri"/>
                <w:color w:val="000000"/>
              </w:rPr>
              <w:t>4</w:t>
            </w:r>
          </w:p>
        </w:tc>
        <w:tc>
          <w:tcPr>
            <w:tcW w:w="1324" w:type="dxa"/>
            <w:tcBorders>
              <w:top w:val="nil"/>
              <w:left w:val="nil"/>
              <w:bottom w:val="single" w:sz="8" w:space="0" w:color="auto"/>
              <w:right w:val="single" w:sz="8" w:space="0" w:color="auto"/>
            </w:tcBorders>
            <w:shd w:val="clear" w:color="auto" w:fill="auto"/>
            <w:noWrap/>
            <w:vAlign w:val="center"/>
            <w:hideMark/>
          </w:tcPr>
          <w:p w14:paraId="032F7F55" w14:textId="77777777" w:rsidR="00AB0919" w:rsidRPr="00AB0919" w:rsidRDefault="00AB0919" w:rsidP="00AB0919">
            <w:pPr>
              <w:spacing w:after="0"/>
              <w:jc w:val="right"/>
              <w:rPr>
                <w:rFonts w:ascii="Cambria" w:eastAsia="Times New Roman" w:hAnsi="Cambria" w:cs="Calibri"/>
                <w:color w:val="000000"/>
              </w:rPr>
            </w:pPr>
            <w:r w:rsidRPr="00AB0919">
              <w:rPr>
                <w:rFonts w:ascii="Cambria" w:eastAsia="Times New Roman" w:hAnsi="Cambria" w:cs="Calibri"/>
                <w:color w:val="000000"/>
              </w:rPr>
              <w:t>41.50%</w:t>
            </w:r>
          </w:p>
        </w:tc>
        <w:tc>
          <w:tcPr>
            <w:tcW w:w="719" w:type="dxa"/>
            <w:tcBorders>
              <w:top w:val="nil"/>
              <w:left w:val="nil"/>
              <w:bottom w:val="single" w:sz="8" w:space="0" w:color="auto"/>
              <w:right w:val="single" w:sz="8" w:space="0" w:color="auto"/>
            </w:tcBorders>
            <w:shd w:val="clear" w:color="auto" w:fill="auto"/>
            <w:noWrap/>
            <w:vAlign w:val="center"/>
            <w:hideMark/>
          </w:tcPr>
          <w:p w14:paraId="503480D9" w14:textId="77777777" w:rsidR="00AB0919" w:rsidRPr="00AB0919" w:rsidRDefault="00AB0919" w:rsidP="00AB0919">
            <w:pPr>
              <w:spacing w:after="0"/>
              <w:jc w:val="right"/>
              <w:rPr>
                <w:rFonts w:ascii="Cambria" w:eastAsia="Times New Roman" w:hAnsi="Cambria" w:cs="Calibri"/>
                <w:color w:val="000000"/>
              </w:rPr>
            </w:pPr>
            <w:r w:rsidRPr="00AB0919">
              <w:rPr>
                <w:rFonts w:ascii="Cambria" w:eastAsia="Times New Roman" w:hAnsi="Cambria" w:cs="Calibri"/>
                <w:color w:val="000000"/>
              </w:rPr>
              <w:t>2</w:t>
            </w:r>
          </w:p>
        </w:tc>
        <w:tc>
          <w:tcPr>
            <w:tcW w:w="687" w:type="dxa"/>
            <w:tcBorders>
              <w:top w:val="nil"/>
              <w:left w:val="nil"/>
              <w:bottom w:val="single" w:sz="8" w:space="0" w:color="auto"/>
              <w:right w:val="single" w:sz="8" w:space="0" w:color="auto"/>
            </w:tcBorders>
            <w:shd w:val="clear" w:color="auto" w:fill="auto"/>
            <w:noWrap/>
            <w:vAlign w:val="center"/>
            <w:hideMark/>
          </w:tcPr>
          <w:p w14:paraId="093FDBAE" w14:textId="77777777" w:rsidR="00AB0919" w:rsidRPr="00AB0919" w:rsidRDefault="00AB0919" w:rsidP="00AB0919">
            <w:pPr>
              <w:spacing w:after="0"/>
              <w:jc w:val="right"/>
              <w:rPr>
                <w:rFonts w:ascii="Cambria" w:eastAsia="Times New Roman" w:hAnsi="Cambria" w:cs="Calibri"/>
                <w:color w:val="000000"/>
              </w:rPr>
            </w:pPr>
            <w:r w:rsidRPr="00AB0919">
              <w:rPr>
                <w:rFonts w:ascii="Cambria" w:eastAsia="Times New Roman" w:hAnsi="Cambria" w:cs="Calibri"/>
                <w:color w:val="000000"/>
              </w:rPr>
              <w:t>8</w:t>
            </w:r>
          </w:p>
        </w:tc>
      </w:tr>
      <w:tr w:rsidR="00AB0919" w:rsidRPr="00AB0919" w14:paraId="52E33117" w14:textId="77777777" w:rsidTr="00AB0919">
        <w:trPr>
          <w:trHeight w:val="310"/>
        </w:trPr>
        <w:tc>
          <w:tcPr>
            <w:tcW w:w="1452" w:type="dxa"/>
            <w:tcBorders>
              <w:top w:val="nil"/>
              <w:left w:val="single" w:sz="8" w:space="0" w:color="auto"/>
              <w:bottom w:val="single" w:sz="8" w:space="0" w:color="auto"/>
              <w:right w:val="single" w:sz="8" w:space="0" w:color="auto"/>
            </w:tcBorders>
            <w:shd w:val="clear" w:color="auto" w:fill="auto"/>
            <w:vAlign w:val="center"/>
            <w:hideMark/>
          </w:tcPr>
          <w:p w14:paraId="07254A98" w14:textId="77777777" w:rsidR="00AB0919" w:rsidRPr="00AB0919" w:rsidRDefault="00AB0919" w:rsidP="00AB0919">
            <w:pPr>
              <w:spacing w:after="0"/>
              <w:rPr>
                <w:rFonts w:ascii="Cambria" w:eastAsia="Times New Roman" w:hAnsi="Cambria" w:cs="Calibri"/>
                <w:color w:val="000000"/>
              </w:rPr>
            </w:pPr>
            <w:r w:rsidRPr="00AB0919">
              <w:rPr>
                <w:rFonts w:ascii="Cambria" w:eastAsia="Times New Roman" w:hAnsi="Cambria" w:cs="Calibri"/>
                <w:color w:val="000000"/>
              </w:rPr>
              <w:t>Muhanga</w:t>
            </w:r>
          </w:p>
        </w:tc>
        <w:tc>
          <w:tcPr>
            <w:tcW w:w="1055" w:type="dxa"/>
            <w:tcBorders>
              <w:top w:val="nil"/>
              <w:left w:val="nil"/>
              <w:bottom w:val="single" w:sz="8" w:space="0" w:color="auto"/>
              <w:right w:val="single" w:sz="8" w:space="0" w:color="auto"/>
            </w:tcBorders>
            <w:shd w:val="clear" w:color="auto" w:fill="auto"/>
            <w:vAlign w:val="center"/>
            <w:hideMark/>
          </w:tcPr>
          <w:p w14:paraId="3CAB6948" w14:textId="77777777" w:rsidR="00AB0919" w:rsidRPr="00AB0919" w:rsidRDefault="00AB0919" w:rsidP="00AB0919">
            <w:pPr>
              <w:spacing w:after="0"/>
              <w:jc w:val="right"/>
              <w:rPr>
                <w:rFonts w:ascii="Cambria" w:eastAsia="Times New Roman" w:hAnsi="Cambria" w:cs="Calibri"/>
                <w:color w:val="000000"/>
              </w:rPr>
            </w:pPr>
            <w:r w:rsidRPr="00AB0919">
              <w:rPr>
                <w:rFonts w:ascii="Cambria" w:eastAsia="Times New Roman" w:hAnsi="Cambria" w:cs="Calibri"/>
                <w:color w:val="000000"/>
              </w:rPr>
              <w:t>41.60%</w:t>
            </w:r>
          </w:p>
        </w:tc>
        <w:tc>
          <w:tcPr>
            <w:tcW w:w="719" w:type="dxa"/>
            <w:tcBorders>
              <w:top w:val="nil"/>
              <w:left w:val="nil"/>
              <w:bottom w:val="single" w:sz="8" w:space="0" w:color="auto"/>
              <w:right w:val="single" w:sz="8" w:space="0" w:color="auto"/>
            </w:tcBorders>
            <w:shd w:val="clear" w:color="auto" w:fill="auto"/>
            <w:vAlign w:val="center"/>
            <w:hideMark/>
          </w:tcPr>
          <w:p w14:paraId="16F2D49D" w14:textId="77777777" w:rsidR="00AB0919" w:rsidRPr="00AB0919" w:rsidRDefault="00AB0919" w:rsidP="00AB0919">
            <w:pPr>
              <w:spacing w:after="0"/>
              <w:jc w:val="right"/>
              <w:rPr>
                <w:rFonts w:ascii="Cambria" w:eastAsia="Times New Roman" w:hAnsi="Cambria" w:cs="Calibri"/>
                <w:color w:val="000000"/>
              </w:rPr>
            </w:pPr>
            <w:r w:rsidRPr="00AB0919">
              <w:rPr>
                <w:rFonts w:ascii="Cambria" w:eastAsia="Times New Roman" w:hAnsi="Cambria" w:cs="Calibri"/>
                <w:color w:val="000000"/>
              </w:rPr>
              <w:t>4</w:t>
            </w:r>
          </w:p>
        </w:tc>
        <w:tc>
          <w:tcPr>
            <w:tcW w:w="2537" w:type="dxa"/>
            <w:tcBorders>
              <w:top w:val="nil"/>
              <w:left w:val="nil"/>
              <w:bottom w:val="single" w:sz="8" w:space="0" w:color="auto"/>
              <w:right w:val="nil"/>
            </w:tcBorders>
            <w:shd w:val="clear" w:color="auto" w:fill="auto"/>
            <w:vAlign w:val="center"/>
            <w:hideMark/>
          </w:tcPr>
          <w:p w14:paraId="7CD33C42" w14:textId="77777777" w:rsidR="00AB0919" w:rsidRPr="00AB0919" w:rsidRDefault="00AB0919" w:rsidP="00AB0919">
            <w:pPr>
              <w:spacing w:after="0"/>
              <w:jc w:val="right"/>
              <w:rPr>
                <w:rFonts w:ascii="Cambria" w:eastAsia="Times New Roman" w:hAnsi="Cambria" w:cs="Calibri"/>
                <w:color w:val="000000"/>
              </w:rPr>
            </w:pPr>
            <w:r w:rsidRPr="00AB0919">
              <w:rPr>
                <w:rFonts w:ascii="Cambria" w:eastAsia="Times New Roman" w:hAnsi="Cambria" w:cs="Calibri"/>
                <w:color w:val="000000"/>
              </w:rPr>
              <w:t>10%</w:t>
            </w:r>
          </w:p>
        </w:tc>
        <w:tc>
          <w:tcPr>
            <w:tcW w:w="687" w:type="dxa"/>
            <w:tcBorders>
              <w:top w:val="nil"/>
              <w:left w:val="single" w:sz="8" w:space="0" w:color="auto"/>
              <w:bottom w:val="single" w:sz="8" w:space="0" w:color="auto"/>
              <w:right w:val="single" w:sz="8" w:space="0" w:color="auto"/>
            </w:tcBorders>
            <w:shd w:val="clear" w:color="auto" w:fill="auto"/>
            <w:vAlign w:val="center"/>
            <w:hideMark/>
          </w:tcPr>
          <w:p w14:paraId="4EBBBD24" w14:textId="77777777" w:rsidR="00AB0919" w:rsidRPr="00AB0919" w:rsidRDefault="00AB0919" w:rsidP="00AB0919">
            <w:pPr>
              <w:spacing w:after="0"/>
              <w:jc w:val="right"/>
              <w:rPr>
                <w:rFonts w:ascii="Cambria" w:eastAsia="Times New Roman" w:hAnsi="Cambria" w:cs="Calibri"/>
                <w:color w:val="000000"/>
              </w:rPr>
            </w:pPr>
            <w:r w:rsidRPr="00AB0919">
              <w:rPr>
                <w:rFonts w:ascii="Cambria" w:eastAsia="Times New Roman" w:hAnsi="Cambria" w:cs="Calibri"/>
                <w:color w:val="000000"/>
              </w:rPr>
              <w:t>2</w:t>
            </w:r>
          </w:p>
        </w:tc>
        <w:tc>
          <w:tcPr>
            <w:tcW w:w="1324" w:type="dxa"/>
            <w:tcBorders>
              <w:top w:val="nil"/>
              <w:left w:val="nil"/>
              <w:bottom w:val="single" w:sz="8" w:space="0" w:color="auto"/>
              <w:right w:val="single" w:sz="8" w:space="0" w:color="auto"/>
            </w:tcBorders>
            <w:shd w:val="clear" w:color="auto" w:fill="auto"/>
            <w:noWrap/>
            <w:vAlign w:val="center"/>
            <w:hideMark/>
          </w:tcPr>
          <w:p w14:paraId="1353F003" w14:textId="77777777" w:rsidR="00AB0919" w:rsidRPr="00AB0919" w:rsidRDefault="00AB0919" w:rsidP="00AB0919">
            <w:pPr>
              <w:spacing w:after="0"/>
              <w:jc w:val="right"/>
              <w:rPr>
                <w:rFonts w:ascii="Cambria" w:eastAsia="Times New Roman" w:hAnsi="Cambria" w:cs="Calibri"/>
                <w:color w:val="000000"/>
              </w:rPr>
            </w:pPr>
            <w:r w:rsidRPr="00AB0919">
              <w:rPr>
                <w:rFonts w:ascii="Cambria" w:eastAsia="Times New Roman" w:hAnsi="Cambria" w:cs="Calibri"/>
                <w:color w:val="000000"/>
              </w:rPr>
              <w:t>37.80%</w:t>
            </w:r>
          </w:p>
        </w:tc>
        <w:tc>
          <w:tcPr>
            <w:tcW w:w="719" w:type="dxa"/>
            <w:tcBorders>
              <w:top w:val="nil"/>
              <w:left w:val="nil"/>
              <w:bottom w:val="single" w:sz="8" w:space="0" w:color="auto"/>
              <w:right w:val="single" w:sz="8" w:space="0" w:color="auto"/>
            </w:tcBorders>
            <w:shd w:val="clear" w:color="auto" w:fill="auto"/>
            <w:noWrap/>
            <w:vAlign w:val="center"/>
            <w:hideMark/>
          </w:tcPr>
          <w:p w14:paraId="162B6614" w14:textId="77777777" w:rsidR="00AB0919" w:rsidRPr="00AB0919" w:rsidRDefault="00AB0919" w:rsidP="00AB0919">
            <w:pPr>
              <w:spacing w:after="0"/>
              <w:jc w:val="right"/>
              <w:rPr>
                <w:rFonts w:ascii="Cambria" w:eastAsia="Times New Roman" w:hAnsi="Cambria" w:cs="Calibri"/>
                <w:color w:val="000000"/>
              </w:rPr>
            </w:pPr>
            <w:r w:rsidRPr="00AB0919">
              <w:rPr>
                <w:rFonts w:ascii="Cambria" w:eastAsia="Times New Roman" w:hAnsi="Cambria" w:cs="Calibri"/>
                <w:color w:val="000000"/>
              </w:rPr>
              <w:t>2</w:t>
            </w:r>
          </w:p>
        </w:tc>
        <w:tc>
          <w:tcPr>
            <w:tcW w:w="687" w:type="dxa"/>
            <w:tcBorders>
              <w:top w:val="nil"/>
              <w:left w:val="nil"/>
              <w:bottom w:val="single" w:sz="8" w:space="0" w:color="auto"/>
              <w:right w:val="single" w:sz="8" w:space="0" w:color="auto"/>
            </w:tcBorders>
            <w:shd w:val="clear" w:color="auto" w:fill="auto"/>
            <w:noWrap/>
            <w:vAlign w:val="center"/>
            <w:hideMark/>
          </w:tcPr>
          <w:p w14:paraId="19F7CF94" w14:textId="77777777" w:rsidR="00AB0919" w:rsidRPr="00AB0919" w:rsidRDefault="00AB0919" w:rsidP="00AB0919">
            <w:pPr>
              <w:spacing w:after="0"/>
              <w:jc w:val="right"/>
              <w:rPr>
                <w:rFonts w:ascii="Cambria" w:eastAsia="Times New Roman" w:hAnsi="Cambria" w:cs="Calibri"/>
                <w:color w:val="000000"/>
              </w:rPr>
            </w:pPr>
            <w:r w:rsidRPr="00AB0919">
              <w:rPr>
                <w:rFonts w:ascii="Cambria" w:eastAsia="Times New Roman" w:hAnsi="Cambria" w:cs="Calibri"/>
                <w:color w:val="000000"/>
              </w:rPr>
              <w:t>8</w:t>
            </w:r>
          </w:p>
        </w:tc>
      </w:tr>
      <w:tr w:rsidR="00AB0919" w:rsidRPr="00AB0919" w14:paraId="39E60A4B" w14:textId="77777777" w:rsidTr="00AB0919">
        <w:trPr>
          <w:trHeight w:val="310"/>
        </w:trPr>
        <w:tc>
          <w:tcPr>
            <w:tcW w:w="1452" w:type="dxa"/>
            <w:tcBorders>
              <w:top w:val="nil"/>
              <w:left w:val="single" w:sz="8" w:space="0" w:color="auto"/>
              <w:bottom w:val="single" w:sz="8" w:space="0" w:color="auto"/>
              <w:right w:val="single" w:sz="8" w:space="0" w:color="auto"/>
            </w:tcBorders>
            <w:shd w:val="clear" w:color="auto" w:fill="auto"/>
            <w:vAlign w:val="center"/>
            <w:hideMark/>
          </w:tcPr>
          <w:p w14:paraId="70DF0E67" w14:textId="77777777" w:rsidR="00AB0919" w:rsidRPr="00AB0919" w:rsidRDefault="00AB0919" w:rsidP="00AB0919">
            <w:pPr>
              <w:spacing w:after="0"/>
              <w:rPr>
                <w:rFonts w:ascii="Cambria" w:eastAsia="Times New Roman" w:hAnsi="Cambria" w:cs="Calibri"/>
                <w:color w:val="000000"/>
              </w:rPr>
            </w:pPr>
            <w:r w:rsidRPr="00AB0919">
              <w:rPr>
                <w:rFonts w:ascii="Cambria" w:eastAsia="Times New Roman" w:hAnsi="Cambria" w:cs="Calibri"/>
                <w:color w:val="000000"/>
              </w:rPr>
              <w:t>Gisagara</w:t>
            </w:r>
          </w:p>
        </w:tc>
        <w:tc>
          <w:tcPr>
            <w:tcW w:w="1055" w:type="dxa"/>
            <w:tcBorders>
              <w:top w:val="nil"/>
              <w:left w:val="nil"/>
              <w:bottom w:val="single" w:sz="8" w:space="0" w:color="auto"/>
              <w:right w:val="single" w:sz="8" w:space="0" w:color="auto"/>
            </w:tcBorders>
            <w:shd w:val="clear" w:color="auto" w:fill="auto"/>
            <w:vAlign w:val="center"/>
            <w:hideMark/>
          </w:tcPr>
          <w:p w14:paraId="38387776" w14:textId="77777777" w:rsidR="00AB0919" w:rsidRPr="00AB0919" w:rsidRDefault="00AB0919" w:rsidP="00AB0919">
            <w:pPr>
              <w:spacing w:after="0"/>
              <w:jc w:val="right"/>
              <w:rPr>
                <w:rFonts w:ascii="Cambria" w:eastAsia="Times New Roman" w:hAnsi="Cambria" w:cs="Calibri"/>
                <w:color w:val="000000"/>
              </w:rPr>
            </w:pPr>
            <w:r w:rsidRPr="00AB0919">
              <w:rPr>
                <w:rFonts w:ascii="Cambria" w:eastAsia="Times New Roman" w:hAnsi="Cambria" w:cs="Calibri"/>
                <w:color w:val="000000"/>
              </w:rPr>
              <w:t>37.50%</w:t>
            </w:r>
          </w:p>
        </w:tc>
        <w:tc>
          <w:tcPr>
            <w:tcW w:w="719" w:type="dxa"/>
            <w:tcBorders>
              <w:top w:val="nil"/>
              <w:left w:val="nil"/>
              <w:bottom w:val="single" w:sz="8" w:space="0" w:color="auto"/>
              <w:right w:val="single" w:sz="8" w:space="0" w:color="auto"/>
            </w:tcBorders>
            <w:shd w:val="clear" w:color="auto" w:fill="auto"/>
            <w:vAlign w:val="center"/>
            <w:hideMark/>
          </w:tcPr>
          <w:p w14:paraId="694BAF06" w14:textId="77777777" w:rsidR="00AB0919" w:rsidRPr="00AB0919" w:rsidRDefault="00AB0919" w:rsidP="00AB0919">
            <w:pPr>
              <w:spacing w:after="0"/>
              <w:jc w:val="right"/>
              <w:rPr>
                <w:rFonts w:ascii="Cambria" w:eastAsia="Times New Roman" w:hAnsi="Cambria" w:cs="Calibri"/>
                <w:color w:val="000000"/>
              </w:rPr>
            </w:pPr>
            <w:r w:rsidRPr="00AB0919">
              <w:rPr>
                <w:rFonts w:ascii="Cambria" w:eastAsia="Times New Roman" w:hAnsi="Cambria" w:cs="Calibri"/>
                <w:color w:val="000000"/>
              </w:rPr>
              <w:t>2</w:t>
            </w:r>
          </w:p>
        </w:tc>
        <w:tc>
          <w:tcPr>
            <w:tcW w:w="2537" w:type="dxa"/>
            <w:tcBorders>
              <w:top w:val="nil"/>
              <w:left w:val="nil"/>
              <w:bottom w:val="single" w:sz="8" w:space="0" w:color="auto"/>
              <w:right w:val="nil"/>
            </w:tcBorders>
            <w:shd w:val="clear" w:color="auto" w:fill="auto"/>
            <w:vAlign w:val="center"/>
            <w:hideMark/>
          </w:tcPr>
          <w:p w14:paraId="17866C1F" w14:textId="77777777" w:rsidR="00AB0919" w:rsidRPr="00AB0919" w:rsidRDefault="00AB0919" w:rsidP="00AB0919">
            <w:pPr>
              <w:spacing w:after="0"/>
              <w:jc w:val="right"/>
              <w:rPr>
                <w:rFonts w:ascii="Cambria" w:eastAsia="Times New Roman" w:hAnsi="Cambria" w:cs="Calibri"/>
                <w:color w:val="000000"/>
              </w:rPr>
            </w:pPr>
            <w:r w:rsidRPr="00AB0919">
              <w:rPr>
                <w:rFonts w:ascii="Cambria" w:eastAsia="Times New Roman" w:hAnsi="Cambria" w:cs="Calibri"/>
                <w:color w:val="000000"/>
              </w:rPr>
              <w:t>17%</w:t>
            </w:r>
          </w:p>
        </w:tc>
        <w:tc>
          <w:tcPr>
            <w:tcW w:w="687" w:type="dxa"/>
            <w:tcBorders>
              <w:top w:val="nil"/>
              <w:left w:val="single" w:sz="8" w:space="0" w:color="auto"/>
              <w:bottom w:val="single" w:sz="8" w:space="0" w:color="auto"/>
              <w:right w:val="single" w:sz="8" w:space="0" w:color="auto"/>
            </w:tcBorders>
            <w:shd w:val="clear" w:color="auto" w:fill="auto"/>
            <w:vAlign w:val="center"/>
            <w:hideMark/>
          </w:tcPr>
          <w:p w14:paraId="1AEEAD2B" w14:textId="77777777" w:rsidR="00AB0919" w:rsidRPr="00AB0919" w:rsidRDefault="00AB0919" w:rsidP="00AB0919">
            <w:pPr>
              <w:spacing w:after="0"/>
              <w:jc w:val="right"/>
              <w:rPr>
                <w:rFonts w:ascii="Cambria" w:eastAsia="Times New Roman" w:hAnsi="Cambria" w:cs="Calibri"/>
                <w:color w:val="000000"/>
              </w:rPr>
            </w:pPr>
            <w:r w:rsidRPr="00AB0919">
              <w:rPr>
                <w:rFonts w:ascii="Cambria" w:eastAsia="Times New Roman" w:hAnsi="Cambria" w:cs="Calibri"/>
                <w:color w:val="000000"/>
              </w:rPr>
              <w:t>4</w:t>
            </w:r>
          </w:p>
        </w:tc>
        <w:tc>
          <w:tcPr>
            <w:tcW w:w="1324" w:type="dxa"/>
            <w:tcBorders>
              <w:top w:val="nil"/>
              <w:left w:val="nil"/>
              <w:bottom w:val="single" w:sz="8" w:space="0" w:color="auto"/>
              <w:right w:val="single" w:sz="8" w:space="0" w:color="auto"/>
            </w:tcBorders>
            <w:shd w:val="clear" w:color="auto" w:fill="auto"/>
            <w:noWrap/>
            <w:vAlign w:val="center"/>
            <w:hideMark/>
          </w:tcPr>
          <w:p w14:paraId="5175FE2C" w14:textId="77777777" w:rsidR="00AB0919" w:rsidRPr="00AB0919" w:rsidRDefault="00AB0919" w:rsidP="00AB0919">
            <w:pPr>
              <w:spacing w:after="0"/>
              <w:jc w:val="right"/>
              <w:rPr>
                <w:rFonts w:ascii="Cambria" w:eastAsia="Times New Roman" w:hAnsi="Cambria" w:cs="Calibri"/>
                <w:color w:val="000000"/>
              </w:rPr>
            </w:pPr>
            <w:r w:rsidRPr="00AB0919">
              <w:rPr>
                <w:rFonts w:ascii="Cambria" w:eastAsia="Times New Roman" w:hAnsi="Cambria" w:cs="Calibri"/>
                <w:color w:val="000000"/>
              </w:rPr>
              <w:t>25.90%</w:t>
            </w:r>
          </w:p>
        </w:tc>
        <w:tc>
          <w:tcPr>
            <w:tcW w:w="719" w:type="dxa"/>
            <w:tcBorders>
              <w:top w:val="nil"/>
              <w:left w:val="nil"/>
              <w:bottom w:val="single" w:sz="8" w:space="0" w:color="auto"/>
              <w:right w:val="single" w:sz="8" w:space="0" w:color="auto"/>
            </w:tcBorders>
            <w:shd w:val="clear" w:color="auto" w:fill="auto"/>
            <w:noWrap/>
            <w:vAlign w:val="center"/>
            <w:hideMark/>
          </w:tcPr>
          <w:p w14:paraId="36A4B6A0" w14:textId="77777777" w:rsidR="00AB0919" w:rsidRPr="00AB0919" w:rsidRDefault="00AB0919" w:rsidP="00AB0919">
            <w:pPr>
              <w:spacing w:after="0"/>
              <w:jc w:val="right"/>
              <w:rPr>
                <w:rFonts w:ascii="Cambria" w:eastAsia="Times New Roman" w:hAnsi="Cambria" w:cs="Calibri"/>
                <w:color w:val="000000"/>
              </w:rPr>
            </w:pPr>
            <w:r w:rsidRPr="00AB0919">
              <w:rPr>
                <w:rFonts w:ascii="Cambria" w:eastAsia="Times New Roman" w:hAnsi="Cambria" w:cs="Calibri"/>
                <w:color w:val="000000"/>
              </w:rPr>
              <w:t>2</w:t>
            </w:r>
          </w:p>
        </w:tc>
        <w:tc>
          <w:tcPr>
            <w:tcW w:w="687" w:type="dxa"/>
            <w:tcBorders>
              <w:top w:val="nil"/>
              <w:left w:val="nil"/>
              <w:bottom w:val="single" w:sz="8" w:space="0" w:color="auto"/>
              <w:right w:val="single" w:sz="8" w:space="0" w:color="auto"/>
            </w:tcBorders>
            <w:shd w:val="clear" w:color="auto" w:fill="auto"/>
            <w:noWrap/>
            <w:vAlign w:val="center"/>
            <w:hideMark/>
          </w:tcPr>
          <w:p w14:paraId="67FEED64" w14:textId="77777777" w:rsidR="00AB0919" w:rsidRPr="00AB0919" w:rsidRDefault="00AB0919" w:rsidP="00AB0919">
            <w:pPr>
              <w:spacing w:after="0"/>
              <w:jc w:val="right"/>
              <w:rPr>
                <w:rFonts w:ascii="Cambria" w:eastAsia="Times New Roman" w:hAnsi="Cambria" w:cs="Calibri"/>
                <w:color w:val="000000"/>
              </w:rPr>
            </w:pPr>
            <w:r w:rsidRPr="00AB0919">
              <w:rPr>
                <w:rFonts w:ascii="Cambria" w:eastAsia="Times New Roman" w:hAnsi="Cambria" w:cs="Calibri"/>
                <w:color w:val="000000"/>
              </w:rPr>
              <w:t>8</w:t>
            </w:r>
          </w:p>
        </w:tc>
      </w:tr>
      <w:tr w:rsidR="00AB0919" w:rsidRPr="00AB0919" w14:paraId="684DC8C5" w14:textId="77777777" w:rsidTr="00AB0919">
        <w:trPr>
          <w:trHeight w:val="310"/>
        </w:trPr>
        <w:tc>
          <w:tcPr>
            <w:tcW w:w="1452" w:type="dxa"/>
            <w:tcBorders>
              <w:top w:val="nil"/>
              <w:left w:val="single" w:sz="8" w:space="0" w:color="auto"/>
              <w:bottom w:val="single" w:sz="8" w:space="0" w:color="auto"/>
              <w:right w:val="single" w:sz="8" w:space="0" w:color="auto"/>
            </w:tcBorders>
            <w:shd w:val="clear" w:color="auto" w:fill="auto"/>
            <w:vAlign w:val="center"/>
            <w:hideMark/>
          </w:tcPr>
          <w:p w14:paraId="4925A77A" w14:textId="77777777" w:rsidR="00AB0919" w:rsidRPr="00AB0919" w:rsidRDefault="00AB0919" w:rsidP="00AB0919">
            <w:pPr>
              <w:spacing w:after="0"/>
              <w:rPr>
                <w:rFonts w:ascii="Cambria" w:eastAsia="Times New Roman" w:hAnsi="Cambria" w:cs="Calibri"/>
                <w:color w:val="000000"/>
              </w:rPr>
            </w:pPr>
            <w:r w:rsidRPr="00AB0919">
              <w:rPr>
                <w:rFonts w:ascii="Cambria" w:eastAsia="Times New Roman" w:hAnsi="Cambria" w:cs="Calibri"/>
                <w:color w:val="000000"/>
              </w:rPr>
              <w:t>Gicumbi</w:t>
            </w:r>
          </w:p>
        </w:tc>
        <w:tc>
          <w:tcPr>
            <w:tcW w:w="1055" w:type="dxa"/>
            <w:tcBorders>
              <w:top w:val="nil"/>
              <w:left w:val="nil"/>
              <w:bottom w:val="single" w:sz="8" w:space="0" w:color="auto"/>
              <w:right w:val="single" w:sz="8" w:space="0" w:color="auto"/>
            </w:tcBorders>
            <w:shd w:val="clear" w:color="auto" w:fill="auto"/>
            <w:vAlign w:val="center"/>
            <w:hideMark/>
          </w:tcPr>
          <w:p w14:paraId="4496D10E" w14:textId="77777777" w:rsidR="00AB0919" w:rsidRPr="00AB0919" w:rsidRDefault="00AB0919" w:rsidP="00AB0919">
            <w:pPr>
              <w:spacing w:after="0"/>
              <w:jc w:val="right"/>
              <w:rPr>
                <w:rFonts w:ascii="Cambria" w:eastAsia="Times New Roman" w:hAnsi="Cambria" w:cs="Calibri"/>
                <w:color w:val="000000"/>
              </w:rPr>
            </w:pPr>
            <w:r w:rsidRPr="00AB0919">
              <w:rPr>
                <w:rFonts w:ascii="Cambria" w:eastAsia="Times New Roman" w:hAnsi="Cambria" w:cs="Calibri"/>
                <w:color w:val="000000"/>
              </w:rPr>
              <w:t>36.60%</w:t>
            </w:r>
          </w:p>
        </w:tc>
        <w:tc>
          <w:tcPr>
            <w:tcW w:w="719" w:type="dxa"/>
            <w:tcBorders>
              <w:top w:val="nil"/>
              <w:left w:val="nil"/>
              <w:bottom w:val="single" w:sz="8" w:space="0" w:color="auto"/>
              <w:right w:val="single" w:sz="8" w:space="0" w:color="auto"/>
            </w:tcBorders>
            <w:shd w:val="clear" w:color="auto" w:fill="auto"/>
            <w:vAlign w:val="center"/>
            <w:hideMark/>
          </w:tcPr>
          <w:p w14:paraId="68DEE8D7" w14:textId="77777777" w:rsidR="00AB0919" w:rsidRPr="00AB0919" w:rsidRDefault="00AB0919" w:rsidP="00AB0919">
            <w:pPr>
              <w:spacing w:after="0"/>
              <w:jc w:val="right"/>
              <w:rPr>
                <w:rFonts w:ascii="Cambria" w:eastAsia="Times New Roman" w:hAnsi="Cambria" w:cs="Calibri"/>
                <w:color w:val="000000"/>
              </w:rPr>
            </w:pPr>
            <w:r w:rsidRPr="00AB0919">
              <w:rPr>
                <w:rFonts w:ascii="Cambria" w:eastAsia="Times New Roman" w:hAnsi="Cambria" w:cs="Calibri"/>
                <w:color w:val="000000"/>
              </w:rPr>
              <w:t>2</w:t>
            </w:r>
          </w:p>
        </w:tc>
        <w:tc>
          <w:tcPr>
            <w:tcW w:w="2537" w:type="dxa"/>
            <w:tcBorders>
              <w:top w:val="nil"/>
              <w:left w:val="nil"/>
              <w:bottom w:val="single" w:sz="8" w:space="0" w:color="auto"/>
              <w:right w:val="nil"/>
            </w:tcBorders>
            <w:shd w:val="clear" w:color="auto" w:fill="auto"/>
            <w:vAlign w:val="center"/>
            <w:hideMark/>
          </w:tcPr>
          <w:p w14:paraId="4A976961" w14:textId="77777777" w:rsidR="00AB0919" w:rsidRPr="00AB0919" w:rsidRDefault="00AB0919" w:rsidP="00AB0919">
            <w:pPr>
              <w:spacing w:after="0"/>
              <w:jc w:val="right"/>
              <w:rPr>
                <w:rFonts w:ascii="Cambria" w:eastAsia="Times New Roman" w:hAnsi="Cambria" w:cs="Calibri"/>
                <w:color w:val="000000"/>
              </w:rPr>
            </w:pPr>
            <w:r w:rsidRPr="00AB0919">
              <w:rPr>
                <w:rFonts w:ascii="Cambria" w:eastAsia="Times New Roman" w:hAnsi="Cambria" w:cs="Calibri"/>
                <w:color w:val="000000"/>
              </w:rPr>
              <w:t>12%</w:t>
            </w:r>
          </w:p>
        </w:tc>
        <w:tc>
          <w:tcPr>
            <w:tcW w:w="687" w:type="dxa"/>
            <w:tcBorders>
              <w:top w:val="nil"/>
              <w:left w:val="single" w:sz="8" w:space="0" w:color="auto"/>
              <w:bottom w:val="single" w:sz="8" w:space="0" w:color="auto"/>
              <w:right w:val="single" w:sz="8" w:space="0" w:color="auto"/>
            </w:tcBorders>
            <w:shd w:val="clear" w:color="auto" w:fill="auto"/>
            <w:vAlign w:val="center"/>
            <w:hideMark/>
          </w:tcPr>
          <w:p w14:paraId="2DB28FF2" w14:textId="77777777" w:rsidR="00AB0919" w:rsidRPr="00AB0919" w:rsidRDefault="00AB0919" w:rsidP="00AB0919">
            <w:pPr>
              <w:spacing w:after="0"/>
              <w:jc w:val="right"/>
              <w:rPr>
                <w:rFonts w:ascii="Cambria" w:eastAsia="Times New Roman" w:hAnsi="Cambria" w:cs="Calibri"/>
                <w:color w:val="000000"/>
              </w:rPr>
            </w:pPr>
            <w:r w:rsidRPr="00AB0919">
              <w:rPr>
                <w:rFonts w:ascii="Cambria" w:eastAsia="Times New Roman" w:hAnsi="Cambria" w:cs="Calibri"/>
                <w:color w:val="000000"/>
              </w:rPr>
              <w:t>2</w:t>
            </w:r>
          </w:p>
        </w:tc>
        <w:tc>
          <w:tcPr>
            <w:tcW w:w="1324" w:type="dxa"/>
            <w:tcBorders>
              <w:top w:val="nil"/>
              <w:left w:val="nil"/>
              <w:bottom w:val="single" w:sz="8" w:space="0" w:color="auto"/>
              <w:right w:val="single" w:sz="8" w:space="0" w:color="auto"/>
            </w:tcBorders>
            <w:shd w:val="clear" w:color="auto" w:fill="auto"/>
            <w:noWrap/>
            <w:vAlign w:val="center"/>
            <w:hideMark/>
          </w:tcPr>
          <w:p w14:paraId="36490B5C" w14:textId="77777777" w:rsidR="00AB0919" w:rsidRPr="00AB0919" w:rsidRDefault="00AB0919" w:rsidP="00AB0919">
            <w:pPr>
              <w:spacing w:after="0"/>
              <w:jc w:val="right"/>
              <w:rPr>
                <w:rFonts w:ascii="Cambria" w:eastAsia="Times New Roman" w:hAnsi="Cambria" w:cs="Calibri"/>
                <w:color w:val="000000"/>
              </w:rPr>
            </w:pPr>
            <w:r w:rsidRPr="00AB0919">
              <w:rPr>
                <w:rFonts w:ascii="Cambria" w:eastAsia="Times New Roman" w:hAnsi="Cambria" w:cs="Calibri"/>
                <w:color w:val="000000"/>
              </w:rPr>
              <w:t>48.10%</w:t>
            </w:r>
          </w:p>
        </w:tc>
        <w:tc>
          <w:tcPr>
            <w:tcW w:w="719" w:type="dxa"/>
            <w:tcBorders>
              <w:top w:val="nil"/>
              <w:left w:val="nil"/>
              <w:bottom w:val="single" w:sz="8" w:space="0" w:color="auto"/>
              <w:right w:val="single" w:sz="8" w:space="0" w:color="auto"/>
            </w:tcBorders>
            <w:shd w:val="clear" w:color="auto" w:fill="auto"/>
            <w:noWrap/>
            <w:vAlign w:val="center"/>
            <w:hideMark/>
          </w:tcPr>
          <w:p w14:paraId="2B459719" w14:textId="77777777" w:rsidR="00AB0919" w:rsidRPr="00AB0919" w:rsidRDefault="00AB0919" w:rsidP="00AB0919">
            <w:pPr>
              <w:spacing w:after="0"/>
              <w:jc w:val="right"/>
              <w:rPr>
                <w:rFonts w:ascii="Cambria" w:eastAsia="Times New Roman" w:hAnsi="Cambria" w:cs="Calibri"/>
                <w:color w:val="000000"/>
              </w:rPr>
            </w:pPr>
            <w:r w:rsidRPr="00AB0919">
              <w:rPr>
                <w:rFonts w:ascii="Cambria" w:eastAsia="Times New Roman" w:hAnsi="Cambria" w:cs="Calibri"/>
                <w:color w:val="000000"/>
              </w:rPr>
              <w:t>4</w:t>
            </w:r>
          </w:p>
        </w:tc>
        <w:tc>
          <w:tcPr>
            <w:tcW w:w="687" w:type="dxa"/>
            <w:tcBorders>
              <w:top w:val="nil"/>
              <w:left w:val="nil"/>
              <w:bottom w:val="single" w:sz="8" w:space="0" w:color="auto"/>
              <w:right w:val="single" w:sz="8" w:space="0" w:color="auto"/>
            </w:tcBorders>
            <w:shd w:val="clear" w:color="auto" w:fill="auto"/>
            <w:noWrap/>
            <w:vAlign w:val="center"/>
            <w:hideMark/>
          </w:tcPr>
          <w:p w14:paraId="27C26948" w14:textId="77777777" w:rsidR="00AB0919" w:rsidRPr="00AB0919" w:rsidRDefault="00AB0919" w:rsidP="00AB0919">
            <w:pPr>
              <w:spacing w:after="0"/>
              <w:jc w:val="right"/>
              <w:rPr>
                <w:rFonts w:ascii="Cambria" w:eastAsia="Times New Roman" w:hAnsi="Cambria" w:cs="Calibri"/>
                <w:color w:val="000000"/>
              </w:rPr>
            </w:pPr>
            <w:r w:rsidRPr="00AB0919">
              <w:rPr>
                <w:rFonts w:ascii="Cambria" w:eastAsia="Times New Roman" w:hAnsi="Cambria" w:cs="Calibri"/>
                <w:color w:val="000000"/>
              </w:rPr>
              <w:t>8</w:t>
            </w:r>
          </w:p>
        </w:tc>
      </w:tr>
      <w:tr w:rsidR="00AB0919" w:rsidRPr="00AB0919" w14:paraId="09127BC4" w14:textId="77777777" w:rsidTr="00AB0919">
        <w:trPr>
          <w:trHeight w:val="310"/>
        </w:trPr>
        <w:tc>
          <w:tcPr>
            <w:tcW w:w="1452" w:type="dxa"/>
            <w:tcBorders>
              <w:top w:val="nil"/>
              <w:left w:val="single" w:sz="8" w:space="0" w:color="auto"/>
              <w:bottom w:val="single" w:sz="8" w:space="0" w:color="auto"/>
              <w:right w:val="single" w:sz="8" w:space="0" w:color="auto"/>
            </w:tcBorders>
            <w:shd w:val="clear" w:color="auto" w:fill="auto"/>
            <w:vAlign w:val="center"/>
            <w:hideMark/>
          </w:tcPr>
          <w:p w14:paraId="0B1C10B3" w14:textId="77777777" w:rsidR="00AB0919" w:rsidRPr="00AB0919" w:rsidRDefault="00AB0919" w:rsidP="00AB0919">
            <w:pPr>
              <w:spacing w:after="0"/>
              <w:rPr>
                <w:rFonts w:ascii="Cambria" w:eastAsia="Times New Roman" w:hAnsi="Cambria" w:cs="Calibri"/>
                <w:color w:val="000000"/>
              </w:rPr>
            </w:pPr>
            <w:r w:rsidRPr="00AB0919">
              <w:rPr>
                <w:rFonts w:ascii="Cambria" w:eastAsia="Times New Roman" w:hAnsi="Cambria" w:cs="Calibri"/>
                <w:color w:val="000000"/>
              </w:rPr>
              <w:t>Nyagatare</w:t>
            </w:r>
          </w:p>
        </w:tc>
        <w:tc>
          <w:tcPr>
            <w:tcW w:w="1055" w:type="dxa"/>
            <w:tcBorders>
              <w:top w:val="nil"/>
              <w:left w:val="nil"/>
              <w:bottom w:val="single" w:sz="8" w:space="0" w:color="auto"/>
              <w:right w:val="single" w:sz="8" w:space="0" w:color="auto"/>
            </w:tcBorders>
            <w:shd w:val="clear" w:color="auto" w:fill="auto"/>
            <w:vAlign w:val="center"/>
            <w:hideMark/>
          </w:tcPr>
          <w:p w14:paraId="4EB9626B" w14:textId="77777777" w:rsidR="00AB0919" w:rsidRPr="00AB0919" w:rsidRDefault="00AB0919" w:rsidP="00AB0919">
            <w:pPr>
              <w:spacing w:after="0"/>
              <w:jc w:val="right"/>
              <w:rPr>
                <w:rFonts w:ascii="Cambria" w:eastAsia="Times New Roman" w:hAnsi="Cambria" w:cs="Calibri"/>
                <w:color w:val="000000"/>
              </w:rPr>
            </w:pPr>
            <w:r w:rsidRPr="00AB0919">
              <w:rPr>
                <w:rFonts w:ascii="Cambria" w:eastAsia="Times New Roman" w:hAnsi="Cambria" w:cs="Calibri"/>
                <w:color w:val="000000"/>
              </w:rPr>
              <w:t>36.80%</w:t>
            </w:r>
          </w:p>
        </w:tc>
        <w:tc>
          <w:tcPr>
            <w:tcW w:w="719" w:type="dxa"/>
            <w:tcBorders>
              <w:top w:val="nil"/>
              <w:left w:val="nil"/>
              <w:bottom w:val="single" w:sz="8" w:space="0" w:color="auto"/>
              <w:right w:val="single" w:sz="8" w:space="0" w:color="auto"/>
            </w:tcBorders>
            <w:shd w:val="clear" w:color="auto" w:fill="auto"/>
            <w:vAlign w:val="center"/>
            <w:hideMark/>
          </w:tcPr>
          <w:p w14:paraId="39016FF9" w14:textId="77777777" w:rsidR="00AB0919" w:rsidRPr="00AB0919" w:rsidRDefault="00AB0919" w:rsidP="00AB0919">
            <w:pPr>
              <w:spacing w:after="0"/>
              <w:jc w:val="right"/>
              <w:rPr>
                <w:rFonts w:ascii="Cambria" w:eastAsia="Times New Roman" w:hAnsi="Cambria" w:cs="Calibri"/>
                <w:color w:val="000000"/>
              </w:rPr>
            </w:pPr>
            <w:r w:rsidRPr="00AB0919">
              <w:rPr>
                <w:rFonts w:ascii="Cambria" w:eastAsia="Times New Roman" w:hAnsi="Cambria" w:cs="Calibri"/>
                <w:color w:val="000000"/>
              </w:rPr>
              <w:t>2</w:t>
            </w:r>
          </w:p>
        </w:tc>
        <w:tc>
          <w:tcPr>
            <w:tcW w:w="2537" w:type="dxa"/>
            <w:tcBorders>
              <w:top w:val="nil"/>
              <w:left w:val="nil"/>
              <w:bottom w:val="single" w:sz="8" w:space="0" w:color="auto"/>
              <w:right w:val="nil"/>
            </w:tcBorders>
            <w:shd w:val="clear" w:color="auto" w:fill="auto"/>
            <w:vAlign w:val="center"/>
            <w:hideMark/>
          </w:tcPr>
          <w:p w14:paraId="073179C7" w14:textId="77777777" w:rsidR="00AB0919" w:rsidRPr="00AB0919" w:rsidRDefault="00AB0919" w:rsidP="00AB0919">
            <w:pPr>
              <w:spacing w:after="0"/>
              <w:jc w:val="right"/>
              <w:rPr>
                <w:rFonts w:ascii="Cambria" w:eastAsia="Times New Roman" w:hAnsi="Cambria" w:cs="Calibri"/>
                <w:color w:val="000000"/>
              </w:rPr>
            </w:pPr>
            <w:r w:rsidRPr="00AB0919">
              <w:rPr>
                <w:rFonts w:ascii="Cambria" w:eastAsia="Times New Roman" w:hAnsi="Cambria" w:cs="Calibri"/>
                <w:color w:val="000000"/>
              </w:rPr>
              <w:t>11%</w:t>
            </w:r>
          </w:p>
        </w:tc>
        <w:tc>
          <w:tcPr>
            <w:tcW w:w="687" w:type="dxa"/>
            <w:tcBorders>
              <w:top w:val="nil"/>
              <w:left w:val="single" w:sz="8" w:space="0" w:color="auto"/>
              <w:bottom w:val="single" w:sz="8" w:space="0" w:color="auto"/>
              <w:right w:val="single" w:sz="8" w:space="0" w:color="auto"/>
            </w:tcBorders>
            <w:shd w:val="clear" w:color="auto" w:fill="auto"/>
            <w:vAlign w:val="center"/>
            <w:hideMark/>
          </w:tcPr>
          <w:p w14:paraId="1019845D" w14:textId="77777777" w:rsidR="00AB0919" w:rsidRPr="00AB0919" w:rsidRDefault="00AB0919" w:rsidP="00AB0919">
            <w:pPr>
              <w:spacing w:after="0"/>
              <w:jc w:val="right"/>
              <w:rPr>
                <w:rFonts w:ascii="Cambria" w:eastAsia="Times New Roman" w:hAnsi="Cambria" w:cs="Calibri"/>
                <w:color w:val="000000"/>
              </w:rPr>
            </w:pPr>
            <w:r w:rsidRPr="00AB0919">
              <w:rPr>
                <w:rFonts w:ascii="Cambria" w:eastAsia="Times New Roman" w:hAnsi="Cambria" w:cs="Calibri"/>
                <w:color w:val="000000"/>
              </w:rPr>
              <w:t>2</w:t>
            </w:r>
          </w:p>
        </w:tc>
        <w:tc>
          <w:tcPr>
            <w:tcW w:w="1324" w:type="dxa"/>
            <w:tcBorders>
              <w:top w:val="nil"/>
              <w:left w:val="nil"/>
              <w:bottom w:val="single" w:sz="8" w:space="0" w:color="auto"/>
              <w:right w:val="single" w:sz="8" w:space="0" w:color="auto"/>
            </w:tcBorders>
            <w:shd w:val="clear" w:color="auto" w:fill="auto"/>
            <w:vAlign w:val="center"/>
            <w:hideMark/>
          </w:tcPr>
          <w:p w14:paraId="3DF798AF" w14:textId="77777777" w:rsidR="00AB0919" w:rsidRPr="00AB0919" w:rsidRDefault="00AB0919" w:rsidP="00AB0919">
            <w:pPr>
              <w:spacing w:after="0"/>
              <w:jc w:val="right"/>
              <w:rPr>
                <w:rFonts w:ascii="Cambria" w:eastAsia="Times New Roman" w:hAnsi="Cambria" w:cs="Calibri"/>
                <w:color w:val="000000"/>
              </w:rPr>
            </w:pPr>
            <w:r w:rsidRPr="00AB0919">
              <w:rPr>
                <w:rFonts w:ascii="Cambria" w:eastAsia="Times New Roman" w:hAnsi="Cambria" w:cs="Calibri"/>
                <w:color w:val="000000"/>
              </w:rPr>
              <w:t>44.10%</w:t>
            </w:r>
          </w:p>
        </w:tc>
        <w:tc>
          <w:tcPr>
            <w:tcW w:w="719" w:type="dxa"/>
            <w:tcBorders>
              <w:top w:val="nil"/>
              <w:left w:val="nil"/>
              <w:bottom w:val="single" w:sz="8" w:space="0" w:color="auto"/>
              <w:right w:val="single" w:sz="8" w:space="0" w:color="auto"/>
            </w:tcBorders>
            <w:shd w:val="clear" w:color="auto" w:fill="auto"/>
            <w:noWrap/>
            <w:vAlign w:val="center"/>
            <w:hideMark/>
          </w:tcPr>
          <w:p w14:paraId="5EA9548E" w14:textId="77777777" w:rsidR="00AB0919" w:rsidRPr="00AB0919" w:rsidRDefault="00AB0919" w:rsidP="00AB0919">
            <w:pPr>
              <w:spacing w:after="0"/>
              <w:jc w:val="right"/>
              <w:rPr>
                <w:rFonts w:ascii="Cambria" w:eastAsia="Times New Roman" w:hAnsi="Cambria" w:cs="Calibri"/>
                <w:color w:val="000000"/>
              </w:rPr>
            </w:pPr>
            <w:r w:rsidRPr="00AB0919">
              <w:rPr>
                <w:rFonts w:ascii="Cambria" w:eastAsia="Times New Roman" w:hAnsi="Cambria" w:cs="Calibri"/>
                <w:color w:val="000000"/>
              </w:rPr>
              <w:t>4</w:t>
            </w:r>
          </w:p>
        </w:tc>
        <w:tc>
          <w:tcPr>
            <w:tcW w:w="687" w:type="dxa"/>
            <w:tcBorders>
              <w:top w:val="nil"/>
              <w:left w:val="nil"/>
              <w:bottom w:val="single" w:sz="8" w:space="0" w:color="auto"/>
              <w:right w:val="single" w:sz="8" w:space="0" w:color="auto"/>
            </w:tcBorders>
            <w:shd w:val="clear" w:color="auto" w:fill="auto"/>
            <w:noWrap/>
            <w:vAlign w:val="center"/>
            <w:hideMark/>
          </w:tcPr>
          <w:p w14:paraId="211DA367" w14:textId="77777777" w:rsidR="00AB0919" w:rsidRPr="00AB0919" w:rsidRDefault="00AB0919" w:rsidP="00AB0919">
            <w:pPr>
              <w:spacing w:after="0"/>
              <w:jc w:val="right"/>
              <w:rPr>
                <w:rFonts w:ascii="Cambria" w:eastAsia="Times New Roman" w:hAnsi="Cambria" w:cs="Calibri"/>
                <w:color w:val="000000"/>
              </w:rPr>
            </w:pPr>
            <w:r w:rsidRPr="00AB0919">
              <w:rPr>
                <w:rFonts w:ascii="Cambria" w:eastAsia="Times New Roman" w:hAnsi="Cambria" w:cs="Calibri"/>
                <w:color w:val="000000"/>
              </w:rPr>
              <w:t>8</w:t>
            </w:r>
          </w:p>
        </w:tc>
      </w:tr>
      <w:tr w:rsidR="00AB0919" w:rsidRPr="00AB0919" w14:paraId="105C5F63" w14:textId="77777777" w:rsidTr="00AB0919">
        <w:trPr>
          <w:trHeight w:val="310"/>
        </w:trPr>
        <w:tc>
          <w:tcPr>
            <w:tcW w:w="1452" w:type="dxa"/>
            <w:tcBorders>
              <w:top w:val="nil"/>
              <w:left w:val="single" w:sz="8" w:space="0" w:color="auto"/>
              <w:bottom w:val="single" w:sz="8" w:space="0" w:color="auto"/>
              <w:right w:val="single" w:sz="8" w:space="0" w:color="auto"/>
            </w:tcBorders>
            <w:shd w:val="clear" w:color="auto" w:fill="auto"/>
            <w:vAlign w:val="center"/>
            <w:hideMark/>
          </w:tcPr>
          <w:p w14:paraId="2522BD69" w14:textId="77777777" w:rsidR="00AB0919" w:rsidRPr="00AB0919" w:rsidRDefault="00AB0919" w:rsidP="00AB0919">
            <w:pPr>
              <w:spacing w:after="0"/>
              <w:rPr>
                <w:rFonts w:ascii="Cambria" w:eastAsia="Times New Roman" w:hAnsi="Cambria" w:cs="Calibri"/>
                <w:color w:val="000000"/>
              </w:rPr>
            </w:pPr>
            <w:r w:rsidRPr="00AB0919">
              <w:rPr>
                <w:rFonts w:ascii="Cambria" w:eastAsia="Times New Roman" w:hAnsi="Cambria" w:cs="Calibri"/>
                <w:color w:val="000000"/>
              </w:rPr>
              <w:t>Gatsibo</w:t>
            </w:r>
          </w:p>
        </w:tc>
        <w:tc>
          <w:tcPr>
            <w:tcW w:w="1055" w:type="dxa"/>
            <w:tcBorders>
              <w:top w:val="nil"/>
              <w:left w:val="nil"/>
              <w:bottom w:val="single" w:sz="8" w:space="0" w:color="auto"/>
              <w:right w:val="single" w:sz="8" w:space="0" w:color="auto"/>
            </w:tcBorders>
            <w:shd w:val="clear" w:color="auto" w:fill="auto"/>
            <w:vAlign w:val="center"/>
            <w:hideMark/>
          </w:tcPr>
          <w:p w14:paraId="40C92941" w14:textId="77777777" w:rsidR="00AB0919" w:rsidRPr="00AB0919" w:rsidRDefault="00AB0919" w:rsidP="00AB0919">
            <w:pPr>
              <w:spacing w:after="0"/>
              <w:jc w:val="right"/>
              <w:rPr>
                <w:rFonts w:ascii="Cambria" w:eastAsia="Times New Roman" w:hAnsi="Cambria" w:cs="Calibri"/>
                <w:color w:val="000000"/>
              </w:rPr>
            </w:pPr>
            <w:r w:rsidRPr="00AB0919">
              <w:rPr>
                <w:rFonts w:ascii="Cambria" w:eastAsia="Times New Roman" w:hAnsi="Cambria" w:cs="Calibri"/>
                <w:color w:val="000000"/>
              </w:rPr>
              <w:t>31.70%</w:t>
            </w:r>
          </w:p>
        </w:tc>
        <w:tc>
          <w:tcPr>
            <w:tcW w:w="719" w:type="dxa"/>
            <w:tcBorders>
              <w:top w:val="nil"/>
              <w:left w:val="nil"/>
              <w:bottom w:val="single" w:sz="8" w:space="0" w:color="auto"/>
              <w:right w:val="single" w:sz="8" w:space="0" w:color="auto"/>
            </w:tcBorders>
            <w:shd w:val="clear" w:color="auto" w:fill="auto"/>
            <w:vAlign w:val="center"/>
            <w:hideMark/>
          </w:tcPr>
          <w:p w14:paraId="004080BA" w14:textId="77777777" w:rsidR="00AB0919" w:rsidRPr="00AB0919" w:rsidRDefault="00AB0919" w:rsidP="00AB0919">
            <w:pPr>
              <w:spacing w:after="0"/>
              <w:jc w:val="right"/>
              <w:rPr>
                <w:rFonts w:ascii="Cambria" w:eastAsia="Times New Roman" w:hAnsi="Cambria" w:cs="Calibri"/>
                <w:color w:val="000000"/>
              </w:rPr>
            </w:pPr>
            <w:r w:rsidRPr="00AB0919">
              <w:rPr>
                <w:rFonts w:ascii="Cambria" w:eastAsia="Times New Roman" w:hAnsi="Cambria" w:cs="Calibri"/>
                <w:color w:val="000000"/>
              </w:rPr>
              <w:t>2</w:t>
            </w:r>
          </w:p>
        </w:tc>
        <w:tc>
          <w:tcPr>
            <w:tcW w:w="2537" w:type="dxa"/>
            <w:tcBorders>
              <w:top w:val="nil"/>
              <w:left w:val="nil"/>
              <w:bottom w:val="single" w:sz="8" w:space="0" w:color="auto"/>
              <w:right w:val="nil"/>
            </w:tcBorders>
            <w:shd w:val="clear" w:color="auto" w:fill="auto"/>
            <w:vAlign w:val="center"/>
            <w:hideMark/>
          </w:tcPr>
          <w:p w14:paraId="45971871" w14:textId="77777777" w:rsidR="00AB0919" w:rsidRPr="00AB0919" w:rsidRDefault="00AB0919" w:rsidP="00AB0919">
            <w:pPr>
              <w:spacing w:after="0"/>
              <w:jc w:val="right"/>
              <w:rPr>
                <w:rFonts w:ascii="Cambria" w:eastAsia="Times New Roman" w:hAnsi="Cambria" w:cs="Calibri"/>
                <w:color w:val="000000"/>
              </w:rPr>
            </w:pPr>
            <w:r w:rsidRPr="00AB0919">
              <w:rPr>
                <w:rFonts w:ascii="Cambria" w:eastAsia="Times New Roman" w:hAnsi="Cambria" w:cs="Calibri"/>
                <w:color w:val="000000"/>
              </w:rPr>
              <w:t>12%</w:t>
            </w:r>
          </w:p>
        </w:tc>
        <w:tc>
          <w:tcPr>
            <w:tcW w:w="687" w:type="dxa"/>
            <w:tcBorders>
              <w:top w:val="nil"/>
              <w:left w:val="single" w:sz="8" w:space="0" w:color="auto"/>
              <w:bottom w:val="single" w:sz="8" w:space="0" w:color="auto"/>
              <w:right w:val="single" w:sz="8" w:space="0" w:color="auto"/>
            </w:tcBorders>
            <w:shd w:val="clear" w:color="auto" w:fill="auto"/>
            <w:vAlign w:val="center"/>
            <w:hideMark/>
          </w:tcPr>
          <w:p w14:paraId="50917BB8" w14:textId="77777777" w:rsidR="00AB0919" w:rsidRPr="00AB0919" w:rsidRDefault="00AB0919" w:rsidP="00AB0919">
            <w:pPr>
              <w:spacing w:after="0"/>
              <w:jc w:val="right"/>
              <w:rPr>
                <w:rFonts w:ascii="Cambria" w:eastAsia="Times New Roman" w:hAnsi="Cambria" w:cs="Calibri"/>
                <w:color w:val="000000"/>
              </w:rPr>
            </w:pPr>
            <w:r w:rsidRPr="00AB0919">
              <w:rPr>
                <w:rFonts w:ascii="Cambria" w:eastAsia="Times New Roman" w:hAnsi="Cambria" w:cs="Calibri"/>
                <w:color w:val="000000"/>
              </w:rPr>
              <w:t>2</w:t>
            </w:r>
          </w:p>
        </w:tc>
        <w:tc>
          <w:tcPr>
            <w:tcW w:w="1324" w:type="dxa"/>
            <w:tcBorders>
              <w:top w:val="nil"/>
              <w:left w:val="nil"/>
              <w:bottom w:val="single" w:sz="8" w:space="0" w:color="auto"/>
              <w:right w:val="single" w:sz="8" w:space="0" w:color="auto"/>
            </w:tcBorders>
            <w:shd w:val="clear" w:color="auto" w:fill="auto"/>
            <w:vAlign w:val="center"/>
            <w:hideMark/>
          </w:tcPr>
          <w:p w14:paraId="784433CE" w14:textId="77777777" w:rsidR="00AB0919" w:rsidRPr="00AB0919" w:rsidRDefault="00AB0919" w:rsidP="00AB0919">
            <w:pPr>
              <w:spacing w:after="0"/>
              <w:jc w:val="right"/>
              <w:rPr>
                <w:rFonts w:ascii="Cambria" w:eastAsia="Times New Roman" w:hAnsi="Cambria" w:cs="Calibri"/>
                <w:color w:val="000000"/>
              </w:rPr>
            </w:pPr>
            <w:r w:rsidRPr="00AB0919">
              <w:rPr>
                <w:rFonts w:ascii="Cambria" w:eastAsia="Times New Roman" w:hAnsi="Cambria" w:cs="Calibri"/>
                <w:color w:val="000000"/>
              </w:rPr>
              <w:t>43.80%</w:t>
            </w:r>
          </w:p>
        </w:tc>
        <w:tc>
          <w:tcPr>
            <w:tcW w:w="719" w:type="dxa"/>
            <w:tcBorders>
              <w:top w:val="nil"/>
              <w:left w:val="nil"/>
              <w:bottom w:val="single" w:sz="8" w:space="0" w:color="auto"/>
              <w:right w:val="single" w:sz="8" w:space="0" w:color="auto"/>
            </w:tcBorders>
            <w:shd w:val="clear" w:color="auto" w:fill="auto"/>
            <w:noWrap/>
            <w:vAlign w:val="center"/>
            <w:hideMark/>
          </w:tcPr>
          <w:p w14:paraId="6B84709A" w14:textId="77777777" w:rsidR="00AB0919" w:rsidRPr="00AB0919" w:rsidRDefault="00AB0919" w:rsidP="00AB0919">
            <w:pPr>
              <w:spacing w:after="0"/>
              <w:jc w:val="right"/>
              <w:rPr>
                <w:rFonts w:ascii="Cambria" w:eastAsia="Times New Roman" w:hAnsi="Cambria" w:cs="Calibri"/>
                <w:color w:val="000000"/>
              </w:rPr>
            </w:pPr>
            <w:r w:rsidRPr="00AB0919">
              <w:rPr>
                <w:rFonts w:ascii="Cambria" w:eastAsia="Times New Roman" w:hAnsi="Cambria" w:cs="Calibri"/>
                <w:color w:val="000000"/>
              </w:rPr>
              <w:t>4</w:t>
            </w:r>
          </w:p>
        </w:tc>
        <w:tc>
          <w:tcPr>
            <w:tcW w:w="687" w:type="dxa"/>
            <w:tcBorders>
              <w:top w:val="nil"/>
              <w:left w:val="nil"/>
              <w:bottom w:val="single" w:sz="8" w:space="0" w:color="auto"/>
              <w:right w:val="single" w:sz="8" w:space="0" w:color="auto"/>
            </w:tcBorders>
            <w:shd w:val="clear" w:color="auto" w:fill="auto"/>
            <w:noWrap/>
            <w:vAlign w:val="center"/>
            <w:hideMark/>
          </w:tcPr>
          <w:p w14:paraId="52E0AD12" w14:textId="77777777" w:rsidR="00AB0919" w:rsidRPr="00AB0919" w:rsidRDefault="00AB0919" w:rsidP="00AB0919">
            <w:pPr>
              <w:spacing w:after="0"/>
              <w:jc w:val="right"/>
              <w:rPr>
                <w:rFonts w:ascii="Cambria" w:eastAsia="Times New Roman" w:hAnsi="Cambria" w:cs="Calibri"/>
                <w:color w:val="000000"/>
              </w:rPr>
            </w:pPr>
            <w:r w:rsidRPr="00AB0919">
              <w:rPr>
                <w:rFonts w:ascii="Cambria" w:eastAsia="Times New Roman" w:hAnsi="Cambria" w:cs="Calibri"/>
                <w:color w:val="000000"/>
              </w:rPr>
              <w:t>8</w:t>
            </w:r>
          </w:p>
        </w:tc>
      </w:tr>
      <w:tr w:rsidR="00AB0919" w:rsidRPr="00AB0919" w14:paraId="4FA88715" w14:textId="77777777" w:rsidTr="00AB0919">
        <w:trPr>
          <w:trHeight w:val="310"/>
        </w:trPr>
        <w:tc>
          <w:tcPr>
            <w:tcW w:w="1452" w:type="dxa"/>
            <w:tcBorders>
              <w:top w:val="nil"/>
              <w:left w:val="single" w:sz="8" w:space="0" w:color="auto"/>
              <w:bottom w:val="single" w:sz="8" w:space="0" w:color="auto"/>
              <w:right w:val="single" w:sz="8" w:space="0" w:color="auto"/>
            </w:tcBorders>
            <w:shd w:val="clear" w:color="auto" w:fill="auto"/>
            <w:vAlign w:val="center"/>
            <w:hideMark/>
          </w:tcPr>
          <w:p w14:paraId="42C41642" w14:textId="77777777" w:rsidR="00AB0919" w:rsidRPr="00AB0919" w:rsidRDefault="00AB0919" w:rsidP="00AB0919">
            <w:pPr>
              <w:spacing w:after="0"/>
              <w:rPr>
                <w:rFonts w:ascii="Cambria" w:eastAsia="Times New Roman" w:hAnsi="Cambria" w:cs="Calibri"/>
                <w:color w:val="000000"/>
              </w:rPr>
            </w:pPr>
            <w:r w:rsidRPr="00AB0919">
              <w:rPr>
                <w:rFonts w:ascii="Cambria" w:eastAsia="Times New Roman" w:hAnsi="Cambria" w:cs="Calibri"/>
                <w:color w:val="000000"/>
              </w:rPr>
              <w:t>Ngoma</w:t>
            </w:r>
          </w:p>
        </w:tc>
        <w:tc>
          <w:tcPr>
            <w:tcW w:w="1055" w:type="dxa"/>
            <w:tcBorders>
              <w:top w:val="nil"/>
              <w:left w:val="nil"/>
              <w:bottom w:val="single" w:sz="8" w:space="0" w:color="auto"/>
              <w:right w:val="single" w:sz="8" w:space="0" w:color="auto"/>
            </w:tcBorders>
            <w:shd w:val="clear" w:color="auto" w:fill="auto"/>
            <w:vAlign w:val="center"/>
            <w:hideMark/>
          </w:tcPr>
          <w:p w14:paraId="7796ABC7" w14:textId="77777777" w:rsidR="00AB0919" w:rsidRPr="00AB0919" w:rsidRDefault="00AB0919" w:rsidP="00AB0919">
            <w:pPr>
              <w:spacing w:after="0"/>
              <w:jc w:val="right"/>
              <w:rPr>
                <w:rFonts w:ascii="Cambria" w:eastAsia="Times New Roman" w:hAnsi="Cambria" w:cs="Calibri"/>
                <w:color w:val="000000"/>
              </w:rPr>
            </w:pPr>
            <w:r w:rsidRPr="00AB0919">
              <w:rPr>
                <w:rFonts w:ascii="Cambria" w:eastAsia="Times New Roman" w:hAnsi="Cambria" w:cs="Calibri"/>
                <w:color w:val="000000"/>
              </w:rPr>
              <w:t>40.90%</w:t>
            </w:r>
          </w:p>
        </w:tc>
        <w:tc>
          <w:tcPr>
            <w:tcW w:w="719" w:type="dxa"/>
            <w:tcBorders>
              <w:top w:val="nil"/>
              <w:left w:val="nil"/>
              <w:bottom w:val="single" w:sz="8" w:space="0" w:color="auto"/>
              <w:right w:val="single" w:sz="8" w:space="0" w:color="auto"/>
            </w:tcBorders>
            <w:shd w:val="clear" w:color="auto" w:fill="auto"/>
            <w:vAlign w:val="center"/>
            <w:hideMark/>
          </w:tcPr>
          <w:p w14:paraId="6A48EE45" w14:textId="77777777" w:rsidR="00AB0919" w:rsidRPr="00AB0919" w:rsidRDefault="00AB0919" w:rsidP="00AB0919">
            <w:pPr>
              <w:spacing w:after="0"/>
              <w:jc w:val="right"/>
              <w:rPr>
                <w:rFonts w:ascii="Cambria" w:eastAsia="Times New Roman" w:hAnsi="Cambria" w:cs="Calibri"/>
                <w:color w:val="000000"/>
              </w:rPr>
            </w:pPr>
            <w:r w:rsidRPr="00AB0919">
              <w:rPr>
                <w:rFonts w:ascii="Cambria" w:eastAsia="Times New Roman" w:hAnsi="Cambria" w:cs="Calibri"/>
                <w:color w:val="000000"/>
              </w:rPr>
              <w:t>4</w:t>
            </w:r>
          </w:p>
        </w:tc>
        <w:tc>
          <w:tcPr>
            <w:tcW w:w="2537" w:type="dxa"/>
            <w:tcBorders>
              <w:top w:val="nil"/>
              <w:left w:val="nil"/>
              <w:bottom w:val="single" w:sz="8" w:space="0" w:color="auto"/>
              <w:right w:val="nil"/>
            </w:tcBorders>
            <w:shd w:val="clear" w:color="auto" w:fill="auto"/>
            <w:vAlign w:val="center"/>
            <w:hideMark/>
          </w:tcPr>
          <w:p w14:paraId="0AE9CC60" w14:textId="77777777" w:rsidR="00AB0919" w:rsidRPr="00AB0919" w:rsidRDefault="00AB0919" w:rsidP="00AB0919">
            <w:pPr>
              <w:spacing w:after="0"/>
              <w:jc w:val="right"/>
              <w:rPr>
                <w:rFonts w:ascii="Cambria" w:eastAsia="Times New Roman" w:hAnsi="Cambria" w:cs="Calibri"/>
                <w:color w:val="000000"/>
              </w:rPr>
            </w:pPr>
            <w:r w:rsidRPr="00AB0919">
              <w:rPr>
                <w:rFonts w:ascii="Cambria" w:eastAsia="Times New Roman" w:hAnsi="Cambria" w:cs="Calibri"/>
                <w:color w:val="000000"/>
              </w:rPr>
              <w:t>9%</w:t>
            </w:r>
          </w:p>
        </w:tc>
        <w:tc>
          <w:tcPr>
            <w:tcW w:w="687" w:type="dxa"/>
            <w:tcBorders>
              <w:top w:val="nil"/>
              <w:left w:val="single" w:sz="8" w:space="0" w:color="auto"/>
              <w:bottom w:val="single" w:sz="8" w:space="0" w:color="auto"/>
              <w:right w:val="single" w:sz="8" w:space="0" w:color="auto"/>
            </w:tcBorders>
            <w:shd w:val="clear" w:color="auto" w:fill="auto"/>
            <w:vAlign w:val="center"/>
            <w:hideMark/>
          </w:tcPr>
          <w:p w14:paraId="4652234A" w14:textId="77777777" w:rsidR="00AB0919" w:rsidRPr="00AB0919" w:rsidRDefault="00AB0919" w:rsidP="00AB0919">
            <w:pPr>
              <w:spacing w:after="0"/>
              <w:jc w:val="right"/>
              <w:rPr>
                <w:rFonts w:ascii="Cambria" w:eastAsia="Times New Roman" w:hAnsi="Cambria" w:cs="Calibri"/>
                <w:color w:val="000000"/>
              </w:rPr>
            </w:pPr>
            <w:r w:rsidRPr="00AB0919">
              <w:rPr>
                <w:rFonts w:ascii="Cambria" w:eastAsia="Times New Roman" w:hAnsi="Cambria" w:cs="Calibri"/>
                <w:color w:val="000000"/>
              </w:rPr>
              <w:t>1</w:t>
            </w:r>
          </w:p>
        </w:tc>
        <w:tc>
          <w:tcPr>
            <w:tcW w:w="1324" w:type="dxa"/>
            <w:tcBorders>
              <w:top w:val="nil"/>
              <w:left w:val="nil"/>
              <w:bottom w:val="single" w:sz="8" w:space="0" w:color="auto"/>
              <w:right w:val="single" w:sz="8" w:space="0" w:color="auto"/>
            </w:tcBorders>
            <w:shd w:val="clear" w:color="auto" w:fill="auto"/>
            <w:noWrap/>
            <w:vAlign w:val="center"/>
            <w:hideMark/>
          </w:tcPr>
          <w:p w14:paraId="5820B25C" w14:textId="77777777" w:rsidR="00AB0919" w:rsidRPr="00AB0919" w:rsidRDefault="00AB0919" w:rsidP="00AB0919">
            <w:pPr>
              <w:spacing w:after="0"/>
              <w:jc w:val="right"/>
              <w:rPr>
                <w:rFonts w:ascii="Cambria" w:eastAsia="Times New Roman" w:hAnsi="Cambria" w:cs="Calibri"/>
                <w:color w:val="000000"/>
              </w:rPr>
            </w:pPr>
            <w:r w:rsidRPr="00AB0919">
              <w:rPr>
                <w:rFonts w:ascii="Cambria" w:eastAsia="Times New Roman" w:hAnsi="Cambria" w:cs="Calibri"/>
                <w:color w:val="000000"/>
              </w:rPr>
              <w:t>34.30%</w:t>
            </w:r>
          </w:p>
        </w:tc>
        <w:tc>
          <w:tcPr>
            <w:tcW w:w="719" w:type="dxa"/>
            <w:tcBorders>
              <w:top w:val="nil"/>
              <w:left w:val="nil"/>
              <w:bottom w:val="single" w:sz="8" w:space="0" w:color="auto"/>
              <w:right w:val="single" w:sz="8" w:space="0" w:color="auto"/>
            </w:tcBorders>
            <w:shd w:val="clear" w:color="auto" w:fill="auto"/>
            <w:noWrap/>
            <w:vAlign w:val="center"/>
            <w:hideMark/>
          </w:tcPr>
          <w:p w14:paraId="79676383" w14:textId="77777777" w:rsidR="00AB0919" w:rsidRPr="00AB0919" w:rsidRDefault="00AB0919" w:rsidP="00AB0919">
            <w:pPr>
              <w:spacing w:after="0"/>
              <w:jc w:val="right"/>
              <w:rPr>
                <w:rFonts w:ascii="Cambria" w:eastAsia="Times New Roman" w:hAnsi="Cambria" w:cs="Calibri"/>
                <w:color w:val="000000"/>
              </w:rPr>
            </w:pPr>
            <w:r w:rsidRPr="00AB0919">
              <w:rPr>
                <w:rFonts w:ascii="Cambria" w:eastAsia="Times New Roman" w:hAnsi="Cambria" w:cs="Calibri"/>
                <w:color w:val="000000"/>
              </w:rPr>
              <w:t>2</w:t>
            </w:r>
          </w:p>
        </w:tc>
        <w:tc>
          <w:tcPr>
            <w:tcW w:w="687" w:type="dxa"/>
            <w:tcBorders>
              <w:top w:val="nil"/>
              <w:left w:val="nil"/>
              <w:bottom w:val="single" w:sz="8" w:space="0" w:color="auto"/>
              <w:right w:val="single" w:sz="8" w:space="0" w:color="auto"/>
            </w:tcBorders>
            <w:shd w:val="clear" w:color="auto" w:fill="auto"/>
            <w:noWrap/>
            <w:vAlign w:val="center"/>
            <w:hideMark/>
          </w:tcPr>
          <w:p w14:paraId="0E618E9B" w14:textId="77777777" w:rsidR="00AB0919" w:rsidRPr="00AB0919" w:rsidRDefault="00AB0919" w:rsidP="00AB0919">
            <w:pPr>
              <w:spacing w:after="0"/>
              <w:jc w:val="right"/>
              <w:rPr>
                <w:rFonts w:ascii="Cambria" w:eastAsia="Times New Roman" w:hAnsi="Cambria" w:cs="Calibri"/>
                <w:color w:val="000000"/>
              </w:rPr>
            </w:pPr>
            <w:r w:rsidRPr="00AB0919">
              <w:rPr>
                <w:rFonts w:ascii="Cambria" w:eastAsia="Times New Roman" w:hAnsi="Cambria" w:cs="Calibri"/>
                <w:color w:val="000000"/>
              </w:rPr>
              <w:t>7</w:t>
            </w:r>
          </w:p>
        </w:tc>
      </w:tr>
      <w:tr w:rsidR="00AB0919" w:rsidRPr="00AB0919" w14:paraId="0CD02ABE" w14:textId="77777777" w:rsidTr="00AB0919">
        <w:trPr>
          <w:trHeight w:val="310"/>
        </w:trPr>
        <w:tc>
          <w:tcPr>
            <w:tcW w:w="1452" w:type="dxa"/>
            <w:tcBorders>
              <w:top w:val="nil"/>
              <w:left w:val="single" w:sz="8" w:space="0" w:color="auto"/>
              <w:bottom w:val="single" w:sz="8" w:space="0" w:color="auto"/>
              <w:right w:val="single" w:sz="8" w:space="0" w:color="auto"/>
            </w:tcBorders>
            <w:shd w:val="clear" w:color="auto" w:fill="auto"/>
            <w:vAlign w:val="center"/>
            <w:hideMark/>
          </w:tcPr>
          <w:p w14:paraId="0F530201" w14:textId="77777777" w:rsidR="00AB0919" w:rsidRPr="00AB0919" w:rsidRDefault="00AB0919" w:rsidP="00AB0919">
            <w:pPr>
              <w:spacing w:after="0"/>
              <w:rPr>
                <w:rFonts w:ascii="Cambria" w:eastAsia="Times New Roman" w:hAnsi="Cambria" w:cs="Calibri"/>
                <w:color w:val="000000"/>
              </w:rPr>
            </w:pPr>
            <w:r w:rsidRPr="00AB0919">
              <w:rPr>
                <w:rFonts w:ascii="Cambria" w:eastAsia="Times New Roman" w:hAnsi="Cambria" w:cs="Calibri"/>
                <w:color w:val="000000"/>
              </w:rPr>
              <w:t xml:space="preserve">Kamonyi </w:t>
            </w:r>
          </w:p>
        </w:tc>
        <w:tc>
          <w:tcPr>
            <w:tcW w:w="1055" w:type="dxa"/>
            <w:tcBorders>
              <w:top w:val="nil"/>
              <w:left w:val="nil"/>
              <w:bottom w:val="single" w:sz="8" w:space="0" w:color="auto"/>
              <w:right w:val="single" w:sz="8" w:space="0" w:color="auto"/>
            </w:tcBorders>
            <w:shd w:val="clear" w:color="auto" w:fill="auto"/>
            <w:vAlign w:val="center"/>
            <w:hideMark/>
          </w:tcPr>
          <w:p w14:paraId="7E809DE0" w14:textId="77777777" w:rsidR="00AB0919" w:rsidRPr="00AB0919" w:rsidRDefault="00AB0919" w:rsidP="00AB0919">
            <w:pPr>
              <w:spacing w:after="0"/>
              <w:jc w:val="right"/>
              <w:rPr>
                <w:rFonts w:ascii="Cambria" w:eastAsia="Times New Roman" w:hAnsi="Cambria" w:cs="Calibri"/>
                <w:color w:val="000000"/>
              </w:rPr>
            </w:pPr>
            <w:r w:rsidRPr="00AB0919">
              <w:rPr>
                <w:rFonts w:ascii="Cambria" w:eastAsia="Times New Roman" w:hAnsi="Cambria" w:cs="Calibri"/>
                <w:color w:val="000000"/>
              </w:rPr>
              <w:t>36.60%</w:t>
            </w:r>
          </w:p>
        </w:tc>
        <w:tc>
          <w:tcPr>
            <w:tcW w:w="719" w:type="dxa"/>
            <w:tcBorders>
              <w:top w:val="nil"/>
              <w:left w:val="nil"/>
              <w:bottom w:val="single" w:sz="8" w:space="0" w:color="auto"/>
              <w:right w:val="single" w:sz="8" w:space="0" w:color="auto"/>
            </w:tcBorders>
            <w:shd w:val="clear" w:color="auto" w:fill="auto"/>
            <w:vAlign w:val="center"/>
            <w:hideMark/>
          </w:tcPr>
          <w:p w14:paraId="27359F73" w14:textId="77777777" w:rsidR="00AB0919" w:rsidRPr="00AB0919" w:rsidRDefault="00AB0919" w:rsidP="00AB0919">
            <w:pPr>
              <w:spacing w:after="0"/>
              <w:jc w:val="right"/>
              <w:rPr>
                <w:rFonts w:ascii="Cambria" w:eastAsia="Times New Roman" w:hAnsi="Cambria" w:cs="Calibri"/>
                <w:color w:val="000000"/>
              </w:rPr>
            </w:pPr>
            <w:r w:rsidRPr="00AB0919">
              <w:rPr>
                <w:rFonts w:ascii="Cambria" w:eastAsia="Times New Roman" w:hAnsi="Cambria" w:cs="Calibri"/>
                <w:color w:val="000000"/>
              </w:rPr>
              <w:t>2</w:t>
            </w:r>
          </w:p>
        </w:tc>
        <w:tc>
          <w:tcPr>
            <w:tcW w:w="2537" w:type="dxa"/>
            <w:tcBorders>
              <w:top w:val="nil"/>
              <w:left w:val="nil"/>
              <w:bottom w:val="single" w:sz="8" w:space="0" w:color="auto"/>
              <w:right w:val="nil"/>
            </w:tcBorders>
            <w:shd w:val="clear" w:color="auto" w:fill="auto"/>
            <w:vAlign w:val="center"/>
            <w:hideMark/>
          </w:tcPr>
          <w:p w14:paraId="4F32C908" w14:textId="77777777" w:rsidR="00AB0919" w:rsidRPr="00AB0919" w:rsidRDefault="00AB0919" w:rsidP="00AB0919">
            <w:pPr>
              <w:spacing w:after="0"/>
              <w:jc w:val="right"/>
              <w:rPr>
                <w:rFonts w:ascii="Cambria" w:eastAsia="Times New Roman" w:hAnsi="Cambria" w:cs="Calibri"/>
                <w:color w:val="000000"/>
              </w:rPr>
            </w:pPr>
            <w:r w:rsidRPr="00AB0919">
              <w:rPr>
                <w:rFonts w:ascii="Cambria" w:eastAsia="Times New Roman" w:hAnsi="Cambria" w:cs="Calibri"/>
                <w:color w:val="000000"/>
              </w:rPr>
              <w:t>10%</w:t>
            </w:r>
          </w:p>
        </w:tc>
        <w:tc>
          <w:tcPr>
            <w:tcW w:w="687" w:type="dxa"/>
            <w:tcBorders>
              <w:top w:val="nil"/>
              <w:left w:val="single" w:sz="8" w:space="0" w:color="auto"/>
              <w:bottom w:val="single" w:sz="8" w:space="0" w:color="auto"/>
              <w:right w:val="single" w:sz="8" w:space="0" w:color="auto"/>
            </w:tcBorders>
            <w:shd w:val="clear" w:color="auto" w:fill="auto"/>
            <w:vAlign w:val="center"/>
            <w:hideMark/>
          </w:tcPr>
          <w:p w14:paraId="6A5711F8" w14:textId="77777777" w:rsidR="00AB0919" w:rsidRPr="00AB0919" w:rsidRDefault="00AB0919" w:rsidP="00AB0919">
            <w:pPr>
              <w:spacing w:after="0"/>
              <w:jc w:val="right"/>
              <w:rPr>
                <w:rFonts w:ascii="Cambria" w:eastAsia="Times New Roman" w:hAnsi="Cambria" w:cs="Calibri"/>
                <w:color w:val="000000"/>
              </w:rPr>
            </w:pPr>
            <w:r w:rsidRPr="00AB0919">
              <w:rPr>
                <w:rFonts w:ascii="Cambria" w:eastAsia="Times New Roman" w:hAnsi="Cambria" w:cs="Calibri"/>
                <w:color w:val="000000"/>
              </w:rPr>
              <w:t>2</w:t>
            </w:r>
          </w:p>
        </w:tc>
        <w:tc>
          <w:tcPr>
            <w:tcW w:w="1324" w:type="dxa"/>
            <w:tcBorders>
              <w:top w:val="nil"/>
              <w:left w:val="nil"/>
              <w:bottom w:val="single" w:sz="8" w:space="0" w:color="auto"/>
              <w:right w:val="single" w:sz="8" w:space="0" w:color="auto"/>
            </w:tcBorders>
            <w:shd w:val="clear" w:color="auto" w:fill="auto"/>
            <w:noWrap/>
            <w:vAlign w:val="center"/>
            <w:hideMark/>
          </w:tcPr>
          <w:p w14:paraId="29593DAC" w14:textId="77777777" w:rsidR="00AB0919" w:rsidRPr="00AB0919" w:rsidRDefault="00AB0919" w:rsidP="00AB0919">
            <w:pPr>
              <w:spacing w:after="0"/>
              <w:jc w:val="right"/>
              <w:rPr>
                <w:rFonts w:ascii="Cambria" w:eastAsia="Times New Roman" w:hAnsi="Cambria" w:cs="Calibri"/>
                <w:color w:val="000000"/>
              </w:rPr>
            </w:pPr>
            <w:r w:rsidRPr="00AB0919">
              <w:rPr>
                <w:rFonts w:ascii="Cambria" w:eastAsia="Times New Roman" w:hAnsi="Cambria" w:cs="Calibri"/>
                <w:color w:val="000000"/>
              </w:rPr>
              <w:t>38.00%</w:t>
            </w:r>
          </w:p>
        </w:tc>
        <w:tc>
          <w:tcPr>
            <w:tcW w:w="719" w:type="dxa"/>
            <w:tcBorders>
              <w:top w:val="nil"/>
              <w:left w:val="nil"/>
              <w:bottom w:val="single" w:sz="8" w:space="0" w:color="auto"/>
              <w:right w:val="single" w:sz="8" w:space="0" w:color="auto"/>
            </w:tcBorders>
            <w:shd w:val="clear" w:color="auto" w:fill="auto"/>
            <w:noWrap/>
            <w:vAlign w:val="center"/>
            <w:hideMark/>
          </w:tcPr>
          <w:p w14:paraId="5F9FBC82" w14:textId="77777777" w:rsidR="00AB0919" w:rsidRPr="00AB0919" w:rsidRDefault="00AB0919" w:rsidP="00AB0919">
            <w:pPr>
              <w:spacing w:after="0"/>
              <w:jc w:val="right"/>
              <w:rPr>
                <w:rFonts w:ascii="Cambria" w:eastAsia="Times New Roman" w:hAnsi="Cambria" w:cs="Calibri"/>
                <w:color w:val="000000"/>
              </w:rPr>
            </w:pPr>
            <w:r w:rsidRPr="00AB0919">
              <w:rPr>
                <w:rFonts w:ascii="Cambria" w:eastAsia="Times New Roman" w:hAnsi="Cambria" w:cs="Calibri"/>
                <w:color w:val="000000"/>
              </w:rPr>
              <w:t>2</w:t>
            </w:r>
          </w:p>
        </w:tc>
        <w:tc>
          <w:tcPr>
            <w:tcW w:w="687" w:type="dxa"/>
            <w:tcBorders>
              <w:top w:val="nil"/>
              <w:left w:val="nil"/>
              <w:bottom w:val="single" w:sz="8" w:space="0" w:color="auto"/>
              <w:right w:val="single" w:sz="8" w:space="0" w:color="auto"/>
            </w:tcBorders>
            <w:shd w:val="clear" w:color="auto" w:fill="auto"/>
            <w:noWrap/>
            <w:vAlign w:val="center"/>
            <w:hideMark/>
          </w:tcPr>
          <w:p w14:paraId="0E0FBCF1" w14:textId="77777777" w:rsidR="00AB0919" w:rsidRPr="00AB0919" w:rsidRDefault="00AB0919" w:rsidP="00AB0919">
            <w:pPr>
              <w:spacing w:after="0"/>
              <w:jc w:val="right"/>
              <w:rPr>
                <w:rFonts w:ascii="Cambria" w:eastAsia="Times New Roman" w:hAnsi="Cambria" w:cs="Calibri"/>
                <w:color w:val="000000"/>
              </w:rPr>
            </w:pPr>
            <w:r w:rsidRPr="00AB0919">
              <w:rPr>
                <w:rFonts w:ascii="Cambria" w:eastAsia="Times New Roman" w:hAnsi="Cambria" w:cs="Calibri"/>
                <w:color w:val="000000"/>
              </w:rPr>
              <w:t>6</w:t>
            </w:r>
          </w:p>
        </w:tc>
      </w:tr>
      <w:tr w:rsidR="00AB0919" w:rsidRPr="00AB0919" w14:paraId="36A4D418" w14:textId="77777777" w:rsidTr="00AB0919">
        <w:trPr>
          <w:trHeight w:val="310"/>
        </w:trPr>
        <w:tc>
          <w:tcPr>
            <w:tcW w:w="1452" w:type="dxa"/>
            <w:tcBorders>
              <w:top w:val="nil"/>
              <w:left w:val="single" w:sz="8" w:space="0" w:color="auto"/>
              <w:bottom w:val="single" w:sz="8" w:space="0" w:color="auto"/>
              <w:right w:val="single" w:sz="8" w:space="0" w:color="auto"/>
            </w:tcBorders>
            <w:shd w:val="clear" w:color="auto" w:fill="auto"/>
            <w:vAlign w:val="center"/>
            <w:hideMark/>
          </w:tcPr>
          <w:p w14:paraId="29046F8D" w14:textId="77777777" w:rsidR="00AB0919" w:rsidRPr="00AB0919" w:rsidRDefault="00AB0919" w:rsidP="00AB0919">
            <w:pPr>
              <w:spacing w:after="0"/>
              <w:rPr>
                <w:rFonts w:ascii="Cambria" w:eastAsia="Times New Roman" w:hAnsi="Cambria" w:cs="Calibri"/>
                <w:color w:val="000000"/>
              </w:rPr>
            </w:pPr>
            <w:r w:rsidRPr="00AB0919">
              <w:rPr>
                <w:rFonts w:ascii="Cambria" w:eastAsia="Times New Roman" w:hAnsi="Cambria" w:cs="Calibri"/>
                <w:color w:val="000000"/>
              </w:rPr>
              <w:t>Kirehe</w:t>
            </w:r>
          </w:p>
        </w:tc>
        <w:tc>
          <w:tcPr>
            <w:tcW w:w="1055" w:type="dxa"/>
            <w:tcBorders>
              <w:top w:val="nil"/>
              <w:left w:val="nil"/>
              <w:bottom w:val="single" w:sz="8" w:space="0" w:color="auto"/>
              <w:right w:val="single" w:sz="8" w:space="0" w:color="auto"/>
            </w:tcBorders>
            <w:shd w:val="clear" w:color="auto" w:fill="auto"/>
            <w:vAlign w:val="center"/>
            <w:hideMark/>
          </w:tcPr>
          <w:p w14:paraId="2A38345D" w14:textId="77777777" w:rsidR="00AB0919" w:rsidRPr="00AB0919" w:rsidRDefault="00AB0919" w:rsidP="00AB0919">
            <w:pPr>
              <w:spacing w:after="0"/>
              <w:jc w:val="right"/>
              <w:rPr>
                <w:rFonts w:ascii="Cambria" w:eastAsia="Times New Roman" w:hAnsi="Cambria" w:cs="Calibri"/>
                <w:color w:val="000000"/>
              </w:rPr>
            </w:pPr>
            <w:r w:rsidRPr="00AB0919">
              <w:rPr>
                <w:rFonts w:ascii="Cambria" w:eastAsia="Times New Roman" w:hAnsi="Cambria" w:cs="Calibri"/>
                <w:color w:val="000000"/>
              </w:rPr>
              <w:t>29.40%</w:t>
            </w:r>
          </w:p>
        </w:tc>
        <w:tc>
          <w:tcPr>
            <w:tcW w:w="719" w:type="dxa"/>
            <w:tcBorders>
              <w:top w:val="nil"/>
              <w:left w:val="nil"/>
              <w:bottom w:val="single" w:sz="8" w:space="0" w:color="auto"/>
              <w:right w:val="single" w:sz="8" w:space="0" w:color="auto"/>
            </w:tcBorders>
            <w:shd w:val="clear" w:color="auto" w:fill="auto"/>
            <w:vAlign w:val="center"/>
            <w:hideMark/>
          </w:tcPr>
          <w:p w14:paraId="493D99D8" w14:textId="77777777" w:rsidR="00AB0919" w:rsidRPr="00AB0919" w:rsidRDefault="00AB0919" w:rsidP="00AB0919">
            <w:pPr>
              <w:spacing w:after="0"/>
              <w:jc w:val="right"/>
              <w:rPr>
                <w:rFonts w:ascii="Cambria" w:eastAsia="Times New Roman" w:hAnsi="Cambria" w:cs="Calibri"/>
                <w:color w:val="000000"/>
              </w:rPr>
            </w:pPr>
            <w:r w:rsidRPr="00AB0919">
              <w:rPr>
                <w:rFonts w:ascii="Cambria" w:eastAsia="Times New Roman" w:hAnsi="Cambria" w:cs="Calibri"/>
                <w:color w:val="000000"/>
              </w:rPr>
              <w:t>2</w:t>
            </w:r>
          </w:p>
        </w:tc>
        <w:tc>
          <w:tcPr>
            <w:tcW w:w="2537" w:type="dxa"/>
            <w:tcBorders>
              <w:top w:val="nil"/>
              <w:left w:val="nil"/>
              <w:bottom w:val="single" w:sz="8" w:space="0" w:color="auto"/>
              <w:right w:val="nil"/>
            </w:tcBorders>
            <w:shd w:val="clear" w:color="auto" w:fill="auto"/>
            <w:vAlign w:val="center"/>
            <w:hideMark/>
          </w:tcPr>
          <w:p w14:paraId="5B43C6F0" w14:textId="77777777" w:rsidR="00AB0919" w:rsidRPr="00AB0919" w:rsidRDefault="00AB0919" w:rsidP="00AB0919">
            <w:pPr>
              <w:spacing w:after="0"/>
              <w:jc w:val="right"/>
              <w:rPr>
                <w:rFonts w:ascii="Cambria" w:eastAsia="Times New Roman" w:hAnsi="Cambria" w:cs="Calibri"/>
                <w:color w:val="000000"/>
              </w:rPr>
            </w:pPr>
            <w:r w:rsidRPr="00AB0919">
              <w:rPr>
                <w:rFonts w:ascii="Cambria" w:eastAsia="Times New Roman" w:hAnsi="Cambria" w:cs="Calibri"/>
                <w:color w:val="000000"/>
              </w:rPr>
              <w:t>15%</w:t>
            </w:r>
          </w:p>
        </w:tc>
        <w:tc>
          <w:tcPr>
            <w:tcW w:w="687" w:type="dxa"/>
            <w:tcBorders>
              <w:top w:val="nil"/>
              <w:left w:val="single" w:sz="8" w:space="0" w:color="auto"/>
              <w:bottom w:val="single" w:sz="8" w:space="0" w:color="auto"/>
              <w:right w:val="single" w:sz="8" w:space="0" w:color="auto"/>
            </w:tcBorders>
            <w:shd w:val="clear" w:color="auto" w:fill="auto"/>
            <w:vAlign w:val="center"/>
            <w:hideMark/>
          </w:tcPr>
          <w:p w14:paraId="5233CC5D" w14:textId="77777777" w:rsidR="00AB0919" w:rsidRPr="00AB0919" w:rsidRDefault="00AB0919" w:rsidP="00AB0919">
            <w:pPr>
              <w:spacing w:after="0"/>
              <w:jc w:val="right"/>
              <w:rPr>
                <w:rFonts w:ascii="Cambria" w:eastAsia="Times New Roman" w:hAnsi="Cambria" w:cs="Calibri"/>
                <w:color w:val="000000"/>
              </w:rPr>
            </w:pPr>
            <w:r w:rsidRPr="00AB0919">
              <w:rPr>
                <w:rFonts w:ascii="Cambria" w:eastAsia="Times New Roman" w:hAnsi="Cambria" w:cs="Calibri"/>
                <w:color w:val="000000"/>
              </w:rPr>
              <w:t>2</w:t>
            </w:r>
          </w:p>
        </w:tc>
        <w:tc>
          <w:tcPr>
            <w:tcW w:w="1324" w:type="dxa"/>
            <w:tcBorders>
              <w:top w:val="nil"/>
              <w:left w:val="nil"/>
              <w:bottom w:val="single" w:sz="8" w:space="0" w:color="auto"/>
              <w:right w:val="single" w:sz="8" w:space="0" w:color="auto"/>
            </w:tcBorders>
            <w:shd w:val="clear" w:color="auto" w:fill="auto"/>
            <w:vAlign w:val="center"/>
            <w:hideMark/>
          </w:tcPr>
          <w:p w14:paraId="2833EA32" w14:textId="77777777" w:rsidR="00AB0919" w:rsidRPr="00AB0919" w:rsidRDefault="00AB0919" w:rsidP="00AB0919">
            <w:pPr>
              <w:spacing w:after="0"/>
              <w:jc w:val="right"/>
              <w:rPr>
                <w:rFonts w:ascii="Cambria" w:eastAsia="Times New Roman" w:hAnsi="Cambria" w:cs="Calibri"/>
                <w:color w:val="000000"/>
              </w:rPr>
            </w:pPr>
            <w:r w:rsidRPr="00AB0919">
              <w:rPr>
                <w:rFonts w:ascii="Cambria" w:eastAsia="Times New Roman" w:hAnsi="Cambria" w:cs="Calibri"/>
                <w:color w:val="000000"/>
              </w:rPr>
              <w:t>41.80%</w:t>
            </w:r>
          </w:p>
        </w:tc>
        <w:tc>
          <w:tcPr>
            <w:tcW w:w="719" w:type="dxa"/>
            <w:tcBorders>
              <w:top w:val="nil"/>
              <w:left w:val="nil"/>
              <w:bottom w:val="single" w:sz="8" w:space="0" w:color="auto"/>
              <w:right w:val="single" w:sz="8" w:space="0" w:color="auto"/>
            </w:tcBorders>
            <w:shd w:val="clear" w:color="auto" w:fill="auto"/>
            <w:noWrap/>
            <w:vAlign w:val="center"/>
            <w:hideMark/>
          </w:tcPr>
          <w:p w14:paraId="6AAC54E8" w14:textId="77777777" w:rsidR="00AB0919" w:rsidRPr="00AB0919" w:rsidRDefault="00AB0919" w:rsidP="00AB0919">
            <w:pPr>
              <w:spacing w:after="0"/>
              <w:jc w:val="right"/>
              <w:rPr>
                <w:rFonts w:ascii="Cambria" w:eastAsia="Times New Roman" w:hAnsi="Cambria" w:cs="Calibri"/>
                <w:color w:val="000000"/>
              </w:rPr>
            </w:pPr>
            <w:r w:rsidRPr="00AB0919">
              <w:rPr>
                <w:rFonts w:ascii="Cambria" w:eastAsia="Times New Roman" w:hAnsi="Cambria" w:cs="Calibri"/>
                <w:color w:val="000000"/>
              </w:rPr>
              <w:t>2</w:t>
            </w:r>
          </w:p>
        </w:tc>
        <w:tc>
          <w:tcPr>
            <w:tcW w:w="687" w:type="dxa"/>
            <w:tcBorders>
              <w:top w:val="nil"/>
              <w:left w:val="nil"/>
              <w:bottom w:val="single" w:sz="8" w:space="0" w:color="auto"/>
              <w:right w:val="single" w:sz="8" w:space="0" w:color="auto"/>
            </w:tcBorders>
            <w:shd w:val="clear" w:color="auto" w:fill="auto"/>
            <w:noWrap/>
            <w:vAlign w:val="center"/>
            <w:hideMark/>
          </w:tcPr>
          <w:p w14:paraId="704232D4" w14:textId="77777777" w:rsidR="00AB0919" w:rsidRPr="00AB0919" w:rsidRDefault="00AB0919" w:rsidP="00AB0919">
            <w:pPr>
              <w:spacing w:after="0"/>
              <w:jc w:val="right"/>
              <w:rPr>
                <w:rFonts w:ascii="Cambria" w:eastAsia="Times New Roman" w:hAnsi="Cambria" w:cs="Calibri"/>
                <w:color w:val="000000"/>
              </w:rPr>
            </w:pPr>
            <w:r w:rsidRPr="00AB0919">
              <w:rPr>
                <w:rFonts w:ascii="Cambria" w:eastAsia="Times New Roman" w:hAnsi="Cambria" w:cs="Calibri"/>
                <w:color w:val="000000"/>
              </w:rPr>
              <w:t>6</w:t>
            </w:r>
          </w:p>
        </w:tc>
      </w:tr>
      <w:tr w:rsidR="00AB0919" w:rsidRPr="00AB0919" w14:paraId="59464F53" w14:textId="77777777" w:rsidTr="00AB0919">
        <w:trPr>
          <w:trHeight w:val="310"/>
        </w:trPr>
        <w:tc>
          <w:tcPr>
            <w:tcW w:w="1452" w:type="dxa"/>
            <w:tcBorders>
              <w:top w:val="nil"/>
              <w:left w:val="single" w:sz="8" w:space="0" w:color="auto"/>
              <w:bottom w:val="single" w:sz="8" w:space="0" w:color="auto"/>
              <w:right w:val="single" w:sz="8" w:space="0" w:color="auto"/>
            </w:tcBorders>
            <w:shd w:val="clear" w:color="auto" w:fill="auto"/>
            <w:vAlign w:val="center"/>
            <w:hideMark/>
          </w:tcPr>
          <w:p w14:paraId="6C6977E7" w14:textId="77777777" w:rsidR="00AB0919" w:rsidRPr="00AB0919" w:rsidRDefault="00AB0919" w:rsidP="00AB0919">
            <w:pPr>
              <w:spacing w:after="0"/>
              <w:rPr>
                <w:rFonts w:ascii="Cambria" w:eastAsia="Times New Roman" w:hAnsi="Cambria" w:cs="Calibri"/>
                <w:color w:val="000000"/>
              </w:rPr>
            </w:pPr>
            <w:r w:rsidRPr="00AB0919">
              <w:rPr>
                <w:rFonts w:ascii="Cambria" w:eastAsia="Times New Roman" w:hAnsi="Cambria" w:cs="Calibri"/>
                <w:color w:val="000000"/>
              </w:rPr>
              <w:t>Rulindo</w:t>
            </w:r>
          </w:p>
        </w:tc>
        <w:tc>
          <w:tcPr>
            <w:tcW w:w="1055" w:type="dxa"/>
            <w:tcBorders>
              <w:top w:val="nil"/>
              <w:left w:val="nil"/>
              <w:bottom w:val="single" w:sz="8" w:space="0" w:color="auto"/>
              <w:right w:val="single" w:sz="8" w:space="0" w:color="auto"/>
            </w:tcBorders>
            <w:shd w:val="clear" w:color="auto" w:fill="auto"/>
            <w:vAlign w:val="center"/>
            <w:hideMark/>
          </w:tcPr>
          <w:p w14:paraId="2529DB4C" w14:textId="77777777" w:rsidR="00AB0919" w:rsidRPr="00AB0919" w:rsidRDefault="00AB0919" w:rsidP="00AB0919">
            <w:pPr>
              <w:spacing w:after="0"/>
              <w:jc w:val="right"/>
              <w:rPr>
                <w:rFonts w:ascii="Cambria" w:eastAsia="Times New Roman" w:hAnsi="Cambria" w:cs="Calibri"/>
                <w:color w:val="000000"/>
              </w:rPr>
            </w:pPr>
            <w:r w:rsidRPr="00AB0919">
              <w:rPr>
                <w:rFonts w:ascii="Cambria" w:eastAsia="Times New Roman" w:hAnsi="Cambria" w:cs="Calibri"/>
                <w:color w:val="000000"/>
              </w:rPr>
              <w:t>33.80%</w:t>
            </w:r>
          </w:p>
        </w:tc>
        <w:tc>
          <w:tcPr>
            <w:tcW w:w="719" w:type="dxa"/>
            <w:tcBorders>
              <w:top w:val="nil"/>
              <w:left w:val="nil"/>
              <w:bottom w:val="single" w:sz="8" w:space="0" w:color="auto"/>
              <w:right w:val="single" w:sz="8" w:space="0" w:color="auto"/>
            </w:tcBorders>
            <w:shd w:val="clear" w:color="auto" w:fill="auto"/>
            <w:vAlign w:val="center"/>
            <w:hideMark/>
          </w:tcPr>
          <w:p w14:paraId="51CEA82F" w14:textId="77777777" w:rsidR="00AB0919" w:rsidRPr="00AB0919" w:rsidRDefault="00AB0919" w:rsidP="00AB0919">
            <w:pPr>
              <w:spacing w:after="0"/>
              <w:jc w:val="right"/>
              <w:rPr>
                <w:rFonts w:ascii="Cambria" w:eastAsia="Times New Roman" w:hAnsi="Cambria" w:cs="Calibri"/>
                <w:color w:val="000000"/>
              </w:rPr>
            </w:pPr>
            <w:r w:rsidRPr="00AB0919">
              <w:rPr>
                <w:rFonts w:ascii="Cambria" w:eastAsia="Times New Roman" w:hAnsi="Cambria" w:cs="Calibri"/>
                <w:color w:val="000000"/>
              </w:rPr>
              <w:t>2</w:t>
            </w:r>
          </w:p>
        </w:tc>
        <w:tc>
          <w:tcPr>
            <w:tcW w:w="2537" w:type="dxa"/>
            <w:tcBorders>
              <w:top w:val="nil"/>
              <w:left w:val="nil"/>
              <w:bottom w:val="single" w:sz="8" w:space="0" w:color="auto"/>
              <w:right w:val="nil"/>
            </w:tcBorders>
            <w:shd w:val="clear" w:color="auto" w:fill="auto"/>
            <w:vAlign w:val="center"/>
            <w:hideMark/>
          </w:tcPr>
          <w:p w14:paraId="0016E80C" w14:textId="77777777" w:rsidR="00AB0919" w:rsidRPr="00AB0919" w:rsidRDefault="00AB0919" w:rsidP="00AB0919">
            <w:pPr>
              <w:spacing w:after="0"/>
              <w:jc w:val="right"/>
              <w:rPr>
                <w:rFonts w:ascii="Cambria" w:eastAsia="Times New Roman" w:hAnsi="Cambria" w:cs="Calibri"/>
                <w:color w:val="000000"/>
              </w:rPr>
            </w:pPr>
            <w:r w:rsidRPr="00AB0919">
              <w:rPr>
                <w:rFonts w:ascii="Cambria" w:eastAsia="Times New Roman" w:hAnsi="Cambria" w:cs="Calibri"/>
                <w:color w:val="000000"/>
              </w:rPr>
              <w:t>7%</w:t>
            </w:r>
          </w:p>
        </w:tc>
        <w:tc>
          <w:tcPr>
            <w:tcW w:w="687" w:type="dxa"/>
            <w:tcBorders>
              <w:top w:val="nil"/>
              <w:left w:val="single" w:sz="8" w:space="0" w:color="auto"/>
              <w:bottom w:val="single" w:sz="8" w:space="0" w:color="auto"/>
              <w:right w:val="single" w:sz="8" w:space="0" w:color="auto"/>
            </w:tcBorders>
            <w:shd w:val="clear" w:color="auto" w:fill="auto"/>
            <w:vAlign w:val="center"/>
            <w:hideMark/>
          </w:tcPr>
          <w:p w14:paraId="09D0C717" w14:textId="77777777" w:rsidR="00AB0919" w:rsidRPr="00AB0919" w:rsidRDefault="00AB0919" w:rsidP="00AB0919">
            <w:pPr>
              <w:spacing w:after="0"/>
              <w:jc w:val="right"/>
              <w:rPr>
                <w:rFonts w:ascii="Cambria" w:eastAsia="Times New Roman" w:hAnsi="Cambria" w:cs="Calibri"/>
                <w:color w:val="000000"/>
              </w:rPr>
            </w:pPr>
            <w:r w:rsidRPr="00AB0919">
              <w:rPr>
                <w:rFonts w:ascii="Cambria" w:eastAsia="Times New Roman" w:hAnsi="Cambria" w:cs="Calibri"/>
                <w:color w:val="000000"/>
              </w:rPr>
              <w:t>1</w:t>
            </w:r>
          </w:p>
        </w:tc>
        <w:tc>
          <w:tcPr>
            <w:tcW w:w="1324" w:type="dxa"/>
            <w:tcBorders>
              <w:top w:val="nil"/>
              <w:left w:val="nil"/>
              <w:bottom w:val="single" w:sz="8" w:space="0" w:color="auto"/>
              <w:right w:val="single" w:sz="8" w:space="0" w:color="auto"/>
            </w:tcBorders>
            <w:shd w:val="clear" w:color="auto" w:fill="auto"/>
            <w:noWrap/>
            <w:vAlign w:val="center"/>
            <w:hideMark/>
          </w:tcPr>
          <w:p w14:paraId="29726FB6" w14:textId="77777777" w:rsidR="00AB0919" w:rsidRPr="00AB0919" w:rsidRDefault="00AB0919" w:rsidP="00AB0919">
            <w:pPr>
              <w:spacing w:after="0"/>
              <w:jc w:val="right"/>
              <w:rPr>
                <w:rFonts w:ascii="Cambria" w:eastAsia="Times New Roman" w:hAnsi="Cambria" w:cs="Calibri"/>
                <w:color w:val="000000"/>
              </w:rPr>
            </w:pPr>
            <w:r w:rsidRPr="00AB0919">
              <w:rPr>
                <w:rFonts w:ascii="Cambria" w:eastAsia="Times New Roman" w:hAnsi="Cambria" w:cs="Calibri"/>
                <w:color w:val="000000"/>
              </w:rPr>
              <w:t>26.40%</w:t>
            </w:r>
          </w:p>
        </w:tc>
        <w:tc>
          <w:tcPr>
            <w:tcW w:w="719" w:type="dxa"/>
            <w:tcBorders>
              <w:top w:val="nil"/>
              <w:left w:val="nil"/>
              <w:bottom w:val="single" w:sz="8" w:space="0" w:color="auto"/>
              <w:right w:val="single" w:sz="8" w:space="0" w:color="auto"/>
            </w:tcBorders>
            <w:shd w:val="clear" w:color="auto" w:fill="auto"/>
            <w:noWrap/>
            <w:vAlign w:val="center"/>
            <w:hideMark/>
          </w:tcPr>
          <w:p w14:paraId="26345CA6" w14:textId="77777777" w:rsidR="00AB0919" w:rsidRPr="00AB0919" w:rsidRDefault="00AB0919" w:rsidP="00AB0919">
            <w:pPr>
              <w:spacing w:after="0"/>
              <w:jc w:val="right"/>
              <w:rPr>
                <w:rFonts w:ascii="Cambria" w:eastAsia="Times New Roman" w:hAnsi="Cambria" w:cs="Calibri"/>
                <w:color w:val="000000"/>
              </w:rPr>
            </w:pPr>
            <w:r w:rsidRPr="00AB0919">
              <w:rPr>
                <w:rFonts w:ascii="Cambria" w:eastAsia="Times New Roman" w:hAnsi="Cambria" w:cs="Calibri"/>
                <w:color w:val="000000"/>
              </w:rPr>
              <w:t>2</w:t>
            </w:r>
          </w:p>
        </w:tc>
        <w:tc>
          <w:tcPr>
            <w:tcW w:w="687" w:type="dxa"/>
            <w:tcBorders>
              <w:top w:val="nil"/>
              <w:left w:val="nil"/>
              <w:bottom w:val="single" w:sz="8" w:space="0" w:color="auto"/>
              <w:right w:val="single" w:sz="8" w:space="0" w:color="auto"/>
            </w:tcBorders>
            <w:shd w:val="clear" w:color="auto" w:fill="auto"/>
            <w:noWrap/>
            <w:vAlign w:val="center"/>
            <w:hideMark/>
          </w:tcPr>
          <w:p w14:paraId="41D3112A" w14:textId="77777777" w:rsidR="00AB0919" w:rsidRPr="00AB0919" w:rsidRDefault="00AB0919" w:rsidP="00AB0919">
            <w:pPr>
              <w:spacing w:after="0"/>
              <w:jc w:val="right"/>
              <w:rPr>
                <w:rFonts w:ascii="Cambria" w:eastAsia="Times New Roman" w:hAnsi="Cambria" w:cs="Calibri"/>
                <w:color w:val="000000"/>
              </w:rPr>
            </w:pPr>
            <w:r w:rsidRPr="00AB0919">
              <w:rPr>
                <w:rFonts w:ascii="Cambria" w:eastAsia="Times New Roman" w:hAnsi="Cambria" w:cs="Calibri"/>
                <w:color w:val="000000"/>
              </w:rPr>
              <w:t>5</w:t>
            </w:r>
          </w:p>
        </w:tc>
      </w:tr>
      <w:tr w:rsidR="00AB0919" w:rsidRPr="00AB0919" w14:paraId="3711204D" w14:textId="77777777" w:rsidTr="00AB0919">
        <w:trPr>
          <w:trHeight w:val="310"/>
        </w:trPr>
        <w:tc>
          <w:tcPr>
            <w:tcW w:w="1452" w:type="dxa"/>
            <w:tcBorders>
              <w:top w:val="nil"/>
              <w:left w:val="single" w:sz="8" w:space="0" w:color="auto"/>
              <w:bottom w:val="single" w:sz="8" w:space="0" w:color="auto"/>
              <w:right w:val="single" w:sz="8" w:space="0" w:color="auto"/>
            </w:tcBorders>
            <w:shd w:val="clear" w:color="auto" w:fill="auto"/>
            <w:vAlign w:val="center"/>
            <w:hideMark/>
          </w:tcPr>
          <w:p w14:paraId="795DFF89" w14:textId="77777777" w:rsidR="00AB0919" w:rsidRPr="00AB0919" w:rsidRDefault="00AB0919" w:rsidP="00AB0919">
            <w:pPr>
              <w:spacing w:after="0"/>
              <w:rPr>
                <w:rFonts w:ascii="Cambria" w:eastAsia="Times New Roman" w:hAnsi="Cambria" w:cs="Calibri"/>
                <w:color w:val="000000"/>
              </w:rPr>
            </w:pPr>
            <w:r w:rsidRPr="00AB0919">
              <w:rPr>
                <w:rFonts w:ascii="Cambria" w:eastAsia="Times New Roman" w:hAnsi="Cambria" w:cs="Calibri"/>
                <w:color w:val="000000"/>
              </w:rPr>
              <w:t>Nyarugenge</w:t>
            </w:r>
          </w:p>
        </w:tc>
        <w:tc>
          <w:tcPr>
            <w:tcW w:w="1055" w:type="dxa"/>
            <w:tcBorders>
              <w:top w:val="nil"/>
              <w:left w:val="nil"/>
              <w:bottom w:val="single" w:sz="8" w:space="0" w:color="auto"/>
              <w:right w:val="single" w:sz="8" w:space="0" w:color="auto"/>
            </w:tcBorders>
            <w:shd w:val="clear" w:color="auto" w:fill="auto"/>
            <w:vAlign w:val="center"/>
            <w:hideMark/>
          </w:tcPr>
          <w:p w14:paraId="2621298D" w14:textId="77777777" w:rsidR="00AB0919" w:rsidRPr="00AB0919" w:rsidRDefault="00AB0919" w:rsidP="00AB0919">
            <w:pPr>
              <w:spacing w:after="0"/>
              <w:jc w:val="right"/>
              <w:rPr>
                <w:rFonts w:ascii="Cambria" w:eastAsia="Times New Roman" w:hAnsi="Cambria" w:cs="Calibri"/>
                <w:color w:val="000000"/>
              </w:rPr>
            </w:pPr>
            <w:r w:rsidRPr="00AB0919">
              <w:rPr>
                <w:rFonts w:ascii="Cambria" w:eastAsia="Times New Roman" w:hAnsi="Cambria" w:cs="Calibri"/>
                <w:color w:val="000000"/>
              </w:rPr>
              <w:t>28.70%</w:t>
            </w:r>
          </w:p>
        </w:tc>
        <w:tc>
          <w:tcPr>
            <w:tcW w:w="719" w:type="dxa"/>
            <w:tcBorders>
              <w:top w:val="nil"/>
              <w:left w:val="nil"/>
              <w:bottom w:val="single" w:sz="8" w:space="0" w:color="auto"/>
              <w:right w:val="single" w:sz="8" w:space="0" w:color="auto"/>
            </w:tcBorders>
            <w:shd w:val="clear" w:color="auto" w:fill="auto"/>
            <w:vAlign w:val="center"/>
            <w:hideMark/>
          </w:tcPr>
          <w:p w14:paraId="6143C696" w14:textId="77777777" w:rsidR="00AB0919" w:rsidRPr="00AB0919" w:rsidRDefault="00AB0919" w:rsidP="00AB0919">
            <w:pPr>
              <w:spacing w:after="0"/>
              <w:jc w:val="right"/>
              <w:rPr>
                <w:rFonts w:ascii="Cambria" w:eastAsia="Times New Roman" w:hAnsi="Cambria" w:cs="Calibri"/>
                <w:color w:val="000000"/>
              </w:rPr>
            </w:pPr>
            <w:r w:rsidRPr="00AB0919">
              <w:rPr>
                <w:rFonts w:ascii="Cambria" w:eastAsia="Times New Roman" w:hAnsi="Cambria" w:cs="Calibri"/>
                <w:color w:val="000000"/>
              </w:rPr>
              <w:t>2</w:t>
            </w:r>
          </w:p>
        </w:tc>
        <w:tc>
          <w:tcPr>
            <w:tcW w:w="2537" w:type="dxa"/>
            <w:tcBorders>
              <w:top w:val="nil"/>
              <w:left w:val="nil"/>
              <w:bottom w:val="single" w:sz="8" w:space="0" w:color="auto"/>
              <w:right w:val="nil"/>
            </w:tcBorders>
            <w:shd w:val="clear" w:color="auto" w:fill="auto"/>
            <w:vAlign w:val="center"/>
            <w:hideMark/>
          </w:tcPr>
          <w:p w14:paraId="00264376" w14:textId="77777777" w:rsidR="00AB0919" w:rsidRPr="00AB0919" w:rsidRDefault="00AB0919" w:rsidP="00AB0919">
            <w:pPr>
              <w:spacing w:after="0"/>
              <w:jc w:val="right"/>
              <w:rPr>
                <w:rFonts w:ascii="Cambria" w:eastAsia="Times New Roman" w:hAnsi="Cambria" w:cs="Calibri"/>
                <w:color w:val="000000"/>
              </w:rPr>
            </w:pPr>
            <w:r w:rsidRPr="00AB0919">
              <w:rPr>
                <w:rFonts w:ascii="Cambria" w:eastAsia="Times New Roman" w:hAnsi="Cambria" w:cs="Calibri"/>
                <w:color w:val="000000"/>
              </w:rPr>
              <w:t>2%</w:t>
            </w:r>
          </w:p>
        </w:tc>
        <w:tc>
          <w:tcPr>
            <w:tcW w:w="687" w:type="dxa"/>
            <w:tcBorders>
              <w:top w:val="nil"/>
              <w:left w:val="single" w:sz="8" w:space="0" w:color="auto"/>
              <w:bottom w:val="single" w:sz="8" w:space="0" w:color="auto"/>
              <w:right w:val="single" w:sz="8" w:space="0" w:color="auto"/>
            </w:tcBorders>
            <w:shd w:val="clear" w:color="auto" w:fill="auto"/>
            <w:vAlign w:val="center"/>
            <w:hideMark/>
          </w:tcPr>
          <w:p w14:paraId="56F6A69C" w14:textId="77777777" w:rsidR="00AB0919" w:rsidRPr="00AB0919" w:rsidRDefault="00AB0919" w:rsidP="00AB0919">
            <w:pPr>
              <w:spacing w:after="0"/>
              <w:jc w:val="right"/>
              <w:rPr>
                <w:rFonts w:ascii="Cambria" w:eastAsia="Times New Roman" w:hAnsi="Cambria" w:cs="Calibri"/>
                <w:color w:val="000000"/>
              </w:rPr>
            </w:pPr>
            <w:r w:rsidRPr="00AB0919">
              <w:rPr>
                <w:rFonts w:ascii="Cambria" w:eastAsia="Times New Roman" w:hAnsi="Cambria" w:cs="Calibri"/>
                <w:color w:val="000000"/>
              </w:rPr>
              <w:t>1</w:t>
            </w:r>
          </w:p>
        </w:tc>
        <w:tc>
          <w:tcPr>
            <w:tcW w:w="1324" w:type="dxa"/>
            <w:tcBorders>
              <w:top w:val="nil"/>
              <w:left w:val="nil"/>
              <w:bottom w:val="single" w:sz="8" w:space="0" w:color="auto"/>
              <w:right w:val="single" w:sz="8" w:space="0" w:color="auto"/>
            </w:tcBorders>
            <w:shd w:val="clear" w:color="auto" w:fill="auto"/>
            <w:vAlign w:val="center"/>
            <w:hideMark/>
          </w:tcPr>
          <w:p w14:paraId="4F6296F9" w14:textId="77777777" w:rsidR="00AB0919" w:rsidRPr="00AB0919" w:rsidRDefault="00AB0919" w:rsidP="00AB0919">
            <w:pPr>
              <w:spacing w:after="0"/>
              <w:jc w:val="right"/>
              <w:rPr>
                <w:rFonts w:ascii="Cambria" w:eastAsia="Times New Roman" w:hAnsi="Cambria" w:cs="Calibri"/>
                <w:color w:val="000000"/>
              </w:rPr>
            </w:pPr>
            <w:r w:rsidRPr="00AB0919">
              <w:rPr>
                <w:rFonts w:ascii="Cambria" w:eastAsia="Times New Roman" w:hAnsi="Cambria" w:cs="Calibri"/>
                <w:color w:val="000000"/>
              </w:rPr>
              <w:t>19.90%</w:t>
            </w:r>
          </w:p>
        </w:tc>
        <w:tc>
          <w:tcPr>
            <w:tcW w:w="719" w:type="dxa"/>
            <w:tcBorders>
              <w:top w:val="nil"/>
              <w:left w:val="nil"/>
              <w:bottom w:val="single" w:sz="8" w:space="0" w:color="auto"/>
              <w:right w:val="single" w:sz="8" w:space="0" w:color="auto"/>
            </w:tcBorders>
            <w:shd w:val="clear" w:color="auto" w:fill="auto"/>
            <w:noWrap/>
            <w:vAlign w:val="center"/>
            <w:hideMark/>
          </w:tcPr>
          <w:p w14:paraId="1446B0B1" w14:textId="77777777" w:rsidR="00AB0919" w:rsidRPr="00AB0919" w:rsidRDefault="00AB0919" w:rsidP="00AB0919">
            <w:pPr>
              <w:spacing w:after="0"/>
              <w:jc w:val="right"/>
              <w:rPr>
                <w:rFonts w:ascii="Cambria" w:eastAsia="Times New Roman" w:hAnsi="Cambria" w:cs="Calibri"/>
                <w:color w:val="000000"/>
              </w:rPr>
            </w:pPr>
            <w:r w:rsidRPr="00AB0919">
              <w:rPr>
                <w:rFonts w:ascii="Cambria" w:eastAsia="Times New Roman" w:hAnsi="Cambria" w:cs="Calibri"/>
                <w:color w:val="000000"/>
              </w:rPr>
              <w:t>2</w:t>
            </w:r>
          </w:p>
        </w:tc>
        <w:tc>
          <w:tcPr>
            <w:tcW w:w="687" w:type="dxa"/>
            <w:tcBorders>
              <w:top w:val="nil"/>
              <w:left w:val="nil"/>
              <w:bottom w:val="single" w:sz="8" w:space="0" w:color="auto"/>
              <w:right w:val="single" w:sz="8" w:space="0" w:color="auto"/>
            </w:tcBorders>
            <w:shd w:val="clear" w:color="auto" w:fill="auto"/>
            <w:noWrap/>
            <w:vAlign w:val="center"/>
            <w:hideMark/>
          </w:tcPr>
          <w:p w14:paraId="76F52ECB" w14:textId="77777777" w:rsidR="00AB0919" w:rsidRPr="00AB0919" w:rsidRDefault="00AB0919" w:rsidP="00AB0919">
            <w:pPr>
              <w:spacing w:after="0"/>
              <w:jc w:val="right"/>
              <w:rPr>
                <w:rFonts w:ascii="Cambria" w:eastAsia="Times New Roman" w:hAnsi="Cambria" w:cs="Calibri"/>
                <w:color w:val="000000"/>
              </w:rPr>
            </w:pPr>
            <w:r w:rsidRPr="00AB0919">
              <w:rPr>
                <w:rFonts w:ascii="Cambria" w:eastAsia="Times New Roman" w:hAnsi="Cambria" w:cs="Calibri"/>
                <w:color w:val="000000"/>
              </w:rPr>
              <w:t>5</w:t>
            </w:r>
          </w:p>
        </w:tc>
      </w:tr>
      <w:tr w:rsidR="00AB0919" w:rsidRPr="00AB0919" w14:paraId="4CD57FF4" w14:textId="77777777" w:rsidTr="00AB0919">
        <w:trPr>
          <w:trHeight w:val="310"/>
        </w:trPr>
        <w:tc>
          <w:tcPr>
            <w:tcW w:w="1452" w:type="dxa"/>
            <w:tcBorders>
              <w:top w:val="nil"/>
              <w:left w:val="single" w:sz="8" w:space="0" w:color="auto"/>
              <w:bottom w:val="single" w:sz="8" w:space="0" w:color="auto"/>
              <w:right w:val="single" w:sz="8" w:space="0" w:color="auto"/>
            </w:tcBorders>
            <w:shd w:val="clear" w:color="auto" w:fill="auto"/>
            <w:vAlign w:val="center"/>
            <w:hideMark/>
          </w:tcPr>
          <w:p w14:paraId="2710FBDF" w14:textId="77777777" w:rsidR="00AB0919" w:rsidRPr="00AB0919" w:rsidRDefault="00AB0919" w:rsidP="00AB0919">
            <w:pPr>
              <w:spacing w:after="0"/>
              <w:rPr>
                <w:rFonts w:ascii="Cambria" w:eastAsia="Times New Roman" w:hAnsi="Cambria" w:cs="Calibri"/>
                <w:color w:val="000000"/>
              </w:rPr>
            </w:pPr>
            <w:r w:rsidRPr="00AB0919">
              <w:rPr>
                <w:rFonts w:ascii="Cambria" w:eastAsia="Times New Roman" w:hAnsi="Cambria" w:cs="Calibri"/>
                <w:color w:val="000000"/>
              </w:rPr>
              <w:t>Rwamagana</w:t>
            </w:r>
          </w:p>
        </w:tc>
        <w:tc>
          <w:tcPr>
            <w:tcW w:w="1055" w:type="dxa"/>
            <w:tcBorders>
              <w:top w:val="nil"/>
              <w:left w:val="nil"/>
              <w:bottom w:val="single" w:sz="8" w:space="0" w:color="auto"/>
              <w:right w:val="single" w:sz="8" w:space="0" w:color="auto"/>
            </w:tcBorders>
            <w:shd w:val="clear" w:color="auto" w:fill="auto"/>
            <w:vAlign w:val="center"/>
            <w:hideMark/>
          </w:tcPr>
          <w:p w14:paraId="519B61F1" w14:textId="77777777" w:rsidR="00AB0919" w:rsidRPr="00AB0919" w:rsidRDefault="00AB0919" w:rsidP="00AB0919">
            <w:pPr>
              <w:spacing w:after="0"/>
              <w:jc w:val="right"/>
              <w:rPr>
                <w:rFonts w:ascii="Cambria" w:eastAsia="Times New Roman" w:hAnsi="Cambria" w:cs="Calibri"/>
                <w:color w:val="000000"/>
              </w:rPr>
            </w:pPr>
            <w:r w:rsidRPr="00AB0919">
              <w:rPr>
                <w:rFonts w:ascii="Cambria" w:eastAsia="Times New Roman" w:hAnsi="Cambria" w:cs="Calibri"/>
                <w:color w:val="000000"/>
              </w:rPr>
              <w:t>25.30%</w:t>
            </w:r>
          </w:p>
        </w:tc>
        <w:tc>
          <w:tcPr>
            <w:tcW w:w="719" w:type="dxa"/>
            <w:tcBorders>
              <w:top w:val="nil"/>
              <w:left w:val="nil"/>
              <w:bottom w:val="single" w:sz="8" w:space="0" w:color="auto"/>
              <w:right w:val="single" w:sz="8" w:space="0" w:color="auto"/>
            </w:tcBorders>
            <w:shd w:val="clear" w:color="auto" w:fill="auto"/>
            <w:vAlign w:val="center"/>
            <w:hideMark/>
          </w:tcPr>
          <w:p w14:paraId="510942C6" w14:textId="77777777" w:rsidR="00AB0919" w:rsidRPr="00AB0919" w:rsidRDefault="00AB0919" w:rsidP="00AB0919">
            <w:pPr>
              <w:spacing w:after="0"/>
              <w:jc w:val="right"/>
              <w:rPr>
                <w:rFonts w:ascii="Cambria" w:eastAsia="Times New Roman" w:hAnsi="Cambria" w:cs="Calibri"/>
                <w:color w:val="000000"/>
              </w:rPr>
            </w:pPr>
            <w:r w:rsidRPr="00AB0919">
              <w:rPr>
                <w:rFonts w:ascii="Cambria" w:eastAsia="Times New Roman" w:hAnsi="Cambria" w:cs="Calibri"/>
                <w:color w:val="000000"/>
              </w:rPr>
              <w:t>1</w:t>
            </w:r>
          </w:p>
        </w:tc>
        <w:tc>
          <w:tcPr>
            <w:tcW w:w="2537" w:type="dxa"/>
            <w:tcBorders>
              <w:top w:val="nil"/>
              <w:left w:val="nil"/>
              <w:bottom w:val="single" w:sz="8" w:space="0" w:color="auto"/>
              <w:right w:val="nil"/>
            </w:tcBorders>
            <w:shd w:val="clear" w:color="auto" w:fill="auto"/>
            <w:vAlign w:val="center"/>
            <w:hideMark/>
          </w:tcPr>
          <w:p w14:paraId="6B53992B" w14:textId="77777777" w:rsidR="00AB0919" w:rsidRPr="00AB0919" w:rsidRDefault="00AB0919" w:rsidP="00AB0919">
            <w:pPr>
              <w:spacing w:after="0"/>
              <w:jc w:val="right"/>
              <w:rPr>
                <w:rFonts w:ascii="Cambria" w:eastAsia="Times New Roman" w:hAnsi="Cambria" w:cs="Calibri"/>
                <w:color w:val="000000"/>
              </w:rPr>
            </w:pPr>
            <w:r w:rsidRPr="00AB0919">
              <w:rPr>
                <w:rFonts w:ascii="Cambria" w:eastAsia="Times New Roman" w:hAnsi="Cambria" w:cs="Calibri"/>
                <w:color w:val="000000"/>
              </w:rPr>
              <w:t>9%</w:t>
            </w:r>
          </w:p>
        </w:tc>
        <w:tc>
          <w:tcPr>
            <w:tcW w:w="687" w:type="dxa"/>
            <w:tcBorders>
              <w:top w:val="nil"/>
              <w:left w:val="single" w:sz="8" w:space="0" w:color="auto"/>
              <w:bottom w:val="single" w:sz="8" w:space="0" w:color="auto"/>
              <w:right w:val="single" w:sz="8" w:space="0" w:color="auto"/>
            </w:tcBorders>
            <w:shd w:val="clear" w:color="auto" w:fill="auto"/>
            <w:vAlign w:val="center"/>
            <w:hideMark/>
          </w:tcPr>
          <w:p w14:paraId="0127EE67" w14:textId="77777777" w:rsidR="00AB0919" w:rsidRPr="00AB0919" w:rsidRDefault="00AB0919" w:rsidP="00AB0919">
            <w:pPr>
              <w:spacing w:after="0"/>
              <w:jc w:val="right"/>
              <w:rPr>
                <w:rFonts w:ascii="Cambria" w:eastAsia="Times New Roman" w:hAnsi="Cambria" w:cs="Calibri"/>
                <w:color w:val="000000"/>
              </w:rPr>
            </w:pPr>
            <w:r w:rsidRPr="00AB0919">
              <w:rPr>
                <w:rFonts w:ascii="Cambria" w:eastAsia="Times New Roman" w:hAnsi="Cambria" w:cs="Calibri"/>
                <w:color w:val="000000"/>
              </w:rPr>
              <w:t>1</w:t>
            </w:r>
          </w:p>
        </w:tc>
        <w:tc>
          <w:tcPr>
            <w:tcW w:w="1324" w:type="dxa"/>
            <w:tcBorders>
              <w:top w:val="nil"/>
              <w:left w:val="nil"/>
              <w:bottom w:val="single" w:sz="8" w:space="0" w:color="auto"/>
              <w:right w:val="single" w:sz="8" w:space="0" w:color="auto"/>
            </w:tcBorders>
            <w:shd w:val="clear" w:color="auto" w:fill="auto"/>
            <w:vAlign w:val="center"/>
            <w:hideMark/>
          </w:tcPr>
          <w:p w14:paraId="73F1888E" w14:textId="77777777" w:rsidR="00AB0919" w:rsidRPr="00AB0919" w:rsidRDefault="00AB0919" w:rsidP="00AB0919">
            <w:pPr>
              <w:spacing w:after="0"/>
              <w:jc w:val="right"/>
              <w:rPr>
                <w:rFonts w:ascii="Cambria" w:eastAsia="Times New Roman" w:hAnsi="Cambria" w:cs="Calibri"/>
                <w:color w:val="000000"/>
              </w:rPr>
            </w:pPr>
            <w:r w:rsidRPr="00AB0919">
              <w:rPr>
                <w:rFonts w:ascii="Cambria" w:eastAsia="Times New Roman" w:hAnsi="Cambria" w:cs="Calibri"/>
                <w:color w:val="000000"/>
              </w:rPr>
              <w:t>25.40%</w:t>
            </w:r>
          </w:p>
        </w:tc>
        <w:tc>
          <w:tcPr>
            <w:tcW w:w="719" w:type="dxa"/>
            <w:tcBorders>
              <w:top w:val="nil"/>
              <w:left w:val="nil"/>
              <w:bottom w:val="single" w:sz="8" w:space="0" w:color="auto"/>
              <w:right w:val="single" w:sz="8" w:space="0" w:color="auto"/>
            </w:tcBorders>
            <w:shd w:val="clear" w:color="auto" w:fill="auto"/>
            <w:noWrap/>
            <w:vAlign w:val="center"/>
            <w:hideMark/>
          </w:tcPr>
          <w:p w14:paraId="1410B70F" w14:textId="77777777" w:rsidR="00AB0919" w:rsidRPr="00AB0919" w:rsidRDefault="00AB0919" w:rsidP="00AB0919">
            <w:pPr>
              <w:spacing w:after="0"/>
              <w:jc w:val="right"/>
              <w:rPr>
                <w:rFonts w:ascii="Cambria" w:eastAsia="Times New Roman" w:hAnsi="Cambria" w:cs="Calibri"/>
                <w:color w:val="000000"/>
              </w:rPr>
            </w:pPr>
            <w:r w:rsidRPr="00AB0919">
              <w:rPr>
                <w:rFonts w:ascii="Cambria" w:eastAsia="Times New Roman" w:hAnsi="Cambria" w:cs="Calibri"/>
                <w:color w:val="000000"/>
              </w:rPr>
              <w:t>2</w:t>
            </w:r>
          </w:p>
        </w:tc>
        <w:tc>
          <w:tcPr>
            <w:tcW w:w="687" w:type="dxa"/>
            <w:tcBorders>
              <w:top w:val="nil"/>
              <w:left w:val="nil"/>
              <w:bottom w:val="single" w:sz="8" w:space="0" w:color="auto"/>
              <w:right w:val="single" w:sz="8" w:space="0" w:color="auto"/>
            </w:tcBorders>
            <w:shd w:val="clear" w:color="auto" w:fill="auto"/>
            <w:noWrap/>
            <w:vAlign w:val="center"/>
            <w:hideMark/>
          </w:tcPr>
          <w:p w14:paraId="604B890C" w14:textId="77777777" w:rsidR="00AB0919" w:rsidRPr="00AB0919" w:rsidRDefault="00AB0919" w:rsidP="00AB0919">
            <w:pPr>
              <w:spacing w:after="0"/>
              <w:jc w:val="right"/>
              <w:rPr>
                <w:rFonts w:ascii="Cambria" w:eastAsia="Times New Roman" w:hAnsi="Cambria" w:cs="Calibri"/>
                <w:color w:val="000000"/>
              </w:rPr>
            </w:pPr>
            <w:r w:rsidRPr="00AB0919">
              <w:rPr>
                <w:rFonts w:ascii="Cambria" w:eastAsia="Times New Roman" w:hAnsi="Cambria" w:cs="Calibri"/>
                <w:color w:val="000000"/>
              </w:rPr>
              <w:t>4</w:t>
            </w:r>
          </w:p>
        </w:tc>
      </w:tr>
      <w:tr w:rsidR="00AB0919" w:rsidRPr="00AB0919" w14:paraId="133F3445" w14:textId="77777777" w:rsidTr="00AB0919">
        <w:trPr>
          <w:trHeight w:val="310"/>
        </w:trPr>
        <w:tc>
          <w:tcPr>
            <w:tcW w:w="1452" w:type="dxa"/>
            <w:tcBorders>
              <w:top w:val="nil"/>
              <w:left w:val="single" w:sz="8" w:space="0" w:color="auto"/>
              <w:bottom w:val="single" w:sz="8" w:space="0" w:color="auto"/>
              <w:right w:val="single" w:sz="8" w:space="0" w:color="auto"/>
            </w:tcBorders>
            <w:shd w:val="clear" w:color="auto" w:fill="auto"/>
            <w:vAlign w:val="center"/>
            <w:hideMark/>
          </w:tcPr>
          <w:p w14:paraId="359A9160" w14:textId="77777777" w:rsidR="00AB0919" w:rsidRPr="00AB0919" w:rsidRDefault="00AB0919" w:rsidP="00AB0919">
            <w:pPr>
              <w:spacing w:after="0"/>
              <w:rPr>
                <w:rFonts w:ascii="Cambria" w:eastAsia="Times New Roman" w:hAnsi="Cambria" w:cs="Calibri"/>
                <w:color w:val="000000"/>
              </w:rPr>
            </w:pPr>
            <w:r w:rsidRPr="00AB0919">
              <w:rPr>
                <w:rFonts w:ascii="Cambria" w:eastAsia="Times New Roman" w:hAnsi="Cambria" w:cs="Calibri"/>
                <w:color w:val="000000"/>
              </w:rPr>
              <w:t>Gasabo</w:t>
            </w:r>
          </w:p>
        </w:tc>
        <w:tc>
          <w:tcPr>
            <w:tcW w:w="1055" w:type="dxa"/>
            <w:tcBorders>
              <w:top w:val="nil"/>
              <w:left w:val="nil"/>
              <w:bottom w:val="single" w:sz="8" w:space="0" w:color="auto"/>
              <w:right w:val="single" w:sz="8" w:space="0" w:color="auto"/>
            </w:tcBorders>
            <w:shd w:val="clear" w:color="auto" w:fill="auto"/>
            <w:vAlign w:val="center"/>
            <w:hideMark/>
          </w:tcPr>
          <w:p w14:paraId="05C7F2A2" w14:textId="77777777" w:rsidR="00AB0919" w:rsidRPr="00AB0919" w:rsidRDefault="00AB0919" w:rsidP="00AB0919">
            <w:pPr>
              <w:spacing w:after="0"/>
              <w:jc w:val="right"/>
              <w:rPr>
                <w:rFonts w:ascii="Cambria" w:eastAsia="Times New Roman" w:hAnsi="Cambria" w:cs="Calibri"/>
                <w:color w:val="000000"/>
              </w:rPr>
            </w:pPr>
            <w:r w:rsidRPr="00AB0919">
              <w:rPr>
                <w:rFonts w:ascii="Cambria" w:eastAsia="Times New Roman" w:hAnsi="Cambria" w:cs="Calibri"/>
                <w:color w:val="000000"/>
              </w:rPr>
              <w:t>22.30%</w:t>
            </w:r>
          </w:p>
        </w:tc>
        <w:tc>
          <w:tcPr>
            <w:tcW w:w="719" w:type="dxa"/>
            <w:tcBorders>
              <w:top w:val="nil"/>
              <w:left w:val="nil"/>
              <w:bottom w:val="single" w:sz="8" w:space="0" w:color="auto"/>
              <w:right w:val="single" w:sz="8" w:space="0" w:color="auto"/>
            </w:tcBorders>
            <w:shd w:val="clear" w:color="auto" w:fill="auto"/>
            <w:vAlign w:val="center"/>
            <w:hideMark/>
          </w:tcPr>
          <w:p w14:paraId="62B3F3C3" w14:textId="77777777" w:rsidR="00AB0919" w:rsidRPr="00AB0919" w:rsidRDefault="00AB0919" w:rsidP="00AB0919">
            <w:pPr>
              <w:spacing w:after="0"/>
              <w:jc w:val="right"/>
              <w:rPr>
                <w:rFonts w:ascii="Cambria" w:eastAsia="Times New Roman" w:hAnsi="Cambria" w:cs="Calibri"/>
                <w:color w:val="000000"/>
              </w:rPr>
            </w:pPr>
            <w:r w:rsidRPr="00AB0919">
              <w:rPr>
                <w:rFonts w:ascii="Cambria" w:eastAsia="Times New Roman" w:hAnsi="Cambria" w:cs="Calibri"/>
                <w:color w:val="000000"/>
              </w:rPr>
              <w:t>1</w:t>
            </w:r>
          </w:p>
        </w:tc>
        <w:tc>
          <w:tcPr>
            <w:tcW w:w="2537" w:type="dxa"/>
            <w:tcBorders>
              <w:top w:val="nil"/>
              <w:left w:val="nil"/>
              <w:bottom w:val="single" w:sz="8" w:space="0" w:color="auto"/>
              <w:right w:val="nil"/>
            </w:tcBorders>
            <w:shd w:val="clear" w:color="auto" w:fill="auto"/>
            <w:vAlign w:val="center"/>
            <w:hideMark/>
          </w:tcPr>
          <w:p w14:paraId="2C9B618C" w14:textId="77777777" w:rsidR="00AB0919" w:rsidRPr="00AB0919" w:rsidRDefault="00AB0919" w:rsidP="00AB0919">
            <w:pPr>
              <w:spacing w:after="0"/>
              <w:jc w:val="right"/>
              <w:rPr>
                <w:rFonts w:ascii="Cambria" w:eastAsia="Times New Roman" w:hAnsi="Cambria" w:cs="Calibri"/>
                <w:color w:val="000000"/>
              </w:rPr>
            </w:pPr>
            <w:r w:rsidRPr="00AB0919">
              <w:rPr>
                <w:rFonts w:ascii="Cambria" w:eastAsia="Times New Roman" w:hAnsi="Cambria" w:cs="Calibri"/>
                <w:color w:val="000000"/>
              </w:rPr>
              <w:t>3%</w:t>
            </w:r>
          </w:p>
        </w:tc>
        <w:tc>
          <w:tcPr>
            <w:tcW w:w="687" w:type="dxa"/>
            <w:tcBorders>
              <w:top w:val="nil"/>
              <w:left w:val="single" w:sz="8" w:space="0" w:color="auto"/>
              <w:bottom w:val="single" w:sz="8" w:space="0" w:color="auto"/>
              <w:right w:val="single" w:sz="8" w:space="0" w:color="auto"/>
            </w:tcBorders>
            <w:shd w:val="clear" w:color="auto" w:fill="auto"/>
            <w:vAlign w:val="center"/>
            <w:hideMark/>
          </w:tcPr>
          <w:p w14:paraId="5FFA0C4D" w14:textId="77777777" w:rsidR="00AB0919" w:rsidRPr="00AB0919" w:rsidRDefault="00AB0919" w:rsidP="00AB0919">
            <w:pPr>
              <w:spacing w:after="0"/>
              <w:jc w:val="right"/>
              <w:rPr>
                <w:rFonts w:ascii="Cambria" w:eastAsia="Times New Roman" w:hAnsi="Cambria" w:cs="Calibri"/>
                <w:color w:val="000000"/>
              </w:rPr>
            </w:pPr>
            <w:r w:rsidRPr="00AB0919">
              <w:rPr>
                <w:rFonts w:ascii="Cambria" w:eastAsia="Times New Roman" w:hAnsi="Cambria" w:cs="Calibri"/>
                <w:color w:val="000000"/>
              </w:rPr>
              <w:t>1</w:t>
            </w:r>
          </w:p>
        </w:tc>
        <w:tc>
          <w:tcPr>
            <w:tcW w:w="1324" w:type="dxa"/>
            <w:tcBorders>
              <w:top w:val="nil"/>
              <w:left w:val="nil"/>
              <w:bottom w:val="single" w:sz="8" w:space="0" w:color="auto"/>
              <w:right w:val="single" w:sz="8" w:space="0" w:color="auto"/>
            </w:tcBorders>
            <w:shd w:val="clear" w:color="auto" w:fill="auto"/>
            <w:vAlign w:val="center"/>
            <w:hideMark/>
          </w:tcPr>
          <w:p w14:paraId="16B6DB03" w14:textId="77777777" w:rsidR="00AB0919" w:rsidRPr="00AB0919" w:rsidRDefault="00AB0919" w:rsidP="00AB0919">
            <w:pPr>
              <w:spacing w:after="0"/>
              <w:jc w:val="right"/>
              <w:rPr>
                <w:rFonts w:ascii="Cambria" w:eastAsia="Times New Roman" w:hAnsi="Cambria" w:cs="Calibri"/>
                <w:color w:val="000000"/>
              </w:rPr>
            </w:pPr>
            <w:r w:rsidRPr="00AB0919">
              <w:rPr>
                <w:rFonts w:ascii="Cambria" w:eastAsia="Times New Roman" w:hAnsi="Cambria" w:cs="Calibri"/>
                <w:color w:val="000000"/>
              </w:rPr>
              <w:t>23.40%</w:t>
            </w:r>
          </w:p>
        </w:tc>
        <w:tc>
          <w:tcPr>
            <w:tcW w:w="719" w:type="dxa"/>
            <w:tcBorders>
              <w:top w:val="nil"/>
              <w:left w:val="nil"/>
              <w:bottom w:val="single" w:sz="8" w:space="0" w:color="auto"/>
              <w:right w:val="single" w:sz="8" w:space="0" w:color="auto"/>
            </w:tcBorders>
            <w:shd w:val="clear" w:color="auto" w:fill="auto"/>
            <w:noWrap/>
            <w:vAlign w:val="center"/>
            <w:hideMark/>
          </w:tcPr>
          <w:p w14:paraId="7FFCD149" w14:textId="77777777" w:rsidR="00AB0919" w:rsidRPr="00AB0919" w:rsidRDefault="00AB0919" w:rsidP="00AB0919">
            <w:pPr>
              <w:spacing w:after="0"/>
              <w:jc w:val="right"/>
              <w:rPr>
                <w:rFonts w:ascii="Cambria" w:eastAsia="Times New Roman" w:hAnsi="Cambria" w:cs="Calibri"/>
                <w:color w:val="000000"/>
              </w:rPr>
            </w:pPr>
            <w:r w:rsidRPr="00AB0919">
              <w:rPr>
                <w:rFonts w:ascii="Cambria" w:eastAsia="Times New Roman" w:hAnsi="Cambria" w:cs="Calibri"/>
                <w:color w:val="000000"/>
              </w:rPr>
              <w:t>2</w:t>
            </w:r>
          </w:p>
        </w:tc>
        <w:tc>
          <w:tcPr>
            <w:tcW w:w="687" w:type="dxa"/>
            <w:tcBorders>
              <w:top w:val="nil"/>
              <w:left w:val="nil"/>
              <w:bottom w:val="single" w:sz="8" w:space="0" w:color="auto"/>
              <w:right w:val="single" w:sz="8" w:space="0" w:color="auto"/>
            </w:tcBorders>
            <w:shd w:val="clear" w:color="auto" w:fill="auto"/>
            <w:noWrap/>
            <w:vAlign w:val="center"/>
            <w:hideMark/>
          </w:tcPr>
          <w:p w14:paraId="20F5DD80" w14:textId="77777777" w:rsidR="00AB0919" w:rsidRPr="00AB0919" w:rsidRDefault="00AB0919" w:rsidP="00AB0919">
            <w:pPr>
              <w:spacing w:after="0"/>
              <w:jc w:val="right"/>
              <w:rPr>
                <w:rFonts w:ascii="Cambria" w:eastAsia="Times New Roman" w:hAnsi="Cambria" w:cs="Calibri"/>
                <w:color w:val="000000"/>
              </w:rPr>
            </w:pPr>
            <w:r w:rsidRPr="00AB0919">
              <w:rPr>
                <w:rFonts w:ascii="Cambria" w:eastAsia="Times New Roman" w:hAnsi="Cambria" w:cs="Calibri"/>
                <w:color w:val="000000"/>
              </w:rPr>
              <w:t>4</w:t>
            </w:r>
          </w:p>
        </w:tc>
      </w:tr>
      <w:tr w:rsidR="00AB0919" w:rsidRPr="00AB0919" w14:paraId="75B08E7F" w14:textId="77777777" w:rsidTr="00AB0919">
        <w:trPr>
          <w:trHeight w:val="310"/>
        </w:trPr>
        <w:tc>
          <w:tcPr>
            <w:tcW w:w="1452" w:type="dxa"/>
            <w:tcBorders>
              <w:top w:val="nil"/>
              <w:left w:val="single" w:sz="8" w:space="0" w:color="auto"/>
              <w:bottom w:val="single" w:sz="8" w:space="0" w:color="auto"/>
              <w:right w:val="single" w:sz="8" w:space="0" w:color="auto"/>
            </w:tcBorders>
            <w:shd w:val="clear" w:color="auto" w:fill="auto"/>
            <w:vAlign w:val="center"/>
            <w:hideMark/>
          </w:tcPr>
          <w:p w14:paraId="7AC4FA74" w14:textId="77777777" w:rsidR="00AB0919" w:rsidRPr="00AB0919" w:rsidRDefault="00AB0919" w:rsidP="00AB0919">
            <w:pPr>
              <w:spacing w:after="0"/>
              <w:rPr>
                <w:rFonts w:ascii="Cambria" w:eastAsia="Times New Roman" w:hAnsi="Cambria" w:cs="Calibri"/>
                <w:color w:val="000000"/>
              </w:rPr>
            </w:pPr>
            <w:r w:rsidRPr="00AB0919">
              <w:rPr>
                <w:rFonts w:ascii="Cambria" w:eastAsia="Times New Roman" w:hAnsi="Cambria" w:cs="Calibri"/>
                <w:color w:val="000000"/>
              </w:rPr>
              <w:t>Kicukiro</w:t>
            </w:r>
          </w:p>
        </w:tc>
        <w:tc>
          <w:tcPr>
            <w:tcW w:w="1055" w:type="dxa"/>
            <w:tcBorders>
              <w:top w:val="nil"/>
              <w:left w:val="nil"/>
              <w:bottom w:val="single" w:sz="8" w:space="0" w:color="auto"/>
              <w:right w:val="single" w:sz="8" w:space="0" w:color="auto"/>
            </w:tcBorders>
            <w:shd w:val="clear" w:color="auto" w:fill="auto"/>
            <w:vAlign w:val="center"/>
            <w:hideMark/>
          </w:tcPr>
          <w:p w14:paraId="71C9279A" w14:textId="77777777" w:rsidR="00AB0919" w:rsidRPr="00AB0919" w:rsidRDefault="00AB0919" w:rsidP="00AB0919">
            <w:pPr>
              <w:spacing w:after="0"/>
              <w:jc w:val="right"/>
              <w:rPr>
                <w:rFonts w:ascii="Cambria" w:eastAsia="Times New Roman" w:hAnsi="Cambria" w:cs="Calibri"/>
                <w:color w:val="000000"/>
              </w:rPr>
            </w:pPr>
            <w:r w:rsidRPr="00AB0919">
              <w:rPr>
                <w:rFonts w:ascii="Cambria" w:eastAsia="Times New Roman" w:hAnsi="Cambria" w:cs="Calibri"/>
                <w:color w:val="000000"/>
              </w:rPr>
              <w:t>17%</w:t>
            </w:r>
          </w:p>
        </w:tc>
        <w:tc>
          <w:tcPr>
            <w:tcW w:w="719" w:type="dxa"/>
            <w:tcBorders>
              <w:top w:val="nil"/>
              <w:left w:val="nil"/>
              <w:bottom w:val="single" w:sz="8" w:space="0" w:color="auto"/>
              <w:right w:val="single" w:sz="8" w:space="0" w:color="auto"/>
            </w:tcBorders>
            <w:shd w:val="clear" w:color="auto" w:fill="auto"/>
            <w:vAlign w:val="center"/>
            <w:hideMark/>
          </w:tcPr>
          <w:p w14:paraId="4D013BB3" w14:textId="77777777" w:rsidR="00AB0919" w:rsidRPr="00AB0919" w:rsidRDefault="00AB0919" w:rsidP="00AB0919">
            <w:pPr>
              <w:spacing w:after="0"/>
              <w:rPr>
                <w:rFonts w:ascii="Cambria" w:eastAsia="Times New Roman" w:hAnsi="Cambria" w:cs="Calibri"/>
                <w:color w:val="000000"/>
              </w:rPr>
            </w:pPr>
            <w:r w:rsidRPr="00AB0919">
              <w:rPr>
                <w:rFonts w:ascii="Cambria" w:eastAsia="Times New Roman" w:hAnsi="Cambria" w:cs="Calibri"/>
                <w:color w:val="000000"/>
              </w:rPr>
              <w:t> </w:t>
            </w:r>
          </w:p>
        </w:tc>
        <w:tc>
          <w:tcPr>
            <w:tcW w:w="2537" w:type="dxa"/>
            <w:tcBorders>
              <w:top w:val="nil"/>
              <w:left w:val="nil"/>
              <w:bottom w:val="single" w:sz="8" w:space="0" w:color="auto"/>
              <w:right w:val="nil"/>
            </w:tcBorders>
            <w:shd w:val="clear" w:color="auto" w:fill="auto"/>
            <w:vAlign w:val="center"/>
            <w:hideMark/>
          </w:tcPr>
          <w:p w14:paraId="435C2C80" w14:textId="77777777" w:rsidR="00AB0919" w:rsidRPr="00AB0919" w:rsidRDefault="00AB0919" w:rsidP="00AB0919">
            <w:pPr>
              <w:spacing w:after="0"/>
              <w:jc w:val="right"/>
              <w:rPr>
                <w:rFonts w:ascii="Cambria" w:eastAsia="Times New Roman" w:hAnsi="Cambria" w:cs="Calibri"/>
                <w:color w:val="000000"/>
              </w:rPr>
            </w:pPr>
            <w:r w:rsidRPr="00AB0919">
              <w:rPr>
                <w:rFonts w:ascii="Cambria" w:eastAsia="Times New Roman" w:hAnsi="Cambria" w:cs="Calibri"/>
                <w:color w:val="000000"/>
              </w:rPr>
              <w:t>3%</w:t>
            </w:r>
          </w:p>
        </w:tc>
        <w:tc>
          <w:tcPr>
            <w:tcW w:w="687" w:type="dxa"/>
            <w:tcBorders>
              <w:top w:val="nil"/>
              <w:left w:val="single" w:sz="8" w:space="0" w:color="auto"/>
              <w:bottom w:val="single" w:sz="8" w:space="0" w:color="auto"/>
              <w:right w:val="single" w:sz="8" w:space="0" w:color="auto"/>
            </w:tcBorders>
            <w:shd w:val="clear" w:color="auto" w:fill="auto"/>
            <w:vAlign w:val="center"/>
            <w:hideMark/>
          </w:tcPr>
          <w:p w14:paraId="4224089C" w14:textId="77777777" w:rsidR="00AB0919" w:rsidRPr="00AB0919" w:rsidRDefault="00AB0919" w:rsidP="00AB0919">
            <w:pPr>
              <w:spacing w:after="0"/>
              <w:jc w:val="right"/>
              <w:rPr>
                <w:rFonts w:ascii="Cambria" w:eastAsia="Times New Roman" w:hAnsi="Cambria" w:cs="Calibri"/>
                <w:color w:val="000000"/>
              </w:rPr>
            </w:pPr>
            <w:r w:rsidRPr="00AB0919">
              <w:rPr>
                <w:rFonts w:ascii="Cambria" w:eastAsia="Times New Roman" w:hAnsi="Cambria" w:cs="Calibri"/>
                <w:color w:val="000000"/>
              </w:rPr>
              <w:t>1</w:t>
            </w:r>
          </w:p>
        </w:tc>
        <w:tc>
          <w:tcPr>
            <w:tcW w:w="1324" w:type="dxa"/>
            <w:tcBorders>
              <w:top w:val="nil"/>
              <w:left w:val="nil"/>
              <w:bottom w:val="single" w:sz="8" w:space="0" w:color="auto"/>
              <w:right w:val="single" w:sz="8" w:space="0" w:color="auto"/>
            </w:tcBorders>
            <w:shd w:val="clear" w:color="auto" w:fill="auto"/>
            <w:vAlign w:val="center"/>
            <w:hideMark/>
          </w:tcPr>
          <w:p w14:paraId="7B6B27E7" w14:textId="77777777" w:rsidR="00AB0919" w:rsidRPr="00AB0919" w:rsidRDefault="00AB0919" w:rsidP="00AB0919">
            <w:pPr>
              <w:spacing w:after="0"/>
              <w:jc w:val="right"/>
              <w:rPr>
                <w:rFonts w:ascii="Cambria" w:eastAsia="Times New Roman" w:hAnsi="Cambria" w:cs="Calibri"/>
                <w:color w:val="000000"/>
              </w:rPr>
            </w:pPr>
            <w:r w:rsidRPr="00AB0919">
              <w:rPr>
                <w:rFonts w:ascii="Cambria" w:eastAsia="Times New Roman" w:hAnsi="Cambria" w:cs="Calibri"/>
                <w:color w:val="000000"/>
              </w:rPr>
              <w:t>16.30%</w:t>
            </w:r>
          </w:p>
        </w:tc>
        <w:tc>
          <w:tcPr>
            <w:tcW w:w="719" w:type="dxa"/>
            <w:tcBorders>
              <w:top w:val="nil"/>
              <w:left w:val="nil"/>
              <w:bottom w:val="single" w:sz="8" w:space="0" w:color="auto"/>
              <w:right w:val="single" w:sz="8" w:space="0" w:color="auto"/>
            </w:tcBorders>
            <w:shd w:val="clear" w:color="auto" w:fill="auto"/>
            <w:noWrap/>
            <w:vAlign w:val="center"/>
            <w:hideMark/>
          </w:tcPr>
          <w:p w14:paraId="58E6C3F3" w14:textId="77777777" w:rsidR="00AB0919" w:rsidRPr="00AB0919" w:rsidRDefault="00AB0919" w:rsidP="00AB0919">
            <w:pPr>
              <w:spacing w:after="0"/>
              <w:jc w:val="right"/>
              <w:rPr>
                <w:rFonts w:ascii="Cambria" w:eastAsia="Times New Roman" w:hAnsi="Cambria" w:cs="Calibri"/>
                <w:color w:val="000000"/>
              </w:rPr>
            </w:pPr>
            <w:r w:rsidRPr="00AB0919">
              <w:rPr>
                <w:rFonts w:ascii="Cambria" w:eastAsia="Times New Roman" w:hAnsi="Cambria" w:cs="Calibri"/>
                <w:color w:val="000000"/>
              </w:rPr>
              <w:t>1</w:t>
            </w:r>
          </w:p>
        </w:tc>
        <w:tc>
          <w:tcPr>
            <w:tcW w:w="687" w:type="dxa"/>
            <w:tcBorders>
              <w:top w:val="nil"/>
              <w:left w:val="nil"/>
              <w:bottom w:val="single" w:sz="8" w:space="0" w:color="auto"/>
              <w:right w:val="single" w:sz="8" w:space="0" w:color="auto"/>
            </w:tcBorders>
            <w:shd w:val="clear" w:color="auto" w:fill="auto"/>
            <w:noWrap/>
            <w:vAlign w:val="center"/>
            <w:hideMark/>
          </w:tcPr>
          <w:p w14:paraId="27F82502" w14:textId="77777777" w:rsidR="00AB0919" w:rsidRPr="00AB0919" w:rsidRDefault="00AB0919" w:rsidP="00AB0919">
            <w:pPr>
              <w:spacing w:after="0"/>
              <w:jc w:val="right"/>
              <w:rPr>
                <w:rFonts w:ascii="Cambria" w:eastAsia="Times New Roman" w:hAnsi="Cambria" w:cs="Calibri"/>
                <w:color w:val="000000"/>
              </w:rPr>
            </w:pPr>
            <w:r w:rsidRPr="00AB0919">
              <w:rPr>
                <w:rFonts w:ascii="Cambria" w:eastAsia="Times New Roman" w:hAnsi="Cambria" w:cs="Calibri"/>
                <w:color w:val="000000"/>
              </w:rPr>
              <w:t>2</w:t>
            </w:r>
          </w:p>
        </w:tc>
      </w:tr>
    </w:tbl>
    <w:p w14:paraId="3451F10A" w14:textId="4E48DB5A" w:rsidR="00C24E07" w:rsidRPr="00255068" w:rsidRDefault="00BD4211" w:rsidP="00255068">
      <w:pPr>
        <w:pStyle w:val="Heading1"/>
      </w:pPr>
      <w:bookmarkStart w:id="45" w:name="_Toc520742211"/>
      <w:r>
        <w:br w:type="page"/>
      </w:r>
      <w:bookmarkStart w:id="46" w:name="_Toc69728412"/>
      <w:r w:rsidR="00C24E07" w:rsidRPr="00AB0919">
        <w:lastRenderedPageBreak/>
        <w:t xml:space="preserve">Annex 3: </w:t>
      </w:r>
      <w:r w:rsidR="00C24E07">
        <w:t>Potential supplementary evaluation questions</w:t>
      </w:r>
      <w:bookmarkEnd w:id="45"/>
      <w:bookmarkEnd w:id="46"/>
    </w:p>
    <w:p w14:paraId="5755B8FA" w14:textId="5732A2CE" w:rsidR="00C24E07" w:rsidRDefault="00C24E07">
      <w:pPr>
        <w:spacing w:after="160" w:line="259" w:lineRule="auto"/>
      </w:pPr>
      <w:r>
        <w:t>Alongside the two main questions addressed in this concept note, there is ongoing discussion regarding an additional set of evaluation questions related to the effectiveness of particular modes of service delivery. As decisions over these modes have not yet been taken, this annex sketches the broad outlines of possible evaluation activities that would complement th</w:t>
      </w:r>
      <w:r w:rsidR="00723AFE">
        <w:t>e</w:t>
      </w:r>
      <w:r>
        <w:t xml:space="preserve"> </w:t>
      </w:r>
      <w:r w:rsidR="00723AFE">
        <w:t xml:space="preserve">activities earlier </w:t>
      </w:r>
      <w:r>
        <w:t>described in detail in this note.</w:t>
      </w:r>
    </w:p>
    <w:p w14:paraId="55966974" w14:textId="77777777" w:rsidR="00C24E07" w:rsidRPr="00735216" w:rsidRDefault="00C24E07" w:rsidP="00D77C07">
      <w:pPr>
        <w:pStyle w:val="Heading2"/>
      </w:pPr>
      <w:bookmarkStart w:id="47" w:name="_Toc520742212"/>
      <w:bookmarkStart w:id="48" w:name="_Toc69728413"/>
      <w:r w:rsidRPr="00735216">
        <w:t>Evaluation questions</w:t>
      </w:r>
      <w:bookmarkEnd w:id="47"/>
      <w:bookmarkEnd w:id="48"/>
    </w:p>
    <w:p w14:paraId="065857D8" w14:textId="77777777" w:rsidR="00C24E07" w:rsidRPr="00735216" w:rsidRDefault="00C24E07" w:rsidP="00D77C07">
      <w:pPr>
        <w:pStyle w:val="Heading3"/>
      </w:pPr>
      <w:bookmarkStart w:id="49" w:name="_Toc520742213"/>
      <w:bookmarkStart w:id="50" w:name="_Toc69728414"/>
      <w:r w:rsidRPr="00735216">
        <w:t>Overview</w:t>
      </w:r>
      <w:bookmarkEnd w:id="49"/>
      <w:bookmarkEnd w:id="50"/>
    </w:p>
    <w:p w14:paraId="59B9D599" w14:textId="77777777" w:rsidR="00C24E07" w:rsidRPr="00735216" w:rsidRDefault="00C24E07" w:rsidP="00C24E07">
      <w:pPr>
        <w:pStyle w:val="ListParagraph"/>
        <w:numPr>
          <w:ilvl w:val="0"/>
          <w:numId w:val="18"/>
        </w:numPr>
      </w:pPr>
      <w:r>
        <w:t>What are effective modes of i</w:t>
      </w:r>
      <w:r w:rsidRPr="00735216">
        <w:t>nvolving CHWs in nutrition services</w:t>
      </w:r>
      <w:r>
        <w:t>?</w:t>
      </w:r>
    </w:p>
    <w:p w14:paraId="49442ECA" w14:textId="77777777" w:rsidR="00C24E07" w:rsidRDefault="00C24E07" w:rsidP="00C24E07">
      <w:pPr>
        <w:pStyle w:val="ListParagraph"/>
        <w:numPr>
          <w:ilvl w:val="0"/>
          <w:numId w:val="18"/>
        </w:numPr>
      </w:pPr>
      <w:r>
        <w:t>What are effective modes of delivering ECD services to children 6 to 23 months old and their mothers?</w:t>
      </w:r>
    </w:p>
    <w:p w14:paraId="10252E61" w14:textId="74E02B08" w:rsidR="00C24E07" w:rsidRPr="00AB0919" w:rsidRDefault="00C24E07" w:rsidP="00C24E07">
      <w:r>
        <w:t xml:space="preserve">The primary outcomes for all interventions are height-for-age and stunting in children under 2 years of age. Secondary outcomes depend on the specific intervention </w:t>
      </w:r>
      <w:r w:rsidR="00723AFE">
        <w:t xml:space="preserve">(such as developmental scores for Question 2) </w:t>
      </w:r>
      <w:r>
        <w:t xml:space="preserve">and, in part, will be selected to trace mechanisms through which the intervention operates (as based on the results chain in Figure 1). This data will both describe the intervention impact on intermediate and other secondary outcomes and will assist the attribution of the </w:t>
      </w:r>
      <w:r w:rsidRPr="00A55366">
        <w:t xml:space="preserve">relative contributions </w:t>
      </w:r>
      <w:r>
        <w:t xml:space="preserve">of </w:t>
      </w:r>
      <w:r w:rsidRPr="00A55366">
        <w:t>each intervention</w:t>
      </w:r>
      <w:r>
        <w:t xml:space="preserve"> to any estimated overall effect</w:t>
      </w:r>
      <w:r w:rsidR="00AB0919">
        <w:t>.</w:t>
      </w:r>
    </w:p>
    <w:p w14:paraId="7D7106F1" w14:textId="77777777" w:rsidR="00C24E07" w:rsidRDefault="00C24E07" w:rsidP="00D77C07">
      <w:pPr>
        <w:pStyle w:val="Heading3"/>
      </w:pPr>
      <w:bookmarkStart w:id="51" w:name="_Toc520742214"/>
      <w:bookmarkStart w:id="52" w:name="_Toc69728415"/>
      <w:r>
        <w:t>Specific research questions</w:t>
      </w:r>
      <w:bookmarkEnd w:id="51"/>
      <w:bookmarkEnd w:id="52"/>
    </w:p>
    <w:p w14:paraId="23DD71E9" w14:textId="749FD70C" w:rsidR="00C24E07" w:rsidRPr="005A2EDB" w:rsidRDefault="00C24E07" w:rsidP="00C24E07">
      <w:pPr>
        <w:pStyle w:val="Heading3"/>
      </w:pPr>
      <w:bookmarkStart w:id="53" w:name="_Toc69728416"/>
      <w:r>
        <w:t>1</w:t>
      </w:r>
      <w:r w:rsidRPr="005A2EDB">
        <w:t>. Involving CHWs in nutrition services</w:t>
      </w:r>
      <w:bookmarkEnd w:id="53"/>
    </w:p>
    <w:p w14:paraId="0580835F" w14:textId="7F60B45E" w:rsidR="00C24E07" w:rsidRPr="00C24E07" w:rsidRDefault="00C24E07" w:rsidP="00C24E07">
      <w:r>
        <w:t>There is ongoing discussion concerning the engagement of CHWs under the SPR</w:t>
      </w:r>
      <w:r w:rsidR="00905A5C">
        <w:t>P</w:t>
      </w:r>
      <w:r>
        <w:t>. If there is sufficient interest among donors and the GoR, this evaluation design may be able to support an evaluation of the effectiveness of new home-based ECD and nutrition service delivery modes involving CHWs. Any intervention will be at the community level; all households in the community will be eligible. The units of study would constitute not only CHWs</w:t>
      </w:r>
      <w:r w:rsidR="00302B49">
        <w:t>, but also</w:t>
      </w:r>
      <w:r>
        <w:t xml:space="preserve"> ECD centers in both participating and comparison areas.</w:t>
      </w:r>
    </w:p>
    <w:p w14:paraId="2E3C8677" w14:textId="24D570D3" w:rsidR="00C24E07" w:rsidRPr="005A2EDB" w:rsidRDefault="00C24E07" w:rsidP="00C24E07">
      <w:pPr>
        <w:pStyle w:val="Heading3"/>
      </w:pPr>
      <w:bookmarkStart w:id="54" w:name="_Toc69728417"/>
      <w:r>
        <w:t>2</w:t>
      </w:r>
      <w:r w:rsidRPr="005A2EDB">
        <w:t>. ECD efforts supported under the two programs</w:t>
      </w:r>
      <w:bookmarkEnd w:id="54"/>
    </w:p>
    <w:p w14:paraId="62FF55FB" w14:textId="441204F2" w:rsidR="00C24E07" w:rsidRDefault="00C24E07" w:rsidP="00C24E07">
      <w:r>
        <w:t>There is ongoing discussion over how to offer ECD services to the target population served by the SPaR program. If there is sufficient interest among donors and the GoR, the evaluation design may be able to support an evaluation of the effectiveness of new ECD delivery modes such as contrasting center-based and home-based services. Any intervention will be at the community level; all households in the community will be eligible.</w:t>
      </w:r>
      <w:r w:rsidRPr="00BA3790">
        <w:t xml:space="preserve"> </w:t>
      </w:r>
      <w:r>
        <w:t>The units of study would constitute not only the beneficiary and other households, but also ECD centers and component staff in both participating and comparison areas.</w:t>
      </w:r>
    </w:p>
    <w:p w14:paraId="67456ABB" w14:textId="77777777" w:rsidR="00C24E07" w:rsidRDefault="00C24E07" w:rsidP="00D77C07">
      <w:pPr>
        <w:pStyle w:val="Heading2"/>
      </w:pPr>
      <w:bookmarkStart w:id="55" w:name="_Toc520742215"/>
      <w:bookmarkStart w:id="56" w:name="_Toc69728418"/>
      <w:r>
        <w:t>Proposed e</w:t>
      </w:r>
      <w:r w:rsidRPr="005E45C3">
        <w:t>valuation design</w:t>
      </w:r>
      <w:bookmarkEnd w:id="55"/>
      <w:bookmarkEnd w:id="56"/>
    </w:p>
    <w:p w14:paraId="73FF15E0" w14:textId="3BF4770E" w:rsidR="00E93A49" w:rsidRPr="005A2EDB" w:rsidRDefault="00E93A49" w:rsidP="00D77C07">
      <w:pPr>
        <w:pStyle w:val="Heading3"/>
      </w:pPr>
      <w:bookmarkStart w:id="57" w:name="_Toc69728419"/>
      <w:r w:rsidRPr="005A2EDB">
        <w:t xml:space="preserve"> Involving CHWs in nutrition services</w:t>
      </w:r>
      <w:bookmarkEnd w:id="57"/>
    </w:p>
    <w:p w14:paraId="1BF73102" w14:textId="77777777" w:rsidR="00E93A49" w:rsidRDefault="00E93A49" w:rsidP="00E93A49">
      <w:r>
        <w:t>If stakeholders wish to pilot innovations in the involvement of CHWs in nutrition services, the evaluation design will employ a c</w:t>
      </w:r>
      <w:r w:rsidRPr="008070EC">
        <w:t xml:space="preserve">luster-randomized trial at </w:t>
      </w:r>
      <w:r>
        <w:t xml:space="preserve">the </w:t>
      </w:r>
      <w:r w:rsidRPr="008070EC">
        <w:t>community level, stratified by districts’ rank</w:t>
      </w:r>
      <w:r>
        <w:t xml:space="preserve"> for external validity purposes.</w:t>
      </w:r>
    </w:p>
    <w:p w14:paraId="5FED971D" w14:textId="1B825B5B" w:rsidR="00E93A49" w:rsidRDefault="00E93A49" w:rsidP="00D77C07">
      <w:pPr>
        <w:pStyle w:val="Heading3"/>
      </w:pPr>
      <w:bookmarkStart w:id="58" w:name="_Toc69728420"/>
      <w:r>
        <w:t xml:space="preserve">. </w:t>
      </w:r>
      <w:r w:rsidRPr="00797F8B">
        <w:t>ECD efforts supported under the two program</w:t>
      </w:r>
      <w:r>
        <w:t>s</w:t>
      </w:r>
      <w:bookmarkEnd w:id="58"/>
    </w:p>
    <w:p w14:paraId="744C7506" w14:textId="230434DF" w:rsidR="00563E83" w:rsidRDefault="00E93A49" w:rsidP="0066501D">
      <w:r>
        <w:t>If stakeholders wish to pilot innovations in the mode of ECD service delivery, the evaluation design will employ a c</w:t>
      </w:r>
      <w:r w:rsidRPr="008070EC">
        <w:t xml:space="preserve">luster-randomized trial at </w:t>
      </w:r>
      <w:r>
        <w:t xml:space="preserve">the </w:t>
      </w:r>
      <w:r w:rsidRPr="008070EC">
        <w:t>community level, stratified by districts’ rank</w:t>
      </w:r>
      <w:r>
        <w:t xml:space="preserve"> for external validity purposes.</w:t>
      </w:r>
      <w:r w:rsidR="00563E83">
        <w:br w:type="page"/>
      </w:r>
    </w:p>
    <w:p w14:paraId="47BE0B04" w14:textId="7F8F1D41" w:rsidR="003000C6" w:rsidRDefault="00C24E07" w:rsidP="003000C6">
      <w:pPr>
        <w:pStyle w:val="Heading1"/>
      </w:pPr>
      <w:bookmarkStart w:id="59" w:name="_Toc520742216"/>
      <w:bookmarkStart w:id="60" w:name="_Toc69728421"/>
      <w:r w:rsidRPr="004D1DB2">
        <w:lastRenderedPageBreak/>
        <w:t>A</w:t>
      </w:r>
      <w:r w:rsidR="004D1DB2" w:rsidRPr="004D1DB2">
        <w:t>nnex 4</w:t>
      </w:r>
      <w:r w:rsidR="003000C6" w:rsidRPr="004D1DB2">
        <w:t>: Definitions of indicators</w:t>
      </w:r>
      <w:bookmarkEnd w:id="59"/>
      <w:bookmarkEnd w:id="60"/>
    </w:p>
    <w:p w14:paraId="4BA2D80B" w14:textId="77777777" w:rsidR="00563E83" w:rsidRDefault="00563E83" w:rsidP="00563E83">
      <w:pPr>
        <w:spacing w:after="160" w:line="259" w:lineRule="auto"/>
      </w:pPr>
    </w:p>
    <w:tbl>
      <w:tblPr>
        <w:tblW w:w="9442" w:type="dxa"/>
        <w:tblLayout w:type="fixed"/>
        <w:tblLook w:val="04A0" w:firstRow="1" w:lastRow="0" w:firstColumn="1" w:lastColumn="0" w:noHBand="0" w:noVBand="1"/>
      </w:tblPr>
      <w:tblGrid>
        <w:gridCol w:w="490"/>
        <w:gridCol w:w="3105"/>
        <w:gridCol w:w="4680"/>
        <w:gridCol w:w="1167"/>
      </w:tblGrid>
      <w:tr w:rsidR="00563E83" w:rsidRPr="00ED1DCA" w14:paraId="7FD09EBD" w14:textId="77777777" w:rsidTr="00D652A0">
        <w:tc>
          <w:tcPr>
            <w:tcW w:w="490" w:type="dxa"/>
            <w:shd w:val="clear" w:color="auto" w:fill="D9D9D9" w:themeFill="background1" w:themeFillShade="D9"/>
          </w:tcPr>
          <w:p w14:paraId="414707F2" w14:textId="77777777" w:rsidR="00563E83" w:rsidRPr="00ED1DCA" w:rsidRDefault="00563E83" w:rsidP="00D652A0">
            <w:pPr>
              <w:pStyle w:val="NoSpacing"/>
              <w:rPr>
                <w:sz w:val="20"/>
              </w:rPr>
            </w:pPr>
            <w:r>
              <w:rPr>
                <w:sz w:val="20"/>
              </w:rPr>
              <w:t>#</w:t>
            </w:r>
          </w:p>
        </w:tc>
        <w:tc>
          <w:tcPr>
            <w:tcW w:w="3105" w:type="dxa"/>
            <w:shd w:val="clear" w:color="auto" w:fill="D9D9D9" w:themeFill="background1" w:themeFillShade="D9"/>
          </w:tcPr>
          <w:p w14:paraId="5D08A29C" w14:textId="77777777" w:rsidR="00563E83" w:rsidRPr="00B21F05" w:rsidRDefault="00563E83" w:rsidP="00D652A0">
            <w:pPr>
              <w:pStyle w:val="NoSpacing"/>
              <w:rPr>
                <w:b/>
                <w:sz w:val="20"/>
              </w:rPr>
            </w:pPr>
            <w:r>
              <w:rPr>
                <w:b/>
                <w:sz w:val="20"/>
              </w:rPr>
              <w:t xml:space="preserve">Indicator </w:t>
            </w:r>
          </w:p>
        </w:tc>
        <w:tc>
          <w:tcPr>
            <w:tcW w:w="4680" w:type="dxa"/>
            <w:shd w:val="clear" w:color="auto" w:fill="D9D9D9" w:themeFill="background1" w:themeFillShade="D9"/>
          </w:tcPr>
          <w:p w14:paraId="2F531064" w14:textId="77777777" w:rsidR="00563E83" w:rsidRPr="00B21F05" w:rsidRDefault="00563E83" w:rsidP="00D652A0">
            <w:pPr>
              <w:pStyle w:val="NoSpacing"/>
              <w:rPr>
                <w:b/>
                <w:sz w:val="20"/>
              </w:rPr>
            </w:pPr>
            <w:r>
              <w:rPr>
                <w:b/>
                <w:sz w:val="20"/>
              </w:rPr>
              <w:t>Definition</w:t>
            </w:r>
          </w:p>
        </w:tc>
        <w:tc>
          <w:tcPr>
            <w:tcW w:w="1167" w:type="dxa"/>
            <w:shd w:val="clear" w:color="auto" w:fill="D9D9D9" w:themeFill="background1" w:themeFillShade="D9"/>
          </w:tcPr>
          <w:p w14:paraId="20A89E60" w14:textId="77777777" w:rsidR="00563E83" w:rsidRPr="00B21F05" w:rsidRDefault="00563E83" w:rsidP="00D652A0">
            <w:pPr>
              <w:pStyle w:val="NoSpacing"/>
              <w:rPr>
                <w:b/>
                <w:sz w:val="20"/>
              </w:rPr>
            </w:pPr>
            <w:r>
              <w:rPr>
                <w:b/>
                <w:sz w:val="20"/>
              </w:rPr>
              <w:t>Type</w:t>
            </w:r>
          </w:p>
        </w:tc>
      </w:tr>
      <w:tr w:rsidR="00563E83" w:rsidRPr="00ED1DCA" w14:paraId="5DBA7D6D" w14:textId="77777777" w:rsidTr="00D652A0">
        <w:tc>
          <w:tcPr>
            <w:tcW w:w="9442" w:type="dxa"/>
            <w:gridSpan w:val="4"/>
          </w:tcPr>
          <w:p w14:paraId="0166BF03" w14:textId="77777777" w:rsidR="00563E83" w:rsidRPr="00ED1DCA" w:rsidRDefault="00563E83" w:rsidP="00D652A0">
            <w:pPr>
              <w:pStyle w:val="NoSpacing"/>
              <w:rPr>
                <w:b/>
                <w:sz w:val="20"/>
                <w:u w:val="single"/>
              </w:rPr>
            </w:pPr>
            <w:r w:rsidRPr="00ED1DCA">
              <w:rPr>
                <w:b/>
                <w:sz w:val="20"/>
                <w:u w:val="single"/>
              </w:rPr>
              <w:t>Primary (impact) indicators</w:t>
            </w:r>
          </w:p>
        </w:tc>
      </w:tr>
      <w:tr w:rsidR="00563E83" w:rsidRPr="00ED1DCA" w14:paraId="1987646D" w14:textId="77777777" w:rsidTr="00D652A0">
        <w:tc>
          <w:tcPr>
            <w:tcW w:w="490" w:type="dxa"/>
          </w:tcPr>
          <w:p w14:paraId="566AA64C" w14:textId="77777777" w:rsidR="00563E83" w:rsidRPr="00ED1DCA" w:rsidRDefault="00563E83" w:rsidP="00D652A0">
            <w:pPr>
              <w:pStyle w:val="NoSpacing"/>
              <w:rPr>
                <w:sz w:val="20"/>
              </w:rPr>
            </w:pPr>
            <w:r w:rsidRPr="00ED1DCA">
              <w:rPr>
                <w:sz w:val="20"/>
              </w:rPr>
              <w:t>1.1</w:t>
            </w:r>
          </w:p>
        </w:tc>
        <w:tc>
          <w:tcPr>
            <w:tcW w:w="3105" w:type="dxa"/>
          </w:tcPr>
          <w:p w14:paraId="547AA5E6" w14:textId="77777777" w:rsidR="00563E83" w:rsidRPr="00ED1DCA" w:rsidRDefault="00563E83" w:rsidP="00D652A0">
            <w:pPr>
              <w:pStyle w:val="NoSpacing"/>
              <w:rPr>
                <w:sz w:val="20"/>
              </w:rPr>
            </w:pPr>
            <w:r w:rsidRPr="00ED1DCA">
              <w:rPr>
                <w:sz w:val="20"/>
              </w:rPr>
              <w:t>Height-for-age in under-2s</w:t>
            </w:r>
          </w:p>
        </w:tc>
        <w:tc>
          <w:tcPr>
            <w:tcW w:w="4680" w:type="dxa"/>
          </w:tcPr>
          <w:p w14:paraId="003B3ECD" w14:textId="77777777" w:rsidR="00563E83" w:rsidRPr="00ED1DCA" w:rsidRDefault="00563E83" w:rsidP="00D652A0">
            <w:pPr>
              <w:pStyle w:val="NoSpacing"/>
              <w:rPr>
                <w:sz w:val="20"/>
              </w:rPr>
            </w:pPr>
            <w:r>
              <w:rPr>
                <w:sz w:val="20"/>
              </w:rPr>
              <w:t xml:space="preserve">Height-for-age using the 2006 WHO </w:t>
            </w:r>
            <w:r w:rsidRPr="00AE47CE">
              <w:rPr>
                <w:sz w:val="20"/>
              </w:rPr>
              <w:t>Child Growth Standards</w:t>
            </w:r>
          </w:p>
        </w:tc>
        <w:tc>
          <w:tcPr>
            <w:tcW w:w="1167" w:type="dxa"/>
          </w:tcPr>
          <w:p w14:paraId="7BE4F491" w14:textId="77777777" w:rsidR="00563E83" w:rsidRDefault="00563E83" w:rsidP="00D652A0">
            <w:pPr>
              <w:pStyle w:val="NoSpacing"/>
              <w:rPr>
                <w:sz w:val="20"/>
              </w:rPr>
            </w:pPr>
            <w:r>
              <w:rPr>
                <w:sz w:val="20"/>
              </w:rPr>
              <w:t>Continuous</w:t>
            </w:r>
          </w:p>
        </w:tc>
      </w:tr>
      <w:tr w:rsidR="00563E83" w:rsidRPr="00ED1DCA" w14:paraId="741BBCBF" w14:textId="77777777" w:rsidTr="00D652A0">
        <w:tc>
          <w:tcPr>
            <w:tcW w:w="490" w:type="dxa"/>
          </w:tcPr>
          <w:p w14:paraId="7A24744C" w14:textId="77777777" w:rsidR="00563E83" w:rsidRPr="00ED1DCA" w:rsidRDefault="00563E83" w:rsidP="00D652A0">
            <w:pPr>
              <w:pStyle w:val="NoSpacing"/>
              <w:rPr>
                <w:sz w:val="20"/>
              </w:rPr>
            </w:pPr>
            <w:r w:rsidRPr="00ED1DCA">
              <w:rPr>
                <w:sz w:val="20"/>
              </w:rPr>
              <w:t>1.2</w:t>
            </w:r>
          </w:p>
        </w:tc>
        <w:tc>
          <w:tcPr>
            <w:tcW w:w="3105" w:type="dxa"/>
          </w:tcPr>
          <w:p w14:paraId="638E8B7B" w14:textId="77777777" w:rsidR="00563E83" w:rsidRPr="00ED1DCA" w:rsidRDefault="00563E83" w:rsidP="00D652A0">
            <w:pPr>
              <w:pStyle w:val="NoSpacing"/>
              <w:rPr>
                <w:sz w:val="20"/>
              </w:rPr>
            </w:pPr>
            <w:r w:rsidRPr="00ED1DCA">
              <w:rPr>
                <w:sz w:val="20"/>
              </w:rPr>
              <w:t>Stunting in under-2s</w:t>
            </w:r>
          </w:p>
        </w:tc>
        <w:tc>
          <w:tcPr>
            <w:tcW w:w="4680" w:type="dxa"/>
          </w:tcPr>
          <w:p w14:paraId="6E89E1E5" w14:textId="77777777" w:rsidR="00563E83" w:rsidRPr="00ED1DCA" w:rsidRDefault="00563E83" w:rsidP="00D652A0">
            <w:pPr>
              <w:pStyle w:val="NoSpacing"/>
              <w:rPr>
                <w:sz w:val="20"/>
              </w:rPr>
            </w:pPr>
            <w:r>
              <w:rPr>
                <w:sz w:val="20"/>
              </w:rPr>
              <w:t xml:space="preserve">Height-for-age &lt;= 2 standard deviations below </w:t>
            </w:r>
            <w:r w:rsidRPr="00AE47CE">
              <w:rPr>
                <w:sz w:val="20"/>
              </w:rPr>
              <w:t>WHO Child Growth Standards median</w:t>
            </w:r>
          </w:p>
        </w:tc>
        <w:tc>
          <w:tcPr>
            <w:tcW w:w="1167" w:type="dxa"/>
          </w:tcPr>
          <w:p w14:paraId="3AAC03D4" w14:textId="77777777" w:rsidR="00563E83" w:rsidRDefault="00563E83" w:rsidP="00D652A0">
            <w:pPr>
              <w:pStyle w:val="NoSpacing"/>
              <w:rPr>
                <w:sz w:val="20"/>
              </w:rPr>
            </w:pPr>
            <w:r>
              <w:rPr>
                <w:sz w:val="20"/>
              </w:rPr>
              <w:t>Percent</w:t>
            </w:r>
          </w:p>
        </w:tc>
      </w:tr>
      <w:tr w:rsidR="002E4453" w:rsidRPr="00ED1DCA" w14:paraId="214279CD" w14:textId="77777777" w:rsidTr="00D652A0">
        <w:tc>
          <w:tcPr>
            <w:tcW w:w="490" w:type="dxa"/>
          </w:tcPr>
          <w:p w14:paraId="2931AEF4" w14:textId="14AFB177" w:rsidR="002E4453" w:rsidRPr="00ED1DCA" w:rsidRDefault="002E4453" w:rsidP="00D652A0">
            <w:pPr>
              <w:pStyle w:val="NoSpacing"/>
              <w:rPr>
                <w:sz w:val="20"/>
              </w:rPr>
            </w:pPr>
            <w:r>
              <w:rPr>
                <w:sz w:val="20"/>
              </w:rPr>
              <w:t>1.3</w:t>
            </w:r>
          </w:p>
        </w:tc>
        <w:tc>
          <w:tcPr>
            <w:tcW w:w="3105" w:type="dxa"/>
          </w:tcPr>
          <w:p w14:paraId="7211A1FA" w14:textId="7F23F9D3" w:rsidR="002E4453" w:rsidRPr="00ED1DCA" w:rsidRDefault="002E4453" w:rsidP="00D652A0">
            <w:pPr>
              <w:pStyle w:val="NoSpacing"/>
              <w:rPr>
                <w:sz w:val="20"/>
              </w:rPr>
            </w:pPr>
            <w:r>
              <w:rPr>
                <w:sz w:val="20"/>
              </w:rPr>
              <w:t>Child development score</w:t>
            </w:r>
          </w:p>
        </w:tc>
        <w:tc>
          <w:tcPr>
            <w:tcW w:w="4680" w:type="dxa"/>
          </w:tcPr>
          <w:p w14:paraId="297FDDC5" w14:textId="765DC21F" w:rsidR="002E4453" w:rsidRDefault="00AB28D0" w:rsidP="00D652A0">
            <w:pPr>
              <w:pStyle w:val="NoSpacing"/>
              <w:rPr>
                <w:sz w:val="20"/>
              </w:rPr>
            </w:pPr>
            <w:r>
              <w:rPr>
                <w:sz w:val="20"/>
              </w:rPr>
              <w:t>Age-appropriate</w:t>
            </w:r>
            <w:r w:rsidR="002E4453">
              <w:rPr>
                <w:sz w:val="20"/>
              </w:rPr>
              <w:t xml:space="preserve"> overall child development score on the CREDI</w:t>
            </w:r>
          </w:p>
        </w:tc>
        <w:tc>
          <w:tcPr>
            <w:tcW w:w="1167" w:type="dxa"/>
          </w:tcPr>
          <w:p w14:paraId="296BA26A" w14:textId="668810B5" w:rsidR="002E4453" w:rsidRDefault="002E4453" w:rsidP="00D652A0">
            <w:pPr>
              <w:pStyle w:val="NoSpacing"/>
              <w:rPr>
                <w:sz w:val="20"/>
              </w:rPr>
            </w:pPr>
            <w:r>
              <w:rPr>
                <w:sz w:val="20"/>
              </w:rPr>
              <w:t>Number</w:t>
            </w:r>
          </w:p>
        </w:tc>
      </w:tr>
    </w:tbl>
    <w:p w14:paraId="6724D855" w14:textId="77777777" w:rsidR="00563E83" w:rsidRDefault="00563E83" w:rsidP="00563E83"/>
    <w:tbl>
      <w:tblPr>
        <w:tblW w:w="9442" w:type="dxa"/>
        <w:tblLayout w:type="fixed"/>
        <w:tblLook w:val="04A0" w:firstRow="1" w:lastRow="0" w:firstColumn="1" w:lastColumn="0" w:noHBand="0" w:noVBand="1"/>
      </w:tblPr>
      <w:tblGrid>
        <w:gridCol w:w="490"/>
        <w:gridCol w:w="3105"/>
        <w:gridCol w:w="4680"/>
        <w:gridCol w:w="1167"/>
      </w:tblGrid>
      <w:tr w:rsidR="00563E83" w:rsidRPr="00ED1DCA" w14:paraId="17BE7347" w14:textId="77777777" w:rsidTr="00D652A0">
        <w:tc>
          <w:tcPr>
            <w:tcW w:w="9442" w:type="dxa"/>
            <w:gridSpan w:val="4"/>
          </w:tcPr>
          <w:p w14:paraId="0B8C12EB" w14:textId="77777777" w:rsidR="00563E83" w:rsidRPr="00ED1DCA" w:rsidRDefault="00563E83" w:rsidP="00D652A0">
            <w:pPr>
              <w:pStyle w:val="NoSpacing"/>
              <w:rPr>
                <w:b/>
                <w:sz w:val="20"/>
                <w:u w:val="single"/>
              </w:rPr>
            </w:pPr>
            <w:r w:rsidRPr="00ED1DCA">
              <w:rPr>
                <w:b/>
                <w:sz w:val="20"/>
                <w:u w:val="single"/>
              </w:rPr>
              <w:t>Secondary indicators</w:t>
            </w:r>
          </w:p>
        </w:tc>
      </w:tr>
      <w:tr w:rsidR="00563E83" w:rsidRPr="00ED1DCA" w14:paraId="75C2D08C" w14:textId="77777777" w:rsidTr="00D652A0">
        <w:tc>
          <w:tcPr>
            <w:tcW w:w="9442" w:type="dxa"/>
            <w:gridSpan w:val="4"/>
          </w:tcPr>
          <w:p w14:paraId="00591D39" w14:textId="77777777" w:rsidR="00563E83" w:rsidRPr="00ED1DCA" w:rsidRDefault="00563E83" w:rsidP="00D652A0">
            <w:pPr>
              <w:pStyle w:val="NoSpacing"/>
              <w:rPr>
                <w:b/>
                <w:sz w:val="20"/>
              </w:rPr>
            </w:pPr>
            <w:r w:rsidRPr="00ED1DCA">
              <w:rPr>
                <w:b/>
                <w:sz w:val="20"/>
              </w:rPr>
              <w:t>Health outcomes of non-targeted populations</w:t>
            </w:r>
          </w:p>
        </w:tc>
      </w:tr>
      <w:tr w:rsidR="00563E83" w:rsidRPr="00ED1DCA" w14:paraId="1463C1B3" w14:textId="77777777" w:rsidTr="00D652A0">
        <w:tc>
          <w:tcPr>
            <w:tcW w:w="490" w:type="dxa"/>
          </w:tcPr>
          <w:p w14:paraId="4DC77795" w14:textId="77777777" w:rsidR="00563E83" w:rsidRPr="00ED1DCA" w:rsidRDefault="00563E83" w:rsidP="00D652A0">
            <w:pPr>
              <w:pStyle w:val="NoSpacing"/>
              <w:rPr>
                <w:sz w:val="20"/>
              </w:rPr>
            </w:pPr>
            <w:r w:rsidRPr="00ED1DCA">
              <w:rPr>
                <w:sz w:val="20"/>
              </w:rPr>
              <w:t>2.1</w:t>
            </w:r>
          </w:p>
        </w:tc>
        <w:tc>
          <w:tcPr>
            <w:tcW w:w="3105" w:type="dxa"/>
          </w:tcPr>
          <w:p w14:paraId="78436691" w14:textId="77777777" w:rsidR="00563E83" w:rsidRPr="00ED1DCA" w:rsidRDefault="00563E83" w:rsidP="00D652A0">
            <w:pPr>
              <w:pStyle w:val="NoSpacing"/>
              <w:rPr>
                <w:sz w:val="20"/>
              </w:rPr>
            </w:pPr>
            <w:r w:rsidRPr="00ED1DCA">
              <w:rPr>
                <w:sz w:val="20"/>
              </w:rPr>
              <w:t>Height-for-age in 2-5 year olds</w:t>
            </w:r>
          </w:p>
        </w:tc>
        <w:tc>
          <w:tcPr>
            <w:tcW w:w="4680" w:type="dxa"/>
          </w:tcPr>
          <w:p w14:paraId="4CC2C7E7" w14:textId="77777777" w:rsidR="00563E83" w:rsidRPr="00ED1DCA" w:rsidRDefault="00563E83" w:rsidP="00D652A0">
            <w:pPr>
              <w:pStyle w:val="NoSpacing"/>
              <w:rPr>
                <w:sz w:val="20"/>
              </w:rPr>
            </w:pPr>
            <w:r>
              <w:rPr>
                <w:sz w:val="20"/>
              </w:rPr>
              <w:t xml:space="preserve">Height-for-age using the 2006 WHO </w:t>
            </w:r>
            <w:r w:rsidRPr="00AE47CE">
              <w:rPr>
                <w:sz w:val="20"/>
              </w:rPr>
              <w:t>Child Growth Standards</w:t>
            </w:r>
          </w:p>
        </w:tc>
        <w:tc>
          <w:tcPr>
            <w:tcW w:w="1167" w:type="dxa"/>
          </w:tcPr>
          <w:p w14:paraId="677BD33D" w14:textId="77777777" w:rsidR="00563E83" w:rsidRDefault="00563E83" w:rsidP="00D652A0">
            <w:pPr>
              <w:pStyle w:val="NoSpacing"/>
              <w:rPr>
                <w:sz w:val="20"/>
              </w:rPr>
            </w:pPr>
            <w:r>
              <w:rPr>
                <w:sz w:val="20"/>
              </w:rPr>
              <w:t>Continuous</w:t>
            </w:r>
          </w:p>
        </w:tc>
      </w:tr>
      <w:tr w:rsidR="00563E83" w:rsidRPr="00ED1DCA" w14:paraId="61C8AF0B" w14:textId="77777777" w:rsidTr="00D652A0">
        <w:tc>
          <w:tcPr>
            <w:tcW w:w="490" w:type="dxa"/>
          </w:tcPr>
          <w:p w14:paraId="520AB124" w14:textId="77777777" w:rsidR="00563E83" w:rsidRPr="00ED1DCA" w:rsidRDefault="00563E83" w:rsidP="00D652A0">
            <w:pPr>
              <w:pStyle w:val="NoSpacing"/>
              <w:rPr>
                <w:sz w:val="20"/>
              </w:rPr>
            </w:pPr>
            <w:r w:rsidRPr="00ED1DCA">
              <w:rPr>
                <w:sz w:val="20"/>
              </w:rPr>
              <w:t>2.2</w:t>
            </w:r>
          </w:p>
        </w:tc>
        <w:tc>
          <w:tcPr>
            <w:tcW w:w="3105" w:type="dxa"/>
          </w:tcPr>
          <w:p w14:paraId="7F3A85FF" w14:textId="77777777" w:rsidR="00563E83" w:rsidRPr="00ED1DCA" w:rsidRDefault="00563E83" w:rsidP="00D652A0">
            <w:pPr>
              <w:pStyle w:val="NoSpacing"/>
              <w:rPr>
                <w:sz w:val="20"/>
              </w:rPr>
            </w:pPr>
            <w:r w:rsidRPr="00ED1DCA">
              <w:rPr>
                <w:sz w:val="20"/>
              </w:rPr>
              <w:t>Stunting in 2-5 year olds</w:t>
            </w:r>
          </w:p>
        </w:tc>
        <w:tc>
          <w:tcPr>
            <w:tcW w:w="4680" w:type="dxa"/>
          </w:tcPr>
          <w:p w14:paraId="03337244" w14:textId="77777777" w:rsidR="00563E83" w:rsidRPr="00ED1DCA" w:rsidRDefault="00563E83" w:rsidP="00D652A0">
            <w:pPr>
              <w:pStyle w:val="NoSpacing"/>
              <w:rPr>
                <w:sz w:val="20"/>
              </w:rPr>
            </w:pPr>
            <w:r>
              <w:rPr>
                <w:sz w:val="20"/>
              </w:rPr>
              <w:t xml:space="preserve">Height-for-age &lt;= 2 standard deviations below </w:t>
            </w:r>
            <w:r w:rsidRPr="00AE47CE">
              <w:rPr>
                <w:sz w:val="20"/>
              </w:rPr>
              <w:t>WHO Child Growth Standards median</w:t>
            </w:r>
          </w:p>
        </w:tc>
        <w:tc>
          <w:tcPr>
            <w:tcW w:w="1167" w:type="dxa"/>
          </w:tcPr>
          <w:p w14:paraId="67B33A19" w14:textId="77777777" w:rsidR="00563E83" w:rsidRDefault="00563E83" w:rsidP="00D652A0">
            <w:pPr>
              <w:pStyle w:val="NoSpacing"/>
              <w:rPr>
                <w:sz w:val="20"/>
              </w:rPr>
            </w:pPr>
            <w:r>
              <w:rPr>
                <w:sz w:val="20"/>
              </w:rPr>
              <w:t>Percent</w:t>
            </w:r>
          </w:p>
        </w:tc>
      </w:tr>
    </w:tbl>
    <w:p w14:paraId="6AF0214B" w14:textId="77777777" w:rsidR="00563E83" w:rsidRDefault="00563E83" w:rsidP="00563E83">
      <w:pPr>
        <w:pStyle w:val="NoSpacing"/>
      </w:pPr>
    </w:p>
    <w:tbl>
      <w:tblPr>
        <w:tblW w:w="9442" w:type="dxa"/>
        <w:tblLayout w:type="fixed"/>
        <w:tblLook w:val="04A0" w:firstRow="1" w:lastRow="0" w:firstColumn="1" w:lastColumn="0" w:noHBand="0" w:noVBand="1"/>
      </w:tblPr>
      <w:tblGrid>
        <w:gridCol w:w="625"/>
        <w:gridCol w:w="2970"/>
        <w:gridCol w:w="4680"/>
        <w:gridCol w:w="1167"/>
      </w:tblGrid>
      <w:tr w:rsidR="00563E83" w:rsidRPr="00ED1DCA" w14:paraId="068220CA" w14:textId="77777777" w:rsidTr="00D652A0">
        <w:tc>
          <w:tcPr>
            <w:tcW w:w="8275" w:type="dxa"/>
            <w:gridSpan w:val="3"/>
          </w:tcPr>
          <w:p w14:paraId="193A3475" w14:textId="77777777" w:rsidR="00563E83" w:rsidRPr="00ED1DCA" w:rsidRDefault="00563E83" w:rsidP="00D652A0">
            <w:pPr>
              <w:pStyle w:val="NoSpacing"/>
              <w:rPr>
                <w:b/>
                <w:sz w:val="20"/>
              </w:rPr>
            </w:pPr>
            <w:r w:rsidRPr="00ED1DCA">
              <w:rPr>
                <w:b/>
                <w:sz w:val="20"/>
              </w:rPr>
              <w:t>Infant and young child feeding and care practices</w:t>
            </w:r>
          </w:p>
        </w:tc>
        <w:tc>
          <w:tcPr>
            <w:tcW w:w="1167" w:type="dxa"/>
          </w:tcPr>
          <w:p w14:paraId="68FB29DE" w14:textId="77777777" w:rsidR="00563E83" w:rsidRPr="00ED1DCA" w:rsidRDefault="00563E83" w:rsidP="00D652A0">
            <w:pPr>
              <w:pStyle w:val="NoSpacing"/>
              <w:rPr>
                <w:b/>
                <w:sz w:val="20"/>
              </w:rPr>
            </w:pPr>
          </w:p>
        </w:tc>
      </w:tr>
      <w:tr w:rsidR="00563E83" w:rsidRPr="00ED1DCA" w14:paraId="0E6F2C26" w14:textId="77777777" w:rsidTr="00D652A0">
        <w:tc>
          <w:tcPr>
            <w:tcW w:w="625" w:type="dxa"/>
          </w:tcPr>
          <w:p w14:paraId="49309184" w14:textId="77777777" w:rsidR="00563E83" w:rsidRPr="00ED1DCA" w:rsidRDefault="00563E83" w:rsidP="00D652A0">
            <w:pPr>
              <w:pStyle w:val="NoSpacing"/>
              <w:rPr>
                <w:sz w:val="20"/>
              </w:rPr>
            </w:pPr>
            <w:r w:rsidRPr="00ED1DCA">
              <w:rPr>
                <w:sz w:val="20"/>
              </w:rPr>
              <w:t>3.1</w:t>
            </w:r>
          </w:p>
        </w:tc>
        <w:tc>
          <w:tcPr>
            <w:tcW w:w="2970" w:type="dxa"/>
          </w:tcPr>
          <w:p w14:paraId="674B4E44" w14:textId="77777777" w:rsidR="00563E83" w:rsidRPr="00ED1DCA" w:rsidRDefault="00563E83" w:rsidP="00D652A0">
            <w:pPr>
              <w:pStyle w:val="NoSpacing"/>
              <w:rPr>
                <w:sz w:val="20"/>
              </w:rPr>
            </w:pPr>
            <w:r w:rsidRPr="00ED1DCA">
              <w:rPr>
                <w:sz w:val="20"/>
              </w:rPr>
              <w:t>Infant and young child care practices</w:t>
            </w:r>
          </w:p>
        </w:tc>
        <w:tc>
          <w:tcPr>
            <w:tcW w:w="4680" w:type="dxa"/>
          </w:tcPr>
          <w:p w14:paraId="4F067453" w14:textId="77777777" w:rsidR="00563E83" w:rsidRPr="00ED1DCA" w:rsidRDefault="00563E83" w:rsidP="00D652A0">
            <w:pPr>
              <w:pStyle w:val="NoSpacing"/>
              <w:rPr>
                <w:sz w:val="20"/>
              </w:rPr>
            </w:pPr>
          </w:p>
        </w:tc>
        <w:tc>
          <w:tcPr>
            <w:tcW w:w="1167" w:type="dxa"/>
          </w:tcPr>
          <w:p w14:paraId="45A96407" w14:textId="77777777" w:rsidR="00563E83" w:rsidRPr="00ED1DCA" w:rsidRDefault="00563E83" w:rsidP="00D652A0">
            <w:pPr>
              <w:pStyle w:val="NoSpacing"/>
              <w:rPr>
                <w:sz w:val="20"/>
              </w:rPr>
            </w:pPr>
          </w:p>
        </w:tc>
      </w:tr>
      <w:tr w:rsidR="00563E83" w:rsidRPr="00ED1DCA" w14:paraId="3DEB5182" w14:textId="77777777" w:rsidTr="00D652A0">
        <w:tc>
          <w:tcPr>
            <w:tcW w:w="625" w:type="dxa"/>
          </w:tcPr>
          <w:p w14:paraId="59FD6BD8" w14:textId="77777777" w:rsidR="00563E83" w:rsidRPr="00ED1DCA" w:rsidRDefault="00563E83" w:rsidP="00D652A0">
            <w:pPr>
              <w:pStyle w:val="NoSpacing"/>
              <w:rPr>
                <w:sz w:val="20"/>
              </w:rPr>
            </w:pPr>
          </w:p>
        </w:tc>
        <w:tc>
          <w:tcPr>
            <w:tcW w:w="2970" w:type="dxa"/>
          </w:tcPr>
          <w:p w14:paraId="6A1F2697" w14:textId="77777777" w:rsidR="00563E83" w:rsidRPr="00ED1DCA" w:rsidRDefault="00563E83" w:rsidP="00D652A0">
            <w:pPr>
              <w:pStyle w:val="NoSpacing"/>
              <w:rPr>
                <w:sz w:val="20"/>
              </w:rPr>
            </w:pPr>
          </w:p>
        </w:tc>
        <w:tc>
          <w:tcPr>
            <w:tcW w:w="4680" w:type="dxa"/>
          </w:tcPr>
          <w:p w14:paraId="481868FD" w14:textId="77777777" w:rsidR="00563E83" w:rsidRPr="00ED1DCA" w:rsidRDefault="00563E83" w:rsidP="00D652A0">
            <w:pPr>
              <w:pStyle w:val="NoSpacing"/>
              <w:rPr>
                <w:sz w:val="20"/>
              </w:rPr>
            </w:pPr>
          </w:p>
        </w:tc>
        <w:tc>
          <w:tcPr>
            <w:tcW w:w="1167" w:type="dxa"/>
          </w:tcPr>
          <w:p w14:paraId="6B808E98" w14:textId="77777777" w:rsidR="00563E83" w:rsidRPr="00ED1DCA" w:rsidRDefault="00563E83" w:rsidP="00D652A0">
            <w:pPr>
              <w:pStyle w:val="NoSpacing"/>
              <w:rPr>
                <w:sz w:val="20"/>
              </w:rPr>
            </w:pPr>
          </w:p>
        </w:tc>
      </w:tr>
      <w:tr w:rsidR="00563E83" w:rsidRPr="00ED1DCA" w14:paraId="7CC133DD" w14:textId="77777777" w:rsidTr="00D652A0">
        <w:tc>
          <w:tcPr>
            <w:tcW w:w="625" w:type="dxa"/>
          </w:tcPr>
          <w:p w14:paraId="07A2BE79" w14:textId="77777777" w:rsidR="00563E83" w:rsidRPr="00ED1DCA" w:rsidRDefault="00563E83" w:rsidP="00D652A0">
            <w:pPr>
              <w:pStyle w:val="NoSpacing"/>
              <w:rPr>
                <w:sz w:val="20"/>
              </w:rPr>
            </w:pPr>
            <w:r w:rsidRPr="00ED1DCA">
              <w:rPr>
                <w:sz w:val="20"/>
              </w:rPr>
              <w:t>3.2</w:t>
            </w:r>
          </w:p>
        </w:tc>
        <w:tc>
          <w:tcPr>
            <w:tcW w:w="2970" w:type="dxa"/>
          </w:tcPr>
          <w:p w14:paraId="0971DE0F" w14:textId="77777777" w:rsidR="00563E83" w:rsidRPr="00ED1DCA" w:rsidRDefault="00563E83" w:rsidP="00D652A0">
            <w:pPr>
              <w:pStyle w:val="NoSpacing"/>
              <w:rPr>
                <w:sz w:val="20"/>
              </w:rPr>
            </w:pPr>
            <w:r w:rsidRPr="00ED1DCA">
              <w:rPr>
                <w:sz w:val="20"/>
              </w:rPr>
              <w:t>Infant and young children feeding practices</w:t>
            </w:r>
          </w:p>
        </w:tc>
        <w:tc>
          <w:tcPr>
            <w:tcW w:w="4680" w:type="dxa"/>
          </w:tcPr>
          <w:p w14:paraId="70609E78" w14:textId="77777777" w:rsidR="00563E83" w:rsidRPr="00ED1DCA" w:rsidRDefault="00563E83" w:rsidP="00D652A0">
            <w:pPr>
              <w:pStyle w:val="NoSpacing"/>
              <w:rPr>
                <w:sz w:val="20"/>
              </w:rPr>
            </w:pPr>
          </w:p>
        </w:tc>
        <w:tc>
          <w:tcPr>
            <w:tcW w:w="1167" w:type="dxa"/>
          </w:tcPr>
          <w:p w14:paraId="45AC4433" w14:textId="77777777" w:rsidR="00563E83" w:rsidRPr="00ED1DCA" w:rsidRDefault="00563E83" w:rsidP="00D652A0">
            <w:pPr>
              <w:pStyle w:val="NoSpacing"/>
              <w:rPr>
                <w:sz w:val="20"/>
              </w:rPr>
            </w:pPr>
          </w:p>
        </w:tc>
      </w:tr>
      <w:tr w:rsidR="00563E83" w:rsidRPr="00ED1DCA" w14:paraId="05B4384F" w14:textId="77777777" w:rsidTr="00D652A0">
        <w:tc>
          <w:tcPr>
            <w:tcW w:w="625" w:type="dxa"/>
          </w:tcPr>
          <w:p w14:paraId="1AEF8F3D" w14:textId="77777777" w:rsidR="00563E83" w:rsidRPr="00ED1DCA" w:rsidRDefault="00563E83" w:rsidP="00D652A0">
            <w:pPr>
              <w:pStyle w:val="NoSpacing"/>
              <w:rPr>
                <w:sz w:val="20"/>
              </w:rPr>
            </w:pPr>
            <w:r>
              <w:rPr>
                <w:sz w:val="20"/>
              </w:rPr>
              <w:t>3.2.1</w:t>
            </w:r>
          </w:p>
        </w:tc>
        <w:tc>
          <w:tcPr>
            <w:tcW w:w="2970" w:type="dxa"/>
          </w:tcPr>
          <w:p w14:paraId="7356C4A4" w14:textId="77777777" w:rsidR="00563E83" w:rsidRPr="00ED1DCA" w:rsidRDefault="00563E83" w:rsidP="00D652A0">
            <w:pPr>
              <w:pStyle w:val="NoSpacing"/>
              <w:rPr>
                <w:sz w:val="20"/>
              </w:rPr>
            </w:pPr>
            <w:r>
              <w:rPr>
                <w:sz w:val="20"/>
              </w:rPr>
              <w:t>* Breastfeeding</w:t>
            </w:r>
          </w:p>
        </w:tc>
        <w:tc>
          <w:tcPr>
            <w:tcW w:w="4680" w:type="dxa"/>
          </w:tcPr>
          <w:p w14:paraId="62C2AB3B" w14:textId="75BA3FF1" w:rsidR="00563E83" w:rsidRPr="00ED1DCA" w:rsidRDefault="00F1708B" w:rsidP="00D652A0">
            <w:pPr>
              <w:pStyle w:val="NoSpacing"/>
              <w:rPr>
                <w:sz w:val="20"/>
              </w:rPr>
            </w:pPr>
            <w:r>
              <w:rPr>
                <w:rFonts w:cs="Arial"/>
                <w:color w:val="000000"/>
                <w:sz w:val="20"/>
                <w:szCs w:val="20"/>
              </w:rPr>
              <w:t>Children 0-6 months who are exclusively breastfed</w:t>
            </w:r>
          </w:p>
        </w:tc>
        <w:tc>
          <w:tcPr>
            <w:tcW w:w="1167" w:type="dxa"/>
          </w:tcPr>
          <w:p w14:paraId="612FE6C0" w14:textId="77777777" w:rsidR="00563E83" w:rsidRPr="00ED1DCA" w:rsidRDefault="00563E83" w:rsidP="00D652A0">
            <w:pPr>
              <w:pStyle w:val="NoSpacing"/>
              <w:rPr>
                <w:sz w:val="20"/>
              </w:rPr>
            </w:pPr>
            <w:r>
              <w:rPr>
                <w:sz w:val="20"/>
              </w:rPr>
              <w:t>Percent</w:t>
            </w:r>
          </w:p>
        </w:tc>
      </w:tr>
      <w:tr w:rsidR="00F1708B" w:rsidRPr="00ED1DCA" w14:paraId="5BB58A4F" w14:textId="77777777" w:rsidTr="00D652A0">
        <w:tc>
          <w:tcPr>
            <w:tcW w:w="625" w:type="dxa"/>
          </w:tcPr>
          <w:p w14:paraId="1AD5A84C" w14:textId="77777777" w:rsidR="00F1708B" w:rsidRDefault="00F1708B" w:rsidP="00D652A0">
            <w:pPr>
              <w:pStyle w:val="NoSpacing"/>
              <w:rPr>
                <w:sz w:val="20"/>
              </w:rPr>
            </w:pPr>
          </w:p>
        </w:tc>
        <w:tc>
          <w:tcPr>
            <w:tcW w:w="2970" w:type="dxa"/>
          </w:tcPr>
          <w:p w14:paraId="11A62C20" w14:textId="5FC57038" w:rsidR="00F1708B" w:rsidRDefault="00F1708B" w:rsidP="00D652A0">
            <w:pPr>
              <w:pStyle w:val="NoSpacing"/>
              <w:rPr>
                <w:sz w:val="20"/>
              </w:rPr>
            </w:pPr>
            <w:r>
              <w:rPr>
                <w:sz w:val="20"/>
              </w:rPr>
              <w:t>* Breastfeeding</w:t>
            </w:r>
          </w:p>
        </w:tc>
        <w:tc>
          <w:tcPr>
            <w:tcW w:w="4680" w:type="dxa"/>
          </w:tcPr>
          <w:p w14:paraId="2EF78A2A" w14:textId="3C9F3C0E" w:rsidR="00F1708B" w:rsidRDefault="00F1708B" w:rsidP="00D652A0">
            <w:pPr>
              <w:pStyle w:val="NoSpacing"/>
              <w:rPr>
                <w:rFonts w:cs="Arial"/>
                <w:color w:val="000000"/>
                <w:sz w:val="20"/>
                <w:szCs w:val="20"/>
              </w:rPr>
            </w:pPr>
            <w:r>
              <w:rPr>
                <w:rFonts w:cs="Arial"/>
                <w:color w:val="000000"/>
                <w:sz w:val="20"/>
                <w:szCs w:val="20"/>
              </w:rPr>
              <w:t>Median duration of exclusive breastfeeding</w:t>
            </w:r>
          </w:p>
        </w:tc>
        <w:tc>
          <w:tcPr>
            <w:tcW w:w="1167" w:type="dxa"/>
          </w:tcPr>
          <w:p w14:paraId="697C2C1F" w14:textId="000B875B" w:rsidR="00F1708B" w:rsidRDefault="00F1708B" w:rsidP="00D652A0">
            <w:pPr>
              <w:pStyle w:val="NoSpacing"/>
              <w:rPr>
                <w:sz w:val="20"/>
              </w:rPr>
            </w:pPr>
            <w:r>
              <w:rPr>
                <w:sz w:val="20"/>
              </w:rPr>
              <w:t>Number</w:t>
            </w:r>
          </w:p>
        </w:tc>
      </w:tr>
      <w:tr w:rsidR="00502C06" w:rsidRPr="00ED1DCA" w14:paraId="510C43B5" w14:textId="77777777" w:rsidTr="00D652A0">
        <w:tc>
          <w:tcPr>
            <w:tcW w:w="625" w:type="dxa"/>
          </w:tcPr>
          <w:p w14:paraId="18CB9334" w14:textId="77777777" w:rsidR="00502C06" w:rsidRDefault="00502C06" w:rsidP="00502C06">
            <w:pPr>
              <w:pStyle w:val="NoSpacing"/>
              <w:rPr>
                <w:sz w:val="20"/>
              </w:rPr>
            </w:pPr>
          </w:p>
        </w:tc>
        <w:tc>
          <w:tcPr>
            <w:tcW w:w="2970" w:type="dxa"/>
          </w:tcPr>
          <w:p w14:paraId="54DAF028" w14:textId="53A1E121" w:rsidR="00502C06" w:rsidRDefault="00502C06" w:rsidP="00502C06">
            <w:pPr>
              <w:pStyle w:val="NoSpacing"/>
              <w:rPr>
                <w:sz w:val="20"/>
              </w:rPr>
            </w:pPr>
            <w:r>
              <w:rPr>
                <w:sz w:val="20"/>
              </w:rPr>
              <w:t>* Complementary feeding</w:t>
            </w:r>
          </w:p>
        </w:tc>
        <w:tc>
          <w:tcPr>
            <w:tcW w:w="4680" w:type="dxa"/>
          </w:tcPr>
          <w:p w14:paraId="6E3C0632" w14:textId="4E93DAE3" w:rsidR="00502C06" w:rsidRDefault="00502C06" w:rsidP="00502C06">
            <w:pPr>
              <w:pStyle w:val="NoSpacing"/>
              <w:rPr>
                <w:rFonts w:cs="Arial"/>
                <w:color w:val="000000"/>
                <w:sz w:val="20"/>
                <w:szCs w:val="20"/>
              </w:rPr>
            </w:pPr>
            <w:r>
              <w:rPr>
                <w:rFonts w:cs="Arial"/>
                <w:color w:val="000000"/>
                <w:sz w:val="20"/>
                <w:szCs w:val="20"/>
              </w:rPr>
              <w:t>B</w:t>
            </w:r>
            <w:r w:rsidRPr="000F319E">
              <w:rPr>
                <w:rFonts w:cs="Arial"/>
                <w:color w:val="000000"/>
                <w:sz w:val="20"/>
                <w:szCs w:val="20"/>
              </w:rPr>
              <w:t>reastfed children 6</w:t>
            </w:r>
            <w:r w:rsidR="00F1708B">
              <w:rPr>
                <w:rFonts w:cs="Arial"/>
                <w:color w:val="000000"/>
                <w:sz w:val="20"/>
                <w:szCs w:val="20"/>
              </w:rPr>
              <w:t>-23 months</w:t>
            </w:r>
            <w:r w:rsidRPr="000F319E">
              <w:rPr>
                <w:rFonts w:cs="Arial"/>
                <w:color w:val="000000"/>
                <w:sz w:val="20"/>
                <w:szCs w:val="20"/>
              </w:rPr>
              <w:t xml:space="preserve"> who received a minimum acceptable diet</w:t>
            </w:r>
          </w:p>
        </w:tc>
        <w:tc>
          <w:tcPr>
            <w:tcW w:w="1167" w:type="dxa"/>
          </w:tcPr>
          <w:p w14:paraId="0FC699F0" w14:textId="60F78032" w:rsidR="00502C06" w:rsidRDefault="00F1708B" w:rsidP="00502C06">
            <w:pPr>
              <w:pStyle w:val="NoSpacing"/>
              <w:rPr>
                <w:sz w:val="20"/>
              </w:rPr>
            </w:pPr>
            <w:r>
              <w:rPr>
                <w:sz w:val="20"/>
              </w:rPr>
              <w:t>Percent</w:t>
            </w:r>
          </w:p>
        </w:tc>
      </w:tr>
      <w:tr w:rsidR="00F1708B" w:rsidRPr="00ED1DCA" w14:paraId="62F967A3" w14:textId="77777777" w:rsidTr="00D652A0">
        <w:tc>
          <w:tcPr>
            <w:tcW w:w="625" w:type="dxa"/>
          </w:tcPr>
          <w:p w14:paraId="76850372" w14:textId="77777777" w:rsidR="00F1708B" w:rsidRDefault="00F1708B" w:rsidP="00502C06">
            <w:pPr>
              <w:pStyle w:val="NoSpacing"/>
              <w:rPr>
                <w:sz w:val="20"/>
              </w:rPr>
            </w:pPr>
          </w:p>
        </w:tc>
        <w:tc>
          <w:tcPr>
            <w:tcW w:w="2970" w:type="dxa"/>
          </w:tcPr>
          <w:p w14:paraId="67E233A8" w14:textId="7B959F95" w:rsidR="00F1708B" w:rsidRDefault="00F1708B" w:rsidP="00502C06">
            <w:pPr>
              <w:pStyle w:val="NoSpacing"/>
              <w:rPr>
                <w:sz w:val="20"/>
              </w:rPr>
            </w:pPr>
            <w:r>
              <w:rPr>
                <w:sz w:val="20"/>
              </w:rPr>
              <w:t>* Complementary feeding</w:t>
            </w:r>
          </w:p>
        </w:tc>
        <w:tc>
          <w:tcPr>
            <w:tcW w:w="4680" w:type="dxa"/>
          </w:tcPr>
          <w:p w14:paraId="6BE4AEFC" w14:textId="1BB4ECA5" w:rsidR="00F1708B" w:rsidRDefault="00F1708B" w:rsidP="00502C06">
            <w:pPr>
              <w:pStyle w:val="NoSpacing"/>
              <w:rPr>
                <w:rFonts w:cs="Arial"/>
                <w:color w:val="000000"/>
                <w:sz w:val="20"/>
                <w:szCs w:val="20"/>
              </w:rPr>
            </w:pPr>
            <w:r>
              <w:rPr>
                <w:rFonts w:cs="Arial"/>
                <w:color w:val="000000"/>
                <w:sz w:val="20"/>
                <w:szCs w:val="20"/>
              </w:rPr>
              <w:t>Children 6-8 months old who were fed complementary foods</w:t>
            </w:r>
          </w:p>
        </w:tc>
        <w:tc>
          <w:tcPr>
            <w:tcW w:w="1167" w:type="dxa"/>
          </w:tcPr>
          <w:p w14:paraId="3F19FC86" w14:textId="720DF050" w:rsidR="00F1708B" w:rsidRDefault="00F1708B" w:rsidP="00502C06">
            <w:pPr>
              <w:pStyle w:val="NoSpacing"/>
              <w:rPr>
                <w:sz w:val="20"/>
              </w:rPr>
            </w:pPr>
            <w:r>
              <w:rPr>
                <w:sz w:val="20"/>
              </w:rPr>
              <w:t>Percent</w:t>
            </w:r>
          </w:p>
        </w:tc>
      </w:tr>
      <w:tr w:rsidR="00502C06" w:rsidRPr="00ED1DCA" w14:paraId="3B666D6B" w14:textId="77777777" w:rsidTr="00D652A0">
        <w:tc>
          <w:tcPr>
            <w:tcW w:w="625" w:type="dxa"/>
          </w:tcPr>
          <w:p w14:paraId="6DE0D908" w14:textId="77777777" w:rsidR="00502C06" w:rsidRPr="00ED1DCA" w:rsidRDefault="00502C06" w:rsidP="00502C06">
            <w:pPr>
              <w:pStyle w:val="NoSpacing"/>
              <w:rPr>
                <w:sz w:val="20"/>
              </w:rPr>
            </w:pPr>
            <w:r>
              <w:rPr>
                <w:sz w:val="20"/>
              </w:rPr>
              <w:t>3.2.2</w:t>
            </w:r>
          </w:p>
        </w:tc>
        <w:tc>
          <w:tcPr>
            <w:tcW w:w="2970" w:type="dxa"/>
          </w:tcPr>
          <w:p w14:paraId="65F2F9CC" w14:textId="77777777" w:rsidR="00502C06" w:rsidRPr="00ED1DCA" w:rsidRDefault="00502C06" w:rsidP="00502C06">
            <w:pPr>
              <w:pStyle w:val="NoSpacing"/>
              <w:rPr>
                <w:sz w:val="20"/>
              </w:rPr>
            </w:pPr>
            <w:r>
              <w:rPr>
                <w:sz w:val="20"/>
              </w:rPr>
              <w:t>* Micro nutrient supplements</w:t>
            </w:r>
          </w:p>
        </w:tc>
        <w:tc>
          <w:tcPr>
            <w:tcW w:w="4680" w:type="dxa"/>
          </w:tcPr>
          <w:p w14:paraId="3565E48C" w14:textId="77777777" w:rsidR="00502C06" w:rsidRPr="00ED1DCA" w:rsidRDefault="00502C06" w:rsidP="00502C06">
            <w:pPr>
              <w:pStyle w:val="NoSpacing"/>
              <w:rPr>
                <w:sz w:val="20"/>
              </w:rPr>
            </w:pPr>
            <w:r>
              <w:rPr>
                <w:rFonts w:cs="Arial"/>
                <w:sz w:val="20"/>
                <w:szCs w:val="20"/>
              </w:rPr>
              <w:t>C</w:t>
            </w:r>
            <w:r w:rsidRPr="000F319E">
              <w:rPr>
                <w:rFonts w:cs="Arial"/>
                <w:sz w:val="20"/>
                <w:szCs w:val="20"/>
              </w:rPr>
              <w:t>hildren 6-23 months receiving adequate supplement of Micro Nutrient Powder (MNP)</w:t>
            </w:r>
          </w:p>
        </w:tc>
        <w:tc>
          <w:tcPr>
            <w:tcW w:w="1167" w:type="dxa"/>
          </w:tcPr>
          <w:p w14:paraId="20FD95BE" w14:textId="77777777" w:rsidR="00502C06" w:rsidRPr="00ED1DCA" w:rsidRDefault="00502C06" w:rsidP="00502C06">
            <w:pPr>
              <w:pStyle w:val="NoSpacing"/>
              <w:rPr>
                <w:sz w:val="20"/>
              </w:rPr>
            </w:pPr>
            <w:r>
              <w:rPr>
                <w:sz w:val="20"/>
              </w:rPr>
              <w:t>Percent</w:t>
            </w:r>
          </w:p>
        </w:tc>
      </w:tr>
      <w:tr w:rsidR="00502C06" w:rsidRPr="00ED1DCA" w14:paraId="23270AA7" w14:textId="77777777" w:rsidTr="00D652A0">
        <w:tc>
          <w:tcPr>
            <w:tcW w:w="625" w:type="dxa"/>
          </w:tcPr>
          <w:p w14:paraId="63808214" w14:textId="77777777" w:rsidR="00502C06" w:rsidRPr="00ED1DCA" w:rsidRDefault="00502C06" w:rsidP="00502C06">
            <w:pPr>
              <w:pStyle w:val="NoSpacing"/>
              <w:rPr>
                <w:sz w:val="20"/>
              </w:rPr>
            </w:pPr>
            <w:r>
              <w:rPr>
                <w:sz w:val="20"/>
              </w:rPr>
              <w:t>3.2.3</w:t>
            </w:r>
          </w:p>
        </w:tc>
        <w:tc>
          <w:tcPr>
            <w:tcW w:w="2970" w:type="dxa"/>
          </w:tcPr>
          <w:p w14:paraId="540B1BCC" w14:textId="77777777" w:rsidR="00502C06" w:rsidRPr="00ED1DCA" w:rsidRDefault="00502C06" w:rsidP="00502C06">
            <w:pPr>
              <w:pStyle w:val="NoSpacing"/>
              <w:rPr>
                <w:sz w:val="20"/>
              </w:rPr>
            </w:pPr>
            <w:r>
              <w:rPr>
                <w:sz w:val="20"/>
              </w:rPr>
              <w:t>* Vitamin A supplements</w:t>
            </w:r>
          </w:p>
        </w:tc>
        <w:tc>
          <w:tcPr>
            <w:tcW w:w="4680" w:type="dxa"/>
          </w:tcPr>
          <w:p w14:paraId="4936357A" w14:textId="0533F5E4" w:rsidR="00502C06" w:rsidRPr="00ED1DCA" w:rsidRDefault="00502C06" w:rsidP="00502C06">
            <w:pPr>
              <w:pStyle w:val="NoSpacing"/>
              <w:rPr>
                <w:sz w:val="20"/>
              </w:rPr>
            </w:pPr>
            <w:r>
              <w:rPr>
                <w:rFonts w:cs="Arial"/>
                <w:sz w:val="20"/>
                <w:szCs w:val="20"/>
              </w:rPr>
              <w:t xml:space="preserve">Children </w:t>
            </w:r>
            <w:r w:rsidRPr="000F319E">
              <w:rPr>
                <w:rFonts w:cs="Arial"/>
                <w:sz w:val="20"/>
                <w:szCs w:val="20"/>
              </w:rPr>
              <w:t>6-59 months children receiving appropr</w:t>
            </w:r>
            <w:r>
              <w:rPr>
                <w:rFonts w:cs="Arial"/>
                <w:sz w:val="20"/>
                <w:szCs w:val="20"/>
              </w:rPr>
              <w:t>iate Vitamin A supplementation</w:t>
            </w:r>
          </w:p>
        </w:tc>
        <w:tc>
          <w:tcPr>
            <w:tcW w:w="1167" w:type="dxa"/>
          </w:tcPr>
          <w:p w14:paraId="3FAE7764" w14:textId="77777777" w:rsidR="00502C06" w:rsidRPr="00ED1DCA" w:rsidRDefault="00502C06" w:rsidP="00502C06">
            <w:pPr>
              <w:pStyle w:val="NoSpacing"/>
              <w:rPr>
                <w:sz w:val="20"/>
              </w:rPr>
            </w:pPr>
            <w:r>
              <w:rPr>
                <w:sz w:val="20"/>
              </w:rPr>
              <w:t>Percent</w:t>
            </w:r>
          </w:p>
        </w:tc>
      </w:tr>
      <w:tr w:rsidR="00502C06" w:rsidRPr="00ED1DCA" w14:paraId="149E90D4" w14:textId="77777777" w:rsidTr="00D652A0">
        <w:tc>
          <w:tcPr>
            <w:tcW w:w="625" w:type="dxa"/>
          </w:tcPr>
          <w:p w14:paraId="2BD05B8C" w14:textId="77777777" w:rsidR="00502C06" w:rsidRPr="00ED1DCA" w:rsidRDefault="00502C06" w:rsidP="00502C06">
            <w:pPr>
              <w:pStyle w:val="NoSpacing"/>
              <w:rPr>
                <w:sz w:val="20"/>
              </w:rPr>
            </w:pPr>
            <w:r w:rsidRPr="00ED1DCA">
              <w:rPr>
                <w:sz w:val="20"/>
              </w:rPr>
              <w:t>3.3</w:t>
            </w:r>
          </w:p>
        </w:tc>
        <w:tc>
          <w:tcPr>
            <w:tcW w:w="2970" w:type="dxa"/>
          </w:tcPr>
          <w:p w14:paraId="7354CA25" w14:textId="77777777" w:rsidR="00502C06" w:rsidRPr="00ED1DCA" w:rsidRDefault="00502C06" w:rsidP="00502C06">
            <w:pPr>
              <w:pStyle w:val="NoSpacing"/>
              <w:rPr>
                <w:sz w:val="20"/>
              </w:rPr>
            </w:pPr>
            <w:r w:rsidRPr="00ED1DCA">
              <w:rPr>
                <w:sz w:val="20"/>
              </w:rPr>
              <w:t>Utilization of ANC and PNC services</w:t>
            </w:r>
          </w:p>
        </w:tc>
        <w:tc>
          <w:tcPr>
            <w:tcW w:w="4680" w:type="dxa"/>
          </w:tcPr>
          <w:p w14:paraId="16DBE7CD" w14:textId="77777777" w:rsidR="00502C06" w:rsidRPr="00ED1DCA" w:rsidRDefault="00502C06" w:rsidP="00502C06">
            <w:pPr>
              <w:pStyle w:val="NoSpacing"/>
              <w:rPr>
                <w:sz w:val="20"/>
              </w:rPr>
            </w:pPr>
          </w:p>
        </w:tc>
        <w:tc>
          <w:tcPr>
            <w:tcW w:w="1167" w:type="dxa"/>
          </w:tcPr>
          <w:p w14:paraId="0D586EC7" w14:textId="77777777" w:rsidR="00502C06" w:rsidRPr="00ED1DCA" w:rsidRDefault="00502C06" w:rsidP="00502C06">
            <w:pPr>
              <w:pStyle w:val="NoSpacing"/>
              <w:rPr>
                <w:sz w:val="20"/>
              </w:rPr>
            </w:pPr>
          </w:p>
        </w:tc>
      </w:tr>
      <w:tr w:rsidR="00502C06" w:rsidRPr="00ED1DCA" w14:paraId="741EA717" w14:textId="77777777" w:rsidTr="00D652A0">
        <w:tc>
          <w:tcPr>
            <w:tcW w:w="625" w:type="dxa"/>
          </w:tcPr>
          <w:p w14:paraId="2226C1E6" w14:textId="77777777" w:rsidR="00502C06" w:rsidRPr="00ED1DCA" w:rsidRDefault="00502C06" w:rsidP="00502C06">
            <w:pPr>
              <w:pStyle w:val="NoSpacing"/>
              <w:rPr>
                <w:sz w:val="20"/>
              </w:rPr>
            </w:pPr>
            <w:r>
              <w:rPr>
                <w:sz w:val="20"/>
              </w:rPr>
              <w:t>3.3.1</w:t>
            </w:r>
          </w:p>
        </w:tc>
        <w:tc>
          <w:tcPr>
            <w:tcW w:w="2970" w:type="dxa"/>
          </w:tcPr>
          <w:p w14:paraId="43E966D3" w14:textId="77777777" w:rsidR="00502C06" w:rsidRPr="00ED1DCA" w:rsidRDefault="00502C06" w:rsidP="00502C06">
            <w:pPr>
              <w:pStyle w:val="NoSpacing"/>
              <w:rPr>
                <w:sz w:val="20"/>
              </w:rPr>
            </w:pPr>
            <w:r>
              <w:rPr>
                <w:sz w:val="20"/>
              </w:rPr>
              <w:t>* First ANC visit</w:t>
            </w:r>
          </w:p>
        </w:tc>
        <w:tc>
          <w:tcPr>
            <w:tcW w:w="4680" w:type="dxa"/>
          </w:tcPr>
          <w:p w14:paraId="6C1A976C" w14:textId="77777777" w:rsidR="00502C06" w:rsidRPr="00ED1DCA" w:rsidRDefault="00502C06" w:rsidP="00502C06">
            <w:pPr>
              <w:pStyle w:val="NoSpacing"/>
              <w:rPr>
                <w:sz w:val="20"/>
              </w:rPr>
            </w:pPr>
            <w:r>
              <w:rPr>
                <w:sz w:val="20"/>
              </w:rPr>
              <w:t>Pregnant women who had first ANC checkup (with trained provider) in first trimester</w:t>
            </w:r>
          </w:p>
        </w:tc>
        <w:tc>
          <w:tcPr>
            <w:tcW w:w="1167" w:type="dxa"/>
          </w:tcPr>
          <w:p w14:paraId="53300437" w14:textId="77777777" w:rsidR="00502C06" w:rsidRPr="00ED1DCA" w:rsidRDefault="00502C06" w:rsidP="00502C06">
            <w:pPr>
              <w:pStyle w:val="NoSpacing"/>
              <w:rPr>
                <w:sz w:val="20"/>
              </w:rPr>
            </w:pPr>
            <w:r>
              <w:rPr>
                <w:sz w:val="20"/>
              </w:rPr>
              <w:t>Percent</w:t>
            </w:r>
          </w:p>
        </w:tc>
      </w:tr>
      <w:tr w:rsidR="00502C06" w:rsidRPr="00ED1DCA" w14:paraId="1F0D60C5" w14:textId="77777777" w:rsidTr="00D652A0">
        <w:tc>
          <w:tcPr>
            <w:tcW w:w="625" w:type="dxa"/>
          </w:tcPr>
          <w:p w14:paraId="56FD19E3" w14:textId="77777777" w:rsidR="00502C06" w:rsidRDefault="00502C06" w:rsidP="00502C06">
            <w:pPr>
              <w:pStyle w:val="NoSpacing"/>
              <w:rPr>
                <w:sz w:val="20"/>
              </w:rPr>
            </w:pPr>
            <w:r>
              <w:rPr>
                <w:sz w:val="20"/>
              </w:rPr>
              <w:t>3.3.2</w:t>
            </w:r>
          </w:p>
        </w:tc>
        <w:tc>
          <w:tcPr>
            <w:tcW w:w="2970" w:type="dxa"/>
          </w:tcPr>
          <w:p w14:paraId="46D6EF1C" w14:textId="77777777" w:rsidR="00502C06" w:rsidRDefault="00502C06" w:rsidP="00502C06">
            <w:pPr>
              <w:pStyle w:val="NoSpacing"/>
              <w:rPr>
                <w:sz w:val="20"/>
              </w:rPr>
            </w:pPr>
            <w:r>
              <w:rPr>
                <w:sz w:val="20"/>
              </w:rPr>
              <w:t>* Vitamin A for pregnant women</w:t>
            </w:r>
          </w:p>
        </w:tc>
        <w:tc>
          <w:tcPr>
            <w:tcW w:w="4680" w:type="dxa"/>
          </w:tcPr>
          <w:p w14:paraId="3E9FD040" w14:textId="77777777" w:rsidR="00502C06" w:rsidRDefault="00502C06" w:rsidP="00502C06">
            <w:pPr>
              <w:pStyle w:val="NoSpacing"/>
              <w:rPr>
                <w:sz w:val="20"/>
              </w:rPr>
            </w:pPr>
            <w:r>
              <w:rPr>
                <w:sz w:val="20"/>
              </w:rPr>
              <w:t>Women who received any vitamin A supplements in their pregnancy</w:t>
            </w:r>
          </w:p>
        </w:tc>
        <w:tc>
          <w:tcPr>
            <w:tcW w:w="1167" w:type="dxa"/>
          </w:tcPr>
          <w:p w14:paraId="1405013E" w14:textId="77777777" w:rsidR="00502C06" w:rsidRDefault="00502C06" w:rsidP="00502C06">
            <w:pPr>
              <w:pStyle w:val="NoSpacing"/>
              <w:rPr>
                <w:sz w:val="20"/>
              </w:rPr>
            </w:pPr>
            <w:r>
              <w:rPr>
                <w:sz w:val="20"/>
              </w:rPr>
              <w:t>Percent</w:t>
            </w:r>
          </w:p>
        </w:tc>
      </w:tr>
      <w:tr w:rsidR="00502C06" w:rsidRPr="00ED1DCA" w14:paraId="0C4F53CE" w14:textId="77777777" w:rsidTr="00D652A0">
        <w:tc>
          <w:tcPr>
            <w:tcW w:w="625" w:type="dxa"/>
          </w:tcPr>
          <w:p w14:paraId="5F4636B6" w14:textId="77777777" w:rsidR="00502C06" w:rsidRDefault="00502C06" w:rsidP="00502C06">
            <w:pPr>
              <w:pStyle w:val="NoSpacing"/>
              <w:rPr>
                <w:sz w:val="20"/>
              </w:rPr>
            </w:pPr>
            <w:r>
              <w:rPr>
                <w:sz w:val="20"/>
              </w:rPr>
              <w:t>3.3.3</w:t>
            </w:r>
          </w:p>
        </w:tc>
        <w:tc>
          <w:tcPr>
            <w:tcW w:w="2970" w:type="dxa"/>
          </w:tcPr>
          <w:p w14:paraId="23ADD975" w14:textId="77777777" w:rsidR="00502C06" w:rsidRDefault="00502C06" w:rsidP="00502C06">
            <w:pPr>
              <w:pStyle w:val="NoSpacing"/>
              <w:rPr>
                <w:sz w:val="20"/>
              </w:rPr>
            </w:pPr>
            <w:r>
              <w:rPr>
                <w:sz w:val="20"/>
              </w:rPr>
              <w:t>* Iron for pregnant women</w:t>
            </w:r>
          </w:p>
        </w:tc>
        <w:tc>
          <w:tcPr>
            <w:tcW w:w="4680" w:type="dxa"/>
          </w:tcPr>
          <w:p w14:paraId="5F7C2236" w14:textId="77777777" w:rsidR="00502C06" w:rsidRDefault="00502C06" w:rsidP="00502C06">
            <w:pPr>
              <w:pStyle w:val="NoSpacing"/>
              <w:rPr>
                <w:sz w:val="20"/>
              </w:rPr>
            </w:pPr>
            <w:r>
              <w:rPr>
                <w:sz w:val="20"/>
              </w:rPr>
              <w:t>Women who received any iron supplements in their pregnancy</w:t>
            </w:r>
          </w:p>
        </w:tc>
        <w:tc>
          <w:tcPr>
            <w:tcW w:w="1167" w:type="dxa"/>
          </w:tcPr>
          <w:p w14:paraId="3839611C" w14:textId="77777777" w:rsidR="00502C06" w:rsidRDefault="00502C06" w:rsidP="00502C06">
            <w:pPr>
              <w:pStyle w:val="NoSpacing"/>
              <w:rPr>
                <w:sz w:val="20"/>
              </w:rPr>
            </w:pPr>
            <w:r>
              <w:rPr>
                <w:sz w:val="20"/>
              </w:rPr>
              <w:t>Percent</w:t>
            </w:r>
          </w:p>
        </w:tc>
      </w:tr>
      <w:tr w:rsidR="00502C06" w:rsidRPr="00ED1DCA" w14:paraId="18F06350" w14:textId="77777777" w:rsidTr="00D652A0">
        <w:tc>
          <w:tcPr>
            <w:tcW w:w="625" w:type="dxa"/>
          </w:tcPr>
          <w:p w14:paraId="5A4EB723" w14:textId="77777777" w:rsidR="00502C06" w:rsidRDefault="00502C06" w:rsidP="00502C06">
            <w:pPr>
              <w:pStyle w:val="NoSpacing"/>
              <w:rPr>
                <w:sz w:val="20"/>
              </w:rPr>
            </w:pPr>
            <w:r>
              <w:rPr>
                <w:sz w:val="20"/>
              </w:rPr>
              <w:t>3.3.3</w:t>
            </w:r>
          </w:p>
        </w:tc>
        <w:tc>
          <w:tcPr>
            <w:tcW w:w="2970" w:type="dxa"/>
          </w:tcPr>
          <w:p w14:paraId="18D4A77D" w14:textId="77777777" w:rsidR="00502C06" w:rsidRDefault="00502C06" w:rsidP="00502C06">
            <w:pPr>
              <w:pStyle w:val="NoSpacing"/>
              <w:rPr>
                <w:sz w:val="20"/>
              </w:rPr>
            </w:pPr>
            <w:r>
              <w:rPr>
                <w:sz w:val="20"/>
              </w:rPr>
              <w:t>* First PNC visit</w:t>
            </w:r>
          </w:p>
        </w:tc>
        <w:tc>
          <w:tcPr>
            <w:tcW w:w="4680" w:type="dxa"/>
          </w:tcPr>
          <w:p w14:paraId="312A1DDC" w14:textId="77777777" w:rsidR="00502C06" w:rsidRPr="00ED1DCA" w:rsidRDefault="00502C06" w:rsidP="00502C06">
            <w:pPr>
              <w:pStyle w:val="NoSpacing"/>
              <w:rPr>
                <w:sz w:val="20"/>
              </w:rPr>
            </w:pPr>
            <w:r>
              <w:rPr>
                <w:sz w:val="20"/>
              </w:rPr>
              <w:t>Women who had their first PNC checkup (with trained provider) within two days of birth</w:t>
            </w:r>
          </w:p>
        </w:tc>
        <w:tc>
          <w:tcPr>
            <w:tcW w:w="1167" w:type="dxa"/>
          </w:tcPr>
          <w:p w14:paraId="37C84449" w14:textId="77777777" w:rsidR="00502C06" w:rsidRPr="00ED1DCA" w:rsidRDefault="00502C06" w:rsidP="00502C06">
            <w:pPr>
              <w:pStyle w:val="NoSpacing"/>
              <w:rPr>
                <w:sz w:val="20"/>
              </w:rPr>
            </w:pPr>
            <w:r>
              <w:rPr>
                <w:sz w:val="20"/>
              </w:rPr>
              <w:t>Percent</w:t>
            </w:r>
          </w:p>
        </w:tc>
      </w:tr>
      <w:tr w:rsidR="00502C06" w:rsidRPr="00ED1DCA" w14:paraId="372026F4" w14:textId="77777777" w:rsidTr="00D652A0">
        <w:tc>
          <w:tcPr>
            <w:tcW w:w="625" w:type="dxa"/>
          </w:tcPr>
          <w:p w14:paraId="591EAFC7" w14:textId="77777777" w:rsidR="00502C06" w:rsidRPr="00ED1DCA" w:rsidRDefault="00502C06" w:rsidP="00502C06">
            <w:pPr>
              <w:pStyle w:val="NoSpacing"/>
              <w:rPr>
                <w:sz w:val="20"/>
              </w:rPr>
            </w:pPr>
            <w:r w:rsidRPr="00ED1DCA">
              <w:rPr>
                <w:sz w:val="20"/>
              </w:rPr>
              <w:t>3.4</w:t>
            </w:r>
          </w:p>
        </w:tc>
        <w:tc>
          <w:tcPr>
            <w:tcW w:w="2970" w:type="dxa"/>
          </w:tcPr>
          <w:p w14:paraId="094A5C95" w14:textId="356CF0B0" w:rsidR="00502C06" w:rsidRPr="00ED1DCA" w:rsidRDefault="00502C06" w:rsidP="00502C06">
            <w:pPr>
              <w:pStyle w:val="NoSpacing"/>
              <w:rPr>
                <w:sz w:val="20"/>
              </w:rPr>
            </w:pPr>
            <w:r w:rsidRPr="00ED1DCA">
              <w:rPr>
                <w:sz w:val="20"/>
              </w:rPr>
              <w:t>Utilization of growth</w:t>
            </w:r>
            <w:r>
              <w:rPr>
                <w:sz w:val="20"/>
              </w:rPr>
              <w:t xml:space="preserve"> promotion and </w:t>
            </w:r>
            <w:r w:rsidRPr="00ED1DCA">
              <w:rPr>
                <w:sz w:val="20"/>
              </w:rPr>
              <w:t>monitoring / nutrition services</w:t>
            </w:r>
          </w:p>
        </w:tc>
        <w:tc>
          <w:tcPr>
            <w:tcW w:w="4680" w:type="dxa"/>
          </w:tcPr>
          <w:p w14:paraId="04CE7A34" w14:textId="77777777" w:rsidR="00502C06" w:rsidRPr="00ED1DCA" w:rsidRDefault="00502C06" w:rsidP="00502C06">
            <w:pPr>
              <w:pStyle w:val="NoSpacing"/>
              <w:rPr>
                <w:sz w:val="20"/>
              </w:rPr>
            </w:pPr>
          </w:p>
        </w:tc>
        <w:tc>
          <w:tcPr>
            <w:tcW w:w="1167" w:type="dxa"/>
          </w:tcPr>
          <w:p w14:paraId="0032C79B" w14:textId="77777777" w:rsidR="00502C06" w:rsidRPr="00ED1DCA" w:rsidRDefault="00502C06" w:rsidP="00502C06">
            <w:pPr>
              <w:pStyle w:val="NoSpacing"/>
              <w:rPr>
                <w:sz w:val="20"/>
              </w:rPr>
            </w:pPr>
          </w:p>
        </w:tc>
      </w:tr>
      <w:tr w:rsidR="00502C06" w:rsidRPr="00ED1DCA" w14:paraId="5BAC1649" w14:textId="77777777" w:rsidTr="00D652A0">
        <w:tc>
          <w:tcPr>
            <w:tcW w:w="625" w:type="dxa"/>
          </w:tcPr>
          <w:p w14:paraId="67832778" w14:textId="77777777" w:rsidR="00502C06" w:rsidRPr="00ED1DCA" w:rsidRDefault="00502C06" w:rsidP="00502C06">
            <w:pPr>
              <w:pStyle w:val="NoSpacing"/>
              <w:rPr>
                <w:sz w:val="20"/>
              </w:rPr>
            </w:pPr>
            <w:r>
              <w:rPr>
                <w:sz w:val="20"/>
              </w:rPr>
              <w:t>3.4.1</w:t>
            </w:r>
          </w:p>
        </w:tc>
        <w:tc>
          <w:tcPr>
            <w:tcW w:w="2970" w:type="dxa"/>
          </w:tcPr>
          <w:p w14:paraId="2D8E241A" w14:textId="0CEA5627" w:rsidR="00502C06" w:rsidRPr="00ED1DCA" w:rsidRDefault="00502C06" w:rsidP="00502C06">
            <w:pPr>
              <w:pStyle w:val="NoSpacing"/>
              <w:rPr>
                <w:sz w:val="20"/>
              </w:rPr>
            </w:pPr>
            <w:r>
              <w:rPr>
                <w:sz w:val="20"/>
              </w:rPr>
              <w:t>* Growth promotion and monitoring</w:t>
            </w:r>
          </w:p>
        </w:tc>
        <w:tc>
          <w:tcPr>
            <w:tcW w:w="4680" w:type="dxa"/>
          </w:tcPr>
          <w:p w14:paraId="410BB670" w14:textId="77777777" w:rsidR="00502C06" w:rsidRPr="00ED1DCA" w:rsidRDefault="00502C06" w:rsidP="00502C06">
            <w:pPr>
              <w:pStyle w:val="NoSpacing"/>
              <w:rPr>
                <w:sz w:val="20"/>
              </w:rPr>
            </w:pPr>
            <w:r>
              <w:rPr>
                <w:sz w:val="20"/>
              </w:rPr>
              <w:t>Children 0-23 months receive at least quarterly growth monitoring (height, weight measurement)</w:t>
            </w:r>
          </w:p>
        </w:tc>
        <w:tc>
          <w:tcPr>
            <w:tcW w:w="1167" w:type="dxa"/>
          </w:tcPr>
          <w:p w14:paraId="7962BAFB" w14:textId="77777777" w:rsidR="00502C06" w:rsidRPr="00ED1DCA" w:rsidRDefault="00502C06" w:rsidP="00502C06">
            <w:pPr>
              <w:pStyle w:val="NoSpacing"/>
              <w:rPr>
                <w:sz w:val="20"/>
              </w:rPr>
            </w:pPr>
            <w:r>
              <w:rPr>
                <w:sz w:val="20"/>
              </w:rPr>
              <w:t>Percent</w:t>
            </w:r>
          </w:p>
        </w:tc>
      </w:tr>
      <w:tr w:rsidR="00502C06" w:rsidRPr="00ED1DCA" w14:paraId="2595CDC8" w14:textId="77777777" w:rsidTr="00D652A0">
        <w:tc>
          <w:tcPr>
            <w:tcW w:w="625" w:type="dxa"/>
          </w:tcPr>
          <w:p w14:paraId="73DFC5F5" w14:textId="77777777" w:rsidR="00502C06" w:rsidRPr="00ED1DCA" w:rsidRDefault="00502C06" w:rsidP="00502C06">
            <w:pPr>
              <w:pStyle w:val="NoSpacing"/>
              <w:rPr>
                <w:sz w:val="20"/>
              </w:rPr>
            </w:pPr>
            <w:r w:rsidRPr="00ED1DCA">
              <w:rPr>
                <w:sz w:val="20"/>
              </w:rPr>
              <w:t>3.5</w:t>
            </w:r>
          </w:p>
        </w:tc>
        <w:tc>
          <w:tcPr>
            <w:tcW w:w="2970" w:type="dxa"/>
          </w:tcPr>
          <w:p w14:paraId="6ABA473B" w14:textId="77777777" w:rsidR="00502C06" w:rsidRPr="00ED1DCA" w:rsidRDefault="00502C06" w:rsidP="00502C06">
            <w:pPr>
              <w:pStyle w:val="NoSpacing"/>
              <w:rPr>
                <w:sz w:val="20"/>
              </w:rPr>
            </w:pPr>
            <w:r w:rsidRPr="00ED1DCA">
              <w:rPr>
                <w:sz w:val="20"/>
              </w:rPr>
              <w:t>Utilization of preventive services</w:t>
            </w:r>
          </w:p>
        </w:tc>
        <w:tc>
          <w:tcPr>
            <w:tcW w:w="4680" w:type="dxa"/>
          </w:tcPr>
          <w:p w14:paraId="074B8CC3" w14:textId="77777777" w:rsidR="00502C06" w:rsidRPr="00ED1DCA" w:rsidRDefault="00502C06" w:rsidP="00502C06">
            <w:pPr>
              <w:pStyle w:val="NoSpacing"/>
              <w:rPr>
                <w:sz w:val="20"/>
              </w:rPr>
            </w:pPr>
          </w:p>
        </w:tc>
        <w:tc>
          <w:tcPr>
            <w:tcW w:w="1167" w:type="dxa"/>
          </w:tcPr>
          <w:p w14:paraId="7863BEA6" w14:textId="77777777" w:rsidR="00502C06" w:rsidRPr="00ED1DCA" w:rsidRDefault="00502C06" w:rsidP="00502C06">
            <w:pPr>
              <w:pStyle w:val="NoSpacing"/>
              <w:rPr>
                <w:sz w:val="20"/>
              </w:rPr>
            </w:pPr>
          </w:p>
        </w:tc>
      </w:tr>
      <w:tr w:rsidR="00502C06" w:rsidRPr="00ED1DCA" w14:paraId="1F946BC0" w14:textId="77777777" w:rsidTr="00D652A0">
        <w:tc>
          <w:tcPr>
            <w:tcW w:w="625" w:type="dxa"/>
          </w:tcPr>
          <w:p w14:paraId="7F0445A6" w14:textId="77777777" w:rsidR="00502C06" w:rsidRPr="00ED1DCA" w:rsidRDefault="00502C06" w:rsidP="00502C06">
            <w:pPr>
              <w:pStyle w:val="NoSpacing"/>
              <w:rPr>
                <w:sz w:val="20"/>
              </w:rPr>
            </w:pPr>
          </w:p>
        </w:tc>
        <w:tc>
          <w:tcPr>
            <w:tcW w:w="2970" w:type="dxa"/>
          </w:tcPr>
          <w:p w14:paraId="61F0E2E5" w14:textId="77777777" w:rsidR="00502C06" w:rsidRPr="00ED1DCA" w:rsidRDefault="00502C06" w:rsidP="00502C06">
            <w:pPr>
              <w:pStyle w:val="NoSpacing"/>
              <w:rPr>
                <w:sz w:val="20"/>
              </w:rPr>
            </w:pPr>
          </w:p>
        </w:tc>
        <w:tc>
          <w:tcPr>
            <w:tcW w:w="4680" w:type="dxa"/>
          </w:tcPr>
          <w:p w14:paraId="713D531D" w14:textId="77777777" w:rsidR="00502C06" w:rsidRPr="00ED1DCA" w:rsidRDefault="00502C06" w:rsidP="00502C06">
            <w:pPr>
              <w:pStyle w:val="NoSpacing"/>
              <w:rPr>
                <w:sz w:val="20"/>
              </w:rPr>
            </w:pPr>
          </w:p>
        </w:tc>
        <w:tc>
          <w:tcPr>
            <w:tcW w:w="1167" w:type="dxa"/>
          </w:tcPr>
          <w:p w14:paraId="58AA7D43" w14:textId="77777777" w:rsidR="00502C06" w:rsidRPr="00ED1DCA" w:rsidRDefault="00502C06" w:rsidP="00502C06">
            <w:pPr>
              <w:pStyle w:val="NoSpacing"/>
              <w:rPr>
                <w:sz w:val="20"/>
              </w:rPr>
            </w:pPr>
          </w:p>
        </w:tc>
      </w:tr>
      <w:tr w:rsidR="00502C06" w:rsidRPr="00ED1DCA" w14:paraId="0893D26C" w14:textId="77777777" w:rsidTr="00D652A0">
        <w:tc>
          <w:tcPr>
            <w:tcW w:w="625" w:type="dxa"/>
          </w:tcPr>
          <w:p w14:paraId="1BF67A9F" w14:textId="77777777" w:rsidR="00502C06" w:rsidRPr="00ED1DCA" w:rsidRDefault="00502C06" w:rsidP="00502C06">
            <w:pPr>
              <w:pStyle w:val="NoSpacing"/>
              <w:rPr>
                <w:sz w:val="20"/>
              </w:rPr>
            </w:pPr>
            <w:r w:rsidRPr="00ED1DCA">
              <w:rPr>
                <w:sz w:val="20"/>
              </w:rPr>
              <w:t>3.6</w:t>
            </w:r>
          </w:p>
        </w:tc>
        <w:tc>
          <w:tcPr>
            <w:tcW w:w="2970" w:type="dxa"/>
          </w:tcPr>
          <w:p w14:paraId="59CADF61" w14:textId="77777777" w:rsidR="00502C06" w:rsidRPr="00ED1DCA" w:rsidRDefault="00502C06" w:rsidP="00502C06">
            <w:pPr>
              <w:pStyle w:val="NoSpacing"/>
              <w:rPr>
                <w:sz w:val="20"/>
              </w:rPr>
            </w:pPr>
            <w:r w:rsidRPr="00ED1DCA">
              <w:rPr>
                <w:sz w:val="20"/>
              </w:rPr>
              <w:t>Utilization of nutrition services</w:t>
            </w:r>
          </w:p>
        </w:tc>
        <w:tc>
          <w:tcPr>
            <w:tcW w:w="4680" w:type="dxa"/>
          </w:tcPr>
          <w:p w14:paraId="56E8803A" w14:textId="77777777" w:rsidR="00502C06" w:rsidRPr="00ED1DCA" w:rsidRDefault="00502C06" w:rsidP="00502C06">
            <w:pPr>
              <w:pStyle w:val="NoSpacing"/>
              <w:rPr>
                <w:sz w:val="20"/>
              </w:rPr>
            </w:pPr>
          </w:p>
        </w:tc>
        <w:tc>
          <w:tcPr>
            <w:tcW w:w="1167" w:type="dxa"/>
          </w:tcPr>
          <w:p w14:paraId="308C11CE" w14:textId="77777777" w:rsidR="00502C06" w:rsidRPr="00ED1DCA" w:rsidRDefault="00502C06" w:rsidP="00502C06">
            <w:pPr>
              <w:pStyle w:val="NoSpacing"/>
              <w:rPr>
                <w:sz w:val="20"/>
              </w:rPr>
            </w:pPr>
          </w:p>
        </w:tc>
      </w:tr>
      <w:tr w:rsidR="00502C06" w:rsidRPr="00ED1DCA" w14:paraId="44DF7736" w14:textId="77777777" w:rsidTr="00D652A0">
        <w:tc>
          <w:tcPr>
            <w:tcW w:w="625" w:type="dxa"/>
          </w:tcPr>
          <w:p w14:paraId="29FC30C2" w14:textId="77777777" w:rsidR="00502C06" w:rsidRPr="00ED1DCA" w:rsidRDefault="00502C06" w:rsidP="00502C06">
            <w:pPr>
              <w:pStyle w:val="NoSpacing"/>
              <w:rPr>
                <w:sz w:val="20"/>
              </w:rPr>
            </w:pPr>
          </w:p>
        </w:tc>
        <w:tc>
          <w:tcPr>
            <w:tcW w:w="2970" w:type="dxa"/>
          </w:tcPr>
          <w:p w14:paraId="4AE74CCE" w14:textId="77777777" w:rsidR="00502C06" w:rsidRPr="00ED1DCA" w:rsidRDefault="00502C06" w:rsidP="00502C06">
            <w:pPr>
              <w:pStyle w:val="NoSpacing"/>
              <w:rPr>
                <w:sz w:val="20"/>
              </w:rPr>
            </w:pPr>
          </w:p>
        </w:tc>
        <w:tc>
          <w:tcPr>
            <w:tcW w:w="4680" w:type="dxa"/>
          </w:tcPr>
          <w:p w14:paraId="267A5BDF" w14:textId="77777777" w:rsidR="00502C06" w:rsidRPr="00ED1DCA" w:rsidRDefault="00502C06" w:rsidP="00502C06">
            <w:pPr>
              <w:pStyle w:val="NoSpacing"/>
              <w:rPr>
                <w:sz w:val="20"/>
              </w:rPr>
            </w:pPr>
          </w:p>
        </w:tc>
        <w:tc>
          <w:tcPr>
            <w:tcW w:w="1167" w:type="dxa"/>
          </w:tcPr>
          <w:p w14:paraId="3F23361B" w14:textId="77777777" w:rsidR="00502C06" w:rsidRPr="00ED1DCA" w:rsidRDefault="00502C06" w:rsidP="00502C06">
            <w:pPr>
              <w:pStyle w:val="NoSpacing"/>
              <w:rPr>
                <w:sz w:val="20"/>
              </w:rPr>
            </w:pPr>
          </w:p>
        </w:tc>
      </w:tr>
      <w:tr w:rsidR="00502C06" w:rsidRPr="00ED1DCA" w14:paraId="737B5B4A" w14:textId="77777777" w:rsidTr="00D652A0">
        <w:tc>
          <w:tcPr>
            <w:tcW w:w="625" w:type="dxa"/>
          </w:tcPr>
          <w:p w14:paraId="4BED1E72" w14:textId="77777777" w:rsidR="00502C06" w:rsidRPr="00ED1DCA" w:rsidRDefault="00502C06" w:rsidP="00502C06">
            <w:pPr>
              <w:pStyle w:val="NoSpacing"/>
              <w:rPr>
                <w:sz w:val="20"/>
              </w:rPr>
            </w:pPr>
            <w:r w:rsidRPr="00ED1DCA">
              <w:rPr>
                <w:sz w:val="20"/>
              </w:rPr>
              <w:t>3.7</w:t>
            </w:r>
          </w:p>
        </w:tc>
        <w:tc>
          <w:tcPr>
            <w:tcW w:w="2970" w:type="dxa"/>
          </w:tcPr>
          <w:p w14:paraId="62B5CE5C" w14:textId="77777777" w:rsidR="00502C06" w:rsidRPr="00ED1DCA" w:rsidRDefault="00502C06" w:rsidP="00502C06">
            <w:pPr>
              <w:pStyle w:val="NoSpacing"/>
              <w:rPr>
                <w:sz w:val="20"/>
              </w:rPr>
            </w:pPr>
            <w:r w:rsidRPr="00ED1DCA">
              <w:rPr>
                <w:sz w:val="20"/>
              </w:rPr>
              <w:t>Quality of service delivery</w:t>
            </w:r>
          </w:p>
        </w:tc>
        <w:tc>
          <w:tcPr>
            <w:tcW w:w="4680" w:type="dxa"/>
          </w:tcPr>
          <w:p w14:paraId="73BA7C2E" w14:textId="77777777" w:rsidR="00502C06" w:rsidRPr="00ED1DCA" w:rsidRDefault="00502C06" w:rsidP="00502C06">
            <w:pPr>
              <w:pStyle w:val="NoSpacing"/>
              <w:rPr>
                <w:sz w:val="20"/>
              </w:rPr>
            </w:pPr>
          </w:p>
        </w:tc>
        <w:tc>
          <w:tcPr>
            <w:tcW w:w="1167" w:type="dxa"/>
          </w:tcPr>
          <w:p w14:paraId="543AEBF8" w14:textId="77777777" w:rsidR="00502C06" w:rsidRPr="00ED1DCA" w:rsidRDefault="00502C06" w:rsidP="00502C06">
            <w:pPr>
              <w:pStyle w:val="NoSpacing"/>
              <w:rPr>
                <w:sz w:val="20"/>
              </w:rPr>
            </w:pPr>
          </w:p>
        </w:tc>
      </w:tr>
      <w:tr w:rsidR="00502C06" w:rsidRPr="00ED1DCA" w14:paraId="77F167E2" w14:textId="77777777" w:rsidTr="00D652A0">
        <w:tc>
          <w:tcPr>
            <w:tcW w:w="625" w:type="dxa"/>
          </w:tcPr>
          <w:p w14:paraId="5E6A09B0" w14:textId="77777777" w:rsidR="00502C06" w:rsidRPr="00ED1DCA" w:rsidRDefault="00502C06" w:rsidP="00502C06">
            <w:pPr>
              <w:pStyle w:val="NoSpacing"/>
              <w:rPr>
                <w:sz w:val="20"/>
              </w:rPr>
            </w:pPr>
          </w:p>
        </w:tc>
        <w:tc>
          <w:tcPr>
            <w:tcW w:w="2970" w:type="dxa"/>
          </w:tcPr>
          <w:p w14:paraId="25027CAE" w14:textId="77777777" w:rsidR="00502C06" w:rsidRPr="00ED1DCA" w:rsidRDefault="00502C06" w:rsidP="00502C06">
            <w:pPr>
              <w:pStyle w:val="NoSpacing"/>
              <w:rPr>
                <w:sz w:val="20"/>
              </w:rPr>
            </w:pPr>
          </w:p>
        </w:tc>
        <w:tc>
          <w:tcPr>
            <w:tcW w:w="4680" w:type="dxa"/>
          </w:tcPr>
          <w:p w14:paraId="6B75ED95" w14:textId="77777777" w:rsidR="00502C06" w:rsidRPr="00ED1DCA" w:rsidRDefault="00502C06" w:rsidP="00502C06">
            <w:pPr>
              <w:pStyle w:val="NoSpacing"/>
              <w:rPr>
                <w:sz w:val="20"/>
              </w:rPr>
            </w:pPr>
          </w:p>
        </w:tc>
        <w:tc>
          <w:tcPr>
            <w:tcW w:w="1167" w:type="dxa"/>
          </w:tcPr>
          <w:p w14:paraId="26286D2F" w14:textId="77777777" w:rsidR="00502C06" w:rsidRPr="00ED1DCA" w:rsidRDefault="00502C06" w:rsidP="00502C06">
            <w:pPr>
              <w:pStyle w:val="NoSpacing"/>
              <w:rPr>
                <w:sz w:val="20"/>
              </w:rPr>
            </w:pPr>
          </w:p>
        </w:tc>
      </w:tr>
      <w:tr w:rsidR="00502C06" w:rsidRPr="00ED1DCA" w14:paraId="1D730071" w14:textId="77777777" w:rsidTr="00D652A0">
        <w:tc>
          <w:tcPr>
            <w:tcW w:w="625" w:type="dxa"/>
          </w:tcPr>
          <w:p w14:paraId="032B31B5" w14:textId="77777777" w:rsidR="00502C06" w:rsidRPr="00ED1DCA" w:rsidRDefault="00502C06" w:rsidP="00502C06">
            <w:pPr>
              <w:pStyle w:val="NoSpacing"/>
              <w:rPr>
                <w:sz w:val="20"/>
              </w:rPr>
            </w:pPr>
            <w:r w:rsidRPr="00ED1DCA">
              <w:rPr>
                <w:sz w:val="20"/>
              </w:rPr>
              <w:t>3.8</w:t>
            </w:r>
          </w:p>
        </w:tc>
        <w:tc>
          <w:tcPr>
            <w:tcW w:w="2970" w:type="dxa"/>
          </w:tcPr>
          <w:p w14:paraId="2B1E8FBF" w14:textId="77777777" w:rsidR="00502C06" w:rsidRPr="00ED1DCA" w:rsidRDefault="00502C06" w:rsidP="00502C06">
            <w:pPr>
              <w:pStyle w:val="NoSpacing"/>
              <w:rPr>
                <w:sz w:val="20"/>
              </w:rPr>
            </w:pPr>
            <w:r w:rsidRPr="00ED1DCA">
              <w:rPr>
                <w:sz w:val="20"/>
              </w:rPr>
              <w:t>Knowledge of child nutrition issues</w:t>
            </w:r>
          </w:p>
        </w:tc>
        <w:tc>
          <w:tcPr>
            <w:tcW w:w="4680" w:type="dxa"/>
          </w:tcPr>
          <w:p w14:paraId="4E7D658F" w14:textId="77777777" w:rsidR="00502C06" w:rsidRPr="00ED1DCA" w:rsidRDefault="00502C06" w:rsidP="00502C06">
            <w:pPr>
              <w:pStyle w:val="NoSpacing"/>
              <w:rPr>
                <w:sz w:val="20"/>
              </w:rPr>
            </w:pPr>
          </w:p>
        </w:tc>
        <w:tc>
          <w:tcPr>
            <w:tcW w:w="1167" w:type="dxa"/>
          </w:tcPr>
          <w:p w14:paraId="3BAE0141" w14:textId="77777777" w:rsidR="00502C06" w:rsidRPr="00ED1DCA" w:rsidRDefault="00502C06" w:rsidP="00502C06">
            <w:pPr>
              <w:pStyle w:val="NoSpacing"/>
              <w:rPr>
                <w:sz w:val="20"/>
              </w:rPr>
            </w:pPr>
          </w:p>
        </w:tc>
      </w:tr>
      <w:tr w:rsidR="00502C06" w:rsidRPr="00ED1DCA" w14:paraId="670F456C" w14:textId="77777777" w:rsidTr="00D652A0">
        <w:tc>
          <w:tcPr>
            <w:tcW w:w="625" w:type="dxa"/>
          </w:tcPr>
          <w:p w14:paraId="5FE4C31E" w14:textId="77777777" w:rsidR="00502C06" w:rsidRPr="00ED1DCA" w:rsidRDefault="00502C06" w:rsidP="00502C06">
            <w:pPr>
              <w:pStyle w:val="NoSpacing"/>
              <w:rPr>
                <w:sz w:val="20"/>
              </w:rPr>
            </w:pPr>
          </w:p>
        </w:tc>
        <w:tc>
          <w:tcPr>
            <w:tcW w:w="2970" w:type="dxa"/>
          </w:tcPr>
          <w:p w14:paraId="661E4E75" w14:textId="77777777" w:rsidR="00502C06" w:rsidRPr="00ED1DCA" w:rsidRDefault="00502C06" w:rsidP="00502C06">
            <w:pPr>
              <w:pStyle w:val="NoSpacing"/>
              <w:rPr>
                <w:sz w:val="20"/>
              </w:rPr>
            </w:pPr>
          </w:p>
        </w:tc>
        <w:tc>
          <w:tcPr>
            <w:tcW w:w="4680" w:type="dxa"/>
          </w:tcPr>
          <w:p w14:paraId="33B4C24F" w14:textId="77777777" w:rsidR="00502C06" w:rsidRPr="00ED1DCA" w:rsidRDefault="00502C06" w:rsidP="00502C06">
            <w:pPr>
              <w:pStyle w:val="NoSpacing"/>
              <w:rPr>
                <w:sz w:val="20"/>
              </w:rPr>
            </w:pPr>
          </w:p>
        </w:tc>
        <w:tc>
          <w:tcPr>
            <w:tcW w:w="1167" w:type="dxa"/>
          </w:tcPr>
          <w:p w14:paraId="388F2871" w14:textId="77777777" w:rsidR="00502C06" w:rsidRPr="00ED1DCA" w:rsidRDefault="00502C06" w:rsidP="00502C06">
            <w:pPr>
              <w:pStyle w:val="NoSpacing"/>
              <w:rPr>
                <w:sz w:val="20"/>
              </w:rPr>
            </w:pPr>
          </w:p>
        </w:tc>
      </w:tr>
      <w:tr w:rsidR="00502C06" w:rsidRPr="00ED1DCA" w14:paraId="1FCE2B45" w14:textId="77777777" w:rsidTr="00D652A0">
        <w:tc>
          <w:tcPr>
            <w:tcW w:w="625" w:type="dxa"/>
          </w:tcPr>
          <w:p w14:paraId="4FE74049" w14:textId="77777777" w:rsidR="00502C06" w:rsidRPr="00ED1DCA" w:rsidRDefault="00502C06" w:rsidP="00502C06">
            <w:pPr>
              <w:pStyle w:val="NoSpacing"/>
              <w:rPr>
                <w:sz w:val="20"/>
              </w:rPr>
            </w:pPr>
            <w:r w:rsidRPr="00ED1DCA">
              <w:rPr>
                <w:sz w:val="20"/>
              </w:rPr>
              <w:t>3.9</w:t>
            </w:r>
          </w:p>
        </w:tc>
        <w:tc>
          <w:tcPr>
            <w:tcW w:w="2970" w:type="dxa"/>
          </w:tcPr>
          <w:p w14:paraId="759A1A9D" w14:textId="77777777" w:rsidR="00502C06" w:rsidRPr="00ED1DCA" w:rsidRDefault="00502C06" w:rsidP="00502C06">
            <w:pPr>
              <w:pStyle w:val="NoSpacing"/>
              <w:rPr>
                <w:sz w:val="20"/>
              </w:rPr>
            </w:pPr>
            <w:r w:rsidRPr="00ED1DCA">
              <w:rPr>
                <w:sz w:val="20"/>
              </w:rPr>
              <w:t>Satisfaction with service delivery</w:t>
            </w:r>
          </w:p>
        </w:tc>
        <w:tc>
          <w:tcPr>
            <w:tcW w:w="4680" w:type="dxa"/>
          </w:tcPr>
          <w:p w14:paraId="33FC0108" w14:textId="77777777" w:rsidR="00502C06" w:rsidRPr="00ED1DCA" w:rsidRDefault="00502C06" w:rsidP="00502C06">
            <w:pPr>
              <w:pStyle w:val="NoSpacing"/>
              <w:rPr>
                <w:sz w:val="20"/>
              </w:rPr>
            </w:pPr>
          </w:p>
        </w:tc>
        <w:tc>
          <w:tcPr>
            <w:tcW w:w="1167" w:type="dxa"/>
          </w:tcPr>
          <w:p w14:paraId="65C05D74" w14:textId="77777777" w:rsidR="00502C06" w:rsidRPr="00ED1DCA" w:rsidRDefault="00502C06" w:rsidP="00502C06">
            <w:pPr>
              <w:pStyle w:val="NoSpacing"/>
              <w:rPr>
                <w:sz w:val="20"/>
              </w:rPr>
            </w:pPr>
          </w:p>
        </w:tc>
      </w:tr>
    </w:tbl>
    <w:p w14:paraId="435EC0C5" w14:textId="77777777" w:rsidR="00563E83" w:rsidRDefault="00563E83" w:rsidP="00563E83"/>
    <w:tbl>
      <w:tblPr>
        <w:tblW w:w="9445" w:type="dxa"/>
        <w:tblLayout w:type="fixed"/>
        <w:tblLook w:val="04A0" w:firstRow="1" w:lastRow="0" w:firstColumn="1" w:lastColumn="0" w:noHBand="0" w:noVBand="1"/>
      </w:tblPr>
      <w:tblGrid>
        <w:gridCol w:w="625"/>
        <w:gridCol w:w="2970"/>
        <w:gridCol w:w="4680"/>
        <w:gridCol w:w="1170"/>
      </w:tblGrid>
      <w:tr w:rsidR="00563E83" w:rsidRPr="00ED1DCA" w14:paraId="5B75422C" w14:textId="77777777" w:rsidTr="00D652A0">
        <w:tc>
          <w:tcPr>
            <w:tcW w:w="8275" w:type="dxa"/>
            <w:gridSpan w:val="3"/>
          </w:tcPr>
          <w:p w14:paraId="25162314" w14:textId="77777777" w:rsidR="00563E83" w:rsidRPr="00ED1DCA" w:rsidRDefault="00563E83" w:rsidP="00D652A0">
            <w:pPr>
              <w:pStyle w:val="NoSpacing"/>
              <w:rPr>
                <w:b/>
                <w:sz w:val="20"/>
              </w:rPr>
            </w:pPr>
            <w:r w:rsidRPr="00ED1DCA">
              <w:rPr>
                <w:b/>
                <w:sz w:val="20"/>
              </w:rPr>
              <w:t>Environmental health</w:t>
            </w:r>
          </w:p>
        </w:tc>
        <w:tc>
          <w:tcPr>
            <w:tcW w:w="1170" w:type="dxa"/>
          </w:tcPr>
          <w:p w14:paraId="5D4C841D" w14:textId="77777777" w:rsidR="00563E83" w:rsidRPr="00ED1DCA" w:rsidRDefault="00563E83" w:rsidP="00D652A0">
            <w:pPr>
              <w:pStyle w:val="NoSpacing"/>
              <w:rPr>
                <w:b/>
                <w:sz w:val="20"/>
              </w:rPr>
            </w:pPr>
          </w:p>
        </w:tc>
      </w:tr>
      <w:tr w:rsidR="00563E83" w:rsidRPr="00ED1DCA" w14:paraId="7274D209" w14:textId="77777777" w:rsidTr="00D652A0">
        <w:tc>
          <w:tcPr>
            <w:tcW w:w="625" w:type="dxa"/>
          </w:tcPr>
          <w:p w14:paraId="3C787291" w14:textId="77777777" w:rsidR="00563E83" w:rsidRPr="00ED1DCA" w:rsidRDefault="00563E83" w:rsidP="00D652A0">
            <w:pPr>
              <w:pStyle w:val="NoSpacing"/>
              <w:rPr>
                <w:sz w:val="20"/>
              </w:rPr>
            </w:pPr>
            <w:r w:rsidRPr="00ED1DCA">
              <w:rPr>
                <w:sz w:val="20"/>
              </w:rPr>
              <w:t>4.1</w:t>
            </w:r>
          </w:p>
        </w:tc>
        <w:tc>
          <w:tcPr>
            <w:tcW w:w="2970" w:type="dxa"/>
          </w:tcPr>
          <w:p w14:paraId="73D003AF" w14:textId="77777777" w:rsidR="00563E83" w:rsidRPr="00ED1DCA" w:rsidRDefault="00563E83" w:rsidP="00D652A0">
            <w:pPr>
              <w:pStyle w:val="NoSpacing"/>
              <w:rPr>
                <w:sz w:val="20"/>
              </w:rPr>
            </w:pPr>
            <w:r w:rsidRPr="00ED1DCA">
              <w:rPr>
                <w:sz w:val="20"/>
              </w:rPr>
              <w:t>WASH, e.g., access to latrines, safe water storage</w:t>
            </w:r>
          </w:p>
        </w:tc>
        <w:tc>
          <w:tcPr>
            <w:tcW w:w="4680" w:type="dxa"/>
          </w:tcPr>
          <w:p w14:paraId="0E2A36B4" w14:textId="77777777" w:rsidR="00563E83" w:rsidRPr="00ED1DCA" w:rsidRDefault="00563E83" w:rsidP="00D652A0">
            <w:pPr>
              <w:pStyle w:val="NoSpacing"/>
              <w:rPr>
                <w:sz w:val="20"/>
              </w:rPr>
            </w:pPr>
          </w:p>
        </w:tc>
        <w:tc>
          <w:tcPr>
            <w:tcW w:w="1170" w:type="dxa"/>
          </w:tcPr>
          <w:p w14:paraId="0481610D" w14:textId="77777777" w:rsidR="00563E83" w:rsidRPr="00ED1DCA" w:rsidRDefault="00563E83" w:rsidP="00D652A0">
            <w:pPr>
              <w:pStyle w:val="NoSpacing"/>
              <w:rPr>
                <w:sz w:val="20"/>
              </w:rPr>
            </w:pPr>
          </w:p>
        </w:tc>
      </w:tr>
      <w:tr w:rsidR="00563E83" w:rsidRPr="00ED1DCA" w14:paraId="49E835D9" w14:textId="77777777" w:rsidTr="00D652A0">
        <w:tc>
          <w:tcPr>
            <w:tcW w:w="625" w:type="dxa"/>
          </w:tcPr>
          <w:p w14:paraId="06AAAAD2" w14:textId="77777777" w:rsidR="00563E83" w:rsidRPr="00ED1DCA" w:rsidRDefault="00563E83" w:rsidP="00D652A0">
            <w:pPr>
              <w:pStyle w:val="NoSpacing"/>
              <w:rPr>
                <w:sz w:val="20"/>
              </w:rPr>
            </w:pPr>
            <w:r>
              <w:rPr>
                <w:sz w:val="20"/>
              </w:rPr>
              <w:t>4.1.1</w:t>
            </w:r>
          </w:p>
        </w:tc>
        <w:tc>
          <w:tcPr>
            <w:tcW w:w="2970" w:type="dxa"/>
          </w:tcPr>
          <w:p w14:paraId="5C67DE07" w14:textId="77777777" w:rsidR="00563E83" w:rsidRPr="00ED1DCA" w:rsidRDefault="00563E83" w:rsidP="00D652A0">
            <w:pPr>
              <w:pStyle w:val="NoSpacing"/>
              <w:rPr>
                <w:sz w:val="20"/>
              </w:rPr>
            </w:pPr>
            <w:r>
              <w:rPr>
                <w:sz w:val="20"/>
              </w:rPr>
              <w:t xml:space="preserve">* Clean water </w:t>
            </w:r>
          </w:p>
        </w:tc>
        <w:tc>
          <w:tcPr>
            <w:tcW w:w="4680" w:type="dxa"/>
          </w:tcPr>
          <w:p w14:paraId="17BDA509" w14:textId="77777777" w:rsidR="00563E83" w:rsidRPr="00ED1DCA" w:rsidRDefault="00563E83" w:rsidP="00D652A0">
            <w:pPr>
              <w:pStyle w:val="NoSpacing"/>
              <w:rPr>
                <w:sz w:val="20"/>
              </w:rPr>
            </w:pPr>
            <w:r>
              <w:rPr>
                <w:rFonts w:cs="Arial"/>
                <w:color w:val="000000"/>
                <w:sz w:val="20"/>
                <w:szCs w:val="20"/>
              </w:rPr>
              <w:t>Households</w:t>
            </w:r>
            <w:r w:rsidRPr="000F319E">
              <w:rPr>
                <w:rFonts w:cs="Arial"/>
                <w:color w:val="000000"/>
                <w:sz w:val="20"/>
                <w:szCs w:val="20"/>
              </w:rPr>
              <w:t xml:space="preserve"> using an improved drinking water source</w:t>
            </w:r>
            <w:r>
              <w:rPr>
                <w:rFonts w:cs="Arial"/>
                <w:color w:val="000000"/>
                <w:sz w:val="20"/>
                <w:szCs w:val="20"/>
              </w:rPr>
              <w:t xml:space="preserve"> (tbd)</w:t>
            </w:r>
          </w:p>
        </w:tc>
        <w:tc>
          <w:tcPr>
            <w:tcW w:w="1170" w:type="dxa"/>
          </w:tcPr>
          <w:p w14:paraId="617112B9" w14:textId="77777777" w:rsidR="00563E83" w:rsidRPr="00ED1DCA" w:rsidRDefault="00563E83" w:rsidP="00D652A0">
            <w:pPr>
              <w:pStyle w:val="NoSpacing"/>
              <w:rPr>
                <w:sz w:val="20"/>
              </w:rPr>
            </w:pPr>
            <w:r>
              <w:rPr>
                <w:sz w:val="20"/>
              </w:rPr>
              <w:t>Percent</w:t>
            </w:r>
          </w:p>
        </w:tc>
      </w:tr>
      <w:tr w:rsidR="00563E83" w:rsidRPr="00ED1DCA" w14:paraId="24F42B26" w14:textId="77777777" w:rsidTr="00D652A0">
        <w:tc>
          <w:tcPr>
            <w:tcW w:w="625" w:type="dxa"/>
          </w:tcPr>
          <w:p w14:paraId="6C669C39" w14:textId="77777777" w:rsidR="00563E83" w:rsidRDefault="00563E83" w:rsidP="00D652A0">
            <w:pPr>
              <w:pStyle w:val="NoSpacing"/>
              <w:rPr>
                <w:sz w:val="20"/>
              </w:rPr>
            </w:pPr>
            <w:r>
              <w:rPr>
                <w:sz w:val="20"/>
              </w:rPr>
              <w:t>4.1.2</w:t>
            </w:r>
          </w:p>
        </w:tc>
        <w:tc>
          <w:tcPr>
            <w:tcW w:w="2970" w:type="dxa"/>
          </w:tcPr>
          <w:p w14:paraId="3784211B" w14:textId="77777777" w:rsidR="00563E83" w:rsidRDefault="00563E83" w:rsidP="00D652A0">
            <w:pPr>
              <w:pStyle w:val="NoSpacing"/>
              <w:rPr>
                <w:sz w:val="20"/>
              </w:rPr>
            </w:pPr>
            <w:r>
              <w:rPr>
                <w:sz w:val="20"/>
              </w:rPr>
              <w:t>* Safe water storage</w:t>
            </w:r>
          </w:p>
        </w:tc>
        <w:tc>
          <w:tcPr>
            <w:tcW w:w="4680" w:type="dxa"/>
          </w:tcPr>
          <w:p w14:paraId="62F6DFF3" w14:textId="77777777" w:rsidR="00563E83" w:rsidRDefault="00563E83" w:rsidP="00D652A0">
            <w:pPr>
              <w:pStyle w:val="NoSpacing"/>
              <w:rPr>
                <w:rFonts w:cs="Arial"/>
                <w:color w:val="000000"/>
                <w:sz w:val="20"/>
                <w:szCs w:val="20"/>
              </w:rPr>
            </w:pPr>
            <w:r>
              <w:rPr>
                <w:rFonts w:cs="Arial"/>
                <w:color w:val="000000"/>
                <w:sz w:val="20"/>
                <w:szCs w:val="20"/>
              </w:rPr>
              <w:t>Households using safe water storage (tbd)</w:t>
            </w:r>
          </w:p>
        </w:tc>
        <w:tc>
          <w:tcPr>
            <w:tcW w:w="1170" w:type="dxa"/>
          </w:tcPr>
          <w:p w14:paraId="33FA50A2" w14:textId="77777777" w:rsidR="00563E83" w:rsidRDefault="00563E83" w:rsidP="00D652A0">
            <w:pPr>
              <w:pStyle w:val="NoSpacing"/>
              <w:rPr>
                <w:sz w:val="20"/>
              </w:rPr>
            </w:pPr>
            <w:r>
              <w:rPr>
                <w:sz w:val="20"/>
              </w:rPr>
              <w:t>Percent</w:t>
            </w:r>
          </w:p>
        </w:tc>
      </w:tr>
      <w:tr w:rsidR="00563E83" w:rsidRPr="00ED1DCA" w14:paraId="02EDADCC" w14:textId="77777777" w:rsidTr="00D652A0">
        <w:tc>
          <w:tcPr>
            <w:tcW w:w="625" w:type="dxa"/>
          </w:tcPr>
          <w:p w14:paraId="4628118B" w14:textId="77777777" w:rsidR="00563E83" w:rsidRPr="00ED1DCA" w:rsidRDefault="00563E83" w:rsidP="00D652A0">
            <w:pPr>
              <w:pStyle w:val="NoSpacing"/>
              <w:rPr>
                <w:sz w:val="20"/>
              </w:rPr>
            </w:pPr>
            <w:r>
              <w:rPr>
                <w:sz w:val="20"/>
              </w:rPr>
              <w:t>4.1.3</w:t>
            </w:r>
          </w:p>
        </w:tc>
        <w:tc>
          <w:tcPr>
            <w:tcW w:w="2970" w:type="dxa"/>
          </w:tcPr>
          <w:p w14:paraId="0A35D8F1" w14:textId="77777777" w:rsidR="00563E83" w:rsidRPr="00ED1DCA" w:rsidRDefault="00563E83" w:rsidP="00D652A0">
            <w:pPr>
              <w:pStyle w:val="NoSpacing"/>
              <w:rPr>
                <w:sz w:val="20"/>
              </w:rPr>
            </w:pPr>
            <w:r>
              <w:rPr>
                <w:sz w:val="20"/>
              </w:rPr>
              <w:t xml:space="preserve">* Latrines </w:t>
            </w:r>
          </w:p>
        </w:tc>
        <w:tc>
          <w:tcPr>
            <w:tcW w:w="4680" w:type="dxa"/>
          </w:tcPr>
          <w:p w14:paraId="4ED0480D" w14:textId="77777777" w:rsidR="00563E83" w:rsidRPr="00ED1DCA" w:rsidRDefault="00563E83" w:rsidP="00D652A0">
            <w:pPr>
              <w:pStyle w:val="NoSpacing"/>
              <w:rPr>
                <w:sz w:val="20"/>
              </w:rPr>
            </w:pPr>
            <w:r>
              <w:rPr>
                <w:sz w:val="20"/>
              </w:rPr>
              <w:t xml:space="preserve">Households </w:t>
            </w:r>
            <w:r w:rsidRPr="000F319E">
              <w:rPr>
                <w:rFonts w:cs="Arial"/>
                <w:color w:val="000000"/>
                <w:sz w:val="20"/>
                <w:szCs w:val="20"/>
              </w:rPr>
              <w:t>using an improved sanitation facility</w:t>
            </w:r>
            <w:r>
              <w:rPr>
                <w:rFonts w:cs="Arial"/>
                <w:color w:val="000000"/>
                <w:sz w:val="20"/>
                <w:szCs w:val="20"/>
              </w:rPr>
              <w:t xml:space="preserve"> (tbd)</w:t>
            </w:r>
          </w:p>
        </w:tc>
        <w:tc>
          <w:tcPr>
            <w:tcW w:w="1170" w:type="dxa"/>
          </w:tcPr>
          <w:p w14:paraId="276904E6" w14:textId="77777777" w:rsidR="00563E83" w:rsidRPr="00ED1DCA" w:rsidRDefault="00563E83" w:rsidP="00D652A0">
            <w:pPr>
              <w:pStyle w:val="NoSpacing"/>
              <w:rPr>
                <w:sz w:val="20"/>
              </w:rPr>
            </w:pPr>
            <w:r>
              <w:rPr>
                <w:sz w:val="20"/>
              </w:rPr>
              <w:t>Percent</w:t>
            </w:r>
          </w:p>
        </w:tc>
      </w:tr>
      <w:tr w:rsidR="00563E83" w:rsidRPr="00ED1DCA" w14:paraId="16FAF24F" w14:textId="77777777" w:rsidTr="00D652A0">
        <w:tc>
          <w:tcPr>
            <w:tcW w:w="625" w:type="dxa"/>
          </w:tcPr>
          <w:p w14:paraId="73310E19" w14:textId="77777777" w:rsidR="00563E83" w:rsidRPr="00ED1DCA" w:rsidRDefault="00563E83" w:rsidP="00D652A0">
            <w:pPr>
              <w:pStyle w:val="NoSpacing"/>
              <w:rPr>
                <w:sz w:val="20"/>
              </w:rPr>
            </w:pPr>
            <w:r w:rsidRPr="00ED1DCA">
              <w:rPr>
                <w:sz w:val="20"/>
              </w:rPr>
              <w:t>4.2</w:t>
            </w:r>
          </w:p>
        </w:tc>
        <w:tc>
          <w:tcPr>
            <w:tcW w:w="2970" w:type="dxa"/>
          </w:tcPr>
          <w:p w14:paraId="3BF6CE9E" w14:textId="77777777" w:rsidR="00563E83" w:rsidRPr="00ED1DCA" w:rsidRDefault="00563E83" w:rsidP="00D652A0">
            <w:pPr>
              <w:pStyle w:val="NoSpacing"/>
              <w:rPr>
                <w:sz w:val="20"/>
              </w:rPr>
            </w:pPr>
            <w:r w:rsidRPr="00ED1DCA">
              <w:rPr>
                <w:sz w:val="20"/>
              </w:rPr>
              <w:t>Hygiene and sanitation practices</w:t>
            </w:r>
          </w:p>
        </w:tc>
        <w:tc>
          <w:tcPr>
            <w:tcW w:w="4680" w:type="dxa"/>
          </w:tcPr>
          <w:p w14:paraId="066165C8" w14:textId="77777777" w:rsidR="00563E83" w:rsidRPr="00ED1DCA" w:rsidRDefault="00563E83" w:rsidP="00D652A0">
            <w:pPr>
              <w:pStyle w:val="NoSpacing"/>
              <w:rPr>
                <w:sz w:val="20"/>
              </w:rPr>
            </w:pPr>
          </w:p>
        </w:tc>
        <w:tc>
          <w:tcPr>
            <w:tcW w:w="1170" w:type="dxa"/>
          </w:tcPr>
          <w:p w14:paraId="618A7016" w14:textId="77777777" w:rsidR="00563E83" w:rsidRPr="00ED1DCA" w:rsidRDefault="00563E83" w:rsidP="00D652A0">
            <w:pPr>
              <w:pStyle w:val="NoSpacing"/>
              <w:rPr>
                <w:sz w:val="20"/>
              </w:rPr>
            </w:pPr>
          </w:p>
        </w:tc>
      </w:tr>
      <w:tr w:rsidR="00563E83" w:rsidRPr="00ED1DCA" w14:paraId="3C2DA7A5" w14:textId="77777777" w:rsidTr="00D652A0">
        <w:tc>
          <w:tcPr>
            <w:tcW w:w="625" w:type="dxa"/>
          </w:tcPr>
          <w:p w14:paraId="342E6CE8" w14:textId="77777777" w:rsidR="00563E83" w:rsidRPr="00ED1DCA" w:rsidRDefault="00563E83" w:rsidP="00D652A0">
            <w:pPr>
              <w:pStyle w:val="NoSpacing"/>
              <w:rPr>
                <w:sz w:val="20"/>
              </w:rPr>
            </w:pPr>
            <w:r>
              <w:rPr>
                <w:sz w:val="20"/>
              </w:rPr>
              <w:t>4.2.1</w:t>
            </w:r>
          </w:p>
        </w:tc>
        <w:tc>
          <w:tcPr>
            <w:tcW w:w="2970" w:type="dxa"/>
          </w:tcPr>
          <w:p w14:paraId="7414E090" w14:textId="77777777" w:rsidR="00563E83" w:rsidRPr="00ED1DCA" w:rsidRDefault="00563E83" w:rsidP="00D652A0">
            <w:pPr>
              <w:pStyle w:val="NoSpacing"/>
              <w:rPr>
                <w:sz w:val="20"/>
              </w:rPr>
            </w:pPr>
            <w:r>
              <w:rPr>
                <w:sz w:val="20"/>
              </w:rPr>
              <w:t>* Health effects</w:t>
            </w:r>
          </w:p>
        </w:tc>
        <w:tc>
          <w:tcPr>
            <w:tcW w:w="4680" w:type="dxa"/>
          </w:tcPr>
          <w:p w14:paraId="5FF7DDCF" w14:textId="77777777" w:rsidR="00563E83" w:rsidRPr="00ED1DCA" w:rsidRDefault="00563E83" w:rsidP="00D652A0">
            <w:pPr>
              <w:pStyle w:val="NoSpacing"/>
              <w:rPr>
                <w:sz w:val="20"/>
              </w:rPr>
            </w:pPr>
            <w:r>
              <w:rPr>
                <w:rFonts w:cs="Arial"/>
                <w:sz w:val="20"/>
                <w:szCs w:val="20"/>
              </w:rPr>
              <w:t>C</w:t>
            </w:r>
            <w:r w:rsidRPr="000F319E">
              <w:rPr>
                <w:rFonts w:cs="Arial"/>
                <w:sz w:val="20"/>
                <w:szCs w:val="20"/>
              </w:rPr>
              <w:t>hildren under five years suffering from diarrhoea in the last 2 weeks</w:t>
            </w:r>
          </w:p>
        </w:tc>
        <w:tc>
          <w:tcPr>
            <w:tcW w:w="1170" w:type="dxa"/>
          </w:tcPr>
          <w:p w14:paraId="430544D0" w14:textId="77777777" w:rsidR="00563E83" w:rsidRPr="00ED1DCA" w:rsidRDefault="00563E83" w:rsidP="00D652A0">
            <w:pPr>
              <w:pStyle w:val="NoSpacing"/>
              <w:rPr>
                <w:sz w:val="20"/>
              </w:rPr>
            </w:pPr>
            <w:r>
              <w:rPr>
                <w:sz w:val="20"/>
              </w:rPr>
              <w:t>Percent</w:t>
            </w:r>
          </w:p>
        </w:tc>
      </w:tr>
    </w:tbl>
    <w:p w14:paraId="3E8534BE" w14:textId="77777777" w:rsidR="00563E83" w:rsidRDefault="00563E83" w:rsidP="00563E83"/>
    <w:tbl>
      <w:tblPr>
        <w:tblW w:w="9440" w:type="dxa"/>
        <w:tblLayout w:type="fixed"/>
        <w:tblLook w:val="04A0" w:firstRow="1" w:lastRow="0" w:firstColumn="1" w:lastColumn="0" w:noHBand="0" w:noVBand="1"/>
      </w:tblPr>
      <w:tblGrid>
        <w:gridCol w:w="625"/>
        <w:gridCol w:w="3060"/>
        <w:gridCol w:w="4590"/>
        <w:gridCol w:w="1165"/>
      </w:tblGrid>
      <w:tr w:rsidR="00563E83" w:rsidRPr="00ED1DCA" w14:paraId="0CB9BA57" w14:textId="77777777" w:rsidTr="00D652A0">
        <w:tc>
          <w:tcPr>
            <w:tcW w:w="8275" w:type="dxa"/>
            <w:gridSpan w:val="3"/>
          </w:tcPr>
          <w:p w14:paraId="174521A9" w14:textId="77777777" w:rsidR="00563E83" w:rsidRPr="00ED1DCA" w:rsidRDefault="00563E83" w:rsidP="00D652A0">
            <w:pPr>
              <w:pStyle w:val="NoSpacing"/>
              <w:rPr>
                <w:b/>
                <w:sz w:val="20"/>
              </w:rPr>
            </w:pPr>
            <w:r w:rsidRPr="00ED1DCA">
              <w:rPr>
                <w:b/>
                <w:sz w:val="20"/>
              </w:rPr>
              <w:t>Food adequacy</w:t>
            </w:r>
          </w:p>
        </w:tc>
        <w:tc>
          <w:tcPr>
            <w:tcW w:w="1165" w:type="dxa"/>
          </w:tcPr>
          <w:p w14:paraId="5229128E" w14:textId="77777777" w:rsidR="00563E83" w:rsidRPr="00ED1DCA" w:rsidRDefault="00563E83" w:rsidP="00D652A0">
            <w:pPr>
              <w:pStyle w:val="NoSpacing"/>
              <w:rPr>
                <w:b/>
                <w:sz w:val="20"/>
              </w:rPr>
            </w:pPr>
          </w:p>
        </w:tc>
      </w:tr>
      <w:tr w:rsidR="00563E83" w:rsidRPr="00ED1DCA" w14:paraId="77B7B74B" w14:textId="77777777" w:rsidTr="00D652A0">
        <w:tc>
          <w:tcPr>
            <w:tcW w:w="625" w:type="dxa"/>
          </w:tcPr>
          <w:p w14:paraId="4C2E4C89" w14:textId="77777777" w:rsidR="00563E83" w:rsidRPr="00ED1DCA" w:rsidRDefault="00563E83" w:rsidP="00D652A0">
            <w:pPr>
              <w:pStyle w:val="NoSpacing"/>
              <w:rPr>
                <w:sz w:val="20"/>
              </w:rPr>
            </w:pPr>
            <w:r w:rsidRPr="00ED1DCA">
              <w:rPr>
                <w:sz w:val="20"/>
              </w:rPr>
              <w:t>5.1</w:t>
            </w:r>
          </w:p>
        </w:tc>
        <w:tc>
          <w:tcPr>
            <w:tcW w:w="3060" w:type="dxa"/>
          </w:tcPr>
          <w:p w14:paraId="273AEEB3" w14:textId="77777777" w:rsidR="00563E83" w:rsidRPr="00ED1DCA" w:rsidRDefault="00563E83" w:rsidP="00D652A0">
            <w:pPr>
              <w:pStyle w:val="NoSpacing"/>
              <w:rPr>
                <w:sz w:val="20"/>
              </w:rPr>
            </w:pPr>
            <w:r w:rsidRPr="00ED1DCA">
              <w:rPr>
                <w:sz w:val="20"/>
              </w:rPr>
              <w:t>Increased income (to purchase nutritious foods)</w:t>
            </w:r>
          </w:p>
        </w:tc>
        <w:tc>
          <w:tcPr>
            <w:tcW w:w="4590" w:type="dxa"/>
          </w:tcPr>
          <w:p w14:paraId="1AE41515" w14:textId="77777777" w:rsidR="00563E83" w:rsidRPr="00ED1DCA" w:rsidRDefault="00563E83" w:rsidP="00D652A0">
            <w:pPr>
              <w:pStyle w:val="NoSpacing"/>
              <w:rPr>
                <w:sz w:val="20"/>
              </w:rPr>
            </w:pPr>
          </w:p>
        </w:tc>
        <w:tc>
          <w:tcPr>
            <w:tcW w:w="1165" w:type="dxa"/>
          </w:tcPr>
          <w:p w14:paraId="3B09881E" w14:textId="77777777" w:rsidR="00563E83" w:rsidRPr="00ED1DCA" w:rsidRDefault="00563E83" w:rsidP="00D652A0">
            <w:pPr>
              <w:pStyle w:val="NoSpacing"/>
              <w:rPr>
                <w:sz w:val="20"/>
              </w:rPr>
            </w:pPr>
          </w:p>
        </w:tc>
      </w:tr>
      <w:tr w:rsidR="00563E83" w:rsidRPr="00ED1DCA" w14:paraId="7F2541C3" w14:textId="77777777" w:rsidTr="00D652A0">
        <w:tc>
          <w:tcPr>
            <w:tcW w:w="625" w:type="dxa"/>
          </w:tcPr>
          <w:p w14:paraId="5DFFB4A0" w14:textId="77777777" w:rsidR="00563E83" w:rsidRPr="00ED1DCA" w:rsidRDefault="00563E83" w:rsidP="00D652A0">
            <w:pPr>
              <w:pStyle w:val="NoSpacing"/>
              <w:rPr>
                <w:sz w:val="20"/>
              </w:rPr>
            </w:pPr>
            <w:r>
              <w:rPr>
                <w:sz w:val="20"/>
              </w:rPr>
              <w:t>5.1.1</w:t>
            </w:r>
          </w:p>
        </w:tc>
        <w:tc>
          <w:tcPr>
            <w:tcW w:w="3060" w:type="dxa"/>
          </w:tcPr>
          <w:p w14:paraId="35C14C0C" w14:textId="77777777" w:rsidR="00563E83" w:rsidRPr="00ED1DCA" w:rsidRDefault="00563E83" w:rsidP="00D652A0">
            <w:pPr>
              <w:pStyle w:val="NoSpacing"/>
              <w:rPr>
                <w:sz w:val="20"/>
              </w:rPr>
            </w:pPr>
            <w:r>
              <w:rPr>
                <w:sz w:val="20"/>
              </w:rPr>
              <w:t>* Income</w:t>
            </w:r>
          </w:p>
        </w:tc>
        <w:tc>
          <w:tcPr>
            <w:tcW w:w="4590" w:type="dxa"/>
          </w:tcPr>
          <w:p w14:paraId="538F2DBE" w14:textId="77777777" w:rsidR="00563E83" w:rsidRPr="00ED1DCA" w:rsidRDefault="00563E83" w:rsidP="00D652A0">
            <w:pPr>
              <w:pStyle w:val="NoSpacing"/>
              <w:rPr>
                <w:sz w:val="20"/>
              </w:rPr>
            </w:pPr>
            <w:r>
              <w:rPr>
                <w:sz w:val="20"/>
              </w:rPr>
              <w:t>Household income</w:t>
            </w:r>
          </w:p>
        </w:tc>
        <w:tc>
          <w:tcPr>
            <w:tcW w:w="1165" w:type="dxa"/>
          </w:tcPr>
          <w:p w14:paraId="36DAB382" w14:textId="77777777" w:rsidR="00563E83" w:rsidRPr="00ED1DCA" w:rsidRDefault="00563E83" w:rsidP="00D652A0">
            <w:pPr>
              <w:pStyle w:val="NoSpacing"/>
              <w:rPr>
                <w:sz w:val="20"/>
              </w:rPr>
            </w:pPr>
            <w:r>
              <w:rPr>
                <w:sz w:val="20"/>
              </w:rPr>
              <w:t>Continuous</w:t>
            </w:r>
          </w:p>
        </w:tc>
      </w:tr>
      <w:tr w:rsidR="00563E83" w:rsidRPr="00ED1DCA" w14:paraId="263340C9" w14:textId="77777777" w:rsidTr="00D652A0">
        <w:tc>
          <w:tcPr>
            <w:tcW w:w="625" w:type="dxa"/>
          </w:tcPr>
          <w:p w14:paraId="5358D73D" w14:textId="77777777" w:rsidR="00563E83" w:rsidRPr="00ED1DCA" w:rsidRDefault="00563E83" w:rsidP="00D652A0">
            <w:pPr>
              <w:pStyle w:val="NoSpacing"/>
              <w:rPr>
                <w:sz w:val="20"/>
              </w:rPr>
            </w:pPr>
            <w:r>
              <w:rPr>
                <w:sz w:val="20"/>
              </w:rPr>
              <w:t>5.1.2</w:t>
            </w:r>
          </w:p>
        </w:tc>
        <w:tc>
          <w:tcPr>
            <w:tcW w:w="3060" w:type="dxa"/>
          </w:tcPr>
          <w:p w14:paraId="124633AD" w14:textId="77777777" w:rsidR="00563E83" w:rsidRPr="00ED1DCA" w:rsidRDefault="00563E83" w:rsidP="00D652A0">
            <w:pPr>
              <w:pStyle w:val="NoSpacing"/>
              <w:rPr>
                <w:sz w:val="20"/>
              </w:rPr>
            </w:pPr>
            <w:r>
              <w:rPr>
                <w:sz w:val="20"/>
              </w:rPr>
              <w:t>* Expenditure</w:t>
            </w:r>
          </w:p>
        </w:tc>
        <w:tc>
          <w:tcPr>
            <w:tcW w:w="4590" w:type="dxa"/>
          </w:tcPr>
          <w:p w14:paraId="2A3938A2" w14:textId="77777777" w:rsidR="00563E83" w:rsidRPr="00ED1DCA" w:rsidRDefault="00563E83" w:rsidP="00D652A0">
            <w:pPr>
              <w:pStyle w:val="NoSpacing"/>
              <w:rPr>
                <w:sz w:val="20"/>
              </w:rPr>
            </w:pPr>
            <w:r>
              <w:rPr>
                <w:sz w:val="20"/>
              </w:rPr>
              <w:t>Household expenditure on nutritious food (tbd)</w:t>
            </w:r>
          </w:p>
        </w:tc>
        <w:tc>
          <w:tcPr>
            <w:tcW w:w="1165" w:type="dxa"/>
          </w:tcPr>
          <w:p w14:paraId="703E6EF3" w14:textId="77777777" w:rsidR="00563E83" w:rsidRPr="00ED1DCA" w:rsidRDefault="00563E83" w:rsidP="00D652A0">
            <w:pPr>
              <w:pStyle w:val="NoSpacing"/>
              <w:rPr>
                <w:sz w:val="20"/>
              </w:rPr>
            </w:pPr>
            <w:r>
              <w:rPr>
                <w:sz w:val="20"/>
              </w:rPr>
              <w:t>Continuous</w:t>
            </w:r>
          </w:p>
        </w:tc>
      </w:tr>
      <w:tr w:rsidR="00563E83" w:rsidRPr="00ED1DCA" w14:paraId="236AED53" w14:textId="77777777" w:rsidTr="00D652A0">
        <w:tc>
          <w:tcPr>
            <w:tcW w:w="625" w:type="dxa"/>
          </w:tcPr>
          <w:p w14:paraId="17493710" w14:textId="77777777" w:rsidR="00563E83" w:rsidRPr="00ED1DCA" w:rsidRDefault="00563E83" w:rsidP="00D652A0">
            <w:pPr>
              <w:pStyle w:val="NoSpacing"/>
              <w:rPr>
                <w:sz w:val="20"/>
              </w:rPr>
            </w:pPr>
            <w:r w:rsidRPr="00ED1DCA">
              <w:rPr>
                <w:sz w:val="20"/>
              </w:rPr>
              <w:t>5.2</w:t>
            </w:r>
          </w:p>
        </w:tc>
        <w:tc>
          <w:tcPr>
            <w:tcW w:w="3060" w:type="dxa"/>
          </w:tcPr>
          <w:p w14:paraId="6ED224B2" w14:textId="77777777" w:rsidR="00563E83" w:rsidRPr="00ED1DCA" w:rsidRDefault="00563E83" w:rsidP="00D652A0">
            <w:pPr>
              <w:pStyle w:val="NoSpacing"/>
              <w:rPr>
                <w:sz w:val="20"/>
              </w:rPr>
            </w:pPr>
            <w:r w:rsidRPr="00ED1DCA">
              <w:rPr>
                <w:sz w:val="20"/>
              </w:rPr>
              <w:t>Enhanced dietary diversity</w:t>
            </w:r>
          </w:p>
        </w:tc>
        <w:tc>
          <w:tcPr>
            <w:tcW w:w="4590" w:type="dxa"/>
          </w:tcPr>
          <w:p w14:paraId="0ED6B03C" w14:textId="77777777" w:rsidR="00563E83" w:rsidRPr="00ED1DCA" w:rsidRDefault="00563E83" w:rsidP="00D652A0">
            <w:pPr>
              <w:pStyle w:val="NoSpacing"/>
              <w:rPr>
                <w:sz w:val="20"/>
              </w:rPr>
            </w:pPr>
          </w:p>
        </w:tc>
        <w:tc>
          <w:tcPr>
            <w:tcW w:w="1165" w:type="dxa"/>
          </w:tcPr>
          <w:p w14:paraId="5D33B31B" w14:textId="77777777" w:rsidR="00563E83" w:rsidRPr="00ED1DCA" w:rsidRDefault="00563E83" w:rsidP="00D652A0">
            <w:pPr>
              <w:pStyle w:val="NoSpacing"/>
              <w:rPr>
                <w:sz w:val="20"/>
              </w:rPr>
            </w:pPr>
          </w:p>
        </w:tc>
      </w:tr>
      <w:tr w:rsidR="00563E83" w:rsidRPr="00ED1DCA" w14:paraId="378F4CD8" w14:textId="77777777" w:rsidTr="00D652A0">
        <w:tc>
          <w:tcPr>
            <w:tcW w:w="625" w:type="dxa"/>
          </w:tcPr>
          <w:p w14:paraId="581F4CD0" w14:textId="77777777" w:rsidR="00563E83" w:rsidRPr="00ED1DCA" w:rsidRDefault="00563E83" w:rsidP="00D652A0">
            <w:pPr>
              <w:pStyle w:val="NoSpacing"/>
              <w:rPr>
                <w:sz w:val="20"/>
              </w:rPr>
            </w:pPr>
          </w:p>
        </w:tc>
        <w:tc>
          <w:tcPr>
            <w:tcW w:w="3060" w:type="dxa"/>
          </w:tcPr>
          <w:p w14:paraId="43D2A23A" w14:textId="77777777" w:rsidR="00563E83" w:rsidRPr="00ED1DCA" w:rsidRDefault="00563E83" w:rsidP="00D652A0">
            <w:pPr>
              <w:pStyle w:val="NoSpacing"/>
              <w:rPr>
                <w:sz w:val="20"/>
              </w:rPr>
            </w:pPr>
          </w:p>
        </w:tc>
        <w:tc>
          <w:tcPr>
            <w:tcW w:w="4590" w:type="dxa"/>
          </w:tcPr>
          <w:p w14:paraId="02A65CAC" w14:textId="77777777" w:rsidR="00563E83" w:rsidRPr="00ED1DCA" w:rsidRDefault="00563E83" w:rsidP="00D652A0">
            <w:pPr>
              <w:pStyle w:val="NoSpacing"/>
              <w:rPr>
                <w:sz w:val="20"/>
              </w:rPr>
            </w:pPr>
          </w:p>
        </w:tc>
        <w:tc>
          <w:tcPr>
            <w:tcW w:w="1165" w:type="dxa"/>
          </w:tcPr>
          <w:p w14:paraId="433DDE8B" w14:textId="77777777" w:rsidR="00563E83" w:rsidRPr="00ED1DCA" w:rsidRDefault="00563E83" w:rsidP="00D652A0">
            <w:pPr>
              <w:pStyle w:val="NoSpacing"/>
              <w:rPr>
                <w:sz w:val="20"/>
              </w:rPr>
            </w:pPr>
          </w:p>
        </w:tc>
      </w:tr>
      <w:tr w:rsidR="00563E83" w:rsidRPr="00ED1DCA" w14:paraId="62605442" w14:textId="77777777" w:rsidTr="00D652A0">
        <w:tc>
          <w:tcPr>
            <w:tcW w:w="625" w:type="dxa"/>
          </w:tcPr>
          <w:p w14:paraId="0F83DCDA" w14:textId="77777777" w:rsidR="00563E83" w:rsidRPr="00ED1DCA" w:rsidRDefault="00563E83" w:rsidP="00D652A0">
            <w:pPr>
              <w:pStyle w:val="NoSpacing"/>
              <w:rPr>
                <w:sz w:val="20"/>
              </w:rPr>
            </w:pPr>
            <w:r w:rsidRPr="00ED1DCA">
              <w:rPr>
                <w:sz w:val="20"/>
              </w:rPr>
              <w:t>5.3</w:t>
            </w:r>
          </w:p>
        </w:tc>
        <w:tc>
          <w:tcPr>
            <w:tcW w:w="3060" w:type="dxa"/>
          </w:tcPr>
          <w:p w14:paraId="50BC5DA1" w14:textId="77777777" w:rsidR="00563E83" w:rsidRPr="00ED1DCA" w:rsidRDefault="00563E83" w:rsidP="00D652A0">
            <w:pPr>
              <w:pStyle w:val="NoSpacing"/>
              <w:rPr>
                <w:sz w:val="20"/>
              </w:rPr>
            </w:pPr>
            <w:r w:rsidRPr="00ED1DCA">
              <w:rPr>
                <w:sz w:val="20"/>
              </w:rPr>
              <w:t>Access to nutritious foods</w:t>
            </w:r>
          </w:p>
        </w:tc>
        <w:tc>
          <w:tcPr>
            <w:tcW w:w="4590" w:type="dxa"/>
          </w:tcPr>
          <w:p w14:paraId="6560B96F" w14:textId="77777777" w:rsidR="00563E83" w:rsidRPr="00ED1DCA" w:rsidRDefault="00563E83" w:rsidP="00D652A0">
            <w:pPr>
              <w:pStyle w:val="NoSpacing"/>
              <w:rPr>
                <w:sz w:val="20"/>
              </w:rPr>
            </w:pPr>
          </w:p>
        </w:tc>
        <w:tc>
          <w:tcPr>
            <w:tcW w:w="1165" w:type="dxa"/>
          </w:tcPr>
          <w:p w14:paraId="4AB6D042" w14:textId="77777777" w:rsidR="00563E83" w:rsidRPr="00ED1DCA" w:rsidRDefault="00563E83" w:rsidP="00D652A0">
            <w:pPr>
              <w:pStyle w:val="NoSpacing"/>
              <w:rPr>
                <w:sz w:val="20"/>
              </w:rPr>
            </w:pPr>
          </w:p>
        </w:tc>
      </w:tr>
      <w:tr w:rsidR="00563E83" w:rsidRPr="00ED1DCA" w14:paraId="7111F572" w14:textId="77777777" w:rsidTr="00D652A0">
        <w:tc>
          <w:tcPr>
            <w:tcW w:w="625" w:type="dxa"/>
          </w:tcPr>
          <w:p w14:paraId="248D517A" w14:textId="77777777" w:rsidR="00563E83" w:rsidRPr="00ED1DCA" w:rsidRDefault="00563E83" w:rsidP="00D652A0">
            <w:pPr>
              <w:pStyle w:val="NoSpacing"/>
              <w:rPr>
                <w:sz w:val="20"/>
              </w:rPr>
            </w:pPr>
          </w:p>
        </w:tc>
        <w:tc>
          <w:tcPr>
            <w:tcW w:w="3060" w:type="dxa"/>
          </w:tcPr>
          <w:p w14:paraId="5C7B8591" w14:textId="77777777" w:rsidR="00563E83" w:rsidRPr="00ED1DCA" w:rsidRDefault="00563E83" w:rsidP="00D652A0">
            <w:pPr>
              <w:pStyle w:val="NoSpacing"/>
              <w:rPr>
                <w:sz w:val="20"/>
              </w:rPr>
            </w:pPr>
          </w:p>
        </w:tc>
        <w:tc>
          <w:tcPr>
            <w:tcW w:w="4590" w:type="dxa"/>
          </w:tcPr>
          <w:p w14:paraId="09BFFA20" w14:textId="77777777" w:rsidR="00563E83" w:rsidRPr="00ED1DCA" w:rsidRDefault="00563E83" w:rsidP="00D652A0">
            <w:pPr>
              <w:pStyle w:val="NoSpacing"/>
              <w:rPr>
                <w:sz w:val="20"/>
              </w:rPr>
            </w:pPr>
          </w:p>
        </w:tc>
        <w:tc>
          <w:tcPr>
            <w:tcW w:w="1165" w:type="dxa"/>
          </w:tcPr>
          <w:p w14:paraId="24EB4710" w14:textId="77777777" w:rsidR="00563E83" w:rsidRPr="00ED1DCA" w:rsidRDefault="00563E83" w:rsidP="00D652A0">
            <w:pPr>
              <w:pStyle w:val="NoSpacing"/>
              <w:rPr>
                <w:sz w:val="20"/>
              </w:rPr>
            </w:pPr>
          </w:p>
        </w:tc>
      </w:tr>
    </w:tbl>
    <w:p w14:paraId="5901FEF0" w14:textId="77777777" w:rsidR="00563E83" w:rsidRDefault="00563E83" w:rsidP="00563E83"/>
    <w:tbl>
      <w:tblPr>
        <w:tblW w:w="9440" w:type="dxa"/>
        <w:tblLayout w:type="fixed"/>
        <w:tblLook w:val="04A0" w:firstRow="1" w:lastRow="0" w:firstColumn="1" w:lastColumn="0" w:noHBand="0" w:noVBand="1"/>
      </w:tblPr>
      <w:tblGrid>
        <w:gridCol w:w="625"/>
        <w:gridCol w:w="2880"/>
        <w:gridCol w:w="4770"/>
        <w:gridCol w:w="1165"/>
      </w:tblGrid>
      <w:tr w:rsidR="00563E83" w:rsidRPr="00ED1DCA" w14:paraId="1D308681" w14:textId="77777777" w:rsidTr="00D652A0">
        <w:tc>
          <w:tcPr>
            <w:tcW w:w="8275" w:type="dxa"/>
            <w:gridSpan w:val="3"/>
          </w:tcPr>
          <w:p w14:paraId="3C9E2603" w14:textId="77777777" w:rsidR="00563E83" w:rsidRPr="00ED1DCA" w:rsidRDefault="00563E83" w:rsidP="00D652A0">
            <w:pPr>
              <w:pStyle w:val="NoSpacing"/>
              <w:rPr>
                <w:b/>
                <w:sz w:val="20"/>
                <w:u w:val="single"/>
              </w:rPr>
            </w:pPr>
            <w:r w:rsidRPr="00ED1DCA">
              <w:rPr>
                <w:b/>
                <w:sz w:val="20"/>
                <w:u w:val="single"/>
              </w:rPr>
              <w:t>Process indicators</w:t>
            </w:r>
          </w:p>
        </w:tc>
        <w:tc>
          <w:tcPr>
            <w:tcW w:w="1165" w:type="dxa"/>
          </w:tcPr>
          <w:p w14:paraId="1A251F5A" w14:textId="77777777" w:rsidR="00563E83" w:rsidRPr="00ED1DCA" w:rsidRDefault="00563E83" w:rsidP="00D652A0">
            <w:pPr>
              <w:pStyle w:val="NoSpacing"/>
              <w:rPr>
                <w:b/>
                <w:sz w:val="20"/>
                <w:u w:val="single"/>
              </w:rPr>
            </w:pPr>
          </w:p>
        </w:tc>
      </w:tr>
      <w:tr w:rsidR="00563E83" w:rsidRPr="00ED1DCA" w14:paraId="62C81257" w14:textId="77777777" w:rsidTr="00D652A0">
        <w:trPr>
          <w:trHeight w:val="224"/>
        </w:trPr>
        <w:tc>
          <w:tcPr>
            <w:tcW w:w="625" w:type="dxa"/>
          </w:tcPr>
          <w:p w14:paraId="69A4CF4A" w14:textId="77777777" w:rsidR="00563E83" w:rsidRPr="00ED1DCA" w:rsidRDefault="00563E83" w:rsidP="00D652A0">
            <w:pPr>
              <w:pStyle w:val="NoSpacing"/>
              <w:rPr>
                <w:sz w:val="20"/>
              </w:rPr>
            </w:pPr>
            <w:r w:rsidRPr="00ED1DCA">
              <w:rPr>
                <w:sz w:val="20"/>
              </w:rPr>
              <w:t>6.1</w:t>
            </w:r>
          </w:p>
        </w:tc>
        <w:tc>
          <w:tcPr>
            <w:tcW w:w="2880" w:type="dxa"/>
          </w:tcPr>
          <w:p w14:paraId="72B12E36" w14:textId="370FDEC7" w:rsidR="00563E83" w:rsidRPr="00ED1DCA" w:rsidRDefault="00D77C07" w:rsidP="00D652A0">
            <w:pPr>
              <w:pStyle w:val="NoSpacing"/>
              <w:rPr>
                <w:sz w:val="20"/>
              </w:rPr>
            </w:pPr>
            <w:r>
              <w:rPr>
                <w:sz w:val="20"/>
              </w:rPr>
              <w:t>CT</w:t>
            </w:r>
            <w:r w:rsidR="00563E83">
              <w:rPr>
                <w:sz w:val="20"/>
              </w:rPr>
              <w:t xml:space="preserve"> requirements</w:t>
            </w:r>
          </w:p>
        </w:tc>
        <w:tc>
          <w:tcPr>
            <w:tcW w:w="4770" w:type="dxa"/>
          </w:tcPr>
          <w:p w14:paraId="1246AFC7" w14:textId="77777777" w:rsidR="00563E83" w:rsidRDefault="00563E83" w:rsidP="00D652A0">
            <w:pPr>
              <w:pStyle w:val="NoSpacing"/>
              <w:rPr>
                <w:sz w:val="20"/>
              </w:rPr>
            </w:pPr>
          </w:p>
        </w:tc>
        <w:tc>
          <w:tcPr>
            <w:tcW w:w="1165" w:type="dxa"/>
          </w:tcPr>
          <w:p w14:paraId="3CD216F9" w14:textId="77777777" w:rsidR="00563E83" w:rsidRDefault="00563E83" w:rsidP="00D652A0">
            <w:pPr>
              <w:pStyle w:val="NoSpacing"/>
              <w:rPr>
                <w:sz w:val="20"/>
              </w:rPr>
            </w:pPr>
          </w:p>
        </w:tc>
      </w:tr>
      <w:tr w:rsidR="00563E83" w:rsidRPr="00ED1DCA" w14:paraId="20DE8B48" w14:textId="77777777" w:rsidTr="00D652A0">
        <w:tc>
          <w:tcPr>
            <w:tcW w:w="625" w:type="dxa"/>
          </w:tcPr>
          <w:p w14:paraId="3074832D" w14:textId="77777777" w:rsidR="00563E83" w:rsidRPr="00ED1DCA" w:rsidRDefault="00563E83" w:rsidP="00D652A0">
            <w:pPr>
              <w:pStyle w:val="NoSpacing"/>
              <w:rPr>
                <w:sz w:val="20"/>
              </w:rPr>
            </w:pPr>
          </w:p>
        </w:tc>
        <w:tc>
          <w:tcPr>
            <w:tcW w:w="2880" w:type="dxa"/>
          </w:tcPr>
          <w:p w14:paraId="00D91A96" w14:textId="76E25979" w:rsidR="00563E83" w:rsidRDefault="00563E83" w:rsidP="00D652A0">
            <w:pPr>
              <w:pStyle w:val="NoSpacing"/>
              <w:rPr>
                <w:sz w:val="20"/>
              </w:rPr>
            </w:pPr>
            <w:r>
              <w:rPr>
                <w:sz w:val="20"/>
              </w:rPr>
              <w:t xml:space="preserve">* Participation in </w:t>
            </w:r>
            <w:r w:rsidR="00D77C07">
              <w:rPr>
                <w:sz w:val="20"/>
              </w:rPr>
              <w:t>CT</w:t>
            </w:r>
          </w:p>
        </w:tc>
        <w:tc>
          <w:tcPr>
            <w:tcW w:w="4770" w:type="dxa"/>
          </w:tcPr>
          <w:p w14:paraId="23DD99AD" w14:textId="648F7522" w:rsidR="00563E83" w:rsidRDefault="00563E83" w:rsidP="00D652A0">
            <w:pPr>
              <w:pStyle w:val="NoSpacing"/>
              <w:rPr>
                <w:sz w:val="20"/>
              </w:rPr>
            </w:pPr>
            <w:r>
              <w:rPr>
                <w:sz w:val="20"/>
              </w:rPr>
              <w:t xml:space="preserve">Target households who are participating in the </w:t>
            </w:r>
            <w:r w:rsidR="00D77C07">
              <w:rPr>
                <w:sz w:val="20"/>
              </w:rPr>
              <w:t>CT</w:t>
            </w:r>
          </w:p>
        </w:tc>
        <w:tc>
          <w:tcPr>
            <w:tcW w:w="1165" w:type="dxa"/>
          </w:tcPr>
          <w:p w14:paraId="075D49A2" w14:textId="77777777" w:rsidR="00563E83" w:rsidRDefault="00563E83" w:rsidP="00D652A0">
            <w:pPr>
              <w:pStyle w:val="NoSpacing"/>
              <w:rPr>
                <w:sz w:val="20"/>
              </w:rPr>
            </w:pPr>
            <w:r>
              <w:rPr>
                <w:sz w:val="20"/>
              </w:rPr>
              <w:t>Percent</w:t>
            </w:r>
          </w:p>
        </w:tc>
      </w:tr>
      <w:tr w:rsidR="00563E83" w:rsidRPr="00ED1DCA" w14:paraId="2BA6C590" w14:textId="77777777" w:rsidTr="00D652A0">
        <w:tc>
          <w:tcPr>
            <w:tcW w:w="625" w:type="dxa"/>
          </w:tcPr>
          <w:p w14:paraId="14920690" w14:textId="77777777" w:rsidR="00563E83" w:rsidRPr="00ED1DCA" w:rsidRDefault="00563E83" w:rsidP="00D652A0">
            <w:pPr>
              <w:pStyle w:val="NoSpacing"/>
              <w:rPr>
                <w:sz w:val="20"/>
              </w:rPr>
            </w:pPr>
          </w:p>
        </w:tc>
        <w:tc>
          <w:tcPr>
            <w:tcW w:w="2880" w:type="dxa"/>
          </w:tcPr>
          <w:p w14:paraId="41128363" w14:textId="6E8D950E" w:rsidR="00563E83" w:rsidRDefault="00563E83" w:rsidP="00D652A0">
            <w:pPr>
              <w:pStyle w:val="NoSpacing"/>
              <w:rPr>
                <w:sz w:val="20"/>
              </w:rPr>
            </w:pPr>
            <w:r>
              <w:rPr>
                <w:sz w:val="20"/>
              </w:rPr>
              <w:t xml:space="preserve">* Receipt of </w:t>
            </w:r>
            <w:r w:rsidR="00D77C07">
              <w:rPr>
                <w:sz w:val="20"/>
              </w:rPr>
              <w:t>CT</w:t>
            </w:r>
          </w:p>
        </w:tc>
        <w:tc>
          <w:tcPr>
            <w:tcW w:w="4770" w:type="dxa"/>
          </w:tcPr>
          <w:p w14:paraId="7E475094" w14:textId="489C3604" w:rsidR="00563E83" w:rsidRDefault="00563E83" w:rsidP="00D652A0">
            <w:pPr>
              <w:pStyle w:val="NoSpacing"/>
              <w:rPr>
                <w:sz w:val="20"/>
              </w:rPr>
            </w:pPr>
            <w:r>
              <w:rPr>
                <w:sz w:val="20"/>
              </w:rPr>
              <w:t xml:space="preserve">Target households who are received the </w:t>
            </w:r>
            <w:r w:rsidR="00D77C07">
              <w:rPr>
                <w:sz w:val="20"/>
              </w:rPr>
              <w:t>CT</w:t>
            </w:r>
            <w:r>
              <w:rPr>
                <w:sz w:val="20"/>
              </w:rPr>
              <w:t xml:space="preserve"> in the last 3 months</w:t>
            </w:r>
          </w:p>
        </w:tc>
        <w:tc>
          <w:tcPr>
            <w:tcW w:w="1165" w:type="dxa"/>
          </w:tcPr>
          <w:p w14:paraId="10EB3D99" w14:textId="77777777" w:rsidR="00563E83" w:rsidRDefault="00563E83" w:rsidP="00D652A0">
            <w:pPr>
              <w:pStyle w:val="NoSpacing"/>
              <w:rPr>
                <w:sz w:val="20"/>
              </w:rPr>
            </w:pPr>
            <w:r>
              <w:rPr>
                <w:sz w:val="20"/>
              </w:rPr>
              <w:t>Percent</w:t>
            </w:r>
          </w:p>
        </w:tc>
      </w:tr>
      <w:tr w:rsidR="00563E83" w:rsidRPr="00ED1DCA" w14:paraId="70625A94" w14:textId="77777777" w:rsidTr="00D652A0">
        <w:tc>
          <w:tcPr>
            <w:tcW w:w="625" w:type="dxa"/>
          </w:tcPr>
          <w:p w14:paraId="37F5FAE2" w14:textId="77777777" w:rsidR="00563E83" w:rsidRPr="00ED1DCA" w:rsidRDefault="00563E83" w:rsidP="00D652A0">
            <w:pPr>
              <w:pStyle w:val="NoSpacing"/>
              <w:rPr>
                <w:sz w:val="20"/>
              </w:rPr>
            </w:pPr>
          </w:p>
        </w:tc>
        <w:tc>
          <w:tcPr>
            <w:tcW w:w="2880" w:type="dxa"/>
          </w:tcPr>
          <w:p w14:paraId="72A67435" w14:textId="77777777" w:rsidR="00563E83" w:rsidRDefault="00563E83" w:rsidP="00D652A0">
            <w:pPr>
              <w:pStyle w:val="NoSpacing"/>
              <w:rPr>
                <w:sz w:val="20"/>
              </w:rPr>
            </w:pPr>
            <w:r>
              <w:rPr>
                <w:sz w:val="20"/>
              </w:rPr>
              <w:t>* Attended 4+ ANC checkups</w:t>
            </w:r>
          </w:p>
        </w:tc>
        <w:tc>
          <w:tcPr>
            <w:tcW w:w="4770" w:type="dxa"/>
          </w:tcPr>
          <w:p w14:paraId="76C519B9" w14:textId="77777777" w:rsidR="00563E83" w:rsidRDefault="00563E83" w:rsidP="00D652A0">
            <w:pPr>
              <w:pStyle w:val="NoSpacing"/>
              <w:rPr>
                <w:sz w:val="20"/>
              </w:rPr>
            </w:pPr>
            <w:r>
              <w:rPr>
                <w:sz w:val="20"/>
              </w:rPr>
              <w:t>Pregnant women who had 4+ ANC checkups during their pregnancy</w:t>
            </w:r>
          </w:p>
        </w:tc>
        <w:tc>
          <w:tcPr>
            <w:tcW w:w="1165" w:type="dxa"/>
          </w:tcPr>
          <w:p w14:paraId="0278D3CF" w14:textId="77777777" w:rsidR="00563E83" w:rsidRDefault="00563E83" w:rsidP="00D652A0">
            <w:pPr>
              <w:pStyle w:val="NoSpacing"/>
              <w:rPr>
                <w:sz w:val="20"/>
              </w:rPr>
            </w:pPr>
            <w:r>
              <w:rPr>
                <w:sz w:val="20"/>
              </w:rPr>
              <w:t>Percent</w:t>
            </w:r>
          </w:p>
        </w:tc>
      </w:tr>
      <w:tr w:rsidR="00563E83" w:rsidRPr="00ED1DCA" w14:paraId="57EE4D0D" w14:textId="77777777" w:rsidTr="00D652A0">
        <w:tc>
          <w:tcPr>
            <w:tcW w:w="625" w:type="dxa"/>
          </w:tcPr>
          <w:p w14:paraId="0839CA52" w14:textId="77777777" w:rsidR="00563E83" w:rsidRPr="00ED1DCA" w:rsidRDefault="00563E83" w:rsidP="00D652A0">
            <w:pPr>
              <w:pStyle w:val="NoSpacing"/>
              <w:rPr>
                <w:sz w:val="20"/>
              </w:rPr>
            </w:pPr>
          </w:p>
        </w:tc>
        <w:tc>
          <w:tcPr>
            <w:tcW w:w="2880" w:type="dxa"/>
          </w:tcPr>
          <w:p w14:paraId="2C135B38" w14:textId="77777777" w:rsidR="00563E83" w:rsidRDefault="00563E83" w:rsidP="00D652A0">
            <w:pPr>
              <w:pStyle w:val="NoSpacing"/>
              <w:rPr>
                <w:sz w:val="20"/>
              </w:rPr>
            </w:pPr>
            <w:r>
              <w:rPr>
                <w:sz w:val="20"/>
              </w:rPr>
              <w:t>* Attended 2+ PNC checkups</w:t>
            </w:r>
          </w:p>
        </w:tc>
        <w:tc>
          <w:tcPr>
            <w:tcW w:w="4770" w:type="dxa"/>
          </w:tcPr>
          <w:p w14:paraId="7D9F4C5B" w14:textId="77777777" w:rsidR="00563E83" w:rsidRDefault="00563E83" w:rsidP="00D652A0">
            <w:pPr>
              <w:pStyle w:val="NoSpacing"/>
              <w:rPr>
                <w:sz w:val="20"/>
              </w:rPr>
            </w:pPr>
            <w:r>
              <w:rPr>
                <w:sz w:val="20"/>
              </w:rPr>
              <w:t>Women had 2+ PNC checkups after delivery (time period tbd)</w:t>
            </w:r>
          </w:p>
        </w:tc>
        <w:tc>
          <w:tcPr>
            <w:tcW w:w="1165" w:type="dxa"/>
          </w:tcPr>
          <w:p w14:paraId="6341372B" w14:textId="77777777" w:rsidR="00563E83" w:rsidRDefault="00563E83" w:rsidP="00D652A0">
            <w:pPr>
              <w:pStyle w:val="NoSpacing"/>
              <w:rPr>
                <w:sz w:val="20"/>
              </w:rPr>
            </w:pPr>
            <w:r>
              <w:rPr>
                <w:sz w:val="20"/>
              </w:rPr>
              <w:t>Percent</w:t>
            </w:r>
          </w:p>
        </w:tc>
      </w:tr>
      <w:tr w:rsidR="00563E83" w:rsidRPr="00ED1DCA" w14:paraId="6C5341E7" w14:textId="77777777" w:rsidTr="00D652A0">
        <w:tc>
          <w:tcPr>
            <w:tcW w:w="625" w:type="dxa"/>
          </w:tcPr>
          <w:p w14:paraId="6C0EE328" w14:textId="77777777" w:rsidR="00563E83" w:rsidRPr="00ED1DCA" w:rsidRDefault="00563E83" w:rsidP="00D652A0">
            <w:pPr>
              <w:pStyle w:val="NoSpacing"/>
              <w:rPr>
                <w:sz w:val="20"/>
              </w:rPr>
            </w:pPr>
          </w:p>
        </w:tc>
        <w:tc>
          <w:tcPr>
            <w:tcW w:w="2880" w:type="dxa"/>
          </w:tcPr>
          <w:p w14:paraId="122D63E7" w14:textId="77777777" w:rsidR="00563E83" w:rsidRDefault="00563E83" w:rsidP="00D652A0">
            <w:pPr>
              <w:pStyle w:val="NoSpacing"/>
              <w:rPr>
                <w:sz w:val="20"/>
              </w:rPr>
            </w:pPr>
            <w:r>
              <w:rPr>
                <w:sz w:val="20"/>
              </w:rPr>
              <w:t>* Attended height monitoring sessions</w:t>
            </w:r>
          </w:p>
        </w:tc>
        <w:tc>
          <w:tcPr>
            <w:tcW w:w="4770" w:type="dxa"/>
          </w:tcPr>
          <w:p w14:paraId="725E5DD2" w14:textId="77777777" w:rsidR="00563E83" w:rsidRDefault="00563E83" w:rsidP="00D652A0">
            <w:pPr>
              <w:pStyle w:val="NoSpacing"/>
              <w:rPr>
                <w:sz w:val="20"/>
              </w:rPr>
            </w:pPr>
            <w:r>
              <w:rPr>
                <w:sz w:val="20"/>
              </w:rPr>
              <w:t>Household member attended all required height monitoring sessions</w:t>
            </w:r>
          </w:p>
        </w:tc>
        <w:tc>
          <w:tcPr>
            <w:tcW w:w="1165" w:type="dxa"/>
          </w:tcPr>
          <w:p w14:paraId="29423761" w14:textId="77777777" w:rsidR="00563E83" w:rsidRDefault="00563E83" w:rsidP="00D652A0">
            <w:pPr>
              <w:pStyle w:val="NoSpacing"/>
              <w:rPr>
                <w:sz w:val="20"/>
              </w:rPr>
            </w:pPr>
            <w:r>
              <w:rPr>
                <w:sz w:val="20"/>
              </w:rPr>
              <w:t>Percent</w:t>
            </w:r>
          </w:p>
        </w:tc>
      </w:tr>
      <w:tr w:rsidR="00563E83" w:rsidRPr="00ED1DCA" w14:paraId="159F191B" w14:textId="77777777" w:rsidTr="00D652A0">
        <w:tc>
          <w:tcPr>
            <w:tcW w:w="625" w:type="dxa"/>
          </w:tcPr>
          <w:p w14:paraId="51142790" w14:textId="77777777" w:rsidR="00563E83" w:rsidRPr="00ED1DCA" w:rsidRDefault="00563E83" w:rsidP="00D652A0">
            <w:pPr>
              <w:pStyle w:val="NoSpacing"/>
              <w:rPr>
                <w:sz w:val="20"/>
              </w:rPr>
            </w:pPr>
          </w:p>
        </w:tc>
        <w:tc>
          <w:tcPr>
            <w:tcW w:w="2880" w:type="dxa"/>
          </w:tcPr>
          <w:p w14:paraId="0D3EA7D7" w14:textId="77777777" w:rsidR="00563E83" w:rsidRDefault="00563E83" w:rsidP="00D652A0">
            <w:pPr>
              <w:pStyle w:val="NoSpacing"/>
              <w:rPr>
                <w:sz w:val="20"/>
              </w:rPr>
            </w:pPr>
            <w:r>
              <w:rPr>
                <w:sz w:val="20"/>
              </w:rPr>
              <w:t>* Attended parent education sessions</w:t>
            </w:r>
          </w:p>
        </w:tc>
        <w:tc>
          <w:tcPr>
            <w:tcW w:w="4770" w:type="dxa"/>
          </w:tcPr>
          <w:p w14:paraId="37B9A57E" w14:textId="77777777" w:rsidR="00563E83" w:rsidRDefault="00563E83" w:rsidP="00D652A0">
            <w:pPr>
              <w:pStyle w:val="NoSpacing"/>
              <w:rPr>
                <w:sz w:val="20"/>
              </w:rPr>
            </w:pPr>
            <w:r>
              <w:rPr>
                <w:sz w:val="20"/>
              </w:rPr>
              <w:t>Households who attended required parental education sessions in the last 3 months (tbd)</w:t>
            </w:r>
          </w:p>
        </w:tc>
        <w:tc>
          <w:tcPr>
            <w:tcW w:w="1165" w:type="dxa"/>
          </w:tcPr>
          <w:p w14:paraId="680EAA10" w14:textId="77777777" w:rsidR="00563E83" w:rsidRDefault="00563E83" w:rsidP="00D652A0">
            <w:pPr>
              <w:pStyle w:val="NoSpacing"/>
              <w:rPr>
                <w:sz w:val="20"/>
              </w:rPr>
            </w:pPr>
            <w:r>
              <w:rPr>
                <w:sz w:val="20"/>
              </w:rPr>
              <w:t>Percent</w:t>
            </w:r>
          </w:p>
        </w:tc>
      </w:tr>
      <w:tr w:rsidR="00563E83" w:rsidRPr="00ED1DCA" w14:paraId="3250EE54" w14:textId="77777777" w:rsidTr="00D652A0">
        <w:tc>
          <w:tcPr>
            <w:tcW w:w="625" w:type="dxa"/>
          </w:tcPr>
          <w:p w14:paraId="1392ECDD" w14:textId="77777777" w:rsidR="00563E83" w:rsidRPr="00ED1DCA" w:rsidRDefault="00563E83" w:rsidP="00D652A0">
            <w:pPr>
              <w:pStyle w:val="NoSpacing"/>
              <w:rPr>
                <w:sz w:val="20"/>
              </w:rPr>
            </w:pPr>
            <w:r w:rsidRPr="00ED1DCA">
              <w:rPr>
                <w:sz w:val="20"/>
              </w:rPr>
              <w:t>6.2</w:t>
            </w:r>
          </w:p>
        </w:tc>
        <w:tc>
          <w:tcPr>
            <w:tcW w:w="2880" w:type="dxa"/>
          </w:tcPr>
          <w:p w14:paraId="06959BC7" w14:textId="77777777" w:rsidR="00563E83" w:rsidRPr="00ED1DCA" w:rsidRDefault="00563E83" w:rsidP="00D652A0">
            <w:pPr>
              <w:pStyle w:val="NoSpacing"/>
              <w:rPr>
                <w:sz w:val="20"/>
              </w:rPr>
            </w:pPr>
            <w:r>
              <w:rPr>
                <w:sz w:val="20"/>
              </w:rPr>
              <w:t>Encounters with CHW</w:t>
            </w:r>
          </w:p>
        </w:tc>
        <w:tc>
          <w:tcPr>
            <w:tcW w:w="4770" w:type="dxa"/>
          </w:tcPr>
          <w:p w14:paraId="3485CB54" w14:textId="77777777" w:rsidR="00563E83" w:rsidRDefault="00563E83" w:rsidP="00D652A0">
            <w:pPr>
              <w:pStyle w:val="NoSpacing"/>
              <w:rPr>
                <w:sz w:val="20"/>
              </w:rPr>
            </w:pPr>
          </w:p>
        </w:tc>
        <w:tc>
          <w:tcPr>
            <w:tcW w:w="1165" w:type="dxa"/>
          </w:tcPr>
          <w:p w14:paraId="0BD62B89" w14:textId="77777777" w:rsidR="00563E83" w:rsidRDefault="00563E83" w:rsidP="00D652A0">
            <w:pPr>
              <w:pStyle w:val="NoSpacing"/>
              <w:rPr>
                <w:sz w:val="20"/>
              </w:rPr>
            </w:pPr>
          </w:p>
        </w:tc>
      </w:tr>
      <w:tr w:rsidR="00563E83" w:rsidRPr="00ED1DCA" w14:paraId="735C5041" w14:textId="77777777" w:rsidTr="00D652A0">
        <w:tc>
          <w:tcPr>
            <w:tcW w:w="625" w:type="dxa"/>
          </w:tcPr>
          <w:p w14:paraId="65D3D1E6" w14:textId="77777777" w:rsidR="00563E83" w:rsidRPr="00ED1DCA" w:rsidRDefault="00563E83" w:rsidP="00D652A0">
            <w:pPr>
              <w:pStyle w:val="NoSpacing"/>
              <w:rPr>
                <w:sz w:val="20"/>
              </w:rPr>
            </w:pPr>
            <w:r>
              <w:rPr>
                <w:sz w:val="20"/>
              </w:rPr>
              <w:t>6.2.1</w:t>
            </w:r>
          </w:p>
        </w:tc>
        <w:tc>
          <w:tcPr>
            <w:tcW w:w="2880" w:type="dxa"/>
          </w:tcPr>
          <w:p w14:paraId="0A28460A" w14:textId="77777777" w:rsidR="00563E83" w:rsidRDefault="00563E83" w:rsidP="00D652A0">
            <w:pPr>
              <w:pStyle w:val="NoSpacing"/>
              <w:rPr>
                <w:sz w:val="20"/>
              </w:rPr>
            </w:pPr>
            <w:r>
              <w:rPr>
                <w:sz w:val="20"/>
              </w:rPr>
              <w:t>* CHW encounters (pregnant women)</w:t>
            </w:r>
          </w:p>
        </w:tc>
        <w:tc>
          <w:tcPr>
            <w:tcW w:w="4770" w:type="dxa"/>
          </w:tcPr>
          <w:p w14:paraId="4613AD2C" w14:textId="77777777" w:rsidR="00563E83" w:rsidRDefault="00563E83" w:rsidP="00D652A0">
            <w:pPr>
              <w:pStyle w:val="NoSpacing"/>
              <w:rPr>
                <w:sz w:val="20"/>
              </w:rPr>
            </w:pPr>
            <w:r>
              <w:rPr>
                <w:sz w:val="20"/>
              </w:rPr>
              <w:t>Pregnant women who had at least one encounter with CHW during pregnancy</w:t>
            </w:r>
          </w:p>
        </w:tc>
        <w:tc>
          <w:tcPr>
            <w:tcW w:w="1165" w:type="dxa"/>
          </w:tcPr>
          <w:p w14:paraId="7BE74C05" w14:textId="77777777" w:rsidR="00563E83" w:rsidRDefault="00563E83" w:rsidP="00D652A0">
            <w:pPr>
              <w:pStyle w:val="NoSpacing"/>
              <w:rPr>
                <w:sz w:val="20"/>
              </w:rPr>
            </w:pPr>
            <w:r>
              <w:rPr>
                <w:sz w:val="20"/>
              </w:rPr>
              <w:t>Percent</w:t>
            </w:r>
          </w:p>
        </w:tc>
      </w:tr>
      <w:tr w:rsidR="00563E83" w:rsidRPr="00ED1DCA" w14:paraId="77ADC843" w14:textId="77777777" w:rsidTr="00D652A0">
        <w:tc>
          <w:tcPr>
            <w:tcW w:w="625" w:type="dxa"/>
          </w:tcPr>
          <w:p w14:paraId="377FB1F1" w14:textId="77777777" w:rsidR="00563E83" w:rsidRPr="00ED1DCA" w:rsidRDefault="00563E83" w:rsidP="00D652A0">
            <w:pPr>
              <w:pStyle w:val="NoSpacing"/>
              <w:rPr>
                <w:sz w:val="20"/>
              </w:rPr>
            </w:pPr>
            <w:r>
              <w:rPr>
                <w:sz w:val="20"/>
              </w:rPr>
              <w:t>6.2.2</w:t>
            </w:r>
          </w:p>
        </w:tc>
        <w:tc>
          <w:tcPr>
            <w:tcW w:w="2880" w:type="dxa"/>
          </w:tcPr>
          <w:p w14:paraId="38DA4CC8" w14:textId="77777777" w:rsidR="00563E83" w:rsidRDefault="00563E83" w:rsidP="00D652A0">
            <w:pPr>
              <w:pStyle w:val="NoSpacing"/>
              <w:rPr>
                <w:sz w:val="20"/>
              </w:rPr>
            </w:pPr>
            <w:r>
              <w:rPr>
                <w:sz w:val="20"/>
              </w:rPr>
              <w:t>* CHW encounters (care givers)</w:t>
            </w:r>
          </w:p>
        </w:tc>
        <w:tc>
          <w:tcPr>
            <w:tcW w:w="4770" w:type="dxa"/>
          </w:tcPr>
          <w:p w14:paraId="29C07384" w14:textId="77777777" w:rsidR="00563E83" w:rsidRDefault="00563E83" w:rsidP="00D652A0">
            <w:pPr>
              <w:pStyle w:val="NoSpacing"/>
              <w:rPr>
                <w:sz w:val="20"/>
              </w:rPr>
            </w:pPr>
            <w:r>
              <w:rPr>
                <w:sz w:val="20"/>
              </w:rPr>
              <w:t>Care givers of children 0-2 who had at least one encounter with CHW in the past 12 months</w:t>
            </w:r>
          </w:p>
        </w:tc>
        <w:tc>
          <w:tcPr>
            <w:tcW w:w="1165" w:type="dxa"/>
          </w:tcPr>
          <w:p w14:paraId="571C6725" w14:textId="77777777" w:rsidR="00563E83" w:rsidRDefault="00563E83" w:rsidP="00D652A0">
            <w:pPr>
              <w:pStyle w:val="NoSpacing"/>
              <w:rPr>
                <w:sz w:val="20"/>
              </w:rPr>
            </w:pPr>
            <w:r>
              <w:rPr>
                <w:sz w:val="20"/>
              </w:rPr>
              <w:t>Percent</w:t>
            </w:r>
          </w:p>
        </w:tc>
      </w:tr>
      <w:tr w:rsidR="00563E83" w:rsidRPr="00ED1DCA" w14:paraId="67B900DF" w14:textId="77777777" w:rsidTr="00D652A0">
        <w:tc>
          <w:tcPr>
            <w:tcW w:w="625" w:type="dxa"/>
          </w:tcPr>
          <w:p w14:paraId="60E899AA" w14:textId="77777777" w:rsidR="00563E83" w:rsidRDefault="00563E83" w:rsidP="00D652A0">
            <w:pPr>
              <w:pStyle w:val="NoSpacing"/>
              <w:rPr>
                <w:sz w:val="20"/>
              </w:rPr>
            </w:pPr>
            <w:r>
              <w:rPr>
                <w:sz w:val="20"/>
              </w:rPr>
              <w:t>6.2.3</w:t>
            </w:r>
          </w:p>
        </w:tc>
        <w:tc>
          <w:tcPr>
            <w:tcW w:w="2880" w:type="dxa"/>
          </w:tcPr>
          <w:p w14:paraId="565BFB2E" w14:textId="77777777" w:rsidR="00563E83" w:rsidRDefault="00563E83" w:rsidP="00D652A0">
            <w:pPr>
              <w:pStyle w:val="NoSpacing"/>
              <w:rPr>
                <w:sz w:val="20"/>
              </w:rPr>
            </w:pPr>
            <w:r>
              <w:rPr>
                <w:sz w:val="20"/>
              </w:rPr>
              <w:t>* Stunting awareness</w:t>
            </w:r>
          </w:p>
        </w:tc>
        <w:tc>
          <w:tcPr>
            <w:tcW w:w="4770" w:type="dxa"/>
          </w:tcPr>
          <w:p w14:paraId="21BFE72F" w14:textId="77777777" w:rsidR="00563E83" w:rsidRDefault="00563E83" w:rsidP="00D652A0">
            <w:pPr>
              <w:pStyle w:val="NoSpacing"/>
              <w:rPr>
                <w:sz w:val="20"/>
              </w:rPr>
            </w:pPr>
            <w:r>
              <w:rPr>
                <w:sz w:val="20"/>
              </w:rPr>
              <w:t>Care givers of children 0-2 who report being informed by CHW about stunting in the last 12 months</w:t>
            </w:r>
          </w:p>
        </w:tc>
        <w:tc>
          <w:tcPr>
            <w:tcW w:w="1165" w:type="dxa"/>
          </w:tcPr>
          <w:p w14:paraId="5A14B6E3" w14:textId="77777777" w:rsidR="00563E83" w:rsidRDefault="00563E83" w:rsidP="00D652A0">
            <w:pPr>
              <w:pStyle w:val="NoSpacing"/>
              <w:rPr>
                <w:sz w:val="20"/>
              </w:rPr>
            </w:pPr>
            <w:r>
              <w:rPr>
                <w:sz w:val="20"/>
              </w:rPr>
              <w:t>Percent</w:t>
            </w:r>
          </w:p>
        </w:tc>
      </w:tr>
      <w:tr w:rsidR="00563E83" w:rsidRPr="00ED1DCA" w14:paraId="4848C282" w14:textId="77777777" w:rsidTr="00D652A0">
        <w:tc>
          <w:tcPr>
            <w:tcW w:w="625" w:type="dxa"/>
          </w:tcPr>
          <w:p w14:paraId="3F63661F" w14:textId="77777777" w:rsidR="00563E83" w:rsidRDefault="00563E83" w:rsidP="00D652A0">
            <w:pPr>
              <w:pStyle w:val="NoSpacing"/>
              <w:rPr>
                <w:sz w:val="20"/>
              </w:rPr>
            </w:pPr>
            <w:r>
              <w:rPr>
                <w:sz w:val="20"/>
              </w:rPr>
              <w:lastRenderedPageBreak/>
              <w:t>6.2.4</w:t>
            </w:r>
          </w:p>
        </w:tc>
        <w:tc>
          <w:tcPr>
            <w:tcW w:w="2880" w:type="dxa"/>
          </w:tcPr>
          <w:p w14:paraId="63517772" w14:textId="77777777" w:rsidR="00563E83" w:rsidRDefault="00563E83" w:rsidP="00D652A0">
            <w:pPr>
              <w:pStyle w:val="NoSpacing"/>
              <w:rPr>
                <w:sz w:val="20"/>
              </w:rPr>
            </w:pPr>
            <w:r>
              <w:rPr>
                <w:sz w:val="20"/>
              </w:rPr>
              <w:t>* Growth promotion activities</w:t>
            </w:r>
          </w:p>
        </w:tc>
        <w:tc>
          <w:tcPr>
            <w:tcW w:w="4770" w:type="dxa"/>
          </w:tcPr>
          <w:p w14:paraId="4760357E" w14:textId="77777777" w:rsidR="00563E83" w:rsidRDefault="00563E83" w:rsidP="00D652A0">
            <w:pPr>
              <w:pStyle w:val="NoSpacing"/>
              <w:rPr>
                <w:sz w:val="20"/>
              </w:rPr>
            </w:pPr>
            <w:r>
              <w:rPr>
                <w:sz w:val="20"/>
              </w:rPr>
              <w:t>Care givers of children 0-2 who report being told about growth promotion by CHW in the last 12 months</w:t>
            </w:r>
          </w:p>
        </w:tc>
        <w:tc>
          <w:tcPr>
            <w:tcW w:w="1165" w:type="dxa"/>
          </w:tcPr>
          <w:p w14:paraId="50F0FDE3" w14:textId="77777777" w:rsidR="00563E83" w:rsidRDefault="00563E83" w:rsidP="00D652A0">
            <w:pPr>
              <w:pStyle w:val="NoSpacing"/>
              <w:rPr>
                <w:sz w:val="20"/>
              </w:rPr>
            </w:pPr>
            <w:r>
              <w:rPr>
                <w:sz w:val="20"/>
              </w:rPr>
              <w:t>Percent</w:t>
            </w:r>
          </w:p>
        </w:tc>
      </w:tr>
      <w:tr w:rsidR="00563E83" w:rsidRPr="00ED1DCA" w14:paraId="668D0634" w14:textId="77777777" w:rsidTr="00D652A0">
        <w:tc>
          <w:tcPr>
            <w:tcW w:w="625" w:type="dxa"/>
          </w:tcPr>
          <w:p w14:paraId="2A5AD549" w14:textId="77777777" w:rsidR="00563E83" w:rsidRPr="00ED1DCA" w:rsidRDefault="00563E83" w:rsidP="00D652A0">
            <w:pPr>
              <w:pStyle w:val="NoSpacing"/>
              <w:rPr>
                <w:sz w:val="20"/>
              </w:rPr>
            </w:pPr>
            <w:r w:rsidRPr="00ED1DCA">
              <w:rPr>
                <w:sz w:val="20"/>
              </w:rPr>
              <w:t>6.3</w:t>
            </w:r>
          </w:p>
        </w:tc>
        <w:tc>
          <w:tcPr>
            <w:tcW w:w="2880" w:type="dxa"/>
          </w:tcPr>
          <w:p w14:paraId="79B5261C" w14:textId="77777777" w:rsidR="00563E83" w:rsidRPr="00ED1DCA" w:rsidRDefault="00563E83" w:rsidP="00D652A0">
            <w:pPr>
              <w:pStyle w:val="NoSpacing"/>
              <w:rPr>
                <w:sz w:val="20"/>
              </w:rPr>
            </w:pPr>
            <w:r w:rsidRPr="00ED1DCA">
              <w:rPr>
                <w:sz w:val="20"/>
              </w:rPr>
              <w:t>Encounters with ECD</w:t>
            </w:r>
          </w:p>
        </w:tc>
        <w:tc>
          <w:tcPr>
            <w:tcW w:w="4770" w:type="dxa"/>
          </w:tcPr>
          <w:p w14:paraId="35840326" w14:textId="77777777" w:rsidR="00563E83" w:rsidRPr="00ED1DCA" w:rsidRDefault="00563E83" w:rsidP="00D652A0">
            <w:pPr>
              <w:pStyle w:val="NoSpacing"/>
              <w:rPr>
                <w:sz w:val="20"/>
              </w:rPr>
            </w:pPr>
          </w:p>
        </w:tc>
        <w:tc>
          <w:tcPr>
            <w:tcW w:w="1165" w:type="dxa"/>
          </w:tcPr>
          <w:p w14:paraId="24798FC4" w14:textId="77777777" w:rsidR="00563E83" w:rsidRPr="00ED1DCA" w:rsidRDefault="00563E83" w:rsidP="00D652A0">
            <w:pPr>
              <w:pStyle w:val="NoSpacing"/>
              <w:rPr>
                <w:sz w:val="20"/>
              </w:rPr>
            </w:pPr>
          </w:p>
        </w:tc>
      </w:tr>
      <w:tr w:rsidR="00563E83" w:rsidRPr="00ED1DCA" w14:paraId="6325D395" w14:textId="77777777" w:rsidTr="00D652A0">
        <w:tc>
          <w:tcPr>
            <w:tcW w:w="625" w:type="dxa"/>
          </w:tcPr>
          <w:p w14:paraId="4B33D4FA" w14:textId="77777777" w:rsidR="00563E83" w:rsidRPr="00ED1DCA" w:rsidRDefault="00563E83" w:rsidP="00D652A0">
            <w:pPr>
              <w:pStyle w:val="NoSpacing"/>
              <w:rPr>
                <w:sz w:val="20"/>
              </w:rPr>
            </w:pPr>
            <w:r>
              <w:rPr>
                <w:sz w:val="20"/>
              </w:rPr>
              <w:t>6.3.1</w:t>
            </w:r>
          </w:p>
        </w:tc>
        <w:tc>
          <w:tcPr>
            <w:tcW w:w="2880" w:type="dxa"/>
          </w:tcPr>
          <w:p w14:paraId="1E7E5DBA" w14:textId="77777777" w:rsidR="00563E83" w:rsidRPr="00ED1DCA" w:rsidRDefault="00563E83" w:rsidP="00D652A0">
            <w:pPr>
              <w:pStyle w:val="NoSpacing"/>
              <w:rPr>
                <w:sz w:val="20"/>
              </w:rPr>
            </w:pPr>
            <w:r>
              <w:rPr>
                <w:sz w:val="20"/>
              </w:rPr>
              <w:t>* ECD use</w:t>
            </w:r>
          </w:p>
        </w:tc>
        <w:tc>
          <w:tcPr>
            <w:tcW w:w="4770" w:type="dxa"/>
          </w:tcPr>
          <w:p w14:paraId="70DE796A" w14:textId="77777777" w:rsidR="00563E83" w:rsidRPr="00ED1DCA" w:rsidRDefault="00563E83" w:rsidP="00D652A0">
            <w:pPr>
              <w:pStyle w:val="NoSpacing"/>
              <w:rPr>
                <w:sz w:val="20"/>
              </w:rPr>
            </w:pPr>
            <w:r>
              <w:rPr>
                <w:rFonts w:cs="Arial"/>
                <w:color w:val="000000"/>
                <w:sz w:val="20"/>
                <w:szCs w:val="20"/>
              </w:rPr>
              <w:t>C</w:t>
            </w:r>
            <w:r w:rsidRPr="000F319E">
              <w:rPr>
                <w:rFonts w:cs="Arial"/>
                <w:color w:val="000000"/>
                <w:sz w:val="20"/>
                <w:szCs w:val="20"/>
              </w:rPr>
              <w:t xml:space="preserve">hildren </w:t>
            </w:r>
            <w:r>
              <w:rPr>
                <w:rFonts w:cs="Arial"/>
                <w:color w:val="000000"/>
                <w:sz w:val="20"/>
                <w:szCs w:val="20"/>
              </w:rPr>
              <w:t xml:space="preserve">2-5 </w:t>
            </w:r>
            <w:r w:rsidRPr="000F319E">
              <w:rPr>
                <w:rFonts w:cs="Arial"/>
                <w:color w:val="000000"/>
                <w:sz w:val="20"/>
                <w:szCs w:val="20"/>
              </w:rPr>
              <w:t xml:space="preserve">attending organized </w:t>
            </w:r>
            <w:r>
              <w:rPr>
                <w:rFonts w:cs="Arial"/>
                <w:color w:val="000000"/>
                <w:sz w:val="20"/>
                <w:szCs w:val="20"/>
              </w:rPr>
              <w:t>ECD programs</w:t>
            </w:r>
          </w:p>
        </w:tc>
        <w:tc>
          <w:tcPr>
            <w:tcW w:w="1165" w:type="dxa"/>
          </w:tcPr>
          <w:p w14:paraId="21E4D756" w14:textId="77777777" w:rsidR="00563E83" w:rsidRPr="00ED1DCA" w:rsidRDefault="00563E83" w:rsidP="00D652A0">
            <w:pPr>
              <w:pStyle w:val="NoSpacing"/>
              <w:rPr>
                <w:sz w:val="20"/>
              </w:rPr>
            </w:pPr>
            <w:r>
              <w:rPr>
                <w:sz w:val="20"/>
              </w:rPr>
              <w:t>Percent</w:t>
            </w:r>
          </w:p>
        </w:tc>
      </w:tr>
      <w:tr w:rsidR="00563E83" w:rsidRPr="00ED1DCA" w14:paraId="2D62BE10" w14:textId="77777777" w:rsidTr="00D652A0">
        <w:tc>
          <w:tcPr>
            <w:tcW w:w="625" w:type="dxa"/>
          </w:tcPr>
          <w:p w14:paraId="3D32F710" w14:textId="77777777" w:rsidR="00563E83" w:rsidRDefault="00563E83" w:rsidP="00D652A0">
            <w:pPr>
              <w:pStyle w:val="NoSpacing"/>
              <w:rPr>
                <w:sz w:val="20"/>
              </w:rPr>
            </w:pPr>
          </w:p>
        </w:tc>
        <w:tc>
          <w:tcPr>
            <w:tcW w:w="2880" w:type="dxa"/>
          </w:tcPr>
          <w:p w14:paraId="673CE4EC" w14:textId="77777777" w:rsidR="00563E83" w:rsidRPr="00ED1DCA" w:rsidRDefault="00563E83" w:rsidP="00D652A0">
            <w:pPr>
              <w:pStyle w:val="NoSpacing"/>
              <w:rPr>
                <w:sz w:val="20"/>
              </w:rPr>
            </w:pPr>
          </w:p>
        </w:tc>
        <w:tc>
          <w:tcPr>
            <w:tcW w:w="4770" w:type="dxa"/>
          </w:tcPr>
          <w:p w14:paraId="26270FD9" w14:textId="77777777" w:rsidR="00563E83" w:rsidRDefault="00563E83" w:rsidP="00D652A0">
            <w:pPr>
              <w:pStyle w:val="NoSpacing"/>
              <w:rPr>
                <w:rFonts w:cs="Arial"/>
                <w:color w:val="000000"/>
                <w:sz w:val="20"/>
                <w:szCs w:val="20"/>
              </w:rPr>
            </w:pPr>
          </w:p>
        </w:tc>
        <w:tc>
          <w:tcPr>
            <w:tcW w:w="1165" w:type="dxa"/>
          </w:tcPr>
          <w:p w14:paraId="4397B0B4" w14:textId="77777777" w:rsidR="00563E83" w:rsidRDefault="00563E83" w:rsidP="00D652A0">
            <w:pPr>
              <w:pStyle w:val="NoSpacing"/>
              <w:rPr>
                <w:sz w:val="20"/>
              </w:rPr>
            </w:pPr>
          </w:p>
        </w:tc>
      </w:tr>
    </w:tbl>
    <w:p w14:paraId="40222907" w14:textId="77777777" w:rsidR="00563E83" w:rsidRDefault="00563E83" w:rsidP="00563E83"/>
    <w:p w14:paraId="2ED359B4" w14:textId="77777777" w:rsidR="006A25B6" w:rsidRDefault="006A25B6">
      <w:pPr>
        <w:spacing w:after="160" w:line="259" w:lineRule="auto"/>
      </w:pPr>
      <w:r>
        <w:br w:type="page"/>
      </w:r>
    </w:p>
    <w:p w14:paraId="798CDABD" w14:textId="2F5A6701" w:rsidR="002E4453" w:rsidRDefault="006A25B6">
      <w:pPr>
        <w:spacing w:after="160" w:line="259" w:lineRule="auto"/>
      </w:pPr>
      <w:r>
        <w:lastRenderedPageBreak/>
        <w:t>Example of age-specific CREDI instrument given below:</w:t>
      </w:r>
    </w:p>
    <w:p w14:paraId="4D955761" w14:textId="77777777" w:rsidR="002E4453" w:rsidRDefault="002E4453" w:rsidP="002E4453">
      <w:pPr>
        <w:pStyle w:val="Title1"/>
        <w:jc w:val="center"/>
        <w:rPr>
          <w:rFonts w:ascii="Avenir Next Demi Bold" w:hAnsi="Avenir Next Demi Bold"/>
          <w:color w:val="0D4AC4"/>
          <w:sz w:val="40"/>
        </w:rPr>
      </w:pPr>
      <w:r>
        <w:rPr>
          <w:rFonts w:ascii="Avenir Next Demi Bold" w:hAnsi="Avenir Next Demi Bold"/>
          <w:color w:val="0D4AC4"/>
          <w:sz w:val="40"/>
        </w:rPr>
        <w:t>Caregiver Reported Early Development InstrumentS (CREDI)</w:t>
      </w:r>
    </w:p>
    <w:p w14:paraId="1BAF3A3B" w14:textId="77777777" w:rsidR="002E4453" w:rsidRDefault="002E4453" w:rsidP="00EF6B64">
      <w:pPr>
        <w:pStyle w:val="Heading11"/>
        <w:outlineLvl w:val="9"/>
        <w:rPr>
          <w:rFonts w:ascii="Avenir Next Demi Bold" w:hAnsi="Avenir Next Demi Bold"/>
          <w:color w:val="0D4AC4"/>
        </w:rPr>
      </w:pPr>
      <w:r>
        <w:rPr>
          <w:rFonts w:ascii="Avenir Next Demi Bold" w:hAnsi="Avenir Next Demi Bold"/>
          <w:color w:val="0D4AC4"/>
        </w:rPr>
        <w:t>Short Form: 24-29 MONTHS</w:t>
      </w:r>
    </w:p>
    <w:p w14:paraId="05B45F02" w14:textId="77777777" w:rsidR="002E4453" w:rsidRDefault="002E4453" w:rsidP="002E4453">
      <w:pPr>
        <w:spacing w:after="200" w:line="252" w:lineRule="auto"/>
        <w:rPr>
          <w:rFonts w:ascii="Times New Roman" w:eastAsia="Times New Roman" w:hAnsi="Times New Roman" w:cs="Times New Roman"/>
        </w:rPr>
      </w:pPr>
      <w:r>
        <w:rPr>
          <w:rFonts w:ascii="Times New Roman" w:eastAsia="Times New Roman" w:hAnsi="Times New Roman" w:cs="Times New Roman"/>
        </w:rPr>
        <w:t>Date: _____________________________</w:t>
      </w:r>
    </w:p>
    <w:p w14:paraId="73AD8CF1" w14:textId="77777777" w:rsidR="002E4453" w:rsidRDefault="002E4453" w:rsidP="002E4453">
      <w:pPr>
        <w:spacing w:after="200" w:line="252" w:lineRule="auto"/>
        <w:rPr>
          <w:rFonts w:ascii="Times New Roman" w:eastAsia="Times New Roman" w:hAnsi="Times New Roman" w:cs="Times New Roman"/>
        </w:rPr>
      </w:pPr>
      <w:r>
        <w:rPr>
          <w:rFonts w:ascii="Times New Roman" w:eastAsia="Times New Roman" w:hAnsi="Times New Roman" w:cs="Times New Roman"/>
        </w:rPr>
        <w:t>Interviewee ID: _____________________</w:t>
      </w:r>
    </w:p>
    <w:p w14:paraId="6404E2C0" w14:textId="77777777" w:rsidR="002E4453" w:rsidRDefault="002E4453" w:rsidP="002E4453">
      <w:pPr>
        <w:spacing w:after="200" w:line="252" w:lineRule="auto"/>
        <w:rPr>
          <w:rFonts w:ascii="Times New Roman" w:eastAsia="Times New Roman" w:hAnsi="Times New Roman" w:cs="Times New Roman"/>
        </w:rPr>
      </w:pPr>
      <w:r>
        <w:rPr>
          <w:rFonts w:ascii="Times New Roman" w:eastAsia="Times New Roman" w:hAnsi="Times New Roman" w:cs="Times New Roman"/>
        </w:rPr>
        <w:t>Child Date of Birth: __________________</w:t>
      </w:r>
    </w:p>
    <w:p w14:paraId="069E95FD" w14:textId="6BED3A53" w:rsidR="002E4453" w:rsidRDefault="002E4453" w:rsidP="002E4453">
      <w:pPr>
        <w:rPr>
          <w:rFonts w:ascii="Times New Roman" w:hAnsi="Times New Roman"/>
          <w:color w:val="000000"/>
          <w:u w:val="single"/>
        </w:rPr>
      </w:pPr>
      <w:r>
        <w:rPr>
          <w:rFonts w:ascii="Times New Roman" w:eastAsia="Times New Roman" w:hAnsi="Times New Roman" w:cs="Times New Roman"/>
        </w:rPr>
        <w:t>Child Age (in Months): _______________</w:t>
      </w:r>
      <w:r w:rsidR="006A25B6">
        <w:rPr>
          <w:rFonts w:ascii="Times New Roman" w:hAnsi="Times New Roman"/>
          <w:color w:val="000000"/>
          <w:u w:val="single"/>
        </w:rPr>
        <w:t xml:space="preserve"> </w:t>
      </w:r>
    </w:p>
    <w:p w14:paraId="7EFD54A8" w14:textId="77777777" w:rsidR="006A25B6" w:rsidRDefault="006A25B6" w:rsidP="006A25B6">
      <w:pPr>
        <w:rPr>
          <w:rFonts w:ascii="Times New Roman" w:hAnsi="Times New Roman"/>
          <w:color w:val="000000"/>
          <w:u w:val="single"/>
        </w:rPr>
      </w:pPr>
      <w:r>
        <w:rPr>
          <w:rFonts w:ascii="Times New Roman" w:hAnsi="Times New Roman"/>
          <w:color w:val="000000"/>
          <w:u w:val="single"/>
        </w:rPr>
        <w:t>Assessor Instructions:</w:t>
      </w:r>
    </w:p>
    <w:p w14:paraId="6E9ECCAC" w14:textId="2427D18C" w:rsidR="002E4453" w:rsidRDefault="002E4453" w:rsidP="002E4453">
      <w:pPr>
        <w:pStyle w:val="ListParagraph"/>
        <w:numPr>
          <w:ilvl w:val="0"/>
          <w:numId w:val="21"/>
        </w:numPr>
        <w:spacing w:after="200" w:line="252" w:lineRule="auto"/>
        <w:rPr>
          <w:rFonts w:ascii="Times New Roman" w:hAnsi="Times New Roman"/>
          <w:color w:val="000000"/>
          <w:sz w:val="24"/>
          <w:szCs w:val="24"/>
        </w:rPr>
      </w:pPr>
      <w:r>
        <w:rPr>
          <w:rFonts w:ascii="Times New Roman" w:hAnsi="Times New Roman"/>
          <w:color w:val="000000"/>
          <w:sz w:val="24"/>
          <w:szCs w:val="24"/>
        </w:rPr>
        <w:t>Administer the set of questions that corresponds with the child’s age band.</w:t>
      </w:r>
      <w:r w:rsidR="005E1F28">
        <w:rPr>
          <w:rFonts w:ascii="Times New Roman" w:hAnsi="Times New Roman"/>
          <w:color w:val="000000"/>
          <w:sz w:val="24"/>
          <w:szCs w:val="24"/>
        </w:rPr>
        <w:t xml:space="preserve"> </w:t>
      </w:r>
    </w:p>
    <w:p w14:paraId="5D1ED9D8" w14:textId="77777777" w:rsidR="002E4453" w:rsidRDefault="002E4453" w:rsidP="002E4453">
      <w:pPr>
        <w:pStyle w:val="ListParagraph"/>
        <w:numPr>
          <w:ilvl w:val="0"/>
          <w:numId w:val="21"/>
        </w:numPr>
        <w:spacing w:after="200" w:line="252" w:lineRule="auto"/>
        <w:rPr>
          <w:rFonts w:ascii="Times New Roman" w:hAnsi="Times New Roman"/>
          <w:color w:val="000000"/>
          <w:sz w:val="24"/>
          <w:szCs w:val="24"/>
        </w:rPr>
      </w:pPr>
      <w:r>
        <w:rPr>
          <w:rFonts w:ascii="Times New Roman" w:hAnsi="Times New Roman"/>
          <w:color w:val="000000"/>
          <w:sz w:val="24"/>
          <w:szCs w:val="24"/>
        </w:rPr>
        <w:t>Remember to show caregivers the corresponding full-page illustration for those items that include an image.</w:t>
      </w:r>
    </w:p>
    <w:p w14:paraId="03981AF3" w14:textId="77777777" w:rsidR="002E4453" w:rsidRDefault="002E4453" w:rsidP="002E4453">
      <w:pPr>
        <w:pStyle w:val="ListParagraph"/>
        <w:numPr>
          <w:ilvl w:val="0"/>
          <w:numId w:val="21"/>
        </w:numPr>
        <w:spacing w:after="200" w:line="252" w:lineRule="auto"/>
        <w:rPr>
          <w:rFonts w:ascii="Times New Roman" w:hAnsi="Times New Roman"/>
          <w:color w:val="000000"/>
          <w:sz w:val="24"/>
          <w:szCs w:val="24"/>
        </w:rPr>
      </w:pPr>
      <w:r>
        <w:rPr>
          <w:rFonts w:ascii="Times New Roman" w:hAnsi="Times New Roman"/>
          <w:color w:val="000000"/>
          <w:sz w:val="24"/>
          <w:szCs w:val="24"/>
        </w:rPr>
        <w:t>Before administering items, SAY (to caregivers):</w:t>
      </w:r>
    </w:p>
    <w:p w14:paraId="7D4E89D5" w14:textId="2EBCB847" w:rsidR="002E4453" w:rsidRDefault="002E4453" w:rsidP="002E4453">
      <w:pPr>
        <w:rPr>
          <w:sz w:val="24"/>
          <w:szCs w:val="24"/>
        </w:rPr>
      </w:pPr>
      <w:r>
        <w:rPr>
          <w:rFonts w:ascii="Times New Roman" w:hAnsi="Times New Roman"/>
          <w:b/>
          <w:color w:val="000000"/>
        </w:rPr>
        <w:t>Now I am going to ask you about the types of things your child is currently able to do. Please answer "yes" or "no" to these questions. If you are unsure, you can also answer by saying “don’t know.” Please keep in mind that children learn and grow at different rates, so it is fine if your child can't yet do these things.</w:t>
      </w:r>
      <w:r w:rsidR="005E1F28">
        <w:rPr>
          <w:rFonts w:ascii="Times New Roman" w:hAnsi="Times New Roman"/>
          <w:b/>
          <w:color w:val="000000"/>
        </w:rPr>
        <w:t xml:space="preserve"> </w:t>
      </w:r>
      <w:r>
        <w:rPr>
          <w:rFonts w:ascii="Times New Roman" w:hAnsi="Times New Roman"/>
          <w:b/>
          <w:color w:val="000000"/>
        </w:rPr>
        <w:t>Some of these skills children only achieve at older ages.</w:t>
      </w:r>
      <w:r w:rsidR="005E1F28">
        <w:rPr>
          <w:rFonts w:ascii="Times New Roman" w:hAnsi="Times New Roman"/>
          <w:b/>
          <w:color w:val="000000"/>
        </w:rPr>
        <w:t xml:space="preserve"> </w:t>
      </w:r>
      <w:r>
        <w:rPr>
          <w:rFonts w:ascii="Times New Roman" w:hAnsi="Times New Roman"/>
          <w:b/>
          <w:color w:val="000000"/>
        </w:rPr>
        <w:t>If there is any question you feel uncomfortable answering, please let me know and we can move to the next question.</w:t>
      </w:r>
    </w:p>
    <w:p w14:paraId="490A9B00" w14:textId="77777777" w:rsidR="002E4453" w:rsidRDefault="002E4453" w:rsidP="002E4453"/>
    <w:tbl>
      <w:tblPr>
        <w:tblpPr w:leftFromText="180" w:rightFromText="180" w:bottomFromText="200" w:vertAnchor="text" w:horzAnchor="page" w:tblpX="1630" w:tblpY="5"/>
        <w:tblW w:w="10200" w:type="dxa"/>
        <w:shd w:val="clear" w:color="auto" w:fill="FFFFFF"/>
        <w:tblLayout w:type="fixed"/>
        <w:tblLook w:val="04A0" w:firstRow="1" w:lastRow="0" w:firstColumn="1" w:lastColumn="0" w:noHBand="0" w:noVBand="1"/>
      </w:tblPr>
      <w:tblGrid>
        <w:gridCol w:w="834"/>
        <w:gridCol w:w="6565"/>
        <w:gridCol w:w="869"/>
        <w:gridCol w:w="571"/>
        <w:gridCol w:w="656"/>
        <w:gridCol w:w="705"/>
      </w:tblGrid>
      <w:tr w:rsidR="002E4453" w14:paraId="43CA6D43" w14:textId="77777777" w:rsidTr="002E4453">
        <w:tc>
          <w:tcPr>
            <w:tcW w:w="835" w:type="dxa"/>
            <w:tcBorders>
              <w:top w:val="single" w:sz="4" w:space="0" w:color="808080"/>
              <w:left w:val="single" w:sz="4" w:space="0" w:color="808080"/>
              <w:bottom w:val="single" w:sz="4" w:space="0" w:color="808080"/>
              <w:right w:val="single" w:sz="4" w:space="0" w:color="808080"/>
            </w:tcBorders>
            <w:shd w:val="clear" w:color="auto" w:fill="FFFFFF"/>
            <w:hideMark/>
          </w:tcPr>
          <w:p w14:paraId="36E93B1F" w14:textId="77777777" w:rsidR="002E4453" w:rsidRDefault="002E4453">
            <w:pPr>
              <w:spacing w:after="0" w:line="276" w:lineRule="auto"/>
              <w:jc w:val="center"/>
              <w:rPr>
                <w:rFonts w:ascii="Times New Roman" w:hAnsi="Times New Roman"/>
              </w:rPr>
            </w:pPr>
            <w:r>
              <w:rPr>
                <w:rFonts w:ascii="Times New Roman" w:hAnsi="Times New Roman"/>
              </w:rPr>
              <w:t>Item #</w:t>
            </w:r>
          </w:p>
        </w:tc>
        <w:tc>
          <w:tcPr>
            <w:tcW w:w="6570" w:type="dxa"/>
            <w:tcBorders>
              <w:top w:val="single" w:sz="4" w:space="0" w:color="808080"/>
              <w:left w:val="single" w:sz="4" w:space="0" w:color="808080"/>
              <w:bottom w:val="single" w:sz="4" w:space="0" w:color="808080"/>
              <w:right w:val="single" w:sz="4" w:space="0" w:color="808080"/>
            </w:tcBorders>
            <w:shd w:val="clear" w:color="auto" w:fill="FFFFFF"/>
            <w:hideMark/>
          </w:tcPr>
          <w:p w14:paraId="2C8DF239" w14:textId="77777777" w:rsidR="002E4453" w:rsidRDefault="002E4453">
            <w:pPr>
              <w:spacing w:after="0" w:line="276" w:lineRule="auto"/>
              <w:jc w:val="center"/>
              <w:rPr>
                <w:rFonts w:ascii="Times New Roman" w:hAnsi="Times New Roman"/>
              </w:rPr>
            </w:pPr>
            <w:r>
              <w:rPr>
                <w:rFonts w:ascii="Times New Roman" w:hAnsi="Times New Roman"/>
              </w:rPr>
              <w:t>Item</w:t>
            </w:r>
          </w:p>
        </w:tc>
        <w:tc>
          <w:tcPr>
            <w:tcW w:w="869" w:type="dxa"/>
            <w:tcBorders>
              <w:top w:val="single" w:sz="4" w:space="0" w:color="808080"/>
              <w:left w:val="single" w:sz="4" w:space="0" w:color="808080"/>
              <w:bottom w:val="single" w:sz="4" w:space="0" w:color="808080"/>
              <w:right w:val="single" w:sz="4" w:space="0" w:color="808080"/>
            </w:tcBorders>
            <w:shd w:val="clear" w:color="auto" w:fill="FFFFFF"/>
            <w:hideMark/>
          </w:tcPr>
          <w:p w14:paraId="5C924601" w14:textId="77777777" w:rsidR="002E4453" w:rsidRDefault="002E4453">
            <w:pPr>
              <w:spacing w:line="276" w:lineRule="auto"/>
              <w:jc w:val="center"/>
              <w:rPr>
                <w:rFonts w:ascii="Times New Roman" w:hAnsi="Times New Roman"/>
                <w:color w:val="000000" w:themeColor="text1"/>
              </w:rPr>
            </w:pPr>
            <w:r>
              <w:rPr>
                <w:rFonts w:ascii="Times New Roman" w:hAnsi="Times New Roman"/>
                <w:color w:val="000000" w:themeColor="text1"/>
              </w:rPr>
              <w:t>Image</w:t>
            </w:r>
          </w:p>
        </w:tc>
        <w:tc>
          <w:tcPr>
            <w:tcW w:w="1932" w:type="dxa"/>
            <w:gridSpan w:val="3"/>
            <w:tcBorders>
              <w:top w:val="single" w:sz="4" w:space="0" w:color="808080"/>
              <w:left w:val="single" w:sz="4" w:space="0" w:color="808080"/>
              <w:bottom w:val="single" w:sz="4" w:space="0" w:color="808080"/>
              <w:right w:val="single" w:sz="4" w:space="0" w:color="808080"/>
            </w:tcBorders>
            <w:shd w:val="clear" w:color="auto" w:fill="FFFFFF"/>
            <w:hideMark/>
          </w:tcPr>
          <w:p w14:paraId="72947146" w14:textId="77777777" w:rsidR="002E4453" w:rsidRDefault="002E4453">
            <w:pPr>
              <w:spacing w:after="0" w:line="276" w:lineRule="auto"/>
              <w:jc w:val="center"/>
              <w:rPr>
                <w:rFonts w:ascii="Times New Roman" w:hAnsi="Times New Roman"/>
              </w:rPr>
            </w:pPr>
            <w:r>
              <w:rPr>
                <w:rFonts w:ascii="Times New Roman" w:hAnsi="Times New Roman"/>
              </w:rPr>
              <w:t>Response</w:t>
            </w:r>
          </w:p>
        </w:tc>
      </w:tr>
      <w:tr w:rsidR="002E4453" w14:paraId="386980FE" w14:textId="77777777" w:rsidTr="002E4453">
        <w:tc>
          <w:tcPr>
            <w:tcW w:w="835" w:type="dxa"/>
            <w:tcBorders>
              <w:top w:val="single" w:sz="4" w:space="0" w:color="808080"/>
              <w:left w:val="single" w:sz="4" w:space="0" w:color="808080"/>
              <w:bottom w:val="single" w:sz="4" w:space="0" w:color="808080"/>
              <w:right w:val="single" w:sz="4" w:space="0" w:color="808080"/>
            </w:tcBorders>
            <w:shd w:val="clear" w:color="auto" w:fill="FFFFFF"/>
            <w:hideMark/>
          </w:tcPr>
          <w:p w14:paraId="47CE6D4B" w14:textId="77777777" w:rsidR="002E4453" w:rsidRDefault="002E4453">
            <w:pPr>
              <w:spacing w:after="0" w:line="276" w:lineRule="auto"/>
              <w:jc w:val="center"/>
              <w:rPr>
                <w:rFonts w:ascii="Times New Roman" w:hAnsi="Times New Roman"/>
              </w:rPr>
            </w:pPr>
            <w:r>
              <w:rPr>
                <w:rFonts w:ascii="Times New Roman" w:hAnsi="Times New Roman"/>
              </w:rPr>
              <w:t>E1</w:t>
            </w:r>
          </w:p>
        </w:tc>
        <w:tc>
          <w:tcPr>
            <w:tcW w:w="6570" w:type="dxa"/>
            <w:tcBorders>
              <w:top w:val="single" w:sz="4" w:space="0" w:color="808080"/>
              <w:left w:val="single" w:sz="4" w:space="0" w:color="808080"/>
              <w:bottom w:val="single" w:sz="4" w:space="0" w:color="808080"/>
              <w:right w:val="single" w:sz="4" w:space="0" w:color="808080"/>
            </w:tcBorders>
            <w:shd w:val="clear" w:color="auto" w:fill="FFFFFF"/>
            <w:hideMark/>
          </w:tcPr>
          <w:p w14:paraId="5543BACD" w14:textId="77777777" w:rsidR="002E4453" w:rsidRDefault="002E4453">
            <w:pPr>
              <w:spacing w:after="0" w:line="276" w:lineRule="auto"/>
              <w:rPr>
                <w:rFonts w:ascii="Times New Roman" w:hAnsi="Times New Roman"/>
              </w:rPr>
            </w:pPr>
            <w:r>
              <w:rPr>
                <w:rFonts w:ascii="Times New Roman" w:hAnsi="Times New Roman"/>
              </w:rPr>
              <w:t>If you show the child an object he/she knows well (e.g., a cup or animal), can he/she consistently name it?</w:t>
            </w:r>
          </w:p>
        </w:tc>
        <w:tc>
          <w:tcPr>
            <w:tcW w:w="869" w:type="dxa"/>
            <w:tcBorders>
              <w:top w:val="single" w:sz="4" w:space="0" w:color="808080"/>
              <w:left w:val="single" w:sz="4" w:space="0" w:color="808080"/>
              <w:bottom w:val="single" w:sz="4" w:space="0" w:color="808080"/>
              <w:right w:val="single" w:sz="4" w:space="0" w:color="808080"/>
            </w:tcBorders>
            <w:shd w:val="clear" w:color="auto" w:fill="FFFFFF"/>
          </w:tcPr>
          <w:p w14:paraId="22621B2C" w14:textId="77777777" w:rsidR="002E4453" w:rsidRDefault="002E4453">
            <w:pPr>
              <w:spacing w:after="200" w:line="276" w:lineRule="auto"/>
              <w:jc w:val="center"/>
              <w:rPr>
                <w:rFonts w:ascii="Times New Roman" w:hAnsi="Times New Roman"/>
                <w:color w:val="000000" w:themeColor="text1"/>
              </w:rPr>
            </w:pPr>
          </w:p>
        </w:tc>
        <w:tc>
          <w:tcPr>
            <w:tcW w:w="571" w:type="dxa"/>
            <w:tcBorders>
              <w:top w:val="single" w:sz="4" w:space="0" w:color="808080"/>
              <w:left w:val="single" w:sz="4" w:space="0" w:color="808080"/>
              <w:bottom w:val="single" w:sz="4" w:space="0" w:color="808080"/>
              <w:right w:val="single" w:sz="4" w:space="0" w:color="808080"/>
            </w:tcBorders>
            <w:shd w:val="clear" w:color="auto" w:fill="FFFFFF"/>
            <w:hideMark/>
          </w:tcPr>
          <w:p w14:paraId="28B93284" w14:textId="77777777" w:rsidR="002E4453" w:rsidRDefault="002E4453">
            <w:pPr>
              <w:spacing w:after="0" w:line="276" w:lineRule="auto"/>
              <w:jc w:val="center"/>
              <w:rPr>
                <w:rFonts w:ascii="Times New Roman" w:hAnsi="Times New Roman"/>
              </w:rPr>
            </w:pPr>
            <w:r>
              <w:rPr>
                <w:rFonts w:ascii="Times New Roman" w:hAnsi="Times New Roman"/>
              </w:rPr>
              <w:t xml:space="preserve">Yes </w:t>
            </w:r>
          </w:p>
        </w:tc>
        <w:tc>
          <w:tcPr>
            <w:tcW w:w="656" w:type="dxa"/>
            <w:tcBorders>
              <w:top w:val="single" w:sz="4" w:space="0" w:color="808080"/>
              <w:left w:val="single" w:sz="4" w:space="0" w:color="808080"/>
              <w:bottom w:val="single" w:sz="4" w:space="0" w:color="808080"/>
              <w:right w:val="single" w:sz="4" w:space="0" w:color="808080"/>
            </w:tcBorders>
            <w:shd w:val="clear" w:color="auto" w:fill="FFFFFF"/>
            <w:hideMark/>
          </w:tcPr>
          <w:p w14:paraId="63D3A906" w14:textId="77777777" w:rsidR="002E4453" w:rsidRDefault="002E4453">
            <w:pPr>
              <w:spacing w:after="0" w:line="276" w:lineRule="auto"/>
              <w:jc w:val="center"/>
              <w:rPr>
                <w:rFonts w:ascii="Times New Roman" w:hAnsi="Times New Roman"/>
              </w:rPr>
            </w:pPr>
            <w:r>
              <w:rPr>
                <w:rFonts w:ascii="Times New Roman" w:hAnsi="Times New Roman"/>
              </w:rPr>
              <w:t>No</w:t>
            </w:r>
          </w:p>
        </w:tc>
        <w:tc>
          <w:tcPr>
            <w:tcW w:w="705" w:type="dxa"/>
            <w:tcBorders>
              <w:top w:val="single" w:sz="4" w:space="0" w:color="808080"/>
              <w:left w:val="single" w:sz="4" w:space="0" w:color="808080"/>
              <w:bottom w:val="single" w:sz="4" w:space="0" w:color="808080"/>
              <w:right w:val="single" w:sz="4" w:space="0" w:color="808080"/>
            </w:tcBorders>
            <w:shd w:val="clear" w:color="auto" w:fill="FFFFFF"/>
            <w:hideMark/>
          </w:tcPr>
          <w:p w14:paraId="4A08386D" w14:textId="77777777" w:rsidR="002E4453" w:rsidRDefault="002E4453">
            <w:pPr>
              <w:spacing w:after="0" w:line="276" w:lineRule="auto"/>
              <w:jc w:val="center"/>
              <w:rPr>
                <w:rFonts w:ascii="Times New Roman" w:hAnsi="Times New Roman"/>
              </w:rPr>
            </w:pPr>
            <w:r>
              <w:rPr>
                <w:rFonts w:ascii="Times New Roman" w:hAnsi="Times New Roman"/>
              </w:rPr>
              <w:t>DK</w:t>
            </w:r>
          </w:p>
        </w:tc>
      </w:tr>
      <w:tr w:rsidR="002E4453" w14:paraId="7C1FC234" w14:textId="77777777" w:rsidTr="002E4453">
        <w:trPr>
          <w:trHeight w:val="132"/>
        </w:trPr>
        <w:tc>
          <w:tcPr>
            <w:tcW w:w="835" w:type="dxa"/>
            <w:tcBorders>
              <w:top w:val="single" w:sz="4" w:space="0" w:color="808080"/>
              <w:left w:val="single" w:sz="4" w:space="0" w:color="808080"/>
              <w:bottom w:val="single" w:sz="4" w:space="0" w:color="808080"/>
              <w:right w:val="single" w:sz="4" w:space="0" w:color="808080"/>
            </w:tcBorders>
            <w:shd w:val="clear" w:color="auto" w:fill="FFFFFF"/>
            <w:hideMark/>
          </w:tcPr>
          <w:p w14:paraId="4286707B" w14:textId="77777777" w:rsidR="002E4453" w:rsidRDefault="002E4453">
            <w:pPr>
              <w:spacing w:after="0" w:line="276" w:lineRule="auto"/>
              <w:jc w:val="center"/>
              <w:rPr>
                <w:rFonts w:ascii="Times New Roman" w:hAnsi="Times New Roman"/>
              </w:rPr>
            </w:pPr>
            <w:r>
              <w:rPr>
                <w:rFonts w:ascii="Times New Roman" w:hAnsi="Times New Roman"/>
              </w:rPr>
              <w:t>E2</w:t>
            </w:r>
          </w:p>
        </w:tc>
        <w:tc>
          <w:tcPr>
            <w:tcW w:w="6570" w:type="dxa"/>
            <w:tcBorders>
              <w:top w:val="single" w:sz="4" w:space="0" w:color="808080"/>
              <w:left w:val="single" w:sz="4" w:space="0" w:color="808080"/>
              <w:bottom w:val="single" w:sz="4" w:space="0" w:color="808080"/>
              <w:right w:val="single" w:sz="4" w:space="0" w:color="808080"/>
            </w:tcBorders>
            <w:shd w:val="clear" w:color="auto" w:fill="FFFFFF"/>
            <w:hideMark/>
          </w:tcPr>
          <w:p w14:paraId="3A960137" w14:textId="77777777" w:rsidR="002E4453" w:rsidRDefault="002E4453">
            <w:pPr>
              <w:spacing w:after="0" w:line="276" w:lineRule="auto"/>
              <w:rPr>
                <w:rFonts w:ascii="Times New Roman" w:hAnsi="Times New Roman"/>
              </w:rPr>
            </w:pPr>
            <w:r>
              <w:rPr>
                <w:rFonts w:ascii="Times New Roman" w:hAnsi="Times New Roman"/>
              </w:rPr>
              <w:t>Can the child say ten or more separate words (e.g., names like "Mama" or objects like "ball")?</w:t>
            </w:r>
          </w:p>
        </w:tc>
        <w:tc>
          <w:tcPr>
            <w:tcW w:w="869" w:type="dxa"/>
            <w:tcBorders>
              <w:top w:val="single" w:sz="4" w:space="0" w:color="808080"/>
              <w:left w:val="single" w:sz="4" w:space="0" w:color="808080"/>
              <w:bottom w:val="single" w:sz="4" w:space="0" w:color="808080"/>
              <w:right w:val="single" w:sz="4" w:space="0" w:color="808080"/>
            </w:tcBorders>
            <w:shd w:val="clear" w:color="auto" w:fill="FFFFFF"/>
          </w:tcPr>
          <w:p w14:paraId="27B96F5A" w14:textId="77777777" w:rsidR="002E4453" w:rsidRDefault="002E4453">
            <w:pPr>
              <w:spacing w:after="200" w:line="276" w:lineRule="auto"/>
              <w:jc w:val="center"/>
              <w:rPr>
                <w:rFonts w:ascii="Times New Roman" w:hAnsi="Times New Roman"/>
                <w:color w:val="000000" w:themeColor="text1"/>
              </w:rPr>
            </w:pPr>
          </w:p>
        </w:tc>
        <w:tc>
          <w:tcPr>
            <w:tcW w:w="571" w:type="dxa"/>
            <w:tcBorders>
              <w:top w:val="single" w:sz="4" w:space="0" w:color="808080"/>
              <w:left w:val="single" w:sz="4" w:space="0" w:color="808080"/>
              <w:bottom w:val="single" w:sz="4" w:space="0" w:color="808080"/>
              <w:right w:val="single" w:sz="4" w:space="0" w:color="808080"/>
            </w:tcBorders>
            <w:shd w:val="clear" w:color="auto" w:fill="FFFFFF"/>
            <w:hideMark/>
          </w:tcPr>
          <w:p w14:paraId="0FF19768" w14:textId="77777777" w:rsidR="002E4453" w:rsidRDefault="002E4453">
            <w:pPr>
              <w:spacing w:after="0" w:line="276" w:lineRule="auto"/>
              <w:jc w:val="center"/>
              <w:rPr>
                <w:rFonts w:ascii="Times New Roman" w:hAnsi="Times New Roman"/>
              </w:rPr>
            </w:pPr>
            <w:r>
              <w:rPr>
                <w:rFonts w:ascii="Times New Roman" w:hAnsi="Times New Roman"/>
              </w:rPr>
              <w:t>Yes</w:t>
            </w:r>
          </w:p>
        </w:tc>
        <w:tc>
          <w:tcPr>
            <w:tcW w:w="656" w:type="dxa"/>
            <w:tcBorders>
              <w:top w:val="single" w:sz="4" w:space="0" w:color="808080"/>
              <w:left w:val="single" w:sz="4" w:space="0" w:color="808080"/>
              <w:bottom w:val="single" w:sz="4" w:space="0" w:color="808080"/>
              <w:right w:val="single" w:sz="4" w:space="0" w:color="808080"/>
            </w:tcBorders>
            <w:shd w:val="clear" w:color="auto" w:fill="FFFFFF"/>
            <w:hideMark/>
          </w:tcPr>
          <w:p w14:paraId="424A1DBD" w14:textId="77777777" w:rsidR="002E4453" w:rsidRDefault="002E4453">
            <w:pPr>
              <w:spacing w:after="0" w:line="276" w:lineRule="auto"/>
              <w:jc w:val="center"/>
              <w:rPr>
                <w:rFonts w:ascii="Times New Roman" w:hAnsi="Times New Roman"/>
              </w:rPr>
            </w:pPr>
            <w:r>
              <w:rPr>
                <w:rFonts w:ascii="Times New Roman" w:hAnsi="Times New Roman"/>
              </w:rPr>
              <w:t>No</w:t>
            </w:r>
          </w:p>
        </w:tc>
        <w:tc>
          <w:tcPr>
            <w:tcW w:w="705" w:type="dxa"/>
            <w:tcBorders>
              <w:top w:val="single" w:sz="4" w:space="0" w:color="808080"/>
              <w:left w:val="single" w:sz="4" w:space="0" w:color="808080"/>
              <w:bottom w:val="single" w:sz="4" w:space="0" w:color="808080"/>
              <w:right w:val="single" w:sz="4" w:space="0" w:color="808080"/>
            </w:tcBorders>
            <w:shd w:val="clear" w:color="auto" w:fill="FFFFFF"/>
            <w:hideMark/>
          </w:tcPr>
          <w:p w14:paraId="3063B4E7" w14:textId="77777777" w:rsidR="002E4453" w:rsidRDefault="002E4453">
            <w:pPr>
              <w:spacing w:after="0" w:line="276" w:lineRule="auto"/>
              <w:jc w:val="center"/>
              <w:rPr>
                <w:rFonts w:ascii="Times New Roman" w:hAnsi="Times New Roman"/>
              </w:rPr>
            </w:pPr>
            <w:r>
              <w:rPr>
                <w:rFonts w:ascii="Times New Roman" w:hAnsi="Times New Roman"/>
              </w:rPr>
              <w:t>DK</w:t>
            </w:r>
          </w:p>
        </w:tc>
      </w:tr>
      <w:tr w:rsidR="002E4453" w14:paraId="0B2C4837" w14:textId="77777777" w:rsidTr="002E4453">
        <w:trPr>
          <w:trHeight w:val="407"/>
        </w:trPr>
        <w:tc>
          <w:tcPr>
            <w:tcW w:w="835" w:type="dxa"/>
            <w:tcBorders>
              <w:top w:val="single" w:sz="4" w:space="0" w:color="808080"/>
              <w:left w:val="single" w:sz="4" w:space="0" w:color="808080"/>
              <w:bottom w:val="single" w:sz="4" w:space="0" w:color="808080"/>
              <w:right w:val="single" w:sz="4" w:space="0" w:color="808080"/>
            </w:tcBorders>
            <w:shd w:val="clear" w:color="auto" w:fill="FFFFFF"/>
            <w:hideMark/>
          </w:tcPr>
          <w:p w14:paraId="696A3F3F" w14:textId="77777777" w:rsidR="002E4453" w:rsidRDefault="002E4453">
            <w:pPr>
              <w:spacing w:after="0" w:line="276" w:lineRule="auto"/>
              <w:jc w:val="center"/>
              <w:rPr>
                <w:rFonts w:ascii="Times New Roman" w:hAnsi="Times New Roman"/>
              </w:rPr>
            </w:pPr>
            <w:r>
              <w:rPr>
                <w:rFonts w:ascii="Times New Roman" w:hAnsi="Times New Roman"/>
              </w:rPr>
              <w:t>E3</w:t>
            </w:r>
          </w:p>
        </w:tc>
        <w:tc>
          <w:tcPr>
            <w:tcW w:w="6570" w:type="dxa"/>
            <w:tcBorders>
              <w:top w:val="single" w:sz="4" w:space="0" w:color="808080"/>
              <w:left w:val="single" w:sz="4" w:space="0" w:color="808080"/>
              <w:bottom w:val="single" w:sz="4" w:space="0" w:color="808080"/>
              <w:right w:val="single" w:sz="4" w:space="0" w:color="808080"/>
            </w:tcBorders>
            <w:shd w:val="clear" w:color="auto" w:fill="FFFFFF"/>
            <w:hideMark/>
          </w:tcPr>
          <w:p w14:paraId="2C09458E" w14:textId="77777777" w:rsidR="002E4453" w:rsidRDefault="002E4453">
            <w:pPr>
              <w:tabs>
                <w:tab w:val="left" w:pos="1440"/>
              </w:tabs>
              <w:spacing w:after="0" w:line="276" w:lineRule="auto"/>
              <w:rPr>
                <w:rFonts w:ascii="Times New Roman" w:hAnsi="Times New Roman"/>
              </w:rPr>
            </w:pPr>
            <w:r>
              <w:rPr>
                <w:rFonts w:ascii="Times New Roman" w:hAnsi="Times New Roman"/>
              </w:rPr>
              <w:t>Can the child sing a short song or repeat parts of a rhyme from memory by him/herself?</w:t>
            </w:r>
          </w:p>
        </w:tc>
        <w:tc>
          <w:tcPr>
            <w:tcW w:w="869" w:type="dxa"/>
            <w:tcBorders>
              <w:top w:val="single" w:sz="4" w:space="0" w:color="808080"/>
              <w:left w:val="single" w:sz="4" w:space="0" w:color="808080"/>
              <w:bottom w:val="single" w:sz="4" w:space="0" w:color="808080"/>
              <w:right w:val="single" w:sz="4" w:space="0" w:color="808080"/>
            </w:tcBorders>
            <w:shd w:val="clear" w:color="auto" w:fill="FFFFFF"/>
          </w:tcPr>
          <w:p w14:paraId="7ABE211D" w14:textId="77777777" w:rsidR="002E4453" w:rsidRDefault="002E4453">
            <w:pPr>
              <w:spacing w:after="200" w:line="276" w:lineRule="auto"/>
              <w:jc w:val="center"/>
              <w:rPr>
                <w:rFonts w:ascii="Times New Roman" w:hAnsi="Times New Roman"/>
                <w:color w:val="000000" w:themeColor="text1"/>
              </w:rPr>
            </w:pPr>
          </w:p>
        </w:tc>
        <w:tc>
          <w:tcPr>
            <w:tcW w:w="571" w:type="dxa"/>
            <w:tcBorders>
              <w:top w:val="single" w:sz="4" w:space="0" w:color="808080"/>
              <w:left w:val="single" w:sz="4" w:space="0" w:color="808080"/>
              <w:bottom w:val="single" w:sz="4" w:space="0" w:color="808080"/>
              <w:right w:val="single" w:sz="4" w:space="0" w:color="808080"/>
            </w:tcBorders>
            <w:shd w:val="clear" w:color="auto" w:fill="FFFFFF"/>
            <w:hideMark/>
          </w:tcPr>
          <w:p w14:paraId="6B094F24" w14:textId="77777777" w:rsidR="002E4453" w:rsidRDefault="002E4453">
            <w:pPr>
              <w:spacing w:after="0" w:line="276" w:lineRule="auto"/>
              <w:jc w:val="center"/>
              <w:rPr>
                <w:rFonts w:ascii="Times New Roman" w:hAnsi="Times New Roman"/>
              </w:rPr>
            </w:pPr>
            <w:r>
              <w:rPr>
                <w:rFonts w:ascii="Times New Roman" w:hAnsi="Times New Roman"/>
              </w:rPr>
              <w:t xml:space="preserve">Yes </w:t>
            </w:r>
          </w:p>
        </w:tc>
        <w:tc>
          <w:tcPr>
            <w:tcW w:w="656" w:type="dxa"/>
            <w:tcBorders>
              <w:top w:val="single" w:sz="4" w:space="0" w:color="808080"/>
              <w:left w:val="single" w:sz="4" w:space="0" w:color="808080"/>
              <w:bottom w:val="single" w:sz="4" w:space="0" w:color="808080"/>
              <w:right w:val="single" w:sz="4" w:space="0" w:color="808080"/>
            </w:tcBorders>
            <w:shd w:val="clear" w:color="auto" w:fill="FFFFFF"/>
            <w:hideMark/>
          </w:tcPr>
          <w:p w14:paraId="5F2E10C9" w14:textId="77777777" w:rsidR="002E4453" w:rsidRDefault="002E4453">
            <w:pPr>
              <w:spacing w:after="0" w:line="276" w:lineRule="auto"/>
              <w:jc w:val="center"/>
              <w:rPr>
                <w:rFonts w:ascii="Times New Roman" w:hAnsi="Times New Roman"/>
              </w:rPr>
            </w:pPr>
            <w:r>
              <w:rPr>
                <w:rFonts w:ascii="Times New Roman" w:hAnsi="Times New Roman"/>
              </w:rPr>
              <w:t>No</w:t>
            </w:r>
          </w:p>
        </w:tc>
        <w:tc>
          <w:tcPr>
            <w:tcW w:w="705" w:type="dxa"/>
            <w:tcBorders>
              <w:top w:val="single" w:sz="4" w:space="0" w:color="808080"/>
              <w:left w:val="single" w:sz="4" w:space="0" w:color="808080"/>
              <w:bottom w:val="single" w:sz="4" w:space="0" w:color="808080"/>
              <w:right w:val="single" w:sz="4" w:space="0" w:color="808080"/>
            </w:tcBorders>
            <w:shd w:val="clear" w:color="auto" w:fill="FFFFFF"/>
            <w:hideMark/>
          </w:tcPr>
          <w:p w14:paraId="0546E0D7" w14:textId="77777777" w:rsidR="002E4453" w:rsidRDefault="002E4453">
            <w:pPr>
              <w:spacing w:after="0" w:line="276" w:lineRule="auto"/>
              <w:jc w:val="center"/>
              <w:rPr>
                <w:rFonts w:ascii="Times New Roman" w:hAnsi="Times New Roman"/>
              </w:rPr>
            </w:pPr>
            <w:r>
              <w:rPr>
                <w:rFonts w:ascii="Times New Roman" w:hAnsi="Times New Roman"/>
              </w:rPr>
              <w:t>DK</w:t>
            </w:r>
          </w:p>
        </w:tc>
      </w:tr>
      <w:tr w:rsidR="002E4453" w14:paraId="65A3F616" w14:textId="77777777" w:rsidTr="002E4453">
        <w:trPr>
          <w:trHeight w:val="605"/>
        </w:trPr>
        <w:tc>
          <w:tcPr>
            <w:tcW w:w="835" w:type="dxa"/>
            <w:tcBorders>
              <w:top w:val="single" w:sz="4" w:space="0" w:color="808080"/>
              <w:left w:val="single" w:sz="4" w:space="0" w:color="808080"/>
              <w:bottom w:val="single" w:sz="4" w:space="0" w:color="808080"/>
              <w:right w:val="single" w:sz="4" w:space="0" w:color="808080"/>
            </w:tcBorders>
            <w:shd w:val="clear" w:color="auto" w:fill="FFFFFF"/>
            <w:hideMark/>
          </w:tcPr>
          <w:p w14:paraId="3CDB0A9F" w14:textId="77777777" w:rsidR="002E4453" w:rsidRDefault="002E4453">
            <w:pPr>
              <w:spacing w:after="0" w:line="276" w:lineRule="auto"/>
              <w:jc w:val="center"/>
              <w:rPr>
                <w:rFonts w:ascii="Times New Roman" w:hAnsi="Times New Roman"/>
              </w:rPr>
            </w:pPr>
            <w:r>
              <w:rPr>
                <w:rFonts w:ascii="Times New Roman" w:hAnsi="Times New Roman"/>
              </w:rPr>
              <w:t>E4</w:t>
            </w:r>
          </w:p>
        </w:tc>
        <w:tc>
          <w:tcPr>
            <w:tcW w:w="6570" w:type="dxa"/>
            <w:tcBorders>
              <w:top w:val="single" w:sz="4" w:space="0" w:color="808080"/>
              <w:left w:val="single" w:sz="4" w:space="0" w:color="808080"/>
              <w:bottom w:val="single" w:sz="4" w:space="0" w:color="808080"/>
              <w:right w:val="single" w:sz="4" w:space="0" w:color="808080"/>
            </w:tcBorders>
            <w:shd w:val="clear" w:color="auto" w:fill="FFFFFF"/>
            <w:hideMark/>
          </w:tcPr>
          <w:p w14:paraId="3A3348C8" w14:textId="77777777" w:rsidR="002E4453" w:rsidRDefault="002E4453">
            <w:pPr>
              <w:spacing w:after="0" w:line="276" w:lineRule="auto"/>
              <w:rPr>
                <w:rFonts w:ascii="Times New Roman" w:hAnsi="Times New Roman"/>
              </w:rPr>
            </w:pPr>
            <w:r>
              <w:rPr>
                <w:rFonts w:ascii="Times New Roman" w:hAnsi="Times New Roman"/>
              </w:rPr>
              <w:t>Can the child jump with both feet leaving the ground?</w:t>
            </w:r>
          </w:p>
        </w:tc>
        <w:tc>
          <w:tcPr>
            <w:tcW w:w="869" w:type="dxa"/>
            <w:tcBorders>
              <w:top w:val="single" w:sz="4" w:space="0" w:color="808080"/>
              <w:left w:val="single" w:sz="4" w:space="0" w:color="808080"/>
              <w:bottom w:val="single" w:sz="4" w:space="0" w:color="808080"/>
              <w:right w:val="single" w:sz="4" w:space="0" w:color="808080"/>
            </w:tcBorders>
            <w:shd w:val="clear" w:color="auto" w:fill="FFFFFF"/>
            <w:hideMark/>
          </w:tcPr>
          <w:p w14:paraId="5C7C0462" w14:textId="2CC3B1CA" w:rsidR="002E4453" w:rsidRDefault="002E4453">
            <w:pPr>
              <w:spacing w:after="200" w:line="276" w:lineRule="auto"/>
              <w:jc w:val="center"/>
              <w:rPr>
                <w:rFonts w:ascii="Times New Roman" w:hAnsi="Times New Roman"/>
                <w:color w:val="000000" w:themeColor="text1"/>
              </w:rPr>
            </w:pPr>
            <w:r>
              <w:rPr>
                <w:noProof/>
              </w:rPr>
              <w:drawing>
                <wp:inline distT="0" distB="0" distL="0" distR="0" wp14:anchorId="07A42EA3" wp14:editId="5C4A62F8">
                  <wp:extent cx="365760" cy="437515"/>
                  <wp:effectExtent l="0" t="0" r="0" b="63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9"/>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65760" cy="437515"/>
                          </a:xfrm>
                          <a:prstGeom prst="rect">
                            <a:avLst/>
                          </a:prstGeom>
                          <a:noFill/>
                          <a:ln>
                            <a:noFill/>
                          </a:ln>
                        </pic:spPr>
                      </pic:pic>
                    </a:graphicData>
                  </a:graphic>
                </wp:inline>
              </w:drawing>
            </w:r>
          </w:p>
        </w:tc>
        <w:tc>
          <w:tcPr>
            <w:tcW w:w="571" w:type="dxa"/>
            <w:tcBorders>
              <w:top w:val="single" w:sz="4" w:space="0" w:color="808080"/>
              <w:left w:val="single" w:sz="4" w:space="0" w:color="808080"/>
              <w:bottom w:val="single" w:sz="4" w:space="0" w:color="808080"/>
              <w:right w:val="single" w:sz="4" w:space="0" w:color="808080"/>
            </w:tcBorders>
            <w:shd w:val="clear" w:color="auto" w:fill="FFFFFF"/>
            <w:hideMark/>
          </w:tcPr>
          <w:p w14:paraId="1CC11ABD" w14:textId="77777777" w:rsidR="002E4453" w:rsidRDefault="002E4453">
            <w:pPr>
              <w:spacing w:after="0" w:line="276" w:lineRule="auto"/>
              <w:jc w:val="center"/>
              <w:rPr>
                <w:rFonts w:ascii="Times New Roman" w:hAnsi="Times New Roman"/>
              </w:rPr>
            </w:pPr>
            <w:r>
              <w:rPr>
                <w:rFonts w:ascii="Times New Roman" w:hAnsi="Times New Roman"/>
              </w:rPr>
              <w:t>Yes</w:t>
            </w:r>
          </w:p>
        </w:tc>
        <w:tc>
          <w:tcPr>
            <w:tcW w:w="656" w:type="dxa"/>
            <w:tcBorders>
              <w:top w:val="single" w:sz="4" w:space="0" w:color="808080"/>
              <w:left w:val="single" w:sz="4" w:space="0" w:color="808080"/>
              <w:bottom w:val="single" w:sz="4" w:space="0" w:color="808080"/>
              <w:right w:val="single" w:sz="4" w:space="0" w:color="808080"/>
            </w:tcBorders>
            <w:shd w:val="clear" w:color="auto" w:fill="FFFFFF"/>
            <w:hideMark/>
          </w:tcPr>
          <w:p w14:paraId="372B9728" w14:textId="77777777" w:rsidR="002E4453" w:rsidRDefault="002E4453">
            <w:pPr>
              <w:spacing w:after="0" w:line="276" w:lineRule="auto"/>
              <w:jc w:val="center"/>
              <w:rPr>
                <w:rFonts w:ascii="Times New Roman" w:hAnsi="Times New Roman"/>
              </w:rPr>
            </w:pPr>
            <w:r>
              <w:rPr>
                <w:rFonts w:ascii="Times New Roman" w:hAnsi="Times New Roman"/>
              </w:rPr>
              <w:t>No</w:t>
            </w:r>
          </w:p>
        </w:tc>
        <w:tc>
          <w:tcPr>
            <w:tcW w:w="705" w:type="dxa"/>
            <w:tcBorders>
              <w:top w:val="single" w:sz="4" w:space="0" w:color="808080"/>
              <w:left w:val="single" w:sz="4" w:space="0" w:color="808080"/>
              <w:bottom w:val="single" w:sz="4" w:space="0" w:color="808080"/>
              <w:right w:val="single" w:sz="4" w:space="0" w:color="808080"/>
            </w:tcBorders>
            <w:shd w:val="clear" w:color="auto" w:fill="FFFFFF"/>
            <w:hideMark/>
          </w:tcPr>
          <w:p w14:paraId="1E52B2D9" w14:textId="77777777" w:rsidR="002E4453" w:rsidRDefault="002E4453">
            <w:pPr>
              <w:spacing w:after="0" w:line="276" w:lineRule="auto"/>
              <w:jc w:val="center"/>
              <w:rPr>
                <w:rFonts w:ascii="Times New Roman" w:hAnsi="Times New Roman"/>
              </w:rPr>
            </w:pPr>
            <w:r>
              <w:rPr>
                <w:rFonts w:ascii="Times New Roman" w:hAnsi="Times New Roman"/>
              </w:rPr>
              <w:t>DK</w:t>
            </w:r>
          </w:p>
        </w:tc>
      </w:tr>
      <w:tr w:rsidR="002E4453" w14:paraId="6828DC79" w14:textId="77777777" w:rsidTr="002E4453">
        <w:tc>
          <w:tcPr>
            <w:tcW w:w="835" w:type="dxa"/>
            <w:tcBorders>
              <w:top w:val="single" w:sz="4" w:space="0" w:color="808080"/>
              <w:left w:val="single" w:sz="4" w:space="0" w:color="808080"/>
              <w:bottom w:val="single" w:sz="4" w:space="0" w:color="808080"/>
              <w:right w:val="single" w:sz="4" w:space="0" w:color="808080"/>
            </w:tcBorders>
            <w:shd w:val="clear" w:color="auto" w:fill="FFFFFF"/>
            <w:hideMark/>
          </w:tcPr>
          <w:p w14:paraId="5E24A03A" w14:textId="77777777" w:rsidR="002E4453" w:rsidRDefault="002E4453">
            <w:pPr>
              <w:spacing w:after="0" w:line="276" w:lineRule="auto"/>
              <w:jc w:val="center"/>
              <w:rPr>
                <w:rFonts w:ascii="Times New Roman" w:hAnsi="Times New Roman"/>
              </w:rPr>
            </w:pPr>
            <w:r>
              <w:rPr>
                <w:rFonts w:ascii="Times New Roman" w:hAnsi="Times New Roman"/>
              </w:rPr>
              <w:t>E5</w:t>
            </w:r>
          </w:p>
        </w:tc>
        <w:tc>
          <w:tcPr>
            <w:tcW w:w="6570" w:type="dxa"/>
            <w:tcBorders>
              <w:top w:val="single" w:sz="4" w:space="0" w:color="808080"/>
              <w:left w:val="single" w:sz="4" w:space="0" w:color="808080"/>
              <w:bottom w:val="single" w:sz="4" w:space="0" w:color="808080"/>
              <w:right w:val="single" w:sz="4" w:space="0" w:color="808080"/>
            </w:tcBorders>
            <w:shd w:val="clear" w:color="auto" w:fill="FFFFFF"/>
            <w:hideMark/>
          </w:tcPr>
          <w:p w14:paraId="3E23C309" w14:textId="77777777" w:rsidR="002E4453" w:rsidRDefault="002E4453">
            <w:pPr>
              <w:spacing w:after="0" w:line="276" w:lineRule="auto"/>
              <w:rPr>
                <w:rFonts w:ascii="Times New Roman" w:hAnsi="Times New Roman"/>
              </w:rPr>
            </w:pPr>
            <w:r>
              <w:rPr>
                <w:rFonts w:ascii="Times New Roman" w:hAnsi="Times New Roman"/>
              </w:rPr>
              <w:t>Can the child speak using sentences of three or more words that go together (e.g., "I want water" or "The house is big")?</w:t>
            </w:r>
          </w:p>
        </w:tc>
        <w:tc>
          <w:tcPr>
            <w:tcW w:w="869" w:type="dxa"/>
            <w:tcBorders>
              <w:top w:val="single" w:sz="4" w:space="0" w:color="808080"/>
              <w:left w:val="single" w:sz="4" w:space="0" w:color="808080"/>
              <w:bottom w:val="single" w:sz="4" w:space="0" w:color="808080"/>
              <w:right w:val="single" w:sz="4" w:space="0" w:color="808080"/>
            </w:tcBorders>
            <w:shd w:val="clear" w:color="auto" w:fill="FFFFFF"/>
          </w:tcPr>
          <w:p w14:paraId="7CFE14AC" w14:textId="77777777" w:rsidR="002E4453" w:rsidRDefault="002E4453">
            <w:pPr>
              <w:spacing w:after="200" w:line="276" w:lineRule="auto"/>
              <w:jc w:val="center"/>
              <w:rPr>
                <w:rFonts w:ascii="Times New Roman" w:hAnsi="Times New Roman"/>
                <w:color w:val="000000" w:themeColor="text1"/>
              </w:rPr>
            </w:pPr>
          </w:p>
        </w:tc>
        <w:tc>
          <w:tcPr>
            <w:tcW w:w="571" w:type="dxa"/>
            <w:tcBorders>
              <w:top w:val="single" w:sz="4" w:space="0" w:color="808080"/>
              <w:left w:val="single" w:sz="4" w:space="0" w:color="808080"/>
              <w:bottom w:val="single" w:sz="4" w:space="0" w:color="808080"/>
              <w:right w:val="single" w:sz="4" w:space="0" w:color="808080"/>
            </w:tcBorders>
            <w:shd w:val="clear" w:color="auto" w:fill="FFFFFF"/>
            <w:hideMark/>
          </w:tcPr>
          <w:p w14:paraId="3A6BF39C" w14:textId="77777777" w:rsidR="002E4453" w:rsidRDefault="002E4453">
            <w:pPr>
              <w:spacing w:after="0" w:line="276" w:lineRule="auto"/>
              <w:jc w:val="center"/>
              <w:rPr>
                <w:rFonts w:ascii="Times New Roman" w:hAnsi="Times New Roman"/>
              </w:rPr>
            </w:pPr>
            <w:r>
              <w:rPr>
                <w:rFonts w:ascii="Times New Roman" w:hAnsi="Times New Roman"/>
              </w:rPr>
              <w:t xml:space="preserve">Yes </w:t>
            </w:r>
          </w:p>
        </w:tc>
        <w:tc>
          <w:tcPr>
            <w:tcW w:w="656" w:type="dxa"/>
            <w:tcBorders>
              <w:top w:val="single" w:sz="4" w:space="0" w:color="808080"/>
              <w:left w:val="single" w:sz="4" w:space="0" w:color="808080"/>
              <w:bottom w:val="single" w:sz="4" w:space="0" w:color="808080"/>
              <w:right w:val="single" w:sz="4" w:space="0" w:color="808080"/>
            </w:tcBorders>
            <w:shd w:val="clear" w:color="auto" w:fill="FFFFFF"/>
            <w:hideMark/>
          </w:tcPr>
          <w:p w14:paraId="5A6D7B84" w14:textId="77777777" w:rsidR="002E4453" w:rsidRDefault="002E4453">
            <w:pPr>
              <w:spacing w:after="0" w:line="276" w:lineRule="auto"/>
              <w:jc w:val="center"/>
              <w:rPr>
                <w:rFonts w:ascii="Times New Roman" w:hAnsi="Times New Roman"/>
              </w:rPr>
            </w:pPr>
            <w:r>
              <w:rPr>
                <w:rFonts w:ascii="Times New Roman" w:hAnsi="Times New Roman"/>
              </w:rPr>
              <w:t>No</w:t>
            </w:r>
          </w:p>
        </w:tc>
        <w:tc>
          <w:tcPr>
            <w:tcW w:w="705" w:type="dxa"/>
            <w:tcBorders>
              <w:top w:val="single" w:sz="4" w:space="0" w:color="808080"/>
              <w:left w:val="single" w:sz="4" w:space="0" w:color="808080"/>
              <w:bottom w:val="single" w:sz="4" w:space="0" w:color="808080"/>
              <w:right w:val="single" w:sz="4" w:space="0" w:color="808080"/>
            </w:tcBorders>
            <w:shd w:val="clear" w:color="auto" w:fill="FFFFFF"/>
            <w:hideMark/>
          </w:tcPr>
          <w:p w14:paraId="35285A9C" w14:textId="77777777" w:rsidR="002E4453" w:rsidRDefault="002E4453">
            <w:pPr>
              <w:spacing w:after="0" w:line="276" w:lineRule="auto"/>
              <w:jc w:val="center"/>
              <w:rPr>
                <w:rFonts w:ascii="Times New Roman" w:hAnsi="Times New Roman"/>
              </w:rPr>
            </w:pPr>
            <w:r>
              <w:rPr>
                <w:rFonts w:ascii="Times New Roman" w:hAnsi="Times New Roman"/>
              </w:rPr>
              <w:t>DK</w:t>
            </w:r>
          </w:p>
        </w:tc>
      </w:tr>
      <w:tr w:rsidR="002E4453" w14:paraId="7831A1DB" w14:textId="77777777" w:rsidTr="002E4453">
        <w:tc>
          <w:tcPr>
            <w:tcW w:w="835" w:type="dxa"/>
            <w:tcBorders>
              <w:top w:val="single" w:sz="4" w:space="0" w:color="808080"/>
              <w:left w:val="single" w:sz="4" w:space="0" w:color="808080"/>
              <w:bottom w:val="single" w:sz="4" w:space="0" w:color="808080"/>
              <w:right w:val="single" w:sz="4" w:space="0" w:color="808080"/>
            </w:tcBorders>
            <w:shd w:val="clear" w:color="auto" w:fill="FFFFFF"/>
            <w:hideMark/>
          </w:tcPr>
          <w:p w14:paraId="029F0AF1" w14:textId="77777777" w:rsidR="002E4453" w:rsidRDefault="002E4453">
            <w:pPr>
              <w:spacing w:after="0" w:line="276" w:lineRule="auto"/>
              <w:jc w:val="center"/>
              <w:rPr>
                <w:rFonts w:ascii="Times New Roman" w:hAnsi="Times New Roman"/>
              </w:rPr>
            </w:pPr>
            <w:r>
              <w:rPr>
                <w:rFonts w:ascii="Times New Roman" w:hAnsi="Times New Roman"/>
              </w:rPr>
              <w:t>E6</w:t>
            </w:r>
          </w:p>
        </w:tc>
        <w:tc>
          <w:tcPr>
            <w:tcW w:w="6570" w:type="dxa"/>
            <w:tcBorders>
              <w:top w:val="single" w:sz="4" w:space="0" w:color="808080"/>
              <w:left w:val="single" w:sz="4" w:space="0" w:color="808080"/>
              <w:bottom w:val="single" w:sz="4" w:space="0" w:color="808080"/>
              <w:right w:val="single" w:sz="4" w:space="0" w:color="808080"/>
            </w:tcBorders>
            <w:shd w:val="clear" w:color="auto" w:fill="FFFFFF"/>
            <w:hideMark/>
          </w:tcPr>
          <w:p w14:paraId="2A737221" w14:textId="77777777" w:rsidR="002E4453" w:rsidRDefault="002E4453">
            <w:pPr>
              <w:spacing w:after="0" w:line="276" w:lineRule="auto"/>
              <w:rPr>
                <w:rFonts w:ascii="Times New Roman" w:hAnsi="Times New Roman"/>
              </w:rPr>
            </w:pPr>
            <w:r>
              <w:rPr>
                <w:rFonts w:ascii="Times New Roman" w:hAnsi="Times New Roman"/>
              </w:rPr>
              <w:t>Can the child correctly ask questions using any of the words "what," "which," "where," or "who"?</w:t>
            </w:r>
          </w:p>
        </w:tc>
        <w:tc>
          <w:tcPr>
            <w:tcW w:w="869" w:type="dxa"/>
            <w:tcBorders>
              <w:top w:val="single" w:sz="4" w:space="0" w:color="808080"/>
              <w:left w:val="single" w:sz="4" w:space="0" w:color="808080"/>
              <w:bottom w:val="single" w:sz="4" w:space="0" w:color="808080"/>
              <w:right w:val="single" w:sz="4" w:space="0" w:color="808080"/>
            </w:tcBorders>
            <w:shd w:val="clear" w:color="auto" w:fill="FFFFFF"/>
          </w:tcPr>
          <w:p w14:paraId="29EE26C5" w14:textId="77777777" w:rsidR="002E4453" w:rsidRDefault="002E4453">
            <w:pPr>
              <w:spacing w:after="200" w:line="276" w:lineRule="auto"/>
              <w:jc w:val="center"/>
              <w:rPr>
                <w:rFonts w:ascii="Times New Roman" w:hAnsi="Times New Roman"/>
                <w:color w:val="000000" w:themeColor="text1"/>
              </w:rPr>
            </w:pPr>
          </w:p>
        </w:tc>
        <w:tc>
          <w:tcPr>
            <w:tcW w:w="571" w:type="dxa"/>
            <w:tcBorders>
              <w:top w:val="single" w:sz="4" w:space="0" w:color="808080"/>
              <w:left w:val="single" w:sz="4" w:space="0" w:color="808080"/>
              <w:bottom w:val="single" w:sz="4" w:space="0" w:color="808080"/>
              <w:right w:val="single" w:sz="4" w:space="0" w:color="808080"/>
            </w:tcBorders>
            <w:shd w:val="clear" w:color="auto" w:fill="FFFFFF"/>
            <w:hideMark/>
          </w:tcPr>
          <w:p w14:paraId="305228B0" w14:textId="77777777" w:rsidR="002E4453" w:rsidRDefault="002E4453">
            <w:pPr>
              <w:spacing w:after="0" w:line="276" w:lineRule="auto"/>
              <w:jc w:val="center"/>
              <w:rPr>
                <w:rFonts w:ascii="Times New Roman" w:hAnsi="Times New Roman"/>
              </w:rPr>
            </w:pPr>
            <w:r>
              <w:rPr>
                <w:rFonts w:ascii="Times New Roman" w:hAnsi="Times New Roman"/>
              </w:rPr>
              <w:t>Yes</w:t>
            </w:r>
          </w:p>
        </w:tc>
        <w:tc>
          <w:tcPr>
            <w:tcW w:w="656" w:type="dxa"/>
            <w:tcBorders>
              <w:top w:val="single" w:sz="4" w:space="0" w:color="808080"/>
              <w:left w:val="single" w:sz="4" w:space="0" w:color="808080"/>
              <w:bottom w:val="single" w:sz="4" w:space="0" w:color="808080"/>
              <w:right w:val="single" w:sz="4" w:space="0" w:color="808080"/>
            </w:tcBorders>
            <w:shd w:val="clear" w:color="auto" w:fill="FFFFFF"/>
            <w:hideMark/>
          </w:tcPr>
          <w:p w14:paraId="5AEFA899" w14:textId="77777777" w:rsidR="002E4453" w:rsidRDefault="002E4453">
            <w:pPr>
              <w:spacing w:after="0" w:line="276" w:lineRule="auto"/>
              <w:jc w:val="center"/>
              <w:rPr>
                <w:rFonts w:ascii="Times New Roman" w:hAnsi="Times New Roman"/>
              </w:rPr>
            </w:pPr>
            <w:r>
              <w:rPr>
                <w:rFonts w:ascii="Times New Roman" w:hAnsi="Times New Roman"/>
              </w:rPr>
              <w:t>No</w:t>
            </w:r>
          </w:p>
        </w:tc>
        <w:tc>
          <w:tcPr>
            <w:tcW w:w="705" w:type="dxa"/>
            <w:tcBorders>
              <w:top w:val="single" w:sz="4" w:space="0" w:color="808080"/>
              <w:left w:val="single" w:sz="4" w:space="0" w:color="808080"/>
              <w:bottom w:val="single" w:sz="4" w:space="0" w:color="808080"/>
              <w:right w:val="single" w:sz="4" w:space="0" w:color="808080"/>
            </w:tcBorders>
            <w:shd w:val="clear" w:color="auto" w:fill="FFFFFF"/>
            <w:hideMark/>
          </w:tcPr>
          <w:p w14:paraId="3723EC6B" w14:textId="77777777" w:rsidR="002E4453" w:rsidRDefault="002E4453">
            <w:pPr>
              <w:spacing w:after="0" w:line="276" w:lineRule="auto"/>
              <w:jc w:val="center"/>
              <w:rPr>
                <w:rFonts w:ascii="Times New Roman" w:hAnsi="Times New Roman"/>
              </w:rPr>
            </w:pPr>
            <w:r>
              <w:rPr>
                <w:rFonts w:ascii="Times New Roman" w:hAnsi="Times New Roman"/>
              </w:rPr>
              <w:t>DK</w:t>
            </w:r>
          </w:p>
        </w:tc>
      </w:tr>
      <w:tr w:rsidR="002E4453" w14:paraId="578EBB1B" w14:textId="77777777" w:rsidTr="002E4453">
        <w:tc>
          <w:tcPr>
            <w:tcW w:w="835" w:type="dxa"/>
            <w:tcBorders>
              <w:top w:val="single" w:sz="4" w:space="0" w:color="808080"/>
              <w:left w:val="single" w:sz="4" w:space="0" w:color="808080"/>
              <w:bottom w:val="single" w:sz="4" w:space="0" w:color="808080"/>
              <w:right w:val="single" w:sz="4" w:space="0" w:color="808080"/>
            </w:tcBorders>
            <w:shd w:val="clear" w:color="auto" w:fill="FFFFFF"/>
            <w:hideMark/>
          </w:tcPr>
          <w:p w14:paraId="231B385C" w14:textId="77777777" w:rsidR="002E4453" w:rsidRDefault="002E4453">
            <w:pPr>
              <w:spacing w:after="0" w:line="276" w:lineRule="auto"/>
              <w:jc w:val="center"/>
              <w:rPr>
                <w:rFonts w:ascii="Times New Roman" w:hAnsi="Times New Roman"/>
              </w:rPr>
            </w:pPr>
            <w:r>
              <w:rPr>
                <w:rFonts w:ascii="Times New Roman" w:hAnsi="Times New Roman"/>
              </w:rPr>
              <w:lastRenderedPageBreak/>
              <w:t>E7</w:t>
            </w:r>
          </w:p>
        </w:tc>
        <w:tc>
          <w:tcPr>
            <w:tcW w:w="6570" w:type="dxa"/>
            <w:tcBorders>
              <w:top w:val="single" w:sz="4" w:space="0" w:color="808080"/>
              <w:left w:val="single" w:sz="4" w:space="0" w:color="808080"/>
              <w:bottom w:val="single" w:sz="4" w:space="0" w:color="808080"/>
              <w:right w:val="single" w:sz="4" w:space="0" w:color="808080"/>
            </w:tcBorders>
            <w:shd w:val="clear" w:color="auto" w:fill="FFFFFF"/>
            <w:hideMark/>
          </w:tcPr>
          <w:p w14:paraId="664DE72E" w14:textId="77777777" w:rsidR="002E4453" w:rsidRDefault="002E4453">
            <w:pPr>
              <w:spacing w:after="0" w:line="276" w:lineRule="auto"/>
              <w:rPr>
                <w:rFonts w:ascii="Times New Roman" w:hAnsi="Times New Roman"/>
              </w:rPr>
            </w:pPr>
            <w:r>
              <w:rPr>
                <w:rFonts w:ascii="Times New Roman" w:hAnsi="Times New Roman"/>
              </w:rPr>
              <w:t>Can the child correctly use any of the words "I," "you," "she," or "he" (e.g., "I go to store," or "He eats rice")?</w:t>
            </w:r>
          </w:p>
        </w:tc>
        <w:tc>
          <w:tcPr>
            <w:tcW w:w="869" w:type="dxa"/>
            <w:tcBorders>
              <w:top w:val="single" w:sz="4" w:space="0" w:color="808080"/>
              <w:left w:val="single" w:sz="4" w:space="0" w:color="808080"/>
              <w:bottom w:val="single" w:sz="4" w:space="0" w:color="808080"/>
              <w:right w:val="single" w:sz="4" w:space="0" w:color="808080"/>
            </w:tcBorders>
            <w:shd w:val="clear" w:color="auto" w:fill="FFFFFF"/>
          </w:tcPr>
          <w:p w14:paraId="55AAADAC" w14:textId="77777777" w:rsidR="002E4453" w:rsidRDefault="002E4453">
            <w:pPr>
              <w:spacing w:after="200" w:line="276" w:lineRule="auto"/>
              <w:jc w:val="center"/>
              <w:rPr>
                <w:rFonts w:ascii="Times New Roman" w:hAnsi="Times New Roman"/>
                <w:color w:val="000000" w:themeColor="text1"/>
              </w:rPr>
            </w:pPr>
          </w:p>
        </w:tc>
        <w:tc>
          <w:tcPr>
            <w:tcW w:w="571" w:type="dxa"/>
            <w:tcBorders>
              <w:top w:val="single" w:sz="4" w:space="0" w:color="808080"/>
              <w:left w:val="single" w:sz="4" w:space="0" w:color="808080"/>
              <w:bottom w:val="single" w:sz="4" w:space="0" w:color="808080"/>
              <w:right w:val="single" w:sz="4" w:space="0" w:color="808080"/>
            </w:tcBorders>
            <w:shd w:val="clear" w:color="auto" w:fill="FFFFFF"/>
            <w:hideMark/>
          </w:tcPr>
          <w:p w14:paraId="0FD570C9" w14:textId="77777777" w:rsidR="002E4453" w:rsidRDefault="002E4453">
            <w:pPr>
              <w:spacing w:after="0" w:line="276" w:lineRule="auto"/>
              <w:jc w:val="center"/>
              <w:rPr>
                <w:rFonts w:ascii="Times New Roman" w:hAnsi="Times New Roman"/>
              </w:rPr>
            </w:pPr>
            <w:r>
              <w:rPr>
                <w:rFonts w:ascii="Times New Roman" w:hAnsi="Times New Roman"/>
              </w:rPr>
              <w:t xml:space="preserve">Yes </w:t>
            </w:r>
          </w:p>
        </w:tc>
        <w:tc>
          <w:tcPr>
            <w:tcW w:w="656" w:type="dxa"/>
            <w:tcBorders>
              <w:top w:val="single" w:sz="4" w:space="0" w:color="808080"/>
              <w:left w:val="single" w:sz="4" w:space="0" w:color="808080"/>
              <w:bottom w:val="single" w:sz="4" w:space="0" w:color="808080"/>
              <w:right w:val="single" w:sz="4" w:space="0" w:color="808080"/>
            </w:tcBorders>
            <w:shd w:val="clear" w:color="auto" w:fill="FFFFFF"/>
            <w:hideMark/>
          </w:tcPr>
          <w:p w14:paraId="0A548592" w14:textId="77777777" w:rsidR="002E4453" w:rsidRDefault="002E4453">
            <w:pPr>
              <w:spacing w:after="0" w:line="276" w:lineRule="auto"/>
              <w:jc w:val="center"/>
              <w:rPr>
                <w:rFonts w:ascii="Times New Roman" w:hAnsi="Times New Roman"/>
              </w:rPr>
            </w:pPr>
            <w:r>
              <w:rPr>
                <w:rFonts w:ascii="Times New Roman" w:hAnsi="Times New Roman"/>
              </w:rPr>
              <w:t>No</w:t>
            </w:r>
          </w:p>
        </w:tc>
        <w:tc>
          <w:tcPr>
            <w:tcW w:w="705" w:type="dxa"/>
            <w:tcBorders>
              <w:top w:val="single" w:sz="4" w:space="0" w:color="808080"/>
              <w:left w:val="single" w:sz="4" w:space="0" w:color="808080"/>
              <w:bottom w:val="single" w:sz="4" w:space="0" w:color="808080"/>
              <w:right w:val="single" w:sz="4" w:space="0" w:color="808080"/>
            </w:tcBorders>
            <w:shd w:val="clear" w:color="auto" w:fill="FFFFFF"/>
            <w:hideMark/>
          </w:tcPr>
          <w:p w14:paraId="6794EE81" w14:textId="77777777" w:rsidR="002E4453" w:rsidRDefault="002E4453">
            <w:pPr>
              <w:spacing w:after="0" w:line="276" w:lineRule="auto"/>
              <w:jc w:val="center"/>
              <w:rPr>
                <w:rFonts w:ascii="Times New Roman" w:hAnsi="Times New Roman"/>
              </w:rPr>
            </w:pPr>
            <w:r>
              <w:rPr>
                <w:rFonts w:ascii="Times New Roman" w:hAnsi="Times New Roman"/>
              </w:rPr>
              <w:t>DK</w:t>
            </w:r>
          </w:p>
        </w:tc>
      </w:tr>
      <w:tr w:rsidR="002E4453" w14:paraId="66C6342D" w14:textId="77777777" w:rsidTr="002E4453">
        <w:tc>
          <w:tcPr>
            <w:tcW w:w="835" w:type="dxa"/>
            <w:tcBorders>
              <w:top w:val="single" w:sz="4" w:space="0" w:color="808080"/>
              <w:left w:val="single" w:sz="4" w:space="0" w:color="808080"/>
              <w:bottom w:val="single" w:sz="4" w:space="0" w:color="808080"/>
              <w:right w:val="single" w:sz="4" w:space="0" w:color="808080"/>
            </w:tcBorders>
            <w:shd w:val="clear" w:color="auto" w:fill="FFFFFF"/>
            <w:hideMark/>
          </w:tcPr>
          <w:p w14:paraId="19ACD866" w14:textId="77777777" w:rsidR="002E4453" w:rsidRDefault="002E4453">
            <w:pPr>
              <w:spacing w:after="0" w:line="276" w:lineRule="auto"/>
              <w:jc w:val="center"/>
              <w:rPr>
                <w:rFonts w:ascii="Times New Roman" w:hAnsi="Times New Roman"/>
              </w:rPr>
            </w:pPr>
            <w:r>
              <w:rPr>
                <w:rFonts w:ascii="Times New Roman" w:hAnsi="Times New Roman"/>
              </w:rPr>
              <w:t>E8</w:t>
            </w:r>
          </w:p>
        </w:tc>
        <w:tc>
          <w:tcPr>
            <w:tcW w:w="6570" w:type="dxa"/>
            <w:tcBorders>
              <w:top w:val="single" w:sz="4" w:space="0" w:color="808080"/>
              <w:left w:val="single" w:sz="4" w:space="0" w:color="808080"/>
              <w:bottom w:val="single" w:sz="4" w:space="0" w:color="808080"/>
              <w:right w:val="single" w:sz="4" w:space="0" w:color="808080"/>
            </w:tcBorders>
            <w:shd w:val="clear" w:color="auto" w:fill="FFFFFF"/>
            <w:hideMark/>
          </w:tcPr>
          <w:p w14:paraId="16F66F83" w14:textId="77777777" w:rsidR="002E4453" w:rsidRDefault="002E4453">
            <w:pPr>
              <w:spacing w:after="0" w:line="276" w:lineRule="auto"/>
              <w:rPr>
                <w:rFonts w:ascii="Times New Roman" w:hAnsi="Times New Roman"/>
              </w:rPr>
            </w:pPr>
            <w:r>
              <w:rPr>
                <w:rFonts w:ascii="Times New Roman" w:hAnsi="Times New Roman"/>
              </w:rPr>
              <w:t>Does the child ask about familiar people other than parents when they are not there (e.g., "Where is the neighbor?")?</w:t>
            </w:r>
          </w:p>
        </w:tc>
        <w:tc>
          <w:tcPr>
            <w:tcW w:w="869" w:type="dxa"/>
            <w:tcBorders>
              <w:top w:val="single" w:sz="4" w:space="0" w:color="808080"/>
              <w:left w:val="single" w:sz="4" w:space="0" w:color="808080"/>
              <w:bottom w:val="single" w:sz="4" w:space="0" w:color="808080"/>
              <w:right w:val="single" w:sz="4" w:space="0" w:color="808080"/>
            </w:tcBorders>
            <w:shd w:val="clear" w:color="auto" w:fill="FFFFFF"/>
          </w:tcPr>
          <w:p w14:paraId="0720BFBF" w14:textId="77777777" w:rsidR="002E4453" w:rsidRDefault="002E4453">
            <w:pPr>
              <w:spacing w:after="200" w:line="276" w:lineRule="auto"/>
              <w:jc w:val="center"/>
              <w:rPr>
                <w:rFonts w:ascii="Times New Roman" w:hAnsi="Times New Roman"/>
                <w:color w:val="000000" w:themeColor="text1"/>
              </w:rPr>
            </w:pPr>
          </w:p>
        </w:tc>
        <w:tc>
          <w:tcPr>
            <w:tcW w:w="571" w:type="dxa"/>
            <w:tcBorders>
              <w:top w:val="single" w:sz="4" w:space="0" w:color="808080"/>
              <w:left w:val="single" w:sz="4" w:space="0" w:color="808080"/>
              <w:bottom w:val="single" w:sz="4" w:space="0" w:color="808080"/>
              <w:right w:val="single" w:sz="4" w:space="0" w:color="808080"/>
            </w:tcBorders>
            <w:shd w:val="clear" w:color="auto" w:fill="FFFFFF"/>
            <w:hideMark/>
          </w:tcPr>
          <w:p w14:paraId="0E68BCFC" w14:textId="77777777" w:rsidR="002E4453" w:rsidRDefault="002E4453">
            <w:pPr>
              <w:spacing w:after="0" w:line="276" w:lineRule="auto"/>
              <w:jc w:val="center"/>
              <w:rPr>
                <w:rFonts w:ascii="Times New Roman" w:hAnsi="Times New Roman"/>
              </w:rPr>
            </w:pPr>
            <w:r>
              <w:rPr>
                <w:rFonts w:ascii="Times New Roman" w:hAnsi="Times New Roman"/>
              </w:rPr>
              <w:t xml:space="preserve">Yes </w:t>
            </w:r>
          </w:p>
        </w:tc>
        <w:tc>
          <w:tcPr>
            <w:tcW w:w="656" w:type="dxa"/>
            <w:tcBorders>
              <w:top w:val="single" w:sz="4" w:space="0" w:color="808080"/>
              <w:left w:val="single" w:sz="4" w:space="0" w:color="808080"/>
              <w:bottom w:val="single" w:sz="4" w:space="0" w:color="808080"/>
              <w:right w:val="single" w:sz="4" w:space="0" w:color="808080"/>
            </w:tcBorders>
            <w:shd w:val="clear" w:color="auto" w:fill="FFFFFF"/>
            <w:hideMark/>
          </w:tcPr>
          <w:p w14:paraId="6326C4AB" w14:textId="77777777" w:rsidR="002E4453" w:rsidRDefault="002E4453">
            <w:pPr>
              <w:spacing w:after="0" w:line="276" w:lineRule="auto"/>
              <w:jc w:val="center"/>
              <w:rPr>
                <w:rFonts w:ascii="Times New Roman" w:hAnsi="Times New Roman"/>
              </w:rPr>
            </w:pPr>
            <w:r>
              <w:rPr>
                <w:rFonts w:ascii="Times New Roman" w:hAnsi="Times New Roman"/>
              </w:rPr>
              <w:t>No</w:t>
            </w:r>
          </w:p>
        </w:tc>
        <w:tc>
          <w:tcPr>
            <w:tcW w:w="705" w:type="dxa"/>
            <w:tcBorders>
              <w:top w:val="single" w:sz="4" w:space="0" w:color="808080"/>
              <w:left w:val="single" w:sz="4" w:space="0" w:color="808080"/>
              <w:bottom w:val="single" w:sz="4" w:space="0" w:color="808080"/>
              <w:right w:val="single" w:sz="4" w:space="0" w:color="808080"/>
            </w:tcBorders>
            <w:shd w:val="clear" w:color="auto" w:fill="FFFFFF"/>
            <w:hideMark/>
          </w:tcPr>
          <w:p w14:paraId="6153CC01" w14:textId="77777777" w:rsidR="002E4453" w:rsidRDefault="002E4453">
            <w:pPr>
              <w:spacing w:after="0" w:line="276" w:lineRule="auto"/>
              <w:jc w:val="center"/>
              <w:rPr>
                <w:rFonts w:ascii="Times New Roman" w:hAnsi="Times New Roman"/>
              </w:rPr>
            </w:pPr>
            <w:r>
              <w:rPr>
                <w:rFonts w:ascii="Times New Roman" w:hAnsi="Times New Roman"/>
              </w:rPr>
              <w:t>DK</w:t>
            </w:r>
          </w:p>
        </w:tc>
      </w:tr>
      <w:tr w:rsidR="002E4453" w14:paraId="1AC31AF5" w14:textId="77777777" w:rsidTr="002E4453">
        <w:tc>
          <w:tcPr>
            <w:tcW w:w="835" w:type="dxa"/>
            <w:tcBorders>
              <w:top w:val="single" w:sz="4" w:space="0" w:color="808080"/>
              <w:left w:val="single" w:sz="4" w:space="0" w:color="808080"/>
              <w:bottom w:val="single" w:sz="4" w:space="0" w:color="808080"/>
              <w:right w:val="single" w:sz="4" w:space="0" w:color="808080"/>
            </w:tcBorders>
            <w:shd w:val="clear" w:color="auto" w:fill="FFFFFF"/>
            <w:hideMark/>
          </w:tcPr>
          <w:p w14:paraId="5CCC9F2D" w14:textId="77777777" w:rsidR="002E4453" w:rsidRDefault="002E4453">
            <w:pPr>
              <w:spacing w:after="0" w:line="276" w:lineRule="auto"/>
              <w:jc w:val="center"/>
              <w:rPr>
                <w:rFonts w:ascii="Times New Roman" w:hAnsi="Times New Roman"/>
              </w:rPr>
            </w:pPr>
            <w:r>
              <w:rPr>
                <w:rFonts w:ascii="Times New Roman" w:hAnsi="Times New Roman"/>
              </w:rPr>
              <w:t>E9</w:t>
            </w:r>
          </w:p>
        </w:tc>
        <w:tc>
          <w:tcPr>
            <w:tcW w:w="6570" w:type="dxa"/>
            <w:tcBorders>
              <w:top w:val="single" w:sz="4" w:space="0" w:color="808080"/>
              <w:left w:val="single" w:sz="4" w:space="0" w:color="808080"/>
              <w:bottom w:val="single" w:sz="4" w:space="0" w:color="808080"/>
              <w:right w:val="single" w:sz="4" w:space="0" w:color="808080"/>
            </w:tcBorders>
            <w:shd w:val="clear" w:color="auto" w:fill="FFFFFF"/>
            <w:hideMark/>
          </w:tcPr>
          <w:p w14:paraId="310372B7" w14:textId="77777777" w:rsidR="002E4453" w:rsidRDefault="002E4453">
            <w:pPr>
              <w:spacing w:after="0" w:line="276" w:lineRule="auto"/>
              <w:rPr>
                <w:rFonts w:ascii="Times New Roman" w:hAnsi="Times New Roman"/>
              </w:rPr>
            </w:pPr>
            <w:r>
              <w:rPr>
                <w:rFonts w:ascii="Times New Roman" w:hAnsi="Times New Roman"/>
              </w:rPr>
              <w:t>Can the child count up to five objects (e.g., fingers, people)?</w:t>
            </w:r>
          </w:p>
        </w:tc>
        <w:tc>
          <w:tcPr>
            <w:tcW w:w="869" w:type="dxa"/>
            <w:tcBorders>
              <w:top w:val="single" w:sz="4" w:space="0" w:color="808080"/>
              <w:left w:val="single" w:sz="4" w:space="0" w:color="808080"/>
              <w:bottom w:val="single" w:sz="4" w:space="0" w:color="808080"/>
              <w:right w:val="single" w:sz="4" w:space="0" w:color="808080"/>
            </w:tcBorders>
            <w:shd w:val="clear" w:color="auto" w:fill="FFFFFF"/>
          </w:tcPr>
          <w:p w14:paraId="6C54A980" w14:textId="77777777" w:rsidR="002E4453" w:rsidRDefault="002E4453">
            <w:pPr>
              <w:spacing w:after="200" w:line="276" w:lineRule="auto"/>
              <w:jc w:val="center"/>
              <w:rPr>
                <w:rFonts w:ascii="Times New Roman" w:hAnsi="Times New Roman"/>
                <w:color w:val="000000" w:themeColor="text1"/>
              </w:rPr>
            </w:pPr>
          </w:p>
        </w:tc>
        <w:tc>
          <w:tcPr>
            <w:tcW w:w="571" w:type="dxa"/>
            <w:tcBorders>
              <w:top w:val="single" w:sz="4" w:space="0" w:color="808080"/>
              <w:left w:val="single" w:sz="4" w:space="0" w:color="808080"/>
              <w:bottom w:val="single" w:sz="4" w:space="0" w:color="808080"/>
              <w:right w:val="single" w:sz="4" w:space="0" w:color="808080"/>
            </w:tcBorders>
            <w:shd w:val="clear" w:color="auto" w:fill="FFFFFF"/>
            <w:hideMark/>
          </w:tcPr>
          <w:p w14:paraId="06F7773C" w14:textId="77777777" w:rsidR="002E4453" w:rsidRDefault="002E4453">
            <w:pPr>
              <w:spacing w:after="0" w:line="276" w:lineRule="auto"/>
              <w:jc w:val="center"/>
              <w:rPr>
                <w:rFonts w:ascii="Times New Roman" w:hAnsi="Times New Roman"/>
              </w:rPr>
            </w:pPr>
            <w:r>
              <w:rPr>
                <w:rFonts w:ascii="Times New Roman" w:hAnsi="Times New Roman"/>
              </w:rPr>
              <w:t>Yes</w:t>
            </w:r>
          </w:p>
        </w:tc>
        <w:tc>
          <w:tcPr>
            <w:tcW w:w="656" w:type="dxa"/>
            <w:tcBorders>
              <w:top w:val="single" w:sz="4" w:space="0" w:color="808080"/>
              <w:left w:val="single" w:sz="4" w:space="0" w:color="808080"/>
              <w:bottom w:val="single" w:sz="4" w:space="0" w:color="808080"/>
              <w:right w:val="single" w:sz="4" w:space="0" w:color="808080"/>
            </w:tcBorders>
            <w:shd w:val="clear" w:color="auto" w:fill="FFFFFF"/>
            <w:hideMark/>
          </w:tcPr>
          <w:p w14:paraId="5EA5E348" w14:textId="77777777" w:rsidR="002E4453" w:rsidRDefault="002E4453">
            <w:pPr>
              <w:spacing w:after="0" w:line="276" w:lineRule="auto"/>
              <w:jc w:val="center"/>
              <w:rPr>
                <w:rFonts w:ascii="Times New Roman" w:hAnsi="Times New Roman"/>
              </w:rPr>
            </w:pPr>
            <w:r>
              <w:rPr>
                <w:rFonts w:ascii="Times New Roman" w:hAnsi="Times New Roman"/>
              </w:rPr>
              <w:t>No</w:t>
            </w:r>
          </w:p>
        </w:tc>
        <w:tc>
          <w:tcPr>
            <w:tcW w:w="705" w:type="dxa"/>
            <w:tcBorders>
              <w:top w:val="single" w:sz="4" w:space="0" w:color="808080"/>
              <w:left w:val="single" w:sz="4" w:space="0" w:color="808080"/>
              <w:bottom w:val="single" w:sz="4" w:space="0" w:color="808080"/>
              <w:right w:val="single" w:sz="4" w:space="0" w:color="808080"/>
            </w:tcBorders>
            <w:shd w:val="clear" w:color="auto" w:fill="FFFFFF"/>
            <w:hideMark/>
          </w:tcPr>
          <w:p w14:paraId="1D0D1AA0" w14:textId="77777777" w:rsidR="002E4453" w:rsidRDefault="002E4453">
            <w:pPr>
              <w:spacing w:after="0" w:line="276" w:lineRule="auto"/>
              <w:jc w:val="center"/>
              <w:rPr>
                <w:rFonts w:ascii="Times New Roman" w:hAnsi="Times New Roman"/>
              </w:rPr>
            </w:pPr>
            <w:r>
              <w:rPr>
                <w:rFonts w:ascii="Times New Roman" w:hAnsi="Times New Roman"/>
              </w:rPr>
              <w:t>DK</w:t>
            </w:r>
          </w:p>
        </w:tc>
      </w:tr>
      <w:tr w:rsidR="002E4453" w14:paraId="0BE669E2" w14:textId="77777777" w:rsidTr="002E4453">
        <w:trPr>
          <w:trHeight w:val="375"/>
        </w:trPr>
        <w:tc>
          <w:tcPr>
            <w:tcW w:w="835" w:type="dxa"/>
            <w:tcBorders>
              <w:top w:val="single" w:sz="4" w:space="0" w:color="808080"/>
              <w:left w:val="single" w:sz="4" w:space="0" w:color="808080"/>
              <w:bottom w:val="single" w:sz="4" w:space="0" w:color="808080"/>
              <w:right w:val="single" w:sz="4" w:space="0" w:color="808080"/>
            </w:tcBorders>
            <w:shd w:val="clear" w:color="auto" w:fill="FFFFFF"/>
            <w:hideMark/>
          </w:tcPr>
          <w:p w14:paraId="49EDF0A3" w14:textId="77777777" w:rsidR="002E4453" w:rsidRDefault="002E4453">
            <w:pPr>
              <w:spacing w:after="0" w:line="276" w:lineRule="auto"/>
              <w:jc w:val="center"/>
              <w:rPr>
                <w:rFonts w:ascii="Times New Roman" w:hAnsi="Times New Roman"/>
              </w:rPr>
            </w:pPr>
            <w:r>
              <w:rPr>
                <w:rFonts w:ascii="Times New Roman" w:hAnsi="Times New Roman"/>
              </w:rPr>
              <w:t>E10</w:t>
            </w:r>
          </w:p>
        </w:tc>
        <w:tc>
          <w:tcPr>
            <w:tcW w:w="6570" w:type="dxa"/>
            <w:tcBorders>
              <w:top w:val="single" w:sz="4" w:space="0" w:color="808080"/>
              <w:left w:val="single" w:sz="4" w:space="0" w:color="808080"/>
              <w:bottom w:val="single" w:sz="4" w:space="0" w:color="808080"/>
              <w:right w:val="single" w:sz="4" w:space="0" w:color="808080"/>
            </w:tcBorders>
            <w:shd w:val="clear" w:color="auto" w:fill="FFFFFF"/>
            <w:hideMark/>
          </w:tcPr>
          <w:p w14:paraId="48356991" w14:textId="77777777" w:rsidR="002E4453" w:rsidRDefault="002E4453">
            <w:pPr>
              <w:spacing w:after="0" w:line="276" w:lineRule="auto"/>
              <w:rPr>
                <w:rFonts w:ascii="Times New Roman" w:hAnsi="Times New Roman"/>
              </w:rPr>
            </w:pPr>
            <w:r>
              <w:rPr>
                <w:rFonts w:ascii="Times New Roman" w:hAnsi="Times New Roman"/>
              </w:rPr>
              <w:t>Can the child identify at least one color (e.g., red, blue, yellow)?</w:t>
            </w:r>
          </w:p>
        </w:tc>
        <w:tc>
          <w:tcPr>
            <w:tcW w:w="869" w:type="dxa"/>
            <w:tcBorders>
              <w:top w:val="single" w:sz="4" w:space="0" w:color="808080"/>
              <w:left w:val="single" w:sz="4" w:space="0" w:color="808080"/>
              <w:bottom w:val="single" w:sz="4" w:space="0" w:color="808080"/>
              <w:right w:val="single" w:sz="4" w:space="0" w:color="808080"/>
            </w:tcBorders>
            <w:shd w:val="clear" w:color="auto" w:fill="FFFFFF"/>
          </w:tcPr>
          <w:p w14:paraId="441FBD09" w14:textId="77777777" w:rsidR="002E4453" w:rsidRDefault="002E4453">
            <w:pPr>
              <w:spacing w:after="200" w:line="276" w:lineRule="auto"/>
              <w:jc w:val="center"/>
              <w:rPr>
                <w:rFonts w:ascii="Times New Roman" w:hAnsi="Times New Roman"/>
                <w:color w:val="000000" w:themeColor="text1"/>
              </w:rPr>
            </w:pPr>
          </w:p>
        </w:tc>
        <w:tc>
          <w:tcPr>
            <w:tcW w:w="571" w:type="dxa"/>
            <w:tcBorders>
              <w:top w:val="single" w:sz="4" w:space="0" w:color="808080"/>
              <w:left w:val="single" w:sz="4" w:space="0" w:color="808080"/>
              <w:bottom w:val="single" w:sz="4" w:space="0" w:color="808080"/>
              <w:right w:val="single" w:sz="4" w:space="0" w:color="808080"/>
            </w:tcBorders>
            <w:shd w:val="clear" w:color="auto" w:fill="FFFFFF"/>
            <w:hideMark/>
          </w:tcPr>
          <w:p w14:paraId="10A3E88D" w14:textId="77777777" w:rsidR="002E4453" w:rsidRDefault="002E4453">
            <w:pPr>
              <w:spacing w:after="0" w:line="276" w:lineRule="auto"/>
              <w:jc w:val="center"/>
              <w:rPr>
                <w:rFonts w:ascii="Times New Roman" w:hAnsi="Times New Roman"/>
              </w:rPr>
            </w:pPr>
            <w:r>
              <w:rPr>
                <w:rFonts w:ascii="Times New Roman" w:hAnsi="Times New Roman"/>
              </w:rPr>
              <w:t xml:space="preserve">Yes </w:t>
            </w:r>
          </w:p>
        </w:tc>
        <w:tc>
          <w:tcPr>
            <w:tcW w:w="656" w:type="dxa"/>
            <w:tcBorders>
              <w:top w:val="single" w:sz="4" w:space="0" w:color="808080"/>
              <w:left w:val="single" w:sz="4" w:space="0" w:color="808080"/>
              <w:bottom w:val="single" w:sz="4" w:space="0" w:color="808080"/>
              <w:right w:val="single" w:sz="4" w:space="0" w:color="808080"/>
            </w:tcBorders>
            <w:shd w:val="clear" w:color="auto" w:fill="FFFFFF"/>
            <w:hideMark/>
          </w:tcPr>
          <w:p w14:paraId="7B1D1A5F" w14:textId="77777777" w:rsidR="002E4453" w:rsidRDefault="002E4453">
            <w:pPr>
              <w:spacing w:after="0" w:line="276" w:lineRule="auto"/>
              <w:jc w:val="center"/>
              <w:rPr>
                <w:rFonts w:ascii="Times New Roman" w:hAnsi="Times New Roman"/>
              </w:rPr>
            </w:pPr>
            <w:r>
              <w:rPr>
                <w:rFonts w:ascii="Times New Roman" w:hAnsi="Times New Roman"/>
              </w:rPr>
              <w:t>No</w:t>
            </w:r>
          </w:p>
        </w:tc>
        <w:tc>
          <w:tcPr>
            <w:tcW w:w="705" w:type="dxa"/>
            <w:tcBorders>
              <w:top w:val="single" w:sz="4" w:space="0" w:color="808080"/>
              <w:left w:val="single" w:sz="4" w:space="0" w:color="808080"/>
              <w:bottom w:val="single" w:sz="4" w:space="0" w:color="808080"/>
              <w:right w:val="single" w:sz="4" w:space="0" w:color="808080"/>
            </w:tcBorders>
            <w:shd w:val="clear" w:color="auto" w:fill="FFFFFF"/>
            <w:hideMark/>
          </w:tcPr>
          <w:p w14:paraId="2689B4B6" w14:textId="77777777" w:rsidR="002E4453" w:rsidRDefault="002E4453">
            <w:pPr>
              <w:spacing w:after="0" w:line="276" w:lineRule="auto"/>
              <w:jc w:val="center"/>
              <w:rPr>
                <w:rFonts w:ascii="Times New Roman" w:hAnsi="Times New Roman"/>
              </w:rPr>
            </w:pPr>
            <w:r>
              <w:rPr>
                <w:rFonts w:ascii="Times New Roman" w:hAnsi="Times New Roman"/>
              </w:rPr>
              <w:t>DK</w:t>
            </w:r>
          </w:p>
        </w:tc>
      </w:tr>
      <w:tr w:rsidR="002E4453" w14:paraId="1308F428" w14:textId="77777777" w:rsidTr="002E4453">
        <w:tc>
          <w:tcPr>
            <w:tcW w:w="835" w:type="dxa"/>
            <w:tcBorders>
              <w:top w:val="single" w:sz="4" w:space="0" w:color="808080"/>
              <w:left w:val="single" w:sz="4" w:space="0" w:color="808080"/>
              <w:bottom w:val="single" w:sz="4" w:space="0" w:color="808080"/>
              <w:right w:val="single" w:sz="4" w:space="0" w:color="808080"/>
            </w:tcBorders>
            <w:shd w:val="clear" w:color="auto" w:fill="FFFFFF"/>
            <w:hideMark/>
          </w:tcPr>
          <w:p w14:paraId="2178CCAF" w14:textId="77777777" w:rsidR="002E4453" w:rsidRDefault="002E4453">
            <w:pPr>
              <w:spacing w:after="0" w:line="276" w:lineRule="auto"/>
              <w:jc w:val="center"/>
              <w:rPr>
                <w:rFonts w:ascii="Times New Roman" w:hAnsi="Times New Roman"/>
              </w:rPr>
            </w:pPr>
            <w:r>
              <w:rPr>
                <w:rFonts w:ascii="Times New Roman" w:hAnsi="Times New Roman"/>
              </w:rPr>
              <w:t>E11</w:t>
            </w:r>
          </w:p>
        </w:tc>
        <w:tc>
          <w:tcPr>
            <w:tcW w:w="6570" w:type="dxa"/>
            <w:tcBorders>
              <w:top w:val="single" w:sz="4" w:space="0" w:color="808080"/>
              <w:left w:val="single" w:sz="4" w:space="0" w:color="808080"/>
              <w:bottom w:val="single" w:sz="4" w:space="0" w:color="808080"/>
              <w:right w:val="single" w:sz="4" w:space="0" w:color="808080"/>
            </w:tcBorders>
            <w:shd w:val="clear" w:color="auto" w:fill="FFFFFF"/>
            <w:hideMark/>
          </w:tcPr>
          <w:p w14:paraId="3251174A" w14:textId="77777777" w:rsidR="002E4453" w:rsidRDefault="002E4453">
            <w:pPr>
              <w:spacing w:after="0" w:line="276" w:lineRule="auto"/>
              <w:rPr>
                <w:rFonts w:ascii="Times New Roman" w:hAnsi="Times New Roman"/>
              </w:rPr>
            </w:pPr>
            <w:r>
              <w:rPr>
                <w:rFonts w:ascii="Times New Roman" w:hAnsi="Times New Roman"/>
              </w:rPr>
              <w:t>Does the child often kick, bite, or hit other children or adults?</w:t>
            </w:r>
          </w:p>
        </w:tc>
        <w:tc>
          <w:tcPr>
            <w:tcW w:w="869" w:type="dxa"/>
            <w:tcBorders>
              <w:top w:val="single" w:sz="4" w:space="0" w:color="808080"/>
              <w:left w:val="single" w:sz="4" w:space="0" w:color="808080"/>
              <w:bottom w:val="single" w:sz="4" w:space="0" w:color="808080"/>
              <w:right w:val="single" w:sz="4" w:space="0" w:color="808080"/>
            </w:tcBorders>
            <w:shd w:val="clear" w:color="auto" w:fill="FFFFFF"/>
          </w:tcPr>
          <w:p w14:paraId="6BF730D2" w14:textId="77777777" w:rsidR="002E4453" w:rsidRDefault="002E4453">
            <w:pPr>
              <w:spacing w:after="200" w:line="276" w:lineRule="auto"/>
              <w:jc w:val="center"/>
              <w:rPr>
                <w:rFonts w:ascii="Times New Roman" w:hAnsi="Times New Roman"/>
                <w:color w:val="000000" w:themeColor="text1"/>
              </w:rPr>
            </w:pPr>
          </w:p>
        </w:tc>
        <w:tc>
          <w:tcPr>
            <w:tcW w:w="571" w:type="dxa"/>
            <w:tcBorders>
              <w:top w:val="single" w:sz="4" w:space="0" w:color="808080"/>
              <w:left w:val="single" w:sz="4" w:space="0" w:color="808080"/>
              <w:bottom w:val="single" w:sz="4" w:space="0" w:color="808080"/>
              <w:right w:val="single" w:sz="4" w:space="0" w:color="808080"/>
            </w:tcBorders>
            <w:shd w:val="clear" w:color="auto" w:fill="FFFFFF"/>
            <w:hideMark/>
          </w:tcPr>
          <w:p w14:paraId="0518D850" w14:textId="77777777" w:rsidR="002E4453" w:rsidRDefault="002E4453">
            <w:pPr>
              <w:spacing w:after="0" w:line="276" w:lineRule="auto"/>
              <w:jc w:val="center"/>
              <w:rPr>
                <w:rFonts w:ascii="Times New Roman" w:hAnsi="Times New Roman"/>
              </w:rPr>
            </w:pPr>
            <w:r>
              <w:rPr>
                <w:rFonts w:ascii="Times New Roman" w:hAnsi="Times New Roman"/>
              </w:rPr>
              <w:t xml:space="preserve">Yes </w:t>
            </w:r>
          </w:p>
        </w:tc>
        <w:tc>
          <w:tcPr>
            <w:tcW w:w="656" w:type="dxa"/>
            <w:tcBorders>
              <w:top w:val="single" w:sz="4" w:space="0" w:color="808080"/>
              <w:left w:val="single" w:sz="4" w:space="0" w:color="808080"/>
              <w:bottom w:val="single" w:sz="4" w:space="0" w:color="808080"/>
              <w:right w:val="single" w:sz="4" w:space="0" w:color="808080"/>
            </w:tcBorders>
            <w:shd w:val="clear" w:color="auto" w:fill="FFFFFF"/>
            <w:hideMark/>
          </w:tcPr>
          <w:p w14:paraId="252F1775" w14:textId="77777777" w:rsidR="002E4453" w:rsidRDefault="002E4453">
            <w:pPr>
              <w:spacing w:after="0" w:line="276" w:lineRule="auto"/>
              <w:jc w:val="center"/>
              <w:rPr>
                <w:rFonts w:ascii="Times New Roman" w:hAnsi="Times New Roman"/>
              </w:rPr>
            </w:pPr>
            <w:r>
              <w:rPr>
                <w:rFonts w:ascii="Times New Roman" w:hAnsi="Times New Roman"/>
              </w:rPr>
              <w:t>No</w:t>
            </w:r>
          </w:p>
        </w:tc>
        <w:tc>
          <w:tcPr>
            <w:tcW w:w="705" w:type="dxa"/>
            <w:tcBorders>
              <w:top w:val="single" w:sz="4" w:space="0" w:color="808080"/>
              <w:left w:val="single" w:sz="4" w:space="0" w:color="808080"/>
              <w:bottom w:val="single" w:sz="4" w:space="0" w:color="808080"/>
              <w:right w:val="single" w:sz="4" w:space="0" w:color="808080"/>
            </w:tcBorders>
            <w:shd w:val="clear" w:color="auto" w:fill="FFFFFF"/>
            <w:hideMark/>
          </w:tcPr>
          <w:p w14:paraId="1AA3A54B" w14:textId="77777777" w:rsidR="002E4453" w:rsidRDefault="002E4453">
            <w:pPr>
              <w:spacing w:after="0" w:line="276" w:lineRule="auto"/>
              <w:jc w:val="center"/>
              <w:rPr>
                <w:rFonts w:ascii="Times New Roman" w:hAnsi="Times New Roman"/>
              </w:rPr>
            </w:pPr>
            <w:r>
              <w:rPr>
                <w:rFonts w:ascii="Times New Roman" w:hAnsi="Times New Roman"/>
              </w:rPr>
              <w:t>DK</w:t>
            </w:r>
          </w:p>
        </w:tc>
      </w:tr>
      <w:tr w:rsidR="002E4453" w14:paraId="45E2F3BD" w14:textId="77777777" w:rsidTr="002E4453">
        <w:tc>
          <w:tcPr>
            <w:tcW w:w="835" w:type="dxa"/>
            <w:tcBorders>
              <w:top w:val="single" w:sz="4" w:space="0" w:color="808080"/>
              <w:left w:val="single" w:sz="4" w:space="0" w:color="808080"/>
              <w:bottom w:val="single" w:sz="4" w:space="0" w:color="808080"/>
              <w:right w:val="single" w:sz="4" w:space="0" w:color="808080"/>
            </w:tcBorders>
            <w:shd w:val="clear" w:color="auto" w:fill="FFFFFF"/>
            <w:hideMark/>
          </w:tcPr>
          <w:p w14:paraId="598B6810" w14:textId="77777777" w:rsidR="002E4453" w:rsidRDefault="002E4453">
            <w:pPr>
              <w:spacing w:after="0" w:line="276" w:lineRule="auto"/>
              <w:jc w:val="center"/>
              <w:rPr>
                <w:rFonts w:ascii="Times New Roman" w:hAnsi="Times New Roman"/>
              </w:rPr>
            </w:pPr>
            <w:r>
              <w:rPr>
                <w:rFonts w:ascii="Times New Roman" w:hAnsi="Times New Roman"/>
              </w:rPr>
              <w:t>E12</w:t>
            </w:r>
          </w:p>
        </w:tc>
        <w:tc>
          <w:tcPr>
            <w:tcW w:w="6570" w:type="dxa"/>
            <w:tcBorders>
              <w:top w:val="single" w:sz="4" w:space="0" w:color="808080"/>
              <w:left w:val="single" w:sz="4" w:space="0" w:color="808080"/>
              <w:bottom w:val="single" w:sz="4" w:space="0" w:color="808080"/>
              <w:right w:val="single" w:sz="4" w:space="0" w:color="808080"/>
            </w:tcBorders>
            <w:shd w:val="clear" w:color="auto" w:fill="FFFFFF"/>
            <w:hideMark/>
          </w:tcPr>
          <w:p w14:paraId="54241D3B" w14:textId="77777777" w:rsidR="002E4453" w:rsidRDefault="002E4453">
            <w:pPr>
              <w:spacing w:after="0" w:line="276" w:lineRule="auto"/>
              <w:rPr>
                <w:rFonts w:ascii="Times New Roman" w:hAnsi="Times New Roman"/>
              </w:rPr>
            </w:pPr>
            <w:r>
              <w:rPr>
                <w:rFonts w:ascii="Times New Roman" w:hAnsi="Times New Roman"/>
              </w:rPr>
              <w:t>If you show the child two objects or people of different size, can he/she tell you which one is the big one and which is the small one?</w:t>
            </w:r>
          </w:p>
        </w:tc>
        <w:tc>
          <w:tcPr>
            <w:tcW w:w="869" w:type="dxa"/>
            <w:tcBorders>
              <w:top w:val="single" w:sz="4" w:space="0" w:color="808080"/>
              <w:left w:val="single" w:sz="4" w:space="0" w:color="808080"/>
              <w:bottom w:val="single" w:sz="4" w:space="0" w:color="808080"/>
              <w:right w:val="single" w:sz="4" w:space="0" w:color="808080"/>
            </w:tcBorders>
            <w:shd w:val="clear" w:color="auto" w:fill="FFFFFF"/>
          </w:tcPr>
          <w:p w14:paraId="08823E19" w14:textId="77777777" w:rsidR="002E4453" w:rsidRDefault="002E4453">
            <w:pPr>
              <w:spacing w:after="200" w:line="276" w:lineRule="auto"/>
              <w:jc w:val="center"/>
              <w:rPr>
                <w:rFonts w:ascii="Times New Roman" w:hAnsi="Times New Roman"/>
                <w:color w:val="000000" w:themeColor="text1"/>
              </w:rPr>
            </w:pPr>
          </w:p>
        </w:tc>
        <w:tc>
          <w:tcPr>
            <w:tcW w:w="571" w:type="dxa"/>
            <w:tcBorders>
              <w:top w:val="single" w:sz="4" w:space="0" w:color="808080"/>
              <w:left w:val="single" w:sz="4" w:space="0" w:color="808080"/>
              <w:bottom w:val="single" w:sz="4" w:space="0" w:color="808080"/>
              <w:right w:val="single" w:sz="4" w:space="0" w:color="808080"/>
            </w:tcBorders>
            <w:shd w:val="clear" w:color="auto" w:fill="FFFFFF"/>
            <w:hideMark/>
          </w:tcPr>
          <w:p w14:paraId="0794FA82" w14:textId="77777777" w:rsidR="002E4453" w:rsidRDefault="002E4453">
            <w:pPr>
              <w:spacing w:after="0" w:line="276" w:lineRule="auto"/>
              <w:jc w:val="center"/>
              <w:rPr>
                <w:rFonts w:ascii="Times New Roman" w:hAnsi="Times New Roman"/>
              </w:rPr>
            </w:pPr>
            <w:r>
              <w:rPr>
                <w:rFonts w:ascii="Times New Roman" w:hAnsi="Times New Roman"/>
              </w:rPr>
              <w:t xml:space="preserve">Yes </w:t>
            </w:r>
          </w:p>
        </w:tc>
        <w:tc>
          <w:tcPr>
            <w:tcW w:w="656" w:type="dxa"/>
            <w:tcBorders>
              <w:top w:val="single" w:sz="4" w:space="0" w:color="808080"/>
              <w:left w:val="single" w:sz="4" w:space="0" w:color="808080"/>
              <w:bottom w:val="single" w:sz="4" w:space="0" w:color="808080"/>
              <w:right w:val="single" w:sz="4" w:space="0" w:color="808080"/>
            </w:tcBorders>
            <w:shd w:val="clear" w:color="auto" w:fill="FFFFFF"/>
            <w:hideMark/>
          </w:tcPr>
          <w:p w14:paraId="795B1441" w14:textId="77777777" w:rsidR="002E4453" w:rsidRDefault="002E4453">
            <w:pPr>
              <w:spacing w:after="0" w:line="276" w:lineRule="auto"/>
              <w:jc w:val="center"/>
              <w:rPr>
                <w:rFonts w:ascii="Times New Roman" w:hAnsi="Times New Roman"/>
              </w:rPr>
            </w:pPr>
            <w:r>
              <w:rPr>
                <w:rFonts w:ascii="Times New Roman" w:hAnsi="Times New Roman"/>
              </w:rPr>
              <w:t>No</w:t>
            </w:r>
          </w:p>
        </w:tc>
        <w:tc>
          <w:tcPr>
            <w:tcW w:w="705" w:type="dxa"/>
            <w:tcBorders>
              <w:top w:val="single" w:sz="4" w:space="0" w:color="808080"/>
              <w:left w:val="single" w:sz="4" w:space="0" w:color="808080"/>
              <w:bottom w:val="single" w:sz="4" w:space="0" w:color="808080"/>
              <w:right w:val="single" w:sz="4" w:space="0" w:color="808080"/>
            </w:tcBorders>
            <w:shd w:val="clear" w:color="auto" w:fill="FFFFFF"/>
            <w:hideMark/>
          </w:tcPr>
          <w:p w14:paraId="3625094F" w14:textId="77777777" w:rsidR="002E4453" w:rsidRDefault="002E4453">
            <w:pPr>
              <w:spacing w:after="0" w:line="276" w:lineRule="auto"/>
              <w:jc w:val="center"/>
              <w:rPr>
                <w:rFonts w:ascii="Times New Roman" w:hAnsi="Times New Roman"/>
              </w:rPr>
            </w:pPr>
            <w:r>
              <w:rPr>
                <w:rFonts w:ascii="Times New Roman" w:hAnsi="Times New Roman"/>
              </w:rPr>
              <w:t>DK</w:t>
            </w:r>
          </w:p>
        </w:tc>
      </w:tr>
      <w:tr w:rsidR="002E4453" w14:paraId="74DBB192" w14:textId="77777777" w:rsidTr="002E4453">
        <w:tc>
          <w:tcPr>
            <w:tcW w:w="835" w:type="dxa"/>
            <w:tcBorders>
              <w:top w:val="single" w:sz="4" w:space="0" w:color="808080"/>
              <w:left w:val="single" w:sz="4" w:space="0" w:color="808080"/>
              <w:bottom w:val="single" w:sz="4" w:space="0" w:color="808080"/>
              <w:right w:val="single" w:sz="4" w:space="0" w:color="808080"/>
            </w:tcBorders>
            <w:shd w:val="clear" w:color="auto" w:fill="FFFFFF"/>
            <w:hideMark/>
          </w:tcPr>
          <w:p w14:paraId="2EAD83E9" w14:textId="77777777" w:rsidR="002E4453" w:rsidRDefault="002E4453">
            <w:pPr>
              <w:spacing w:after="0" w:line="276" w:lineRule="auto"/>
              <w:jc w:val="center"/>
              <w:rPr>
                <w:rFonts w:ascii="Times New Roman" w:hAnsi="Times New Roman"/>
              </w:rPr>
            </w:pPr>
            <w:r>
              <w:rPr>
                <w:rFonts w:ascii="Times New Roman" w:hAnsi="Times New Roman"/>
              </w:rPr>
              <w:t>E13</w:t>
            </w:r>
          </w:p>
        </w:tc>
        <w:tc>
          <w:tcPr>
            <w:tcW w:w="6570" w:type="dxa"/>
            <w:tcBorders>
              <w:top w:val="single" w:sz="4" w:space="0" w:color="808080"/>
              <w:left w:val="single" w:sz="4" w:space="0" w:color="808080"/>
              <w:bottom w:val="single" w:sz="4" w:space="0" w:color="808080"/>
              <w:right w:val="single" w:sz="4" w:space="0" w:color="808080"/>
            </w:tcBorders>
            <w:shd w:val="clear" w:color="auto" w:fill="FFFFFF"/>
            <w:hideMark/>
          </w:tcPr>
          <w:p w14:paraId="51AA4AD9" w14:textId="77777777" w:rsidR="002E4453" w:rsidRDefault="002E4453">
            <w:pPr>
              <w:spacing w:after="0" w:line="276" w:lineRule="auto"/>
              <w:rPr>
                <w:rFonts w:ascii="Times New Roman" w:hAnsi="Times New Roman"/>
              </w:rPr>
            </w:pPr>
            <w:r>
              <w:rPr>
                <w:rFonts w:ascii="Times New Roman" w:hAnsi="Times New Roman"/>
              </w:rPr>
              <w:t>Does the child become extremely withdrawn or shy in new situations?</w:t>
            </w:r>
          </w:p>
        </w:tc>
        <w:tc>
          <w:tcPr>
            <w:tcW w:w="869" w:type="dxa"/>
            <w:tcBorders>
              <w:top w:val="single" w:sz="4" w:space="0" w:color="808080"/>
              <w:left w:val="single" w:sz="4" w:space="0" w:color="808080"/>
              <w:bottom w:val="single" w:sz="4" w:space="0" w:color="808080"/>
              <w:right w:val="single" w:sz="4" w:space="0" w:color="808080"/>
            </w:tcBorders>
            <w:shd w:val="clear" w:color="auto" w:fill="FFFFFF"/>
          </w:tcPr>
          <w:p w14:paraId="0D06526F" w14:textId="77777777" w:rsidR="002E4453" w:rsidRDefault="002E4453">
            <w:pPr>
              <w:spacing w:after="200" w:line="276" w:lineRule="auto"/>
              <w:jc w:val="center"/>
              <w:rPr>
                <w:rFonts w:ascii="Times New Roman" w:hAnsi="Times New Roman"/>
                <w:color w:val="000000" w:themeColor="text1"/>
              </w:rPr>
            </w:pPr>
          </w:p>
        </w:tc>
        <w:tc>
          <w:tcPr>
            <w:tcW w:w="571" w:type="dxa"/>
            <w:tcBorders>
              <w:top w:val="single" w:sz="4" w:space="0" w:color="808080"/>
              <w:left w:val="single" w:sz="4" w:space="0" w:color="808080"/>
              <w:bottom w:val="single" w:sz="4" w:space="0" w:color="808080"/>
              <w:right w:val="single" w:sz="4" w:space="0" w:color="808080"/>
            </w:tcBorders>
            <w:shd w:val="clear" w:color="auto" w:fill="FFFFFF"/>
            <w:hideMark/>
          </w:tcPr>
          <w:p w14:paraId="46951982" w14:textId="77777777" w:rsidR="002E4453" w:rsidRDefault="002E4453">
            <w:pPr>
              <w:spacing w:after="0" w:line="276" w:lineRule="auto"/>
              <w:jc w:val="center"/>
              <w:rPr>
                <w:rFonts w:ascii="Times New Roman" w:hAnsi="Times New Roman"/>
              </w:rPr>
            </w:pPr>
            <w:r>
              <w:rPr>
                <w:rFonts w:ascii="Times New Roman" w:hAnsi="Times New Roman"/>
              </w:rPr>
              <w:t xml:space="preserve">Yes </w:t>
            </w:r>
          </w:p>
        </w:tc>
        <w:tc>
          <w:tcPr>
            <w:tcW w:w="656" w:type="dxa"/>
            <w:tcBorders>
              <w:top w:val="single" w:sz="4" w:space="0" w:color="808080"/>
              <w:left w:val="single" w:sz="4" w:space="0" w:color="808080"/>
              <w:bottom w:val="single" w:sz="4" w:space="0" w:color="808080"/>
              <w:right w:val="single" w:sz="4" w:space="0" w:color="808080"/>
            </w:tcBorders>
            <w:shd w:val="clear" w:color="auto" w:fill="FFFFFF"/>
            <w:hideMark/>
          </w:tcPr>
          <w:p w14:paraId="61005802" w14:textId="77777777" w:rsidR="002E4453" w:rsidRDefault="002E4453">
            <w:pPr>
              <w:spacing w:after="0" w:line="276" w:lineRule="auto"/>
              <w:jc w:val="center"/>
              <w:rPr>
                <w:rFonts w:ascii="Times New Roman" w:hAnsi="Times New Roman"/>
              </w:rPr>
            </w:pPr>
            <w:r>
              <w:rPr>
                <w:rFonts w:ascii="Times New Roman" w:hAnsi="Times New Roman"/>
              </w:rPr>
              <w:t>No</w:t>
            </w:r>
          </w:p>
        </w:tc>
        <w:tc>
          <w:tcPr>
            <w:tcW w:w="705" w:type="dxa"/>
            <w:tcBorders>
              <w:top w:val="single" w:sz="4" w:space="0" w:color="808080"/>
              <w:left w:val="single" w:sz="4" w:space="0" w:color="808080"/>
              <w:bottom w:val="single" w:sz="4" w:space="0" w:color="808080"/>
              <w:right w:val="single" w:sz="4" w:space="0" w:color="808080"/>
            </w:tcBorders>
            <w:shd w:val="clear" w:color="auto" w:fill="FFFFFF"/>
            <w:hideMark/>
          </w:tcPr>
          <w:p w14:paraId="653D1F03" w14:textId="77777777" w:rsidR="002E4453" w:rsidRDefault="002E4453">
            <w:pPr>
              <w:spacing w:after="0" w:line="276" w:lineRule="auto"/>
              <w:jc w:val="center"/>
              <w:rPr>
                <w:rFonts w:ascii="Times New Roman" w:hAnsi="Times New Roman"/>
              </w:rPr>
            </w:pPr>
            <w:r>
              <w:rPr>
                <w:rFonts w:ascii="Times New Roman" w:hAnsi="Times New Roman"/>
              </w:rPr>
              <w:t>DK</w:t>
            </w:r>
          </w:p>
        </w:tc>
      </w:tr>
      <w:tr w:rsidR="002E4453" w14:paraId="3541FB4F" w14:textId="77777777" w:rsidTr="002E4453">
        <w:tc>
          <w:tcPr>
            <w:tcW w:w="835" w:type="dxa"/>
            <w:tcBorders>
              <w:top w:val="single" w:sz="4" w:space="0" w:color="808080"/>
              <w:left w:val="single" w:sz="4" w:space="0" w:color="808080"/>
              <w:bottom w:val="single" w:sz="4" w:space="0" w:color="808080"/>
              <w:right w:val="single" w:sz="4" w:space="0" w:color="808080"/>
            </w:tcBorders>
            <w:shd w:val="clear" w:color="auto" w:fill="FFFFFF"/>
            <w:hideMark/>
          </w:tcPr>
          <w:p w14:paraId="2B381511" w14:textId="77777777" w:rsidR="002E4453" w:rsidRDefault="002E4453">
            <w:pPr>
              <w:spacing w:after="0" w:line="276" w:lineRule="auto"/>
              <w:jc w:val="center"/>
              <w:rPr>
                <w:rFonts w:ascii="Times New Roman" w:hAnsi="Times New Roman"/>
              </w:rPr>
            </w:pPr>
            <w:r>
              <w:rPr>
                <w:rFonts w:ascii="Times New Roman" w:hAnsi="Times New Roman"/>
              </w:rPr>
              <w:t>E14</w:t>
            </w:r>
          </w:p>
        </w:tc>
        <w:tc>
          <w:tcPr>
            <w:tcW w:w="6570" w:type="dxa"/>
            <w:tcBorders>
              <w:top w:val="single" w:sz="4" w:space="0" w:color="808080"/>
              <w:left w:val="single" w:sz="4" w:space="0" w:color="808080"/>
              <w:bottom w:val="single" w:sz="4" w:space="0" w:color="808080"/>
              <w:right w:val="single" w:sz="4" w:space="0" w:color="808080"/>
            </w:tcBorders>
            <w:shd w:val="clear" w:color="auto" w:fill="FFFFFF"/>
            <w:hideMark/>
          </w:tcPr>
          <w:p w14:paraId="218CFDBA" w14:textId="77777777" w:rsidR="002E4453" w:rsidRDefault="002E4453">
            <w:pPr>
              <w:spacing w:after="0" w:line="276" w:lineRule="auto"/>
              <w:rPr>
                <w:rFonts w:ascii="Times New Roman" w:hAnsi="Times New Roman"/>
              </w:rPr>
            </w:pPr>
            <w:r>
              <w:rPr>
                <w:rFonts w:ascii="Times New Roman" w:hAnsi="Times New Roman"/>
              </w:rPr>
              <w:t>If you point to an object, can the child correctly use the words "on," "in," or "under" to describe where it is (e.g., "The cup is on the table" instead of "The cup is in the table.").</w:t>
            </w:r>
          </w:p>
        </w:tc>
        <w:tc>
          <w:tcPr>
            <w:tcW w:w="869" w:type="dxa"/>
            <w:tcBorders>
              <w:top w:val="single" w:sz="4" w:space="0" w:color="808080"/>
              <w:left w:val="single" w:sz="4" w:space="0" w:color="808080"/>
              <w:bottom w:val="single" w:sz="4" w:space="0" w:color="808080"/>
              <w:right w:val="single" w:sz="4" w:space="0" w:color="808080"/>
            </w:tcBorders>
            <w:shd w:val="clear" w:color="auto" w:fill="FFFFFF"/>
          </w:tcPr>
          <w:p w14:paraId="38EE862A" w14:textId="77777777" w:rsidR="002E4453" w:rsidRDefault="002E4453">
            <w:pPr>
              <w:spacing w:after="200" w:line="276" w:lineRule="auto"/>
              <w:jc w:val="center"/>
              <w:rPr>
                <w:rFonts w:ascii="Times New Roman" w:hAnsi="Times New Roman"/>
                <w:color w:val="000000" w:themeColor="text1"/>
              </w:rPr>
            </w:pPr>
          </w:p>
        </w:tc>
        <w:tc>
          <w:tcPr>
            <w:tcW w:w="571" w:type="dxa"/>
            <w:tcBorders>
              <w:top w:val="single" w:sz="4" w:space="0" w:color="808080"/>
              <w:left w:val="single" w:sz="4" w:space="0" w:color="808080"/>
              <w:bottom w:val="single" w:sz="4" w:space="0" w:color="808080"/>
              <w:right w:val="single" w:sz="4" w:space="0" w:color="808080"/>
            </w:tcBorders>
            <w:shd w:val="clear" w:color="auto" w:fill="FFFFFF"/>
            <w:hideMark/>
          </w:tcPr>
          <w:p w14:paraId="319DB893" w14:textId="77777777" w:rsidR="002E4453" w:rsidRDefault="002E4453">
            <w:pPr>
              <w:spacing w:after="0" w:line="276" w:lineRule="auto"/>
              <w:jc w:val="center"/>
              <w:rPr>
                <w:rFonts w:ascii="Times New Roman" w:hAnsi="Times New Roman"/>
              </w:rPr>
            </w:pPr>
            <w:r>
              <w:rPr>
                <w:rFonts w:ascii="Times New Roman" w:hAnsi="Times New Roman"/>
              </w:rPr>
              <w:t xml:space="preserve">Yes </w:t>
            </w:r>
          </w:p>
        </w:tc>
        <w:tc>
          <w:tcPr>
            <w:tcW w:w="656" w:type="dxa"/>
            <w:tcBorders>
              <w:top w:val="single" w:sz="4" w:space="0" w:color="808080"/>
              <w:left w:val="single" w:sz="4" w:space="0" w:color="808080"/>
              <w:bottom w:val="single" w:sz="4" w:space="0" w:color="808080"/>
              <w:right w:val="single" w:sz="4" w:space="0" w:color="808080"/>
            </w:tcBorders>
            <w:shd w:val="clear" w:color="auto" w:fill="FFFFFF"/>
            <w:hideMark/>
          </w:tcPr>
          <w:p w14:paraId="0ABEA58A" w14:textId="77777777" w:rsidR="002E4453" w:rsidRDefault="002E4453">
            <w:pPr>
              <w:spacing w:after="0" w:line="276" w:lineRule="auto"/>
              <w:jc w:val="center"/>
              <w:rPr>
                <w:rFonts w:ascii="Times New Roman" w:hAnsi="Times New Roman"/>
              </w:rPr>
            </w:pPr>
            <w:r>
              <w:rPr>
                <w:rFonts w:ascii="Times New Roman" w:hAnsi="Times New Roman"/>
              </w:rPr>
              <w:t>No</w:t>
            </w:r>
          </w:p>
        </w:tc>
        <w:tc>
          <w:tcPr>
            <w:tcW w:w="705" w:type="dxa"/>
            <w:tcBorders>
              <w:top w:val="single" w:sz="4" w:space="0" w:color="808080"/>
              <w:left w:val="single" w:sz="4" w:space="0" w:color="808080"/>
              <w:bottom w:val="single" w:sz="4" w:space="0" w:color="808080"/>
              <w:right w:val="single" w:sz="4" w:space="0" w:color="808080"/>
            </w:tcBorders>
            <w:shd w:val="clear" w:color="auto" w:fill="FFFFFF"/>
            <w:hideMark/>
          </w:tcPr>
          <w:p w14:paraId="4EE15335" w14:textId="77777777" w:rsidR="002E4453" w:rsidRDefault="002E4453">
            <w:pPr>
              <w:spacing w:after="0" w:line="276" w:lineRule="auto"/>
              <w:jc w:val="center"/>
              <w:rPr>
                <w:rFonts w:ascii="Times New Roman" w:hAnsi="Times New Roman"/>
              </w:rPr>
            </w:pPr>
            <w:r>
              <w:rPr>
                <w:rFonts w:ascii="Times New Roman" w:hAnsi="Times New Roman"/>
              </w:rPr>
              <w:t>DK</w:t>
            </w:r>
          </w:p>
        </w:tc>
      </w:tr>
      <w:tr w:rsidR="002E4453" w14:paraId="069686EC" w14:textId="77777777" w:rsidTr="002E4453">
        <w:tc>
          <w:tcPr>
            <w:tcW w:w="835" w:type="dxa"/>
            <w:tcBorders>
              <w:top w:val="single" w:sz="4" w:space="0" w:color="808080"/>
              <w:left w:val="single" w:sz="4" w:space="0" w:color="808080"/>
              <w:bottom w:val="single" w:sz="4" w:space="0" w:color="808080"/>
              <w:right w:val="single" w:sz="4" w:space="0" w:color="808080"/>
            </w:tcBorders>
            <w:shd w:val="clear" w:color="auto" w:fill="FFFFFF"/>
            <w:hideMark/>
          </w:tcPr>
          <w:p w14:paraId="3F52E47C" w14:textId="77777777" w:rsidR="002E4453" w:rsidRDefault="002E4453">
            <w:pPr>
              <w:spacing w:after="0" w:line="276" w:lineRule="auto"/>
              <w:jc w:val="center"/>
              <w:rPr>
                <w:rFonts w:ascii="Times New Roman" w:hAnsi="Times New Roman"/>
              </w:rPr>
            </w:pPr>
            <w:r>
              <w:rPr>
                <w:rFonts w:ascii="Times New Roman" w:hAnsi="Times New Roman"/>
              </w:rPr>
              <w:t>E15</w:t>
            </w:r>
          </w:p>
        </w:tc>
        <w:tc>
          <w:tcPr>
            <w:tcW w:w="6570" w:type="dxa"/>
            <w:tcBorders>
              <w:top w:val="single" w:sz="4" w:space="0" w:color="808080"/>
              <w:left w:val="single" w:sz="4" w:space="0" w:color="808080"/>
              <w:bottom w:val="single" w:sz="4" w:space="0" w:color="808080"/>
              <w:right w:val="single" w:sz="4" w:space="0" w:color="808080"/>
            </w:tcBorders>
            <w:shd w:val="clear" w:color="auto" w:fill="FFFFFF"/>
            <w:hideMark/>
          </w:tcPr>
          <w:p w14:paraId="6A143A44" w14:textId="77777777" w:rsidR="002E4453" w:rsidRDefault="002E4453">
            <w:pPr>
              <w:spacing w:after="0" w:line="276" w:lineRule="auto"/>
              <w:rPr>
                <w:rFonts w:ascii="Times New Roman" w:hAnsi="Times New Roman"/>
              </w:rPr>
            </w:pPr>
            <w:r>
              <w:rPr>
                <w:rFonts w:ascii="Times New Roman" w:hAnsi="Times New Roman"/>
              </w:rPr>
              <w:t>Does the child ask "why" questions (e.g., "Why are you tall?")?</w:t>
            </w:r>
          </w:p>
        </w:tc>
        <w:tc>
          <w:tcPr>
            <w:tcW w:w="869" w:type="dxa"/>
            <w:tcBorders>
              <w:top w:val="single" w:sz="4" w:space="0" w:color="808080"/>
              <w:left w:val="single" w:sz="4" w:space="0" w:color="808080"/>
              <w:bottom w:val="single" w:sz="4" w:space="0" w:color="808080"/>
              <w:right w:val="single" w:sz="4" w:space="0" w:color="808080"/>
            </w:tcBorders>
            <w:shd w:val="clear" w:color="auto" w:fill="FFFFFF"/>
          </w:tcPr>
          <w:p w14:paraId="250C3F03" w14:textId="77777777" w:rsidR="002E4453" w:rsidRDefault="002E4453">
            <w:pPr>
              <w:spacing w:after="200" w:line="276" w:lineRule="auto"/>
              <w:jc w:val="center"/>
              <w:rPr>
                <w:rFonts w:ascii="Times New Roman" w:hAnsi="Times New Roman"/>
                <w:color w:val="000000" w:themeColor="text1"/>
              </w:rPr>
            </w:pPr>
          </w:p>
        </w:tc>
        <w:tc>
          <w:tcPr>
            <w:tcW w:w="571" w:type="dxa"/>
            <w:tcBorders>
              <w:top w:val="single" w:sz="4" w:space="0" w:color="808080"/>
              <w:left w:val="single" w:sz="4" w:space="0" w:color="808080"/>
              <w:bottom w:val="single" w:sz="4" w:space="0" w:color="808080"/>
              <w:right w:val="single" w:sz="4" w:space="0" w:color="808080"/>
            </w:tcBorders>
            <w:shd w:val="clear" w:color="auto" w:fill="FFFFFF"/>
            <w:hideMark/>
          </w:tcPr>
          <w:p w14:paraId="61DA16AD" w14:textId="77777777" w:rsidR="002E4453" w:rsidRDefault="002E4453">
            <w:pPr>
              <w:spacing w:after="0" w:line="276" w:lineRule="auto"/>
              <w:jc w:val="center"/>
              <w:rPr>
                <w:rFonts w:ascii="Times New Roman" w:hAnsi="Times New Roman"/>
              </w:rPr>
            </w:pPr>
            <w:r>
              <w:rPr>
                <w:rFonts w:ascii="Times New Roman" w:hAnsi="Times New Roman"/>
              </w:rPr>
              <w:t xml:space="preserve">Yes </w:t>
            </w:r>
          </w:p>
        </w:tc>
        <w:tc>
          <w:tcPr>
            <w:tcW w:w="656" w:type="dxa"/>
            <w:tcBorders>
              <w:top w:val="single" w:sz="4" w:space="0" w:color="808080"/>
              <w:left w:val="single" w:sz="4" w:space="0" w:color="808080"/>
              <w:bottom w:val="single" w:sz="4" w:space="0" w:color="808080"/>
              <w:right w:val="single" w:sz="4" w:space="0" w:color="808080"/>
            </w:tcBorders>
            <w:shd w:val="clear" w:color="auto" w:fill="FFFFFF"/>
            <w:hideMark/>
          </w:tcPr>
          <w:p w14:paraId="06A4DAB8" w14:textId="77777777" w:rsidR="002E4453" w:rsidRDefault="002E4453">
            <w:pPr>
              <w:spacing w:after="0" w:line="276" w:lineRule="auto"/>
              <w:jc w:val="center"/>
              <w:rPr>
                <w:rFonts w:ascii="Times New Roman" w:hAnsi="Times New Roman"/>
              </w:rPr>
            </w:pPr>
            <w:r>
              <w:rPr>
                <w:rFonts w:ascii="Times New Roman" w:hAnsi="Times New Roman"/>
              </w:rPr>
              <w:t>No</w:t>
            </w:r>
          </w:p>
        </w:tc>
        <w:tc>
          <w:tcPr>
            <w:tcW w:w="705" w:type="dxa"/>
            <w:tcBorders>
              <w:top w:val="single" w:sz="4" w:space="0" w:color="808080"/>
              <w:left w:val="single" w:sz="4" w:space="0" w:color="808080"/>
              <w:bottom w:val="single" w:sz="4" w:space="0" w:color="808080"/>
              <w:right w:val="single" w:sz="4" w:space="0" w:color="808080"/>
            </w:tcBorders>
            <w:shd w:val="clear" w:color="auto" w:fill="FFFFFF"/>
            <w:hideMark/>
          </w:tcPr>
          <w:p w14:paraId="7D677F96" w14:textId="77777777" w:rsidR="002E4453" w:rsidRDefault="002E4453">
            <w:pPr>
              <w:spacing w:after="0" w:line="276" w:lineRule="auto"/>
              <w:jc w:val="center"/>
              <w:rPr>
                <w:rFonts w:ascii="Times New Roman" w:hAnsi="Times New Roman"/>
              </w:rPr>
            </w:pPr>
            <w:r>
              <w:rPr>
                <w:rFonts w:ascii="Times New Roman" w:hAnsi="Times New Roman"/>
              </w:rPr>
              <w:t>DK</w:t>
            </w:r>
          </w:p>
        </w:tc>
      </w:tr>
      <w:tr w:rsidR="002E4453" w14:paraId="126F526A" w14:textId="77777777" w:rsidTr="002E4453">
        <w:tc>
          <w:tcPr>
            <w:tcW w:w="835" w:type="dxa"/>
            <w:tcBorders>
              <w:top w:val="single" w:sz="4" w:space="0" w:color="808080"/>
              <w:left w:val="single" w:sz="4" w:space="0" w:color="808080"/>
              <w:bottom w:val="single" w:sz="4" w:space="0" w:color="808080"/>
              <w:right w:val="single" w:sz="4" w:space="0" w:color="808080"/>
            </w:tcBorders>
            <w:shd w:val="clear" w:color="auto" w:fill="FFFFFF"/>
            <w:hideMark/>
          </w:tcPr>
          <w:p w14:paraId="57C2AEBA" w14:textId="77777777" w:rsidR="002E4453" w:rsidRDefault="002E4453">
            <w:pPr>
              <w:spacing w:after="0" w:line="276" w:lineRule="auto"/>
              <w:jc w:val="center"/>
              <w:rPr>
                <w:rFonts w:ascii="Times New Roman" w:hAnsi="Times New Roman"/>
              </w:rPr>
            </w:pPr>
            <w:r>
              <w:rPr>
                <w:rFonts w:ascii="Times New Roman" w:hAnsi="Times New Roman"/>
              </w:rPr>
              <w:t>E16</w:t>
            </w:r>
          </w:p>
        </w:tc>
        <w:tc>
          <w:tcPr>
            <w:tcW w:w="6570" w:type="dxa"/>
            <w:tcBorders>
              <w:top w:val="single" w:sz="4" w:space="0" w:color="808080"/>
              <w:left w:val="single" w:sz="4" w:space="0" w:color="808080"/>
              <w:bottom w:val="single" w:sz="4" w:space="0" w:color="808080"/>
              <w:right w:val="single" w:sz="4" w:space="0" w:color="808080"/>
            </w:tcBorders>
            <w:shd w:val="clear" w:color="auto" w:fill="FFFFFF"/>
            <w:hideMark/>
          </w:tcPr>
          <w:p w14:paraId="62B5E8BD" w14:textId="77777777" w:rsidR="002E4453" w:rsidRDefault="002E4453">
            <w:pPr>
              <w:spacing w:after="0" w:line="276" w:lineRule="auto"/>
              <w:rPr>
                <w:rFonts w:ascii="Times New Roman" w:hAnsi="Times New Roman"/>
              </w:rPr>
            </w:pPr>
            <w:r>
              <w:rPr>
                <w:rFonts w:ascii="Times New Roman" w:hAnsi="Times New Roman"/>
              </w:rPr>
              <w:t>If you ask the child to give you three objects (e.g., stones, beans), does the child give you the correct amount?</w:t>
            </w:r>
          </w:p>
        </w:tc>
        <w:tc>
          <w:tcPr>
            <w:tcW w:w="869" w:type="dxa"/>
            <w:tcBorders>
              <w:top w:val="single" w:sz="4" w:space="0" w:color="808080"/>
              <w:left w:val="single" w:sz="4" w:space="0" w:color="808080"/>
              <w:bottom w:val="single" w:sz="4" w:space="0" w:color="808080"/>
              <w:right w:val="single" w:sz="4" w:space="0" w:color="808080"/>
            </w:tcBorders>
            <w:shd w:val="clear" w:color="auto" w:fill="FFFFFF"/>
          </w:tcPr>
          <w:p w14:paraId="77AE8C53" w14:textId="77777777" w:rsidR="002E4453" w:rsidRDefault="002E4453">
            <w:pPr>
              <w:spacing w:after="200" w:line="276" w:lineRule="auto"/>
              <w:jc w:val="center"/>
              <w:rPr>
                <w:rFonts w:ascii="Times New Roman" w:hAnsi="Times New Roman"/>
                <w:color w:val="000000" w:themeColor="text1"/>
              </w:rPr>
            </w:pPr>
          </w:p>
        </w:tc>
        <w:tc>
          <w:tcPr>
            <w:tcW w:w="571" w:type="dxa"/>
            <w:tcBorders>
              <w:top w:val="single" w:sz="4" w:space="0" w:color="808080"/>
              <w:left w:val="single" w:sz="4" w:space="0" w:color="808080"/>
              <w:bottom w:val="single" w:sz="4" w:space="0" w:color="808080"/>
              <w:right w:val="single" w:sz="4" w:space="0" w:color="808080"/>
            </w:tcBorders>
            <w:shd w:val="clear" w:color="auto" w:fill="FFFFFF"/>
            <w:hideMark/>
          </w:tcPr>
          <w:p w14:paraId="7E4A3B0B" w14:textId="77777777" w:rsidR="002E4453" w:rsidRDefault="002E4453">
            <w:pPr>
              <w:spacing w:after="0" w:line="276" w:lineRule="auto"/>
              <w:jc w:val="center"/>
              <w:rPr>
                <w:rFonts w:ascii="Times New Roman" w:hAnsi="Times New Roman"/>
              </w:rPr>
            </w:pPr>
            <w:r>
              <w:rPr>
                <w:rFonts w:ascii="Times New Roman" w:hAnsi="Times New Roman"/>
              </w:rPr>
              <w:t xml:space="preserve">Yes </w:t>
            </w:r>
          </w:p>
        </w:tc>
        <w:tc>
          <w:tcPr>
            <w:tcW w:w="656" w:type="dxa"/>
            <w:tcBorders>
              <w:top w:val="single" w:sz="4" w:space="0" w:color="808080"/>
              <w:left w:val="single" w:sz="4" w:space="0" w:color="808080"/>
              <w:bottom w:val="single" w:sz="4" w:space="0" w:color="808080"/>
              <w:right w:val="single" w:sz="4" w:space="0" w:color="808080"/>
            </w:tcBorders>
            <w:shd w:val="clear" w:color="auto" w:fill="FFFFFF"/>
            <w:hideMark/>
          </w:tcPr>
          <w:p w14:paraId="00C80E9C" w14:textId="77777777" w:rsidR="002E4453" w:rsidRDefault="002E4453">
            <w:pPr>
              <w:spacing w:after="0" w:line="276" w:lineRule="auto"/>
              <w:jc w:val="center"/>
              <w:rPr>
                <w:rFonts w:ascii="Times New Roman" w:hAnsi="Times New Roman"/>
              </w:rPr>
            </w:pPr>
            <w:r>
              <w:rPr>
                <w:rFonts w:ascii="Times New Roman" w:hAnsi="Times New Roman"/>
              </w:rPr>
              <w:t>No</w:t>
            </w:r>
          </w:p>
        </w:tc>
        <w:tc>
          <w:tcPr>
            <w:tcW w:w="705" w:type="dxa"/>
            <w:tcBorders>
              <w:top w:val="single" w:sz="4" w:space="0" w:color="808080"/>
              <w:left w:val="single" w:sz="4" w:space="0" w:color="808080"/>
              <w:bottom w:val="single" w:sz="4" w:space="0" w:color="808080"/>
              <w:right w:val="single" w:sz="4" w:space="0" w:color="808080"/>
            </w:tcBorders>
            <w:shd w:val="clear" w:color="auto" w:fill="FFFFFF"/>
            <w:hideMark/>
          </w:tcPr>
          <w:p w14:paraId="15E522A8" w14:textId="77777777" w:rsidR="002E4453" w:rsidRDefault="002E4453">
            <w:pPr>
              <w:spacing w:after="0" w:line="276" w:lineRule="auto"/>
              <w:jc w:val="center"/>
              <w:rPr>
                <w:rFonts w:ascii="Times New Roman" w:hAnsi="Times New Roman"/>
              </w:rPr>
            </w:pPr>
            <w:r>
              <w:rPr>
                <w:rFonts w:ascii="Times New Roman" w:hAnsi="Times New Roman"/>
              </w:rPr>
              <w:t>DK</w:t>
            </w:r>
          </w:p>
        </w:tc>
      </w:tr>
      <w:tr w:rsidR="002E4453" w14:paraId="15475E91" w14:textId="77777777" w:rsidTr="002E4453">
        <w:tc>
          <w:tcPr>
            <w:tcW w:w="835" w:type="dxa"/>
            <w:tcBorders>
              <w:top w:val="single" w:sz="4" w:space="0" w:color="808080"/>
              <w:left w:val="single" w:sz="4" w:space="0" w:color="808080"/>
              <w:bottom w:val="single" w:sz="4" w:space="0" w:color="808080"/>
              <w:right w:val="single" w:sz="4" w:space="0" w:color="808080"/>
            </w:tcBorders>
            <w:shd w:val="clear" w:color="auto" w:fill="FFFFFF"/>
            <w:hideMark/>
          </w:tcPr>
          <w:p w14:paraId="53B96125" w14:textId="77777777" w:rsidR="002E4453" w:rsidRDefault="002E4453">
            <w:pPr>
              <w:spacing w:after="0" w:line="276" w:lineRule="auto"/>
              <w:jc w:val="center"/>
              <w:rPr>
                <w:rFonts w:ascii="Times New Roman" w:hAnsi="Times New Roman"/>
              </w:rPr>
            </w:pPr>
            <w:r>
              <w:rPr>
                <w:rFonts w:ascii="Times New Roman" w:hAnsi="Times New Roman"/>
              </w:rPr>
              <w:t>E17</w:t>
            </w:r>
          </w:p>
        </w:tc>
        <w:tc>
          <w:tcPr>
            <w:tcW w:w="6570" w:type="dxa"/>
            <w:tcBorders>
              <w:top w:val="single" w:sz="4" w:space="0" w:color="808080"/>
              <w:left w:val="single" w:sz="4" w:space="0" w:color="808080"/>
              <w:bottom w:val="single" w:sz="4" w:space="0" w:color="808080"/>
              <w:right w:val="single" w:sz="4" w:space="0" w:color="808080"/>
            </w:tcBorders>
            <w:shd w:val="clear" w:color="auto" w:fill="FFFFFF"/>
            <w:hideMark/>
          </w:tcPr>
          <w:p w14:paraId="09D0A638" w14:textId="77777777" w:rsidR="002E4453" w:rsidRDefault="002E4453">
            <w:pPr>
              <w:spacing w:after="0" w:line="276" w:lineRule="auto"/>
              <w:rPr>
                <w:rFonts w:ascii="Times New Roman" w:hAnsi="Times New Roman"/>
              </w:rPr>
            </w:pPr>
            <w:r>
              <w:rPr>
                <w:rFonts w:ascii="Times New Roman" w:hAnsi="Times New Roman"/>
              </w:rPr>
              <w:t>Can the child explain in words what common objects like a cup or chair are used for?</w:t>
            </w:r>
          </w:p>
        </w:tc>
        <w:tc>
          <w:tcPr>
            <w:tcW w:w="869" w:type="dxa"/>
            <w:tcBorders>
              <w:top w:val="single" w:sz="4" w:space="0" w:color="808080"/>
              <w:left w:val="single" w:sz="4" w:space="0" w:color="808080"/>
              <w:bottom w:val="single" w:sz="4" w:space="0" w:color="808080"/>
              <w:right w:val="single" w:sz="4" w:space="0" w:color="808080"/>
            </w:tcBorders>
            <w:shd w:val="clear" w:color="auto" w:fill="FFFFFF"/>
          </w:tcPr>
          <w:p w14:paraId="24855F01" w14:textId="77777777" w:rsidR="002E4453" w:rsidRDefault="002E4453">
            <w:pPr>
              <w:spacing w:after="200" w:line="276" w:lineRule="auto"/>
              <w:jc w:val="center"/>
              <w:rPr>
                <w:rFonts w:ascii="Times New Roman" w:hAnsi="Times New Roman"/>
                <w:color w:val="000000" w:themeColor="text1"/>
              </w:rPr>
            </w:pPr>
          </w:p>
        </w:tc>
        <w:tc>
          <w:tcPr>
            <w:tcW w:w="571" w:type="dxa"/>
            <w:tcBorders>
              <w:top w:val="single" w:sz="4" w:space="0" w:color="808080"/>
              <w:left w:val="single" w:sz="4" w:space="0" w:color="808080"/>
              <w:bottom w:val="single" w:sz="4" w:space="0" w:color="808080"/>
              <w:right w:val="single" w:sz="4" w:space="0" w:color="808080"/>
            </w:tcBorders>
            <w:shd w:val="clear" w:color="auto" w:fill="FFFFFF"/>
            <w:hideMark/>
          </w:tcPr>
          <w:p w14:paraId="2B9A66BB" w14:textId="77777777" w:rsidR="002E4453" w:rsidRDefault="002E4453">
            <w:pPr>
              <w:spacing w:after="0" w:line="276" w:lineRule="auto"/>
              <w:jc w:val="center"/>
              <w:rPr>
                <w:rFonts w:ascii="Times New Roman" w:hAnsi="Times New Roman"/>
              </w:rPr>
            </w:pPr>
            <w:r>
              <w:rPr>
                <w:rFonts w:ascii="Times New Roman" w:hAnsi="Times New Roman"/>
              </w:rPr>
              <w:t xml:space="preserve">Yes </w:t>
            </w:r>
          </w:p>
        </w:tc>
        <w:tc>
          <w:tcPr>
            <w:tcW w:w="656" w:type="dxa"/>
            <w:tcBorders>
              <w:top w:val="single" w:sz="4" w:space="0" w:color="808080"/>
              <w:left w:val="single" w:sz="4" w:space="0" w:color="808080"/>
              <w:bottom w:val="single" w:sz="4" w:space="0" w:color="808080"/>
              <w:right w:val="single" w:sz="4" w:space="0" w:color="808080"/>
            </w:tcBorders>
            <w:shd w:val="clear" w:color="auto" w:fill="FFFFFF"/>
            <w:hideMark/>
          </w:tcPr>
          <w:p w14:paraId="5D63E4B4" w14:textId="77777777" w:rsidR="002E4453" w:rsidRDefault="002E4453">
            <w:pPr>
              <w:spacing w:after="0" w:line="276" w:lineRule="auto"/>
              <w:jc w:val="center"/>
              <w:rPr>
                <w:rFonts w:ascii="Times New Roman" w:hAnsi="Times New Roman"/>
              </w:rPr>
            </w:pPr>
            <w:r>
              <w:rPr>
                <w:rFonts w:ascii="Times New Roman" w:hAnsi="Times New Roman"/>
              </w:rPr>
              <w:t>No</w:t>
            </w:r>
          </w:p>
        </w:tc>
        <w:tc>
          <w:tcPr>
            <w:tcW w:w="705" w:type="dxa"/>
            <w:tcBorders>
              <w:top w:val="single" w:sz="4" w:space="0" w:color="808080"/>
              <w:left w:val="single" w:sz="4" w:space="0" w:color="808080"/>
              <w:bottom w:val="single" w:sz="4" w:space="0" w:color="808080"/>
              <w:right w:val="single" w:sz="4" w:space="0" w:color="808080"/>
            </w:tcBorders>
            <w:shd w:val="clear" w:color="auto" w:fill="FFFFFF"/>
            <w:hideMark/>
          </w:tcPr>
          <w:p w14:paraId="5C49C640" w14:textId="77777777" w:rsidR="002E4453" w:rsidRDefault="002E4453">
            <w:pPr>
              <w:spacing w:after="0" w:line="276" w:lineRule="auto"/>
              <w:jc w:val="center"/>
              <w:rPr>
                <w:rFonts w:ascii="Times New Roman" w:hAnsi="Times New Roman"/>
              </w:rPr>
            </w:pPr>
            <w:r>
              <w:rPr>
                <w:rFonts w:ascii="Times New Roman" w:hAnsi="Times New Roman"/>
              </w:rPr>
              <w:t>DK</w:t>
            </w:r>
          </w:p>
        </w:tc>
      </w:tr>
      <w:tr w:rsidR="002E4453" w14:paraId="59770791" w14:textId="77777777" w:rsidTr="002E4453">
        <w:tc>
          <w:tcPr>
            <w:tcW w:w="835" w:type="dxa"/>
            <w:tcBorders>
              <w:top w:val="single" w:sz="4" w:space="0" w:color="808080"/>
              <w:left w:val="single" w:sz="4" w:space="0" w:color="808080"/>
              <w:bottom w:val="single" w:sz="4" w:space="0" w:color="808080"/>
              <w:right w:val="single" w:sz="4" w:space="0" w:color="808080"/>
            </w:tcBorders>
            <w:shd w:val="clear" w:color="auto" w:fill="FFFFFF"/>
            <w:hideMark/>
          </w:tcPr>
          <w:p w14:paraId="6E03A7EE" w14:textId="77777777" w:rsidR="002E4453" w:rsidRDefault="002E4453">
            <w:pPr>
              <w:spacing w:after="0" w:line="276" w:lineRule="auto"/>
              <w:jc w:val="center"/>
              <w:rPr>
                <w:rFonts w:ascii="Times New Roman" w:hAnsi="Times New Roman"/>
              </w:rPr>
            </w:pPr>
            <w:r>
              <w:rPr>
                <w:rFonts w:ascii="Times New Roman" w:hAnsi="Times New Roman"/>
              </w:rPr>
              <w:t>E18</w:t>
            </w:r>
          </w:p>
        </w:tc>
        <w:tc>
          <w:tcPr>
            <w:tcW w:w="6570" w:type="dxa"/>
            <w:tcBorders>
              <w:top w:val="single" w:sz="4" w:space="0" w:color="808080"/>
              <w:left w:val="single" w:sz="4" w:space="0" w:color="808080"/>
              <w:bottom w:val="single" w:sz="4" w:space="0" w:color="808080"/>
              <w:right w:val="single" w:sz="4" w:space="0" w:color="808080"/>
            </w:tcBorders>
            <w:shd w:val="clear" w:color="auto" w:fill="FFFFFF"/>
            <w:hideMark/>
          </w:tcPr>
          <w:p w14:paraId="1D4E4BB3" w14:textId="77777777" w:rsidR="002E4453" w:rsidRDefault="002E4453">
            <w:pPr>
              <w:spacing w:after="0" w:line="276" w:lineRule="auto"/>
              <w:rPr>
                <w:rFonts w:ascii="Times New Roman" w:hAnsi="Times New Roman"/>
              </w:rPr>
            </w:pPr>
            <w:r>
              <w:rPr>
                <w:rFonts w:ascii="Times New Roman" w:hAnsi="Times New Roman"/>
              </w:rPr>
              <w:t>Can the child dress him/herself (e.g., put on his/her pants and shirt without help)?</w:t>
            </w:r>
          </w:p>
        </w:tc>
        <w:tc>
          <w:tcPr>
            <w:tcW w:w="869" w:type="dxa"/>
            <w:tcBorders>
              <w:top w:val="single" w:sz="4" w:space="0" w:color="808080"/>
              <w:left w:val="single" w:sz="4" w:space="0" w:color="808080"/>
              <w:bottom w:val="single" w:sz="4" w:space="0" w:color="808080"/>
              <w:right w:val="single" w:sz="4" w:space="0" w:color="808080"/>
            </w:tcBorders>
            <w:shd w:val="clear" w:color="auto" w:fill="FFFFFF"/>
            <w:hideMark/>
          </w:tcPr>
          <w:p w14:paraId="5FBADDC7" w14:textId="14487FAF" w:rsidR="002E4453" w:rsidRDefault="002E4453">
            <w:pPr>
              <w:spacing w:after="200" w:line="276" w:lineRule="auto"/>
              <w:jc w:val="center"/>
              <w:rPr>
                <w:rFonts w:ascii="Times New Roman" w:hAnsi="Times New Roman"/>
                <w:color w:val="000000" w:themeColor="text1"/>
              </w:rPr>
            </w:pPr>
            <w:r>
              <w:rPr>
                <w:noProof/>
              </w:rPr>
              <w:drawing>
                <wp:inline distT="0" distB="0" distL="0" distR="0" wp14:anchorId="409DC994" wp14:editId="52154016">
                  <wp:extent cx="461010" cy="349885"/>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0"/>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461010" cy="349885"/>
                          </a:xfrm>
                          <a:prstGeom prst="rect">
                            <a:avLst/>
                          </a:prstGeom>
                          <a:noFill/>
                          <a:ln>
                            <a:noFill/>
                          </a:ln>
                        </pic:spPr>
                      </pic:pic>
                    </a:graphicData>
                  </a:graphic>
                </wp:inline>
              </w:drawing>
            </w:r>
          </w:p>
        </w:tc>
        <w:tc>
          <w:tcPr>
            <w:tcW w:w="571" w:type="dxa"/>
            <w:tcBorders>
              <w:top w:val="single" w:sz="4" w:space="0" w:color="808080"/>
              <w:left w:val="single" w:sz="4" w:space="0" w:color="808080"/>
              <w:bottom w:val="single" w:sz="4" w:space="0" w:color="808080"/>
              <w:right w:val="single" w:sz="4" w:space="0" w:color="808080"/>
            </w:tcBorders>
            <w:shd w:val="clear" w:color="auto" w:fill="FFFFFF"/>
            <w:hideMark/>
          </w:tcPr>
          <w:p w14:paraId="1EDB0DA3" w14:textId="77777777" w:rsidR="002E4453" w:rsidRDefault="002E4453">
            <w:pPr>
              <w:spacing w:after="0" w:line="276" w:lineRule="auto"/>
              <w:jc w:val="center"/>
              <w:rPr>
                <w:rFonts w:ascii="Times New Roman" w:hAnsi="Times New Roman"/>
              </w:rPr>
            </w:pPr>
            <w:r>
              <w:rPr>
                <w:rFonts w:ascii="Times New Roman" w:hAnsi="Times New Roman"/>
              </w:rPr>
              <w:t xml:space="preserve">Yes </w:t>
            </w:r>
          </w:p>
        </w:tc>
        <w:tc>
          <w:tcPr>
            <w:tcW w:w="656" w:type="dxa"/>
            <w:tcBorders>
              <w:top w:val="single" w:sz="4" w:space="0" w:color="808080"/>
              <w:left w:val="single" w:sz="4" w:space="0" w:color="808080"/>
              <w:bottom w:val="single" w:sz="4" w:space="0" w:color="808080"/>
              <w:right w:val="single" w:sz="4" w:space="0" w:color="808080"/>
            </w:tcBorders>
            <w:shd w:val="clear" w:color="auto" w:fill="FFFFFF"/>
            <w:hideMark/>
          </w:tcPr>
          <w:p w14:paraId="54A6E0BC" w14:textId="77777777" w:rsidR="002E4453" w:rsidRDefault="002E4453">
            <w:pPr>
              <w:spacing w:after="0" w:line="276" w:lineRule="auto"/>
              <w:jc w:val="center"/>
              <w:rPr>
                <w:rFonts w:ascii="Times New Roman" w:hAnsi="Times New Roman"/>
              </w:rPr>
            </w:pPr>
            <w:r>
              <w:rPr>
                <w:rFonts w:ascii="Times New Roman" w:hAnsi="Times New Roman"/>
              </w:rPr>
              <w:t>No</w:t>
            </w:r>
          </w:p>
        </w:tc>
        <w:tc>
          <w:tcPr>
            <w:tcW w:w="705" w:type="dxa"/>
            <w:tcBorders>
              <w:top w:val="single" w:sz="4" w:space="0" w:color="808080"/>
              <w:left w:val="single" w:sz="4" w:space="0" w:color="808080"/>
              <w:bottom w:val="single" w:sz="4" w:space="0" w:color="808080"/>
              <w:right w:val="single" w:sz="4" w:space="0" w:color="808080"/>
            </w:tcBorders>
            <w:shd w:val="clear" w:color="auto" w:fill="FFFFFF"/>
            <w:hideMark/>
          </w:tcPr>
          <w:p w14:paraId="210860D1" w14:textId="77777777" w:rsidR="002E4453" w:rsidRDefault="002E4453">
            <w:pPr>
              <w:spacing w:after="0" w:line="276" w:lineRule="auto"/>
              <w:jc w:val="center"/>
              <w:rPr>
                <w:rFonts w:ascii="Times New Roman" w:hAnsi="Times New Roman"/>
              </w:rPr>
            </w:pPr>
            <w:r>
              <w:rPr>
                <w:rFonts w:ascii="Times New Roman" w:hAnsi="Times New Roman"/>
              </w:rPr>
              <w:t>DK</w:t>
            </w:r>
          </w:p>
        </w:tc>
      </w:tr>
      <w:tr w:rsidR="002E4453" w14:paraId="47E7CCCA" w14:textId="77777777" w:rsidTr="002E4453">
        <w:tc>
          <w:tcPr>
            <w:tcW w:w="835" w:type="dxa"/>
            <w:tcBorders>
              <w:top w:val="single" w:sz="4" w:space="0" w:color="808080"/>
              <w:left w:val="single" w:sz="4" w:space="0" w:color="808080"/>
              <w:bottom w:val="single" w:sz="4" w:space="0" w:color="808080"/>
              <w:right w:val="single" w:sz="4" w:space="0" w:color="808080"/>
            </w:tcBorders>
            <w:shd w:val="clear" w:color="auto" w:fill="FFFFFF"/>
            <w:hideMark/>
          </w:tcPr>
          <w:p w14:paraId="466A371E" w14:textId="77777777" w:rsidR="002E4453" w:rsidRDefault="002E4453">
            <w:pPr>
              <w:spacing w:after="0" w:line="276" w:lineRule="auto"/>
              <w:jc w:val="center"/>
              <w:rPr>
                <w:rFonts w:ascii="Times New Roman" w:hAnsi="Times New Roman"/>
              </w:rPr>
            </w:pPr>
            <w:r>
              <w:rPr>
                <w:rFonts w:ascii="Times New Roman" w:hAnsi="Times New Roman"/>
              </w:rPr>
              <w:t>E19</w:t>
            </w:r>
          </w:p>
        </w:tc>
        <w:tc>
          <w:tcPr>
            <w:tcW w:w="6570" w:type="dxa"/>
            <w:tcBorders>
              <w:top w:val="single" w:sz="4" w:space="0" w:color="808080"/>
              <w:left w:val="single" w:sz="4" w:space="0" w:color="808080"/>
              <w:bottom w:val="single" w:sz="4" w:space="0" w:color="808080"/>
              <w:right w:val="single" w:sz="4" w:space="0" w:color="808080"/>
            </w:tcBorders>
            <w:shd w:val="clear" w:color="auto" w:fill="FFFFFF"/>
            <w:hideMark/>
          </w:tcPr>
          <w:p w14:paraId="73D153E2" w14:textId="77777777" w:rsidR="002E4453" w:rsidRDefault="002E4453">
            <w:pPr>
              <w:spacing w:after="0" w:line="276" w:lineRule="auto"/>
              <w:rPr>
                <w:rFonts w:ascii="Times New Roman" w:hAnsi="Times New Roman"/>
              </w:rPr>
            </w:pPr>
            <w:r>
              <w:rPr>
                <w:rFonts w:ascii="Times New Roman" w:hAnsi="Times New Roman"/>
              </w:rPr>
              <w:t>Can the child say what others like or dislike (e.g., "Mama doesn't like fruit," "Papa likes football")?</w:t>
            </w:r>
          </w:p>
        </w:tc>
        <w:tc>
          <w:tcPr>
            <w:tcW w:w="869" w:type="dxa"/>
            <w:tcBorders>
              <w:top w:val="single" w:sz="4" w:space="0" w:color="808080"/>
              <w:left w:val="single" w:sz="4" w:space="0" w:color="808080"/>
              <w:bottom w:val="single" w:sz="4" w:space="0" w:color="808080"/>
              <w:right w:val="single" w:sz="4" w:space="0" w:color="808080"/>
            </w:tcBorders>
            <w:shd w:val="clear" w:color="auto" w:fill="FFFFFF"/>
          </w:tcPr>
          <w:p w14:paraId="408C0B13" w14:textId="77777777" w:rsidR="002E4453" w:rsidRDefault="002E4453">
            <w:pPr>
              <w:spacing w:after="200" w:line="276" w:lineRule="auto"/>
              <w:jc w:val="center"/>
              <w:rPr>
                <w:rFonts w:ascii="Times New Roman" w:hAnsi="Times New Roman"/>
                <w:color w:val="000000" w:themeColor="text1"/>
              </w:rPr>
            </w:pPr>
          </w:p>
        </w:tc>
        <w:tc>
          <w:tcPr>
            <w:tcW w:w="571" w:type="dxa"/>
            <w:tcBorders>
              <w:top w:val="single" w:sz="4" w:space="0" w:color="808080"/>
              <w:left w:val="single" w:sz="4" w:space="0" w:color="808080"/>
              <w:bottom w:val="single" w:sz="4" w:space="0" w:color="808080"/>
              <w:right w:val="single" w:sz="4" w:space="0" w:color="808080"/>
            </w:tcBorders>
            <w:shd w:val="clear" w:color="auto" w:fill="FFFFFF"/>
            <w:hideMark/>
          </w:tcPr>
          <w:p w14:paraId="5791A90C" w14:textId="77777777" w:rsidR="002E4453" w:rsidRDefault="002E4453">
            <w:pPr>
              <w:spacing w:after="0" w:line="276" w:lineRule="auto"/>
              <w:jc w:val="center"/>
              <w:rPr>
                <w:rFonts w:ascii="Times New Roman" w:hAnsi="Times New Roman"/>
              </w:rPr>
            </w:pPr>
            <w:r>
              <w:rPr>
                <w:rFonts w:ascii="Times New Roman" w:hAnsi="Times New Roman"/>
              </w:rPr>
              <w:t xml:space="preserve">Yes </w:t>
            </w:r>
          </w:p>
        </w:tc>
        <w:tc>
          <w:tcPr>
            <w:tcW w:w="656" w:type="dxa"/>
            <w:tcBorders>
              <w:top w:val="single" w:sz="4" w:space="0" w:color="808080"/>
              <w:left w:val="single" w:sz="4" w:space="0" w:color="808080"/>
              <w:bottom w:val="single" w:sz="4" w:space="0" w:color="808080"/>
              <w:right w:val="single" w:sz="4" w:space="0" w:color="808080"/>
            </w:tcBorders>
            <w:shd w:val="clear" w:color="auto" w:fill="FFFFFF"/>
            <w:hideMark/>
          </w:tcPr>
          <w:p w14:paraId="0A0F26B3" w14:textId="77777777" w:rsidR="002E4453" w:rsidRDefault="002E4453">
            <w:pPr>
              <w:spacing w:after="0" w:line="276" w:lineRule="auto"/>
              <w:jc w:val="center"/>
              <w:rPr>
                <w:rFonts w:ascii="Times New Roman" w:hAnsi="Times New Roman"/>
              </w:rPr>
            </w:pPr>
            <w:r>
              <w:rPr>
                <w:rFonts w:ascii="Times New Roman" w:hAnsi="Times New Roman"/>
              </w:rPr>
              <w:t>No</w:t>
            </w:r>
          </w:p>
        </w:tc>
        <w:tc>
          <w:tcPr>
            <w:tcW w:w="705" w:type="dxa"/>
            <w:tcBorders>
              <w:top w:val="single" w:sz="4" w:space="0" w:color="808080"/>
              <w:left w:val="single" w:sz="4" w:space="0" w:color="808080"/>
              <w:bottom w:val="single" w:sz="4" w:space="0" w:color="808080"/>
              <w:right w:val="single" w:sz="4" w:space="0" w:color="808080"/>
            </w:tcBorders>
            <w:shd w:val="clear" w:color="auto" w:fill="FFFFFF"/>
            <w:hideMark/>
          </w:tcPr>
          <w:p w14:paraId="024C65BE" w14:textId="77777777" w:rsidR="002E4453" w:rsidRDefault="002E4453">
            <w:pPr>
              <w:spacing w:after="0" w:line="276" w:lineRule="auto"/>
              <w:jc w:val="center"/>
              <w:rPr>
                <w:rFonts w:ascii="Times New Roman" w:hAnsi="Times New Roman"/>
              </w:rPr>
            </w:pPr>
            <w:r>
              <w:rPr>
                <w:rFonts w:ascii="Times New Roman" w:hAnsi="Times New Roman"/>
              </w:rPr>
              <w:t>DK</w:t>
            </w:r>
          </w:p>
        </w:tc>
      </w:tr>
      <w:tr w:rsidR="002E4453" w14:paraId="7D4A7354" w14:textId="77777777" w:rsidTr="002E4453">
        <w:tc>
          <w:tcPr>
            <w:tcW w:w="835" w:type="dxa"/>
            <w:tcBorders>
              <w:top w:val="single" w:sz="4" w:space="0" w:color="808080"/>
              <w:left w:val="single" w:sz="4" w:space="0" w:color="808080"/>
              <w:bottom w:val="single" w:sz="4" w:space="0" w:color="808080"/>
              <w:right w:val="single" w:sz="4" w:space="0" w:color="808080"/>
            </w:tcBorders>
            <w:shd w:val="clear" w:color="auto" w:fill="FFFFFF"/>
            <w:hideMark/>
          </w:tcPr>
          <w:p w14:paraId="22A84604" w14:textId="77777777" w:rsidR="002E4453" w:rsidRDefault="002E4453">
            <w:pPr>
              <w:spacing w:after="0" w:line="276" w:lineRule="auto"/>
              <w:jc w:val="center"/>
              <w:rPr>
                <w:rFonts w:ascii="Times New Roman" w:hAnsi="Times New Roman"/>
              </w:rPr>
            </w:pPr>
            <w:r>
              <w:rPr>
                <w:rFonts w:ascii="Times New Roman" w:hAnsi="Times New Roman"/>
              </w:rPr>
              <w:t>E20</w:t>
            </w:r>
          </w:p>
        </w:tc>
        <w:tc>
          <w:tcPr>
            <w:tcW w:w="6570" w:type="dxa"/>
            <w:tcBorders>
              <w:top w:val="single" w:sz="4" w:space="0" w:color="808080"/>
              <w:left w:val="single" w:sz="4" w:space="0" w:color="808080"/>
              <w:bottom w:val="single" w:sz="4" w:space="0" w:color="808080"/>
              <w:right w:val="single" w:sz="4" w:space="0" w:color="808080"/>
            </w:tcBorders>
            <w:shd w:val="clear" w:color="auto" w:fill="FFFFFF"/>
            <w:hideMark/>
          </w:tcPr>
          <w:p w14:paraId="2C92CFC3" w14:textId="77777777" w:rsidR="002E4453" w:rsidRDefault="002E4453">
            <w:pPr>
              <w:spacing w:after="0" w:line="276" w:lineRule="auto"/>
              <w:rPr>
                <w:rFonts w:ascii="Times New Roman" w:hAnsi="Times New Roman"/>
              </w:rPr>
            </w:pPr>
            <w:r>
              <w:rPr>
                <w:rFonts w:ascii="Times New Roman" w:hAnsi="Times New Roman"/>
              </w:rPr>
              <w:t>Can the child talk about things that have happened in the past using correct language (e.g., "Yesterday I played with my friend" or "Last week she went to the market")?</w:t>
            </w:r>
          </w:p>
        </w:tc>
        <w:tc>
          <w:tcPr>
            <w:tcW w:w="869" w:type="dxa"/>
            <w:tcBorders>
              <w:top w:val="single" w:sz="4" w:space="0" w:color="808080"/>
              <w:left w:val="single" w:sz="4" w:space="0" w:color="808080"/>
              <w:bottom w:val="single" w:sz="4" w:space="0" w:color="808080"/>
              <w:right w:val="single" w:sz="4" w:space="0" w:color="808080"/>
            </w:tcBorders>
            <w:shd w:val="clear" w:color="auto" w:fill="FFFFFF"/>
          </w:tcPr>
          <w:p w14:paraId="17392A2F" w14:textId="77777777" w:rsidR="002E4453" w:rsidRDefault="002E4453">
            <w:pPr>
              <w:spacing w:after="200" w:line="276" w:lineRule="auto"/>
              <w:jc w:val="center"/>
              <w:rPr>
                <w:rFonts w:ascii="Times New Roman" w:hAnsi="Times New Roman"/>
                <w:color w:val="000000" w:themeColor="text1"/>
              </w:rPr>
            </w:pPr>
          </w:p>
        </w:tc>
        <w:tc>
          <w:tcPr>
            <w:tcW w:w="571" w:type="dxa"/>
            <w:tcBorders>
              <w:top w:val="single" w:sz="4" w:space="0" w:color="808080"/>
              <w:left w:val="single" w:sz="4" w:space="0" w:color="808080"/>
              <w:bottom w:val="single" w:sz="4" w:space="0" w:color="808080"/>
              <w:right w:val="single" w:sz="4" w:space="0" w:color="808080"/>
            </w:tcBorders>
            <w:shd w:val="clear" w:color="auto" w:fill="FFFFFF"/>
            <w:hideMark/>
          </w:tcPr>
          <w:p w14:paraId="07140559" w14:textId="77777777" w:rsidR="002E4453" w:rsidRDefault="002E4453">
            <w:pPr>
              <w:spacing w:after="0" w:line="276" w:lineRule="auto"/>
              <w:jc w:val="center"/>
              <w:rPr>
                <w:rFonts w:ascii="Times New Roman" w:hAnsi="Times New Roman"/>
              </w:rPr>
            </w:pPr>
            <w:r>
              <w:rPr>
                <w:rFonts w:ascii="Times New Roman" w:hAnsi="Times New Roman"/>
              </w:rPr>
              <w:t xml:space="preserve">Yes </w:t>
            </w:r>
          </w:p>
        </w:tc>
        <w:tc>
          <w:tcPr>
            <w:tcW w:w="656" w:type="dxa"/>
            <w:tcBorders>
              <w:top w:val="single" w:sz="4" w:space="0" w:color="808080"/>
              <w:left w:val="single" w:sz="4" w:space="0" w:color="808080"/>
              <w:bottom w:val="single" w:sz="4" w:space="0" w:color="808080"/>
              <w:right w:val="single" w:sz="4" w:space="0" w:color="808080"/>
            </w:tcBorders>
            <w:shd w:val="clear" w:color="auto" w:fill="FFFFFF"/>
            <w:hideMark/>
          </w:tcPr>
          <w:p w14:paraId="261DEA9F" w14:textId="77777777" w:rsidR="002E4453" w:rsidRDefault="002E4453">
            <w:pPr>
              <w:spacing w:after="0" w:line="276" w:lineRule="auto"/>
              <w:jc w:val="center"/>
              <w:rPr>
                <w:rFonts w:ascii="Times New Roman" w:hAnsi="Times New Roman"/>
              </w:rPr>
            </w:pPr>
            <w:r>
              <w:rPr>
                <w:rFonts w:ascii="Times New Roman" w:hAnsi="Times New Roman"/>
              </w:rPr>
              <w:t>No</w:t>
            </w:r>
          </w:p>
        </w:tc>
        <w:tc>
          <w:tcPr>
            <w:tcW w:w="705" w:type="dxa"/>
            <w:tcBorders>
              <w:top w:val="single" w:sz="4" w:space="0" w:color="808080"/>
              <w:left w:val="single" w:sz="4" w:space="0" w:color="808080"/>
              <w:bottom w:val="single" w:sz="4" w:space="0" w:color="808080"/>
              <w:right w:val="single" w:sz="4" w:space="0" w:color="808080"/>
            </w:tcBorders>
            <w:shd w:val="clear" w:color="auto" w:fill="FFFFFF"/>
            <w:hideMark/>
          </w:tcPr>
          <w:p w14:paraId="64BE8D95" w14:textId="77777777" w:rsidR="002E4453" w:rsidRDefault="002E4453">
            <w:pPr>
              <w:spacing w:after="0" w:line="276" w:lineRule="auto"/>
              <w:jc w:val="center"/>
              <w:rPr>
                <w:rFonts w:ascii="Times New Roman" w:hAnsi="Times New Roman"/>
              </w:rPr>
            </w:pPr>
            <w:r>
              <w:rPr>
                <w:rFonts w:ascii="Times New Roman" w:hAnsi="Times New Roman"/>
              </w:rPr>
              <w:t>DK</w:t>
            </w:r>
          </w:p>
        </w:tc>
      </w:tr>
    </w:tbl>
    <w:p w14:paraId="64DBB59C" w14:textId="3321A2E8" w:rsidR="002E4453" w:rsidRDefault="002E4453" w:rsidP="002E4453"/>
    <w:p w14:paraId="0CF42982" w14:textId="77777777" w:rsidR="00CE5294" w:rsidRDefault="00CE5294" w:rsidP="0065541A">
      <w:pPr>
        <w:sectPr w:rsidR="00CE5294">
          <w:pgSz w:w="12240" w:h="15840"/>
          <w:pgMar w:top="1440" w:right="1440" w:bottom="1440" w:left="1440" w:header="720" w:footer="720" w:gutter="0"/>
          <w:cols w:space="720"/>
          <w:docGrid w:linePitch="360"/>
        </w:sectPr>
      </w:pPr>
    </w:p>
    <w:p w14:paraId="0DE90C4A" w14:textId="15311191" w:rsidR="00CE5294" w:rsidRDefault="00C24E07" w:rsidP="00CE5294">
      <w:pPr>
        <w:pStyle w:val="Heading1"/>
      </w:pPr>
      <w:bookmarkStart w:id="61" w:name="_Toc520742217"/>
      <w:bookmarkStart w:id="62" w:name="_Toc69728422"/>
      <w:bookmarkStart w:id="63" w:name="_Hlk89942739"/>
      <w:r w:rsidRPr="00CE5294">
        <w:lastRenderedPageBreak/>
        <w:t>A</w:t>
      </w:r>
      <w:r w:rsidR="004D1DB2">
        <w:t>nnex 5</w:t>
      </w:r>
      <w:r w:rsidR="00CE5294" w:rsidRPr="00CE5294">
        <w:t xml:space="preserve">: </w:t>
      </w:r>
      <w:r w:rsidR="00CD31AC">
        <w:t>Identified e</w:t>
      </w:r>
      <w:r w:rsidR="00CE5294" w:rsidRPr="00CE5294">
        <w:t>xisting data sources</w:t>
      </w:r>
      <w:r w:rsidR="00CD31AC">
        <w:t xml:space="preserve"> to inform evaluation design and supplement primary data</w:t>
      </w:r>
      <w:bookmarkEnd w:id="61"/>
      <w:bookmarkEnd w:id="62"/>
    </w:p>
    <w:bookmarkEnd w:id="63"/>
    <w:p w14:paraId="40891EDE" w14:textId="77777777" w:rsidR="00CE5294" w:rsidRPr="00CE5294" w:rsidRDefault="00CE5294" w:rsidP="00CE5294"/>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10"/>
        <w:gridCol w:w="2851"/>
        <w:gridCol w:w="2539"/>
        <w:gridCol w:w="2539"/>
        <w:gridCol w:w="2851"/>
      </w:tblGrid>
      <w:tr w:rsidR="00CE5294" w:rsidRPr="003C22AA" w14:paraId="121377CA" w14:textId="77777777" w:rsidTr="00255068">
        <w:trPr>
          <w:trHeight w:val="600"/>
        </w:trPr>
        <w:tc>
          <w:tcPr>
            <w:tcW w:w="3610" w:type="dxa"/>
            <w:shd w:val="clear" w:color="auto" w:fill="auto"/>
            <w:vAlign w:val="center"/>
            <w:hideMark/>
          </w:tcPr>
          <w:p w14:paraId="6771F606" w14:textId="77777777" w:rsidR="00CE5294" w:rsidRPr="003C22AA" w:rsidRDefault="00CE5294" w:rsidP="00CE5294">
            <w:pPr>
              <w:jc w:val="center"/>
              <w:rPr>
                <w:rFonts w:ascii="Calibri" w:eastAsia="Times New Roman" w:hAnsi="Calibri" w:cs="Calibri"/>
                <w:b/>
                <w:bCs/>
                <w:color w:val="000000"/>
              </w:rPr>
            </w:pPr>
            <w:r w:rsidRPr="003C22AA">
              <w:rPr>
                <w:rFonts w:ascii="Calibri" w:eastAsia="Times New Roman" w:hAnsi="Calibri" w:cs="Calibri"/>
                <w:b/>
                <w:bCs/>
                <w:color w:val="000000"/>
              </w:rPr>
              <w:t>Indicator / type of information</w:t>
            </w:r>
          </w:p>
        </w:tc>
        <w:tc>
          <w:tcPr>
            <w:tcW w:w="2851" w:type="dxa"/>
            <w:shd w:val="clear" w:color="auto" w:fill="auto"/>
            <w:vAlign w:val="center"/>
            <w:hideMark/>
          </w:tcPr>
          <w:p w14:paraId="19F83A0B" w14:textId="77777777" w:rsidR="00CE5294" w:rsidRPr="003C22AA" w:rsidRDefault="00CE5294" w:rsidP="00CE5294">
            <w:pPr>
              <w:jc w:val="center"/>
              <w:rPr>
                <w:rFonts w:ascii="Calibri" w:eastAsia="Times New Roman" w:hAnsi="Calibri" w:cs="Calibri"/>
                <w:b/>
                <w:bCs/>
                <w:color w:val="000000"/>
              </w:rPr>
            </w:pPr>
            <w:r w:rsidRPr="003C22AA">
              <w:rPr>
                <w:rFonts w:ascii="Calibri" w:eastAsia="Times New Roman" w:hAnsi="Calibri" w:cs="Calibri"/>
                <w:b/>
                <w:bCs/>
                <w:color w:val="000000"/>
              </w:rPr>
              <w:t>Data source</w:t>
            </w:r>
          </w:p>
        </w:tc>
        <w:tc>
          <w:tcPr>
            <w:tcW w:w="2539" w:type="dxa"/>
            <w:shd w:val="clear" w:color="auto" w:fill="auto"/>
            <w:vAlign w:val="center"/>
            <w:hideMark/>
          </w:tcPr>
          <w:p w14:paraId="62D7871E" w14:textId="77777777" w:rsidR="00CE5294" w:rsidRPr="003C22AA" w:rsidRDefault="00CE5294" w:rsidP="00CE5294">
            <w:pPr>
              <w:jc w:val="center"/>
              <w:rPr>
                <w:rFonts w:ascii="Calibri" w:eastAsia="Times New Roman" w:hAnsi="Calibri" w:cs="Calibri"/>
                <w:b/>
                <w:bCs/>
                <w:color w:val="000000"/>
              </w:rPr>
            </w:pPr>
            <w:r w:rsidRPr="003C22AA">
              <w:rPr>
                <w:rFonts w:ascii="Calibri" w:eastAsia="Times New Roman" w:hAnsi="Calibri" w:cs="Calibri"/>
                <w:b/>
                <w:bCs/>
                <w:color w:val="000000"/>
              </w:rPr>
              <w:t>Administrative entity / organization</w:t>
            </w:r>
          </w:p>
        </w:tc>
        <w:tc>
          <w:tcPr>
            <w:tcW w:w="2539" w:type="dxa"/>
            <w:shd w:val="clear" w:color="auto" w:fill="auto"/>
            <w:vAlign w:val="center"/>
            <w:hideMark/>
          </w:tcPr>
          <w:p w14:paraId="016782E9" w14:textId="77777777" w:rsidR="00CE5294" w:rsidRPr="003C22AA" w:rsidRDefault="00CE5294" w:rsidP="00CE5294">
            <w:pPr>
              <w:jc w:val="center"/>
              <w:rPr>
                <w:rFonts w:ascii="Calibri" w:eastAsia="Times New Roman" w:hAnsi="Calibri" w:cs="Calibri"/>
                <w:b/>
                <w:bCs/>
                <w:color w:val="000000"/>
              </w:rPr>
            </w:pPr>
            <w:r w:rsidRPr="003C22AA">
              <w:rPr>
                <w:rFonts w:ascii="Calibri" w:eastAsia="Times New Roman" w:hAnsi="Calibri" w:cs="Calibri"/>
                <w:b/>
                <w:bCs/>
                <w:color w:val="000000"/>
              </w:rPr>
              <w:t>Available years for data source</w:t>
            </w:r>
          </w:p>
        </w:tc>
        <w:tc>
          <w:tcPr>
            <w:tcW w:w="2851" w:type="dxa"/>
            <w:shd w:val="clear" w:color="auto" w:fill="auto"/>
            <w:vAlign w:val="center"/>
            <w:hideMark/>
          </w:tcPr>
          <w:p w14:paraId="7B15E587" w14:textId="77777777" w:rsidR="00CE5294" w:rsidRPr="003C22AA" w:rsidRDefault="00CE5294" w:rsidP="00CE5294">
            <w:pPr>
              <w:jc w:val="center"/>
              <w:rPr>
                <w:rFonts w:ascii="Calibri" w:eastAsia="Times New Roman" w:hAnsi="Calibri" w:cs="Calibri"/>
                <w:b/>
                <w:bCs/>
                <w:color w:val="000000"/>
              </w:rPr>
            </w:pPr>
            <w:r w:rsidRPr="003C22AA">
              <w:rPr>
                <w:rFonts w:ascii="Calibri" w:eastAsia="Times New Roman" w:hAnsi="Calibri" w:cs="Calibri"/>
                <w:b/>
                <w:bCs/>
                <w:color w:val="000000"/>
              </w:rPr>
              <w:t>Notes</w:t>
            </w:r>
          </w:p>
        </w:tc>
      </w:tr>
      <w:tr w:rsidR="00CE5294" w:rsidRPr="003C22AA" w14:paraId="08CCE4B0" w14:textId="77777777" w:rsidTr="00255068">
        <w:trPr>
          <w:trHeight w:val="300"/>
        </w:trPr>
        <w:tc>
          <w:tcPr>
            <w:tcW w:w="3610" w:type="dxa"/>
            <w:shd w:val="clear" w:color="auto" w:fill="auto"/>
            <w:vAlign w:val="center"/>
            <w:hideMark/>
          </w:tcPr>
          <w:p w14:paraId="0FE73642" w14:textId="77777777" w:rsidR="00CE5294" w:rsidRPr="003C22AA" w:rsidRDefault="00CE5294" w:rsidP="00CE5294">
            <w:pPr>
              <w:rPr>
                <w:rFonts w:ascii="Calibri" w:eastAsia="Times New Roman" w:hAnsi="Calibri" w:cs="Calibri"/>
                <w:i/>
                <w:iCs/>
                <w:color w:val="000000"/>
              </w:rPr>
            </w:pPr>
            <w:r w:rsidRPr="003C22AA">
              <w:rPr>
                <w:rFonts w:ascii="Calibri" w:eastAsia="Times New Roman" w:hAnsi="Calibri" w:cs="Calibri"/>
                <w:i/>
                <w:iCs/>
                <w:color w:val="000000"/>
              </w:rPr>
              <w:t>Historical facility-level HMIS data</w:t>
            </w:r>
          </w:p>
        </w:tc>
        <w:tc>
          <w:tcPr>
            <w:tcW w:w="2851" w:type="dxa"/>
            <w:vMerge w:val="restart"/>
            <w:shd w:val="clear" w:color="auto" w:fill="auto"/>
            <w:vAlign w:val="center"/>
            <w:hideMark/>
          </w:tcPr>
          <w:p w14:paraId="34194C75" w14:textId="77777777" w:rsidR="00CE5294" w:rsidRPr="003C22AA" w:rsidRDefault="00CE5294" w:rsidP="00CE5294">
            <w:pPr>
              <w:jc w:val="center"/>
              <w:rPr>
                <w:rFonts w:ascii="Calibri" w:eastAsia="Times New Roman" w:hAnsi="Calibri" w:cs="Calibri"/>
                <w:color w:val="000000"/>
              </w:rPr>
            </w:pPr>
            <w:r w:rsidRPr="003C22AA">
              <w:rPr>
                <w:rFonts w:ascii="Calibri" w:eastAsia="Times New Roman" w:hAnsi="Calibri" w:cs="Calibri"/>
                <w:color w:val="000000"/>
              </w:rPr>
              <w:t>HMIS</w:t>
            </w:r>
          </w:p>
        </w:tc>
        <w:tc>
          <w:tcPr>
            <w:tcW w:w="2539" w:type="dxa"/>
            <w:vMerge w:val="restart"/>
            <w:shd w:val="clear" w:color="auto" w:fill="auto"/>
            <w:vAlign w:val="center"/>
            <w:hideMark/>
          </w:tcPr>
          <w:p w14:paraId="4996ED1C" w14:textId="77777777" w:rsidR="00CE5294" w:rsidRPr="003C22AA" w:rsidRDefault="00CE5294" w:rsidP="00CE5294">
            <w:pPr>
              <w:jc w:val="center"/>
              <w:rPr>
                <w:rFonts w:ascii="Calibri" w:eastAsia="Times New Roman" w:hAnsi="Calibri" w:cs="Calibri"/>
                <w:color w:val="000000"/>
              </w:rPr>
            </w:pPr>
            <w:r w:rsidRPr="003C22AA">
              <w:rPr>
                <w:rFonts w:ascii="Calibri" w:eastAsia="Times New Roman" w:hAnsi="Calibri" w:cs="Calibri"/>
                <w:color w:val="000000"/>
              </w:rPr>
              <w:t>Ministry of health</w:t>
            </w:r>
          </w:p>
        </w:tc>
        <w:tc>
          <w:tcPr>
            <w:tcW w:w="2539" w:type="dxa"/>
            <w:vMerge w:val="restart"/>
            <w:shd w:val="clear" w:color="auto" w:fill="auto"/>
            <w:vAlign w:val="center"/>
            <w:hideMark/>
          </w:tcPr>
          <w:p w14:paraId="3E132563" w14:textId="77777777" w:rsidR="00CE5294" w:rsidRPr="003C22AA" w:rsidRDefault="00CE5294" w:rsidP="00CE5294">
            <w:pPr>
              <w:jc w:val="center"/>
              <w:rPr>
                <w:rFonts w:ascii="Calibri" w:eastAsia="Times New Roman" w:hAnsi="Calibri" w:cs="Calibri"/>
                <w:color w:val="000000"/>
              </w:rPr>
            </w:pPr>
          </w:p>
        </w:tc>
        <w:tc>
          <w:tcPr>
            <w:tcW w:w="2851" w:type="dxa"/>
            <w:vMerge w:val="restart"/>
            <w:shd w:val="clear" w:color="auto" w:fill="auto"/>
            <w:vAlign w:val="center"/>
            <w:hideMark/>
          </w:tcPr>
          <w:p w14:paraId="7F8E151D" w14:textId="7ABE2ACF" w:rsidR="00CE5294" w:rsidRPr="003C22AA" w:rsidRDefault="00CE5294" w:rsidP="00CE5294">
            <w:pPr>
              <w:jc w:val="center"/>
              <w:rPr>
                <w:rFonts w:ascii="Calibri" w:eastAsia="Times New Roman" w:hAnsi="Calibri" w:cs="Calibri"/>
                <w:color w:val="000000"/>
              </w:rPr>
            </w:pPr>
            <w:r w:rsidRPr="003C22AA">
              <w:rPr>
                <w:rFonts w:ascii="Calibri" w:eastAsia="Times New Roman" w:hAnsi="Calibri" w:cs="Calibri"/>
                <w:color w:val="000000"/>
              </w:rPr>
              <w:t>Nutritional status indicators are not tracked in the HMIS, but most service utilization indicators should be available.</w:t>
            </w:r>
            <w:r w:rsidR="00A53A8D">
              <w:rPr>
                <w:rFonts w:ascii="Calibri" w:eastAsia="Times New Roman" w:hAnsi="Calibri" w:cs="Calibri"/>
                <w:color w:val="000000"/>
              </w:rPr>
              <w:t xml:space="preserve"> </w:t>
            </w:r>
            <w:r w:rsidRPr="003C22AA">
              <w:rPr>
                <w:rFonts w:ascii="Calibri" w:eastAsia="Times New Roman" w:hAnsi="Calibri" w:cs="Calibri"/>
                <w:color w:val="000000"/>
              </w:rPr>
              <w:t>The request for data will need to be directed to MOH and not RBC.</w:t>
            </w:r>
          </w:p>
        </w:tc>
      </w:tr>
      <w:tr w:rsidR="00CE5294" w:rsidRPr="003C22AA" w14:paraId="64F7961C" w14:textId="77777777" w:rsidTr="00255068">
        <w:trPr>
          <w:trHeight w:val="300"/>
        </w:trPr>
        <w:tc>
          <w:tcPr>
            <w:tcW w:w="3610" w:type="dxa"/>
            <w:shd w:val="clear" w:color="auto" w:fill="auto"/>
            <w:vAlign w:val="center"/>
            <w:hideMark/>
          </w:tcPr>
          <w:p w14:paraId="376DDDD3" w14:textId="77777777" w:rsidR="00CE5294" w:rsidRPr="003C22AA" w:rsidRDefault="00CE5294" w:rsidP="00CE5294">
            <w:pPr>
              <w:ind w:firstLineChars="200" w:firstLine="440"/>
              <w:rPr>
                <w:rFonts w:ascii="Calibri" w:eastAsia="Times New Roman" w:hAnsi="Calibri" w:cs="Calibri"/>
                <w:color w:val="000000"/>
              </w:rPr>
            </w:pPr>
            <w:r w:rsidRPr="003C22AA">
              <w:rPr>
                <w:rFonts w:ascii="Calibri" w:eastAsia="Times New Roman" w:hAnsi="Calibri" w:cs="Calibri"/>
                <w:color w:val="000000"/>
              </w:rPr>
              <w:t>Utilization of RMNCH services</w:t>
            </w:r>
          </w:p>
        </w:tc>
        <w:tc>
          <w:tcPr>
            <w:tcW w:w="2851" w:type="dxa"/>
            <w:vMerge/>
            <w:vAlign w:val="center"/>
            <w:hideMark/>
          </w:tcPr>
          <w:p w14:paraId="0CE3AFBD" w14:textId="77777777" w:rsidR="00CE5294" w:rsidRPr="003C22AA" w:rsidRDefault="00CE5294" w:rsidP="00CE5294">
            <w:pPr>
              <w:rPr>
                <w:rFonts w:ascii="Calibri" w:eastAsia="Times New Roman" w:hAnsi="Calibri" w:cs="Calibri"/>
                <w:color w:val="000000"/>
              </w:rPr>
            </w:pPr>
          </w:p>
        </w:tc>
        <w:tc>
          <w:tcPr>
            <w:tcW w:w="2539" w:type="dxa"/>
            <w:vMerge/>
            <w:vAlign w:val="center"/>
            <w:hideMark/>
          </w:tcPr>
          <w:p w14:paraId="15D98F19" w14:textId="77777777" w:rsidR="00CE5294" w:rsidRPr="003C22AA" w:rsidRDefault="00CE5294" w:rsidP="00CE5294">
            <w:pPr>
              <w:rPr>
                <w:rFonts w:ascii="Calibri" w:eastAsia="Times New Roman" w:hAnsi="Calibri" w:cs="Calibri"/>
                <w:color w:val="000000"/>
              </w:rPr>
            </w:pPr>
          </w:p>
        </w:tc>
        <w:tc>
          <w:tcPr>
            <w:tcW w:w="2539" w:type="dxa"/>
            <w:vMerge/>
            <w:vAlign w:val="center"/>
            <w:hideMark/>
          </w:tcPr>
          <w:p w14:paraId="565376B7" w14:textId="77777777" w:rsidR="00CE5294" w:rsidRPr="003C22AA" w:rsidRDefault="00CE5294" w:rsidP="00CE5294">
            <w:pPr>
              <w:rPr>
                <w:rFonts w:ascii="Calibri" w:eastAsia="Times New Roman" w:hAnsi="Calibri" w:cs="Calibri"/>
                <w:color w:val="000000"/>
              </w:rPr>
            </w:pPr>
          </w:p>
        </w:tc>
        <w:tc>
          <w:tcPr>
            <w:tcW w:w="2851" w:type="dxa"/>
            <w:vMerge/>
            <w:vAlign w:val="center"/>
            <w:hideMark/>
          </w:tcPr>
          <w:p w14:paraId="5AFE3301" w14:textId="77777777" w:rsidR="00CE5294" w:rsidRPr="003C22AA" w:rsidRDefault="00CE5294" w:rsidP="00CE5294">
            <w:pPr>
              <w:rPr>
                <w:rFonts w:ascii="Calibri" w:eastAsia="Times New Roman" w:hAnsi="Calibri" w:cs="Calibri"/>
                <w:color w:val="000000"/>
              </w:rPr>
            </w:pPr>
          </w:p>
        </w:tc>
      </w:tr>
      <w:tr w:rsidR="00CE5294" w:rsidRPr="003C22AA" w14:paraId="6F4544F3" w14:textId="77777777" w:rsidTr="00255068">
        <w:trPr>
          <w:trHeight w:val="600"/>
        </w:trPr>
        <w:tc>
          <w:tcPr>
            <w:tcW w:w="3610" w:type="dxa"/>
            <w:shd w:val="clear" w:color="auto" w:fill="auto"/>
            <w:vAlign w:val="center"/>
            <w:hideMark/>
          </w:tcPr>
          <w:p w14:paraId="0946ADD5" w14:textId="77777777" w:rsidR="00CE5294" w:rsidRPr="003C22AA" w:rsidRDefault="00CE5294" w:rsidP="00CE5294">
            <w:pPr>
              <w:ind w:firstLineChars="200" w:firstLine="440"/>
              <w:rPr>
                <w:rFonts w:ascii="Calibri" w:eastAsia="Times New Roman" w:hAnsi="Calibri" w:cs="Calibri"/>
                <w:color w:val="000000"/>
              </w:rPr>
            </w:pPr>
            <w:r w:rsidRPr="003C22AA">
              <w:rPr>
                <w:rFonts w:ascii="Calibri" w:eastAsia="Times New Roman" w:hAnsi="Calibri" w:cs="Calibri"/>
                <w:color w:val="000000"/>
              </w:rPr>
              <w:t>Geolocations of health facilities</w:t>
            </w:r>
          </w:p>
        </w:tc>
        <w:tc>
          <w:tcPr>
            <w:tcW w:w="2851" w:type="dxa"/>
            <w:vMerge/>
            <w:vAlign w:val="center"/>
            <w:hideMark/>
          </w:tcPr>
          <w:p w14:paraId="778768F1" w14:textId="77777777" w:rsidR="00CE5294" w:rsidRPr="003C22AA" w:rsidRDefault="00CE5294" w:rsidP="00CE5294">
            <w:pPr>
              <w:rPr>
                <w:rFonts w:ascii="Calibri" w:eastAsia="Times New Roman" w:hAnsi="Calibri" w:cs="Calibri"/>
                <w:color w:val="000000"/>
              </w:rPr>
            </w:pPr>
          </w:p>
        </w:tc>
        <w:tc>
          <w:tcPr>
            <w:tcW w:w="2539" w:type="dxa"/>
            <w:vMerge/>
            <w:vAlign w:val="center"/>
            <w:hideMark/>
          </w:tcPr>
          <w:p w14:paraId="20D1D7F8" w14:textId="77777777" w:rsidR="00CE5294" w:rsidRPr="003C22AA" w:rsidRDefault="00CE5294" w:rsidP="00CE5294">
            <w:pPr>
              <w:rPr>
                <w:rFonts w:ascii="Calibri" w:eastAsia="Times New Roman" w:hAnsi="Calibri" w:cs="Calibri"/>
                <w:color w:val="000000"/>
              </w:rPr>
            </w:pPr>
          </w:p>
        </w:tc>
        <w:tc>
          <w:tcPr>
            <w:tcW w:w="2539" w:type="dxa"/>
            <w:vMerge/>
            <w:vAlign w:val="center"/>
            <w:hideMark/>
          </w:tcPr>
          <w:p w14:paraId="2D5706A8" w14:textId="77777777" w:rsidR="00CE5294" w:rsidRPr="003C22AA" w:rsidRDefault="00CE5294" w:rsidP="00CE5294">
            <w:pPr>
              <w:rPr>
                <w:rFonts w:ascii="Calibri" w:eastAsia="Times New Roman" w:hAnsi="Calibri" w:cs="Calibri"/>
                <w:color w:val="000000"/>
              </w:rPr>
            </w:pPr>
          </w:p>
        </w:tc>
        <w:tc>
          <w:tcPr>
            <w:tcW w:w="2851" w:type="dxa"/>
            <w:vMerge/>
            <w:vAlign w:val="center"/>
            <w:hideMark/>
          </w:tcPr>
          <w:p w14:paraId="7EA73265" w14:textId="77777777" w:rsidR="00CE5294" w:rsidRPr="003C22AA" w:rsidRDefault="00CE5294" w:rsidP="00CE5294">
            <w:pPr>
              <w:rPr>
                <w:rFonts w:ascii="Calibri" w:eastAsia="Times New Roman" w:hAnsi="Calibri" w:cs="Calibri"/>
                <w:color w:val="000000"/>
              </w:rPr>
            </w:pPr>
          </w:p>
        </w:tc>
      </w:tr>
      <w:tr w:rsidR="00CE5294" w:rsidRPr="003C22AA" w14:paraId="1F7A2484" w14:textId="77777777" w:rsidTr="00255068">
        <w:trPr>
          <w:trHeight w:val="300"/>
        </w:trPr>
        <w:tc>
          <w:tcPr>
            <w:tcW w:w="3610" w:type="dxa"/>
            <w:shd w:val="clear" w:color="auto" w:fill="auto"/>
            <w:vAlign w:val="center"/>
            <w:hideMark/>
          </w:tcPr>
          <w:p w14:paraId="4F730CA5" w14:textId="77777777" w:rsidR="00CE5294" w:rsidRPr="003C22AA" w:rsidRDefault="00CE5294" w:rsidP="00CE5294">
            <w:pPr>
              <w:ind w:firstLineChars="200" w:firstLine="440"/>
              <w:rPr>
                <w:rFonts w:ascii="Calibri" w:eastAsia="Times New Roman" w:hAnsi="Calibri" w:cs="Calibri"/>
                <w:color w:val="000000"/>
              </w:rPr>
            </w:pPr>
            <w:r w:rsidRPr="003C22AA">
              <w:rPr>
                <w:rFonts w:ascii="Calibri" w:eastAsia="Times New Roman" w:hAnsi="Calibri" w:cs="Calibri"/>
                <w:color w:val="000000"/>
              </w:rPr>
              <w:t>Staffing levels</w:t>
            </w:r>
          </w:p>
        </w:tc>
        <w:tc>
          <w:tcPr>
            <w:tcW w:w="2851" w:type="dxa"/>
            <w:vMerge/>
            <w:vAlign w:val="center"/>
            <w:hideMark/>
          </w:tcPr>
          <w:p w14:paraId="0BB90537" w14:textId="77777777" w:rsidR="00CE5294" w:rsidRPr="003C22AA" w:rsidRDefault="00CE5294" w:rsidP="00CE5294">
            <w:pPr>
              <w:rPr>
                <w:rFonts w:ascii="Calibri" w:eastAsia="Times New Roman" w:hAnsi="Calibri" w:cs="Calibri"/>
                <w:color w:val="000000"/>
              </w:rPr>
            </w:pPr>
          </w:p>
        </w:tc>
        <w:tc>
          <w:tcPr>
            <w:tcW w:w="2539" w:type="dxa"/>
            <w:vMerge/>
            <w:vAlign w:val="center"/>
            <w:hideMark/>
          </w:tcPr>
          <w:p w14:paraId="5409B857" w14:textId="77777777" w:rsidR="00CE5294" w:rsidRPr="003C22AA" w:rsidRDefault="00CE5294" w:rsidP="00CE5294">
            <w:pPr>
              <w:rPr>
                <w:rFonts w:ascii="Calibri" w:eastAsia="Times New Roman" w:hAnsi="Calibri" w:cs="Calibri"/>
                <w:color w:val="000000"/>
              </w:rPr>
            </w:pPr>
          </w:p>
        </w:tc>
        <w:tc>
          <w:tcPr>
            <w:tcW w:w="2539" w:type="dxa"/>
            <w:vMerge/>
            <w:vAlign w:val="center"/>
            <w:hideMark/>
          </w:tcPr>
          <w:p w14:paraId="13F1C5A3" w14:textId="77777777" w:rsidR="00CE5294" w:rsidRPr="003C22AA" w:rsidRDefault="00CE5294" w:rsidP="00CE5294">
            <w:pPr>
              <w:rPr>
                <w:rFonts w:ascii="Calibri" w:eastAsia="Times New Roman" w:hAnsi="Calibri" w:cs="Calibri"/>
                <w:color w:val="000000"/>
              </w:rPr>
            </w:pPr>
          </w:p>
        </w:tc>
        <w:tc>
          <w:tcPr>
            <w:tcW w:w="2851" w:type="dxa"/>
            <w:vMerge/>
            <w:vAlign w:val="center"/>
            <w:hideMark/>
          </w:tcPr>
          <w:p w14:paraId="3D37C480" w14:textId="77777777" w:rsidR="00CE5294" w:rsidRPr="003C22AA" w:rsidRDefault="00CE5294" w:rsidP="00CE5294">
            <w:pPr>
              <w:rPr>
                <w:rFonts w:ascii="Calibri" w:eastAsia="Times New Roman" w:hAnsi="Calibri" w:cs="Calibri"/>
                <w:color w:val="000000"/>
              </w:rPr>
            </w:pPr>
          </w:p>
        </w:tc>
      </w:tr>
      <w:tr w:rsidR="00CE5294" w:rsidRPr="003C22AA" w14:paraId="5935EBA0" w14:textId="77777777" w:rsidTr="00255068">
        <w:trPr>
          <w:trHeight w:val="575"/>
        </w:trPr>
        <w:tc>
          <w:tcPr>
            <w:tcW w:w="3610" w:type="dxa"/>
            <w:shd w:val="clear" w:color="auto" w:fill="auto"/>
            <w:vAlign w:val="center"/>
            <w:hideMark/>
          </w:tcPr>
          <w:p w14:paraId="2BD79068" w14:textId="77777777" w:rsidR="00CE5294" w:rsidRPr="003C22AA" w:rsidRDefault="00CE5294" w:rsidP="00CE5294">
            <w:pPr>
              <w:ind w:firstLineChars="200" w:firstLine="440"/>
              <w:rPr>
                <w:rFonts w:ascii="Calibri" w:eastAsia="Times New Roman" w:hAnsi="Calibri" w:cs="Calibri"/>
                <w:color w:val="000000"/>
              </w:rPr>
            </w:pPr>
            <w:r w:rsidRPr="003C22AA">
              <w:rPr>
                <w:rFonts w:ascii="Calibri" w:eastAsia="Times New Roman" w:hAnsi="Calibri" w:cs="Calibri"/>
                <w:color w:val="000000"/>
              </w:rPr>
              <w:t>Catchment area</w:t>
            </w:r>
          </w:p>
        </w:tc>
        <w:tc>
          <w:tcPr>
            <w:tcW w:w="2851" w:type="dxa"/>
            <w:vMerge/>
            <w:vAlign w:val="center"/>
            <w:hideMark/>
          </w:tcPr>
          <w:p w14:paraId="07CB9EF5" w14:textId="77777777" w:rsidR="00CE5294" w:rsidRPr="003C22AA" w:rsidRDefault="00CE5294" w:rsidP="00CE5294">
            <w:pPr>
              <w:rPr>
                <w:rFonts w:ascii="Calibri" w:eastAsia="Times New Roman" w:hAnsi="Calibri" w:cs="Calibri"/>
                <w:color w:val="000000"/>
              </w:rPr>
            </w:pPr>
          </w:p>
        </w:tc>
        <w:tc>
          <w:tcPr>
            <w:tcW w:w="2539" w:type="dxa"/>
            <w:vMerge/>
            <w:vAlign w:val="center"/>
            <w:hideMark/>
          </w:tcPr>
          <w:p w14:paraId="299DC0D2" w14:textId="77777777" w:rsidR="00CE5294" w:rsidRPr="003C22AA" w:rsidRDefault="00CE5294" w:rsidP="00CE5294">
            <w:pPr>
              <w:rPr>
                <w:rFonts w:ascii="Calibri" w:eastAsia="Times New Roman" w:hAnsi="Calibri" w:cs="Calibri"/>
                <w:color w:val="000000"/>
              </w:rPr>
            </w:pPr>
          </w:p>
        </w:tc>
        <w:tc>
          <w:tcPr>
            <w:tcW w:w="2539" w:type="dxa"/>
            <w:vMerge/>
            <w:vAlign w:val="center"/>
            <w:hideMark/>
          </w:tcPr>
          <w:p w14:paraId="23FB0B63" w14:textId="77777777" w:rsidR="00CE5294" w:rsidRPr="003C22AA" w:rsidRDefault="00CE5294" w:rsidP="00CE5294">
            <w:pPr>
              <w:rPr>
                <w:rFonts w:ascii="Calibri" w:eastAsia="Times New Roman" w:hAnsi="Calibri" w:cs="Calibri"/>
                <w:color w:val="000000"/>
              </w:rPr>
            </w:pPr>
          </w:p>
        </w:tc>
        <w:tc>
          <w:tcPr>
            <w:tcW w:w="2851" w:type="dxa"/>
            <w:vMerge/>
            <w:vAlign w:val="center"/>
            <w:hideMark/>
          </w:tcPr>
          <w:p w14:paraId="70F0994C" w14:textId="77777777" w:rsidR="00CE5294" w:rsidRPr="003C22AA" w:rsidRDefault="00CE5294" w:rsidP="00CE5294">
            <w:pPr>
              <w:rPr>
                <w:rFonts w:ascii="Calibri" w:eastAsia="Times New Roman" w:hAnsi="Calibri" w:cs="Calibri"/>
                <w:color w:val="000000"/>
              </w:rPr>
            </w:pPr>
          </w:p>
        </w:tc>
      </w:tr>
      <w:tr w:rsidR="00CE5294" w:rsidRPr="003C22AA" w14:paraId="6A737C47" w14:textId="77777777" w:rsidTr="00255068">
        <w:trPr>
          <w:trHeight w:val="1800"/>
        </w:trPr>
        <w:tc>
          <w:tcPr>
            <w:tcW w:w="3610" w:type="dxa"/>
            <w:shd w:val="clear" w:color="auto" w:fill="auto"/>
            <w:vAlign w:val="center"/>
            <w:hideMark/>
          </w:tcPr>
          <w:p w14:paraId="049D2C13" w14:textId="77777777" w:rsidR="00CE5294" w:rsidRPr="003C22AA" w:rsidRDefault="00CE5294" w:rsidP="00CE5294">
            <w:pPr>
              <w:rPr>
                <w:rFonts w:ascii="Calibri" w:eastAsia="Times New Roman" w:hAnsi="Calibri" w:cs="Calibri"/>
                <w:color w:val="000000"/>
              </w:rPr>
            </w:pPr>
            <w:r w:rsidRPr="003C22AA">
              <w:rPr>
                <w:rFonts w:ascii="Calibri" w:eastAsia="Times New Roman" w:hAnsi="Calibri" w:cs="Calibri"/>
                <w:color w:val="000000"/>
              </w:rPr>
              <w:t>Village infrastructure and services</w:t>
            </w:r>
          </w:p>
        </w:tc>
        <w:tc>
          <w:tcPr>
            <w:tcW w:w="2851" w:type="dxa"/>
            <w:shd w:val="clear" w:color="auto" w:fill="auto"/>
            <w:vAlign w:val="center"/>
            <w:hideMark/>
          </w:tcPr>
          <w:p w14:paraId="1CB08B4E" w14:textId="77777777" w:rsidR="00CE5294" w:rsidRPr="003C22AA" w:rsidRDefault="00CE5294" w:rsidP="00CE5294">
            <w:pPr>
              <w:jc w:val="center"/>
              <w:rPr>
                <w:rFonts w:ascii="Calibri" w:eastAsia="Times New Roman" w:hAnsi="Calibri" w:cs="Calibri"/>
                <w:color w:val="000000"/>
              </w:rPr>
            </w:pPr>
            <w:r w:rsidRPr="003C22AA">
              <w:rPr>
                <w:rFonts w:ascii="Calibri" w:eastAsia="Times New Roman" w:hAnsi="Calibri" w:cs="Calibri"/>
                <w:color w:val="000000"/>
              </w:rPr>
              <w:t>Individual line ministries</w:t>
            </w:r>
          </w:p>
        </w:tc>
        <w:tc>
          <w:tcPr>
            <w:tcW w:w="2539" w:type="dxa"/>
            <w:shd w:val="clear" w:color="auto" w:fill="auto"/>
            <w:vAlign w:val="center"/>
            <w:hideMark/>
          </w:tcPr>
          <w:p w14:paraId="3BDCDDDE" w14:textId="77777777" w:rsidR="00CE5294" w:rsidRPr="003C22AA" w:rsidRDefault="00CE5294" w:rsidP="00CE5294">
            <w:pPr>
              <w:rPr>
                <w:rFonts w:ascii="Calibri" w:eastAsia="Times New Roman" w:hAnsi="Calibri" w:cs="Calibri"/>
                <w:color w:val="000000"/>
              </w:rPr>
            </w:pPr>
            <w:r w:rsidRPr="003C22AA">
              <w:rPr>
                <w:rFonts w:ascii="Calibri" w:eastAsia="Times New Roman" w:hAnsi="Calibri" w:cs="Calibri"/>
                <w:color w:val="000000"/>
              </w:rPr>
              <w:t>MOH, Ministry of agriculture, Ministry of infrastructure, etc</w:t>
            </w:r>
          </w:p>
        </w:tc>
        <w:tc>
          <w:tcPr>
            <w:tcW w:w="2539" w:type="dxa"/>
            <w:shd w:val="clear" w:color="auto" w:fill="auto"/>
            <w:vAlign w:val="center"/>
            <w:hideMark/>
          </w:tcPr>
          <w:p w14:paraId="23385FC6" w14:textId="77777777" w:rsidR="00CE5294" w:rsidRPr="003C22AA" w:rsidRDefault="00CE5294" w:rsidP="00CE5294">
            <w:pPr>
              <w:rPr>
                <w:rFonts w:ascii="Calibri" w:eastAsia="Times New Roman" w:hAnsi="Calibri" w:cs="Calibri"/>
                <w:color w:val="000000"/>
              </w:rPr>
            </w:pPr>
          </w:p>
        </w:tc>
        <w:tc>
          <w:tcPr>
            <w:tcW w:w="2851" w:type="dxa"/>
            <w:shd w:val="clear" w:color="auto" w:fill="auto"/>
            <w:vAlign w:val="center"/>
            <w:hideMark/>
          </w:tcPr>
          <w:p w14:paraId="44BEE567" w14:textId="77777777" w:rsidR="00CE5294" w:rsidRPr="003C22AA" w:rsidRDefault="00CE5294" w:rsidP="00CE5294">
            <w:pPr>
              <w:rPr>
                <w:rFonts w:ascii="Calibri" w:eastAsia="Times New Roman" w:hAnsi="Calibri" w:cs="Calibri"/>
                <w:color w:val="000000"/>
              </w:rPr>
            </w:pPr>
            <w:r w:rsidRPr="003C22AA">
              <w:rPr>
                <w:rFonts w:ascii="Calibri" w:eastAsia="Times New Roman" w:hAnsi="Calibri" w:cs="Calibri"/>
                <w:color w:val="000000"/>
              </w:rPr>
              <w:t>There is no single source, such as a village census, for this information, and will need to be requested through each of the ministries.</w:t>
            </w:r>
          </w:p>
        </w:tc>
      </w:tr>
      <w:tr w:rsidR="00CE5294" w:rsidRPr="003C22AA" w14:paraId="7BE9DCDC" w14:textId="77777777" w:rsidTr="0022501D">
        <w:trPr>
          <w:trHeight w:val="5480"/>
        </w:trPr>
        <w:tc>
          <w:tcPr>
            <w:tcW w:w="3610" w:type="dxa"/>
            <w:shd w:val="clear" w:color="auto" w:fill="auto"/>
            <w:vAlign w:val="center"/>
            <w:hideMark/>
          </w:tcPr>
          <w:p w14:paraId="6B73A427" w14:textId="77777777" w:rsidR="00CE5294" w:rsidRPr="003C22AA" w:rsidRDefault="00CE5294" w:rsidP="00CE5294">
            <w:pPr>
              <w:rPr>
                <w:rFonts w:ascii="Calibri" w:eastAsia="Times New Roman" w:hAnsi="Calibri" w:cs="Calibri"/>
                <w:color w:val="000000"/>
              </w:rPr>
            </w:pPr>
            <w:r w:rsidRPr="003C22AA">
              <w:rPr>
                <w:rFonts w:ascii="Calibri" w:eastAsia="Times New Roman" w:hAnsi="Calibri" w:cs="Calibri"/>
                <w:color w:val="000000"/>
              </w:rPr>
              <w:lastRenderedPageBreak/>
              <w:t xml:space="preserve">Ubudehe </w:t>
            </w:r>
            <w:r>
              <w:rPr>
                <w:rFonts w:ascii="Calibri" w:eastAsia="Times New Roman" w:hAnsi="Calibri" w:cs="Calibri"/>
                <w:color w:val="000000"/>
              </w:rPr>
              <w:t>distribution and poverty/liveli</w:t>
            </w:r>
            <w:r w:rsidRPr="003C22AA">
              <w:rPr>
                <w:rFonts w:ascii="Calibri" w:eastAsia="Times New Roman" w:hAnsi="Calibri" w:cs="Calibri"/>
                <w:color w:val="000000"/>
              </w:rPr>
              <w:t>hood statistics</w:t>
            </w:r>
          </w:p>
        </w:tc>
        <w:tc>
          <w:tcPr>
            <w:tcW w:w="2851" w:type="dxa"/>
            <w:shd w:val="clear" w:color="auto" w:fill="auto"/>
            <w:vAlign w:val="center"/>
            <w:hideMark/>
          </w:tcPr>
          <w:p w14:paraId="4E6D6FBE" w14:textId="77777777" w:rsidR="00CE5294" w:rsidRPr="003C22AA" w:rsidRDefault="00CE5294" w:rsidP="00CE5294">
            <w:pPr>
              <w:jc w:val="center"/>
              <w:rPr>
                <w:rFonts w:ascii="Calibri" w:eastAsia="Times New Roman" w:hAnsi="Calibri" w:cs="Calibri"/>
                <w:color w:val="000000"/>
              </w:rPr>
            </w:pPr>
            <w:r w:rsidRPr="003C22AA">
              <w:rPr>
                <w:rFonts w:ascii="Calibri" w:eastAsia="Times New Roman" w:hAnsi="Calibri" w:cs="Calibri"/>
                <w:color w:val="000000"/>
              </w:rPr>
              <w:t>EICV</w:t>
            </w:r>
          </w:p>
        </w:tc>
        <w:tc>
          <w:tcPr>
            <w:tcW w:w="2539" w:type="dxa"/>
            <w:shd w:val="clear" w:color="auto" w:fill="auto"/>
            <w:vAlign w:val="center"/>
            <w:hideMark/>
          </w:tcPr>
          <w:p w14:paraId="5764A45D" w14:textId="77777777" w:rsidR="00CE5294" w:rsidRPr="003C22AA" w:rsidRDefault="00CE5294" w:rsidP="00CE5294">
            <w:pPr>
              <w:rPr>
                <w:rFonts w:ascii="Calibri" w:eastAsia="Times New Roman" w:hAnsi="Calibri" w:cs="Calibri"/>
                <w:color w:val="000000"/>
              </w:rPr>
            </w:pPr>
            <w:r w:rsidRPr="003C22AA">
              <w:rPr>
                <w:rFonts w:ascii="Calibri" w:eastAsia="Times New Roman" w:hAnsi="Calibri" w:cs="Calibri"/>
                <w:color w:val="000000"/>
              </w:rPr>
              <w:t>NISR - National Institute for Statistics Rwanda</w:t>
            </w:r>
          </w:p>
        </w:tc>
        <w:tc>
          <w:tcPr>
            <w:tcW w:w="2539" w:type="dxa"/>
            <w:shd w:val="clear" w:color="auto" w:fill="auto"/>
            <w:vAlign w:val="center"/>
            <w:hideMark/>
          </w:tcPr>
          <w:p w14:paraId="4B02638B" w14:textId="77777777" w:rsidR="00CE5294" w:rsidRPr="003C22AA" w:rsidRDefault="00CE5294" w:rsidP="00CE5294">
            <w:pPr>
              <w:rPr>
                <w:rFonts w:ascii="Calibri" w:eastAsia="Times New Roman" w:hAnsi="Calibri" w:cs="Calibri"/>
                <w:color w:val="000000"/>
              </w:rPr>
            </w:pPr>
            <w:r w:rsidRPr="003C22AA">
              <w:rPr>
                <w:rFonts w:ascii="Calibri" w:eastAsia="Times New Roman" w:hAnsi="Calibri" w:cs="Calibri"/>
                <w:color w:val="000000"/>
              </w:rPr>
              <w:t>2013/14, 2010/2011, 2005, 2000-2001</w:t>
            </w:r>
          </w:p>
        </w:tc>
        <w:tc>
          <w:tcPr>
            <w:tcW w:w="2851" w:type="dxa"/>
            <w:shd w:val="clear" w:color="auto" w:fill="auto"/>
            <w:vAlign w:val="center"/>
            <w:hideMark/>
          </w:tcPr>
          <w:p w14:paraId="35B1AA95" w14:textId="219913EE" w:rsidR="00CE5294" w:rsidRPr="003C22AA" w:rsidRDefault="00CE5294" w:rsidP="00CE5294">
            <w:pPr>
              <w:rPr>
                <w:rFonts w:ascii="Calibri" w:eastAsia="Times New Roman" w:hAnsi="Calibri" w:cs="Calibri"/>
                <w:color w:val="000000"/>
              </w:rPr>
            </w:pPr>
            <w:r w:rsidRPr="003C22AA">
              <w:rPr>
                <w:rFonts w:ascii="Calibri" w:eastAsia="Times New Roman" w:hAnsi="Calibri" w:cs="Calibri"/>
                <w:color w:val="000000"/>
              </w:rPr>
              <w:t>Data is generally publicly available.</w:t>
            </w:r>
            <w:r w:rsidR="00A53A8D">
              <w:rPr>
                <w:rFonts w:ascii="Calibri" w:eastAsia="Times New Roman" w:hAnsi="Calibri" w:cs="Calibri"/>
                <w:color w:val="000000"/>
              </w:rPr>
              <w:t xml:space="preserve"> </w:t>
            </w:r>
            <w:r w:rsidRPr="003C22AA">
              <w:rPr>
                <w:rFonts w:ascii="Calibri" w:eastAsia="Times New Roman" w:hAnsi="Calibri" w:cs="Calibri"/>
                <w:color w:val="000000"/>
              </w:rPr>
              <w:t>The report for EICV5 should be available in late 2018, and the data should be available shortly afterward.</w:t>
            </w:r>
            <w:r w:rsidR="00A53A8D">
              <w:rPr>
                <w:rFonts w:ascii="Calibri" w:eastAsia="Times New Roman" w:hAnsi="Calibri" w:cs="Calibri"/>
                <w:color w:val="000000"/>
              </w:rPr>
              <w:t xml:space="preserve"> </w:t>
            </w:r>
            <w:r w:rsidRPr="003C22AA">
              <w:rPr>
                <w:rFonts w:ascii="Calibri" w:eastAsia="Times New Roman" w:hAnsi="Calibri" w:cs="Calibri"/>
                <w:color w:val="000000"/>
              </w:rPr>
              <w:t xml:space="preserve">EICV 4 has distribution of </w:t>
            </w:r>
            <w:r w:rsidR="00D47A12">
              <w:rPr>
                <w:rFonts w:ascii="Calibri" w:eastAsia="Times New Roman" w:hAnsi="Calibri" w:cs="Calibri"/>
                <w:color w:val="000000"/>
              </w:rPr>
              <w:t>Ubudehe</w:t>
            </w:r>
            <w:r w:rsidRPr="003C22AA">
              <w:rPr>
                <w:rFonts w:ascii="Calibri" w:eastAsia="Times New Roman" w:hAnsi="Calibri" w:cs="Calibri"/>
                <w:color w:val="000000"/>
              </w:rPr>
              <w:t>s and comparison with the conventional wealth quintile categorizations.</w:t>
            </w:r>
            <w:r w:rsidR="00A53A8D">
              <w:rPr>
                <w:rFonts w:ascii="Calibri" w:eastAsia="Times New Roman" w:hAnsi="Calibri" w:cs="Calibri"/>
                <w:color w:val="000000"/>
              </w:rPr>
              <w:t xml:space="preserve"> </w:t>
            </w:r>
            <w:r w:rsidRPr="003C22AA">
              <w:rPr>
                <w:rFonts w:ascii="Calibri" w:eastAsia="Times New Roman" w:hAnsi="Calibri" w:cs="Calibri"/>
                <w:color w:val="000000"/>
              </w:rPr>
              <w:t>However</w:t>
            </w:r>
            <w:r w:rsidR="005F5E3D">
              <w:rPr>
                <w:rFonts w:ascii="Calibri" w:eastAsia="Times New Roman" w:hAnsi="Calibri" w:cs="Calibri"/>
                <w:color w:val="000000"/>
              </w:rPr>
              <w:t>,</w:t>
            </w:r>
            <w:r w:rsidRPr="003C22AA">
              <w:rPr>
                <w:rFonts w:ascii="Calibri" w:eastAsia="Times New Roman" w:hAnsi="Calibri" w:cs="Calibri"/>
                <w:color w:val="000000"/>
              </w:rPr>
              <w:t xml:space="preserve"> this was based on the previous 6-level </w:t>
            </w:r>
            <w:r w:rsidR="00D47A12">
              <w:rPr>
                <w:rFonts w:ascii="Calibri" w:eastAsia="Times New Roman" w:hAnsi="Calibri" w:cs="Calibri"/>
                <w:color w:val="000000"/>
              </w:rPr>
              <w:t>Ubudehe</w:t>
            </w:r>
            <w:r w:rsidRPr="003C22AA">
              <w:rPr>
                <w:rFonts w:ascii="Calibri" w:eastAsia="Times New Roman" w:hAnsi="Calibri" w:cs="Calibri"/>
                <w:color w:val="000000"/>
              </w:rPr>
              <w:t xml:space="preserve"> system, which has now been consolidated into 4 levels.</w:t>
            </w:r>
            <w:r w:rsidRPr="003C22AA">
              <w:rPr>
                <w:rFonts w:ascii="Calibri" w:eastAsia="Times New Roman" w:hAnsi="Calibri" w:cs="Calibri"/>
                <w:color w:val="000000"/>
              </w:rPr>
              <w:br/>
            </w:r>
            <w:r w:rsidRPr="003C22AA">
              <w:rPr>
                <w:rFonts w:ascii="Calibri" w:eastAsia="Times New Roman" w:hAnsi="Calibri" w:cs="Calibri"/>
                <w:color w:val="000000"/>
              </w:rPr>
              <w:br/>
              <w:t>According to NISR, the questionnaire and sampling for EICV 5 is the same as for EICV 4.</w:t>
            </w:r>
          </w:p>
        </w:tc>
      </w:tr>
      <w:tr w:rsidR="00CE5294" w:rsidRPr="003C22AA" w14:paraId="11726773" w14:textId="77777777" w:rsidTr="00255068">
        <w:trPr>
          <w:trHeight w:val="1200"/>
        </w:trPr>
        <w:tc>
          <w:tcPr>
            <w:tcW w:w="3610" w:type="dxa"/>
            <w:vMerge w:val="restart"/>
            <w:shd w:val="clear" w:color="auto" w:fill="auto"/>
            <w:vAlign w:val="center"/>
            <w:hideMark/>
          </w:tcPr>
          <w:p w14:paraId="55CACFBE" w14:textId="77777777" w:rsidR="00CE5294" w:rsidRPr="003C22AA" w:rsidRDefault="00CE5294" w:rsidP="0022501D">
            <w:pPr>
              <w:rPr>
                <w:rFonts w:ascii="Calibri" w:eastAsia="Times New Roman" w:hAnsi="Calibri" w:cs="Calibri"/>
                <w:color w:val="000000"/>
              </w:rPr>
            </w:pPr>
            <w:r w:rsidRPr="003C22AA">
              <w:rPr>
                <w:rFonts w:ascii="Calibri" w:eastAsia="Times New Roman" w:hAnsi="Calibri" w:cs="Calibri"/>
                <w:color w:val="000000"/>
              </w:rPr>
              <w:t>Nutritional status indicators</w:t>
            </w:r>
          </w:p>
        </w:tc>
        <w:tc>
          <w:tcPr>
            <w:tcW w:w="2851" w:type="dxa"/>
            <w:shd w:val="clear" w:color="auto" w:fill="auto"/>
            <w:vAlign w:val="center"/>
            <w:hideMark/>
          </w:tcPr>
          <w:p w14:paraId="6090948C" w14:textId="77777777" w:rsidR="00CE5294" w:rsidRPr="003C22AA" w:rsidRDefault="00CE5294" w:rsidP="00CE5294">
            <w:pPr>
              <w:jc w:val="center"/>
              <w:rPr>
                <w:rFonts w:ascii="Calibri" w:eastAsia="Times New Roman" w:hAnsi="Calibri" w:cs="Calibri"/>
                <w:color w:val="000000"/>
              </w:rPr>
            </w:pPr>
            <w:r w:rsidRPr="003C22AA">
              <w:rPr>
                <w:rFonts w:ascii="Calibri" w:eastAsia="Times New Roman" w:hAnsi="Calibri" w:cs="Calibri"/>
                <w:color w:val="000000"/>
              </w:rPr>
              <w:t>CFSVA</w:t>
            </w:r>
          </w:p>
        </w:tc>
        <w:tc>
          <w:tcPr>
            <w:tcW w:w="2539" w:type="dxa"/>
            <w:shd w:val="clear" w:color="auto" w:fill="auto"/>
            <w:vAlign w:val="center"/>
            <w:hideMark/>
          </w:tcPr>
          <w:p w14:paraId="259FA79C" w14:textId="77777777" w:rsidR="00CE5294" w:rsidRPr="003C22AA" w:rsidRDefault="00CE5294" w:rsidP="00CE5294">
            <w:pPr>
              <w:rPr>
                <w:rFonts w:ascii="Calibri" w:eastAsia="Times New Roman" w:hAnsi="Calibri" w:cs="Calibri"/>
                <w:color w:val="000000"/>
              </w:rPr>
            </w:pPr>
            <w:r w:rsidRPr="003C22AA">
              <w:rPr>
                <w:rFonts w:ascii="Calibri" w:eastAsia="Times New Roman" w:hAnsi="Calibri" w:cs="Calibri"/>
                <w:color w:val="000000"/>
              </w:rPr>
              <w:t>WFP/NISR</w:t>
            </w:r>
          </w:p>
        </w:tc>
        <w:tc>
          <w:tcPr>
            <w:tcW w:w="2539" w:type="dxa"/>
            <w:shd w:val="clear" w:color="auto" w:fill="auto"/>
            <w:vAlign w:val="center"/>
            <w:hideMark/>
          </w:tcPr>
          <w:p w14:paraId="78EDE2F6" w14:textId="77777777" w:rsidR="00CE5294" w:rsidRPr="003C22AA" w:rsidRDefault="00CE5294" w:rsidP="00CE5294">
            <w:pPr>
              <w:rPr>
                <w:rFonts w:ascii="Calibri" w:eastAsia="Times New Roman" w:hAnsi="Calibri" w:cs="Calibri"/>
                <w:color w:val="000000"/>
              </w:rPr>
            </w:pPr>
            <w:r w:rsidRPr="003C22AA">
              <w:rPr>
                <w:rFonts w:ascii="Calibri" w:eastAsia="Times New Roman" w:hAnsi="Calibri" w:cs="Calibri"/>
                <w:color w:val="000000"/>
              </w:rPr>
              <w:t>2006, 2009, 2012, 2015, 2018(in progress)</w:t>
            </w:r>
          </w:p>
        </w:tc>
        <w:tc>
          <w:tcPr>
            <w:tcW w:w="2851" w:type="dxa"/>
            <w:shd w:val="clear" w:color="auto" w:fill="auto"/>
            <w:vAlign w:val="center"/>
            <w:hideMark/>
          </w:tcPr>
          <w:p w14:paraId="5928E8A8" w14:textId="58CEF66C" w:rsidR="00CE5294" w:rsidRPr="003C22AA" w:rsidRDefault="00CE5294" w:rsidP="00CE5294">
            <w:pPr>
              <w:rPr>
                <w:rFonts w:ascii="Calibri" w:eastAsia="Times New Roman" w:hAnsi="Calibri" w:cs="Calibri"/>
                <w:color w:val="000000"/>
              </w:rPr>
            </w:pPr>
            <w:r w:rsidRPr="003C22AA">
              <w:rPr>
                <w:rFonts w:ascii="Calibri" w:eastAsia="Times New Roman" w:hAnsi="Calibri" w:cs="Calibri"/>
                <w:color w:val="000000"/>
              </w:rPr>
              <w:t>Data is generally publicly available.</w:t>
            </w:r>
            <w:r w:rsidR="00A53A8D">
              <w:rPr>
                <w:rFonts w:ascii="Calibri" w:eastAsia="Times New Roman" w:hAnsi="Calibri" w:cs="Calibri"/>
                <w:color w:val="000000"/>
              </w:rPr>
              <w:t xml:space="preserve"> </w:t>
            </w:r>
            <w:r w:rsidRPr="003C22AA">
              <w:rPr>
                <w:rFonts w:ascii="Calibri" w:eastAsia="Times New Roman" w:hAnsi="Calibri" w:cs="Calibri"/>
                <w:color w:val="000000"/>
              </w:rPr>
              <w:t>The 2018 analysis should be ready by September 2018</w:t>
            </w:r>
          </w:p>
        </w:tc>
      </w:tr>
      <w:tr w:rsidR="00CE5294" w:rsidRPr="003C22AA" w14:paraId="23CF6EE4" w14:textId="77777777" w:rsidTr="0022501D">
        <w:trPr>
          <w:trHeight w:val="809"/>
        </w:trPr>
        <w:tc>
          <w:tcPr>
            <w:tcW w:w="3610" w:type="dxa"/>
            <w:vMerge/>
            <w:vAlign w:val="center"/>
            <w:hideMark/>
          </w:tcPr>
          <w:p w14:paraId="6CF76843" w14:textId="77777777" w:rsidR="00CE5294" w:rsidRPr="003C22AA" w:rsidRDefault="00CE5294" w:rsidP="00CE5294">
            <w:pPr>
              <w:rPr>
                <w:rFonts w:ascii="Calibri" w:eastAsia="Times New Roman" w:hAnsi="Calibri" w:cs="Calibri"/>
                <w:color w:val="000000"/>
              </w:rPr>
            </w:pPr>
          </w:p>
        </w:tc>
        <w:tc>
          <w:tcPr>
            <w:tcW w:w="2851" w:type="dxa"/>
            <w:shd w:val="clear" w:color="auto" w:fill="auto"/>
            <w:vAlign w:val="center"/>
            <w:hideMark/>
          </w:tcPr>
          <w:p w14:paraId="6A67C919" w14:textId="77777777" w:rsidR="00CE5294" w:rsidRPr="003C22AA" w:rsidRDefault="00CE5294" w:rsidP="00CE5294">
            <w:pPr>
              <w:jc w:val="center"/>
              <w:rPr>
                <w:rFonts w:ascii="Calibri" w:eastAsia="Times New Roman" w:hAnsi="Calibri" w:cs="Calibri"/>
                <w:color w:val="000000"/>
              </w:rPr>
            </w:pPr>
            <w:r w:rsidRPr="003C22AA">
              <w:rPr>
                <w:rFonts w:ascii="Calibri" w:eastAsia="Times New Roman" w:hAnsi="Calibri" w:cs="Calibri"/>
                <w:color w:val="000000"/>
              </w:rPr>
              <w:t>DHS</w:t>
            </w:r>
          </w:p>
        </w:tc>
        <w:tc>
          <w:tcPr>
            <w:tcW w:w="2539" w:type="dxa"/>
            <w:shd w:val="clear" w:color="auto" w:fill="auto"/>
            <w:vAlign w:val="center"/>
            <w:hideMark/>
          </w:tcPr>
          <w:p w14:paraId="2A9AC08A" w14:textId="77777777" w:rsidR="00CE5294" w:rsidRPr="003C22AA" w:rsidRDefault="00CE5294" w:rsidP="00CE5294">
            <w:pPr>
              <w:rPr>
                <w:rFonts w:ascii="Calibri" w:eastAsia="Times New Roman" w:hAnsi="Calibri" w:cs="Calibri"/>
                <w:color w:val="000000"/>
              </w:rPr>
            </w:pPr>
            <w:r w:rsidRPr="003C22AA">
              <w:rPr>
                <w:rFonts w:ascii="Calibri" w:eastAsia="Times New Roman" w:hAnsi="Calibri" w:cs="Calibri"/>
                <w:color w:val="000000"/>
              </w:rPr>
              <w:t>NISR - National Institute for Statistics Rwanda</w:t>
            </w:r>
          </w:p>
        </w:tc>
        <w:tc>
          <w:tcPr>
            <w:tcW w:w="2539" w:type="dxa"/>
            <w:shd w:val="clear" w:color="auto" w:fill="auto"/>
            <w:vAlign w:val="center"/>
            <w:hideMark/>
          </w:tcPr>
          <w:p w14:paraId="0DD93CA9" w14:textId="77777777" w:rsidR="00CE5294" w:rsidRPr="003C22AA" w:rsidRDefault="00CE5294" w:rsidP="00CE5294">
            <w:pPr>
              <w:rPr>
                <w:rFonts w:ascii="Calibri" w:eastAsia="Times New Roman" w:hAnsi="Calibri" w:cs="Calibri"/>
                <w:color w:val="000000"/>
              </w:rPr>
            </w:pPr>
            <w:r w:rsidRPr="003C22AA">
              <w:rPr>
                <w:rFonts w:ascii="Calibri" w:eastAsia="Times New Roman" w:hAnsi="Calibri" w:cs="Calibri"/>
                <w:color w:val="000000"/>
              </w:rPr>
              <w:t>1992, 1996, 2000, 2005, 2007/2008, 2010, 2014/2015</w:t>
            </w:r>
          </w:p>
        </w:tc>
        <w:tc>
          <w:tcPr>
            <w:tcW w:w="2851" w:type="dxa"/>
            <w:shd w:val="clear" w:color="auto" w:fill="auto"/>
            <w:vAlign w:val="center"/>
            <w:hideMark/>
          </w:tcPr>
          <w:p w14:paraId="61F8E0A8" w14:textId="77777777" w:rsidR="00CE5294" w:rsidRPr="003C22AA" w:rsidRDefault="00CE5294" w:rsidP="00CE5294">
            <w:pPr>
              <w:rPr>
                <w:rFonts w:ascii="Calibri" w:eastAsia="Times New Roman" w:hAnsi="Calibri" w:cs="Calibri"/>
                <w:color w:val="000000"/>
              </w:rPr>
            </w:pPr>
            <w:r w:rsidRPr="003C22AA">
              <w:rPr>
                <w:rFonts w:ascii="Calibri" w:eastAsia="Times New Roman" w:hAnsi="Calibri" w:cs="Calibri"/>
                <w:color w:val="000000"/>
              </w:rPr>
              <w:t>Data publicly available</w:t>
            </w:r>
          </w:p>
        </w:tc>
      </w:tr>
      <w:tr w:rsidR="00CE5294" w:rsidRPr="003C22AA" w14:paraId="4630948D" w14:textId="77777777" w:rsidTr="00255068">
        <w:trPr>
          <w:trHeight w:val="600"/>
        </w:trPr>
        <w:tc>
          <w:tcPr>
            <w:tcW w:w="3610" w:type="dxa"/>
            <w:shd w:val="clear" w:color="auto" w:fill="auto"/>
            <w:vAlign w:val="center"/>
            <w:hideMark/>
          </w:tcPr>
          <w:p w14:paraId="67DDDCD8" w14:textId="77777777" w:rsidR="00CE5294" w:rsidRPr="003C22AA" w:rsidRDefault="00CE5294" w:rsidP="00CE5294">
            <w:pPr>
              <w:rPr>
                <w:rFonts w:ascii="Calibri" w:eastAsia="Times New Roman" w:hAnsi="Calibri" w:cs="Calibri"/>
                <w:color w:val="000000"/>
              </w:rPr>
            </w:pPr>
            <w:r w:rsidRPr="003C22AA">
              <w:rPr>
                <w:rFonts w:ascii="Calibri" w:eastAsia="Times New Roman" w:hAnsi="Calibri" w:cs="Calibri"/>
                <w:color w:val="000000"/>
              </w:rPr>
              <w:t>CFSVA EA areas/geolocations</w:t>
            </w:r>
          </w:p>
        </w:tc>
        <w:tc>
          <w:tcPr>
            <w:tcW w:w="2851" w:type="dxa"/>
            <w:shd w:val="clear" w:color="auto" w:fill="auto"/>
            <w:vAlign w:val="center"/>
            <w:hideMark/>
          </w:tcPr>
          <w:p w14:paraId="456E3744" w14:textId="77777777" w:rsidR="00CE5294" w:rsidRPr="003C22AA" w:rsidRDefault="00CE5294" w:rsidP="00CE5294">
            <w:pPr>
              <w:rPr>
                <w:rFonts w:ascii="Calibri" w:eastAsia="Times New Roman" w:hAnsi="Calibri" w:cs="Calibri"/>
                <w:color w:val="000000"/>
              </w:rPr>
            </w:pPr>
            <w:r w:rsidRPr="003C22AA">
              <w:rPr>
                <w:rFonts w:ascii="Calibri" w:eastAsia="Times New Roman" w:hAnsi="Calibri" w:cs="Calibri"/>
                <w:color w:val="000000"/>
              </w:rPr>
              <w:t>CFSVA</w:t>
            </w:r>
          </w:p>
        </w:tc>
        <w:tc>
          <w:tcPr>
            <w:tcW w:w="2539" w:type="dxa"/>
            <w:shd w:val="clear" w:color="auto" w:fill="auto"/>
            <w:vAlign w:val="center"/>
            <w:hideMark/>
          </w:tcPr>
          <w:p w14:paraId="304AFBA7" w14:textId="77777777" w:rsidR="00CE5294" w:rsidRPr="003C22AA" w:rsidRDefault="00CE5294" w:rsidP="00CE5294">
            <w:pPr>
              <w:rPr>
                <w:rFonts w:ascii="Calibri" w:eastAsia="Times New Roman" w:hAnsi="Calibri" w:cs="Calibri"/>
                <w:color w:val="000000"/>
              </w:rPr>
            </w:pPr>
            <w:r w:rsidRPr="003C22AA">
              <w:rPr>
                <w:rFonts w:ascii="Calibri" w:eastAsia="Times New Roman" w:hAnsi="Calibri" w:cs="Calibri"/>
                <w:color w:val="000000"/>
              </w:rPr>
              <w:t>WFP</w:t>
            </w:r>
          </w:p>
        </w:tc>
        <w:tc>
          <w:tcPr>
            <w:tcW w:w="2539" w:type="dxa"/>
            <w:shd w:val="clear" w:color="auto" w:fill="auto"/>
            <w:vAlign w:val="center"/>
            <w:hideMark/>
          </w:tcPr>
          <w:p w14:paraId="47A5083D" w14:textId="77777777" w:rsidR="00CE5294" w:rsidRPr="003C22AA" w:rsidRDefault="00CE5294" w:rsidP="00CE5294">
            <w:pPr>
              <w:rPr>
                <w:rFonts w:ascii="Calibri" w:eastAsia="Times New Roman" w:hAnsi="Calibri" w:cs="Calibri"/>
                <w:color w:val="000000"/>
              </w:rPr>
            </w:pPr>
            <w:r w:rsidRPr="003C22AA">
              <w:rPr>
                <w:rFonts w:ascii="Calibri" w:eastAsia="Times New Roman" w:hAnsi="Calibri" w:cs="Calibri"/>
                <w:color w:val="000000"/>
              </w:rPr>
              <w:t>For 2018 survey</w:t>
            </w:r>
          </w:p>
        </w:tc>
        <w:tc>
          <w:tcPr>
            <w:tcW w:w="2851" w:type="dxa"/>
            <w:shd w:val="clear" w:color="auto" w:fill="auto"/>
            <w:vAlign w:val="center"/>
            <w:hideMark/>
          </w:tcPr>
          <w:p w14:paraId="2139EC72" w14:textId="77777777" w:rsidR="00CE5294" w:rsidRPr="003C22AA" w:rsidRDefault="00CE5294" w:rsidP="00CE5294">
            <w:pPr>
              <w:rPr>
                <w:rFonts w:ascii="Calibri" w:eastAsia="Times New Roman" w:hAnsi="Calibri" w:cs="Calibri"/>
                <w:color w:val="000000"/>
              </w:rPr>
            </w:pPr>
            <w:r w:rsidRPr="003C22AA">
              <w:rPr>
                <w:rFonts w:ascii="Calibri" w:eastAsia="Times New Roman" w:hAnsi="Calibri" w:cs="Calibri"/>
                <w:color w:val="000000"/>
              </w:rPr>
              <w:t>Should be available this week from WFP.</w:t>
            </w:r>
          </w:p>
        </w:tc>
      </w:tr>
      <w:tr w:rsidR="0022501D" w:rsidRPr="003C22AA" w14:paraId="4E9D14F8" w14:textId="77777777" w:rsidTr="00255068">
        <w:trPr>
          <w:trHeight w:val="600"/>
        </w:trPr>
        <w:tc>
          <w:tcPr>
            <w:tcW w:w="3610" w:type="dxa"/>
            <w:shd w:val="clear" w:color="auto" w:fill="auto"/>
            <w:vAlign w:val="center"/>
          </w:tcPr>
          <w:p w14:paraId="3AE07DC3" w14:textId="0D375C3B" w:rsidR="0022501D" w:rsidRPr="003C22AA" w:rsidRDefault="0022501D" w:rsidP="0022501D">
            <w:pPr>
              <w:rPr>
                <w:rFonts w:ascii="Calibri" w:eastAsia="Times New Roman" w:hAnsi="Calibri" w:cs="Calibri"/>
                <w:color w:val="000000"/>
              </w:rPr>
            </w:pPr>
            <w:r w:rsidRPr="003C22AA">
              <w:rPr>
                <w:rFonts w:ascii="Calibri" w:eastAsia="Times New Roman" w:hAnsi="Calibri" w:cs="Calibri"/>
                <w:color w:val="000000"/>
              </w:rPr>
              <w:t>Knowledge, attitudes, and practices around child and maternal nutrition</w:t>
            </w:r>
          </w:p>
        </w:tc>
        <w:tc>
          <w:tcPr>
            <w:tcW w:w="2851" w:type="dxa"/>
            <w:shd w:val="clear" w:color="auto" w:fill="auto"/>
            <w:vAlign w:val="center"/>
          </w:tcPr>
          <w:p w14:paraId="51456DF7" w14:textId="1FD9F437" w:rsidR="0022501D" w:rsidRPr="003C22AA" w:rsidRDefault="0022501D" w:rsidP="0022501D">
            <w:pPr>
              <w:rPr>
                <w:rFonts w:ascii="Calibri" w:eastAsia="Times New Roman" w:hAnsi="Calibri" w:cs="Calibri"/>
                <w:color w:val="000000"/>
              </w:rPr>
            </w:pPr>
            <w:r w:rsidRPr="003C22AA">
              <w:rPr>
                <w:rFonts w:ascii="Calibri" w:eastAsia="Times New Roman" w:hAnsi="Calibri" w:cs="Calibri"/>
                <w:color w:val="000000"/>
              </w:rPr>
              <w:t>KAP Survey</w:t>
            </w:r>
          </w:p>
        </w:tc>
        <w:tc>
          <w:tcPr>
            <w:tcW w:w="2539" w:type="dxa"/>
            <w:shd w:val="clear" w:color="auto" w:fill="auto"/>
            <w:vAlign w:val="center"/>
          </w:tcPr>
          <w:p w14:paraId="6F988B8C" w14:textId="077A9EFA" w:rsidR="0022501D" w:rsidRPr="003C22AA" w:rsidRDefault="0022501D" w:rsidP="0022501D">
            <w:pPr>
              <w:rPr>
                <w:rFonts w:ascii="Calibri" w:eastAsia="Times New Roman" w:hAnsi="Calibri" w:cs="Calibri"/>
                <w:color w:val="000000"/>
              </w:rPr>
            </w:pPr>
            <w:r w:rsidRPr="003C22AA">
              <w:rPr>
                <w:rFonts w:ascii="Calibri" w:eastAsia="Times New Roman" w:hAnsi="Calibri" w:cs="Calibri"/>
                <w:color w:val="000000"/>
              </w:rPr>
              <w:t>Rwanda Health Communication Center / UNICEF</w:t>
            </w:r>
          </w:p>
        </w:tc>
        <w:tc>
          <w:tcPr>
            <w:tcW w:w="2539" w:type="dxa"/>
            <w:shd w:val="clear" w:color="auto" w:fill="auto"/>
            <w:vAlign w:val="center"/>
          </w:tcPr>
          <w:p w14:paraId="4A2E6C80" w14:textId="06318AC1" w:rsidR="0022501D" w:rsidRPr="003C22AA" w:rsidRDefault="0022501D" w:rsidP="0022501D">
            <w:pPr>
              <w:rPr>
                <w:rFonts w:ascii="Calibri" w:eastAsia="Times New Roman" w:hAnsi="Calibri" w:cs="Calibri"/>
                <w:color w:val="000000"/>
              </w:rPr>
            </w:pPr>
            <w:r w:rsidRPr="003C22AA">
              <w:rPr>
                <w:rFonts w:ascii="Calibri" w:eastAsia="Times New Roman" w:hAnsi="Calibri" w:cs="Calibri"/>
                <w:color w:val="000000"/>
              </w:rPr>
              <w:t>2014</w:t>
            </w:r>
          </w:p>
        </w:tc>
        <w:tc>
          <w:tcPr>
            <w:tcW w:w="2851" w:type="dxa"/>
            <w:shd w:val="clear" w:color="auto" w:fill="auto"/>
            <w:vAlign w:val="center"/>
          </w:tcPr>
          <w:p w14:paraId="7205410A" w14:textId="35A4CEDA" w:rsidR="0022501D" w:rsidRPr="003C22AA" w:rsidRDefault="0022501D" w:rsidP="0022501D">
            <w:pPr>
              <w:rPr>
                <w:rFonts w:ascii="Calibri" w:eastAsia="Times New Roman" w:hAnsi="Calibri" w:cs="Calibri"/>
                <w:color w:val="000000"/>
              </w:rPr>
            </w:pPr>
            <w:r w:rsidRPr="003C22AA">
              <w:rPr>
                <w:rFonts w:ascii="Calibri" w:eastAsia="Times New Roman" w:hAnsi="Calibri" w:cs="Calibri"/>
                <w:color w:val="000000"/>
              </w:rPr>
              <w:t>RHCC is to provide the questionnaire.</w:t>
            </w:r>
            <w:r>
              <w:rPr>
                <w:rFonts w:ascii="Calibri" w:eastAsia="Times New Roman" w:hAnsi="Calibri" w:cs="Calibri"/>
                <w:color w:val="000000"/>
              </w:rPr>
              <w:t xml:space="preserve"> </w:t>
            </w:r>
            <w:r w:rsidRPr="003C22AA">
              <w:rPr>
                <w:rFonts w:ascii="Calibri" w:eastAsia="Times New Roman" w:hAnsi="Calibri" w:cs="Calibri"/>
                <w:color w:val="000000"/>
              </w:rPr>
              <w:t>We may also request directly from UNICEF.</w:t>
            </w:r>
          </w:p>
        </w:tc>
      </w:tr>
    </w:tbl>
    <w:p w14:paraId="4578579D" w14:textId="08FEAB6D" w:rsidR="00DC55A2" w:rsidRDefault="00DC55A2" w:rsidP="00D21903"/>
    <w:p w14:paraId="7D66FABC" w14:textId="77777777" w:rsidR="002D224C" w:rsidRDefault="002D224C" w:rsidP="00D21903">
      <w:pPr>
        <w:sectPr w:rsidR="002D224C" w:rsidSect="00733507">
          <w:pgSz w:w="15840" w:h="12240" w:orient="landscape" w:code="1"/>
          <w:pgMar w:top="576" w:right="720" w:bottom="432" w:left="720" w:header="720" w:footer="720" w:gutter="0"/>
          <w:cols w:space="720"/>
          <w:docGrid w:linePitch="360"/>
        </w:sectPr>
      </w:pPr>
    </w:p>
    <w:p w14:paraId="0E095F13" w14:textId="5F429B90" w:rsidR="002D224C" w:rsidRDefault="002D224C" w:rsidP="002D224C">
      <w:pPr>
        <w:pStyle w:val="Heading1"/>
      </w:pPr>
      <w:r w:rsidRPr="00CE5294">
        <w:lastRenderedPageBreak/>
        <w:t>A</w:t>
      </w:r>
      <w:r>
        <w:t>nnex 6</w:t>
      </w:r>
      <w:r w:rsidRPr="00CE5294">
        <w:t xml:space="preserve">: </w:t>
      </w:r>
      <w:r w:rsidR="008E5F8A">
        <w:t>Birth weight</w:t>
      </w:r>
      <w:r>
        <w:t xml:space="preserve"> data validation</w:t>
      </w:r>
    </w:p>
    <w:p w14:paraId="3DE24607" w14:textId="0C5B9D85" w:rsidR="002D224C" w:rsidRDefault="002D224C" w:rsidP="002D224C"/>
    <w:p w14:paraId="072AD104" w14:textId="642CFB20" w:rsidR="002D224C" w:rsidRDefault="002D224C" w:rsidP="002D224C">
      <w:r>
        <w:t>While the gold standard for birth weight validation is field observations of deliveries at the health facility, this strategy was considered not feasible as part of the baseline facility survey due to the following challenges:</w:t>
      </w:r>
    </w:p>
    <w:p w14:paraId="10A1294C" w14:textId="77777777" w:rsidR="002D224C" w:rsidRDefault="002D224C" w:rsidP="002D224C">
      <w:pPr>
        <w:pStyle w:val="ListParagraph"/>
        <w:numPr>
          <w:ilvl w:val="0"/>
          <w:numId w:val="24"/>
        </w:numPr>
        <w:spacing w:after="160" w:line="259" w:lineRule="auto"/>
      </w:pPr>
      <w:r>
        <w:t>Access to delivery rooms will be restricted due to the COVID-19 related health protocols.</w:t>
      </w:r>
    </w:p>
    <w:p w14:paraId="11BA0DD9" w14:textId="77777777" w:rsidR="002D224C" w:rsidRDefault="002D224C" w:rsidP="002D224C">
      <w:pPr>
        <w:pStyle w:val="ListParagraph"/>
        <w:numPr>
          <w:ilvl w:val="0"/>
          <w:numId w:val="24"/>
        </w:numPr>
        <w:spacing w:after="160" w:line="259" w:lineRule="auto"/>
      </w:pPr>
      <w:r>
        <w:t xml:space="preserve">Due to the sensitive nature of carrying out a delivery observation, additional IRB approval as well as authorizations from the Ministry of Health would be required, causing a delay in the expected timeline for data collection. </w:t>
      </w:r>
    </w:p>
    <w:p w14:paraId="29B1EB04" w14:textId="77777777" w:rsidR="002D224C" w:rsidRDefault="002D224C" w:rsidP="002D224C">
      <w:pPr>
        <w:pStyle w:val="ListParagraph"/>
        <w:numPr>
          <w:ilvl w:val="0"/>
          <w:numId w:val="24"/>
        </w:numPr>
        <w:spacing w:after="160" w:line="259" w:lineRule="auto"/>
      </w:pPr>
      <w:r>
        <w:t>Births may take place unexpectedly at multiple times of the day and are unlikely to occur at each health center during the allocated data collection days. Conducting a representative set of observations will require significantly more data collection time at health centers.</w:t>
      </w:r>
    </w:p>
    <w:p w14:paraId="2991C03C" w14:textId="77777777" w:rsidR="002D224C" w:rsidRDefault="002D224C" w:rsidP="002D224C">
      <w:pPr>
        <w:pStyle w:val="ListParagraph"/>
        <w:numPr>
          <w:ilvl w:val="1"/>
          <w:numId w:val="24"/>
        </w:numPr>
        <w:spacing w:after="160" w:line="259" w:lineRule="auto"/>
      </w:pPr>
      <w:r>
        <w:t>from their experience it's the health workers collecting data</w:t>
      </w:r>
    </w:p>
    <w:p w14:paraId="57889816" w14:textId="2536F408" w:rsidR="002D224C" w:rsidRDefault="002D224C" w:rsidP="002D224C">
      <w:r>
        <w:t>The following alternative strategies to assess quality of birth weight data were therefore adopted: data triangulation, assessment of equipment, and analytical validation.</w:t>
      </w:r>
    </w:p>
    <w:p w14:paraId="2E3F591D" w14:textId="77777777" w:rsidR="002D224C" w:rsidRDefault="002D224C" w:rsidP="002D224C">
      <w:pPr>
        <w:rPr>
          <w:b/>
          <w:bCs/>
        </w:rPr>
      </w:pPr>
      <w:r w:rsidRPr="00A95052">
        <w:rPr>
          <w:b/>
          <w:bCs/>
        </w:rPr>
        <w:t>Data triangulation</w:t>
      </w:r>
    </w:p>
    <w:p w14:paraId="4F4A6E33" w14:textId="77777777" w:rsidR="002D224C" w:rsidRPr="00212D6D" w:rsidRDefault="002D224C" w:rsidP="002D224C">
      <w:r>
        <w:t>When births take place at a facility, health providers use the partograph to record the progress of labor as well as maternal and child observations, including birth weight. Birth weight data are successively transcribed onto delivery registers and individual health cards. This data entry process may be affected by transcription and approximation errors. In order to identify the extent to which errors may have occurred, the facility survey will include a data triangulation effort: after completion of birth weight extraction from the delivery register, a subset of cases will be selected for their birth weight to be compared against what is recorded on the partographs. Data extractors will be assisted by nurses to identify the partographs and will enter the partograph recorded birth weight for comparison.</w:t>
      </w:r>
    </w:p>
    <w:p w14:paraId="09B20A65" w14:textId="77777777" w:rsidR="002D224C" w:rsidRDefault="002D224C" w:rsidP="002D224C">
      <w:pPr>
        <w:rPr>
          <w:b/>
          <w:bCs/>
        </w:rPr>
      </w:pPr>
      <w:r w:rsidRPr="00A95052">
        <w:rPr>
          <w:b/>
          <w:bCs/>
        </w:rPr>
        <w:t>Assessment of equipment</w:t>
      </w:r>
    </w:p>
    <w:p w14:paraId="0E457B8B" w14:textId="77777777" w:rsidR="002D224C" w:rsidRPr="00EB71F6" w:rsidRDefault="002D224C" w:rsidP="002D224C">
      <w:r w:rsidRPr="00EB71F6">
        <w:t>The facility survey includes checklists</w:t>
      </w:r>
      <w:r>
        <w:t xml:space="preserve"> to determine the availability and functionality of different </w:t>
      </w:r>
      <w:r w:rsidRPr="00EB71F6">
        <w:t>equipment</w:t>
      </w:r>
      <w:r>
        <w:t xml:space="preserve"> throughout the facility. Availability and functionality of child weighing scale (250 g graduation) and infant weighing scale (10 g graduation) will be recorded. Additionally, with the purpose of further investigating the precision and accuracy of the latter, questions have been included to investigate the type of infant weighing scale (digital versus analogue), and the availability of an infant scale calibration record – including whether it has been updated recently or not.</w:t>
      </w:r>
    </w:p>
    <w:p w14:paraId="1AA1357A" w14:textId="77777777" w:rsidR="002D224C" w:rsidRPr="00A95052" w:rsidRDefault="002D224C" w:rsidP="002D224C">
      <w:pPr>
        <w:rPr>
          <w:b/>
          <w:bCs/>
        </w:rPr>
      </w:pPr>
      <w:r w:rsidRPr="00A95052">
        <w:rPr>
          <w:b/>
          <w:bCs/>
        </w:rPr>
        <w:t>Analytical validations</w:t>
      </w:r>
    </w:p>
    <w:p w14:paraId="358D42B7" w14:textId="77777777" w:rsidR="002D224C" w:rsidRDefault="002D224C" w:rsidP="002D224C">
      <w:r>
        <w:t>The analytical validation strategy proposed will take place post-data collection to specifically identify the extent of:</w:t>
      </w:r>
    </w:p>
    <w:p w14:paraId="07454591" w14:textId="77777777" w:rsidR="002D224C" w:rsidRDefault="002D224C" w:rsidP="002D224C">
      <w:pPr>
        <w:pStyle w:val="ListParagraph"/>
        <w:numPr>
          <w:ilvl w:val="0"/>
          <w:numId w:val="23"/>
        </w:numPr>
        <w:spacing w:after="160" w:line="259" w:lineRule="auto"/>
      </w:pPr>
      <w:r>
        <w:t>biologically implausible values and outliers.</w:t>
      </w:r>
    </w:p>
    <w:p w14:paraId="078A9269" w14:textId="77777777" w:rsidR="002D224C" w:rsidRDefault="002D224C" w:rsidP="002D224C">
      <w:pPr>
        <w:pStyle w:val="ListParagraph"/>
        <w:numPr>
          <w:ilvl w:val="0"/>
          <w:numId w:val="23"/>
        </w:numPr>
        <w:spacing w:after="160" w:line="259" w:lineRule="auto"/>
      </w:pPr>
      <w:r>
        <w:t>heaping and rounding.</w:t>
      </w:r>
    </w:p>
    <w:p w14:paraId="6A1F8B9A" w14:textId="77777777" w:rsidR="002D224C" w:rsidRDefault="002D224C" w:rsidP="002D224C">
      <w:r>
        <w:t>Implausible values will be defined as &lt; 350 g or &gt; 6000 g. Additional outliers will also be identified by comparing observations to the population distribution.</w:t>
      </w:r>
    </w:p>
    <w:p w14:paraId="573B7B65" w14:textId="69D291C4" w:rsidR="002D224C" w:rsidRPr="002F2248" w:rsidRDefault="002D224C" w:rsidP="002D224C">
      <w:r>
        <w:t>Following Kong et al</w:t>
      </w:r>
      <w:r>
        <w:rPr>
          <w:rStyle w:val="FootnoteReference"/>
        </w:rPr>
        <w:footnoteReference w:id="10"/>
      </w:r>
      <w:r>
        <w:t xml:space="preserve">'s methodology, heaping and rounding will be evaluated by observing the proportion of total </w:t>
      </w:r>
      <w:r w:rsidR="008E5F8A">
        <w:t>birth weight</w:t>
      </w:r>
      <w:r>
        <w:t xml:space="preserve">s per facility that were multiples of 500g, and the proportions of heaped weight values relative to all weight values within the adjacent 500g bracket. </w:t>
      </w:r>
    </w:p>
    <w:p w14:paraId="31B6AD31" w14:textId="77777777" w:rsidR="002D224C" w:rsidRPr="002D224C" w:rsidRDefault="002D224C" w:rsidP="002D224C"/>
    <w:sectPr w:rsidR="002D224C" w:rsidRPr="002D224C" w:rsidSect="002D224C">
      <w:pgSz w:w="12240" w:h="15840" w:code="1"/>
      <w:pgMar w:top="720" w:right="432" w:bottom="720" w:left="576"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E686C2" w14:textId="77777777" w:rsidR="00603187" w:rsidRDefault="00603187" w:rsidP="005E45C3">
      <w:pPr>
        <w:spacing w:after="0"/>
      </w:pPr>
      <w:r>
        <w:separator/>
      </w:r>
    </w:p>
  </w:endnote>
  <w:endnote w:type="continuationSeparator" w:id="0">
    <w:p w14:paraId="3B9EF7B5" w14:textId="77777777" w:rsidR="00603187" w:rsidRDefault="00603187" w:rsidP="005E45C3">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Helvetica Neue">
    <w:altName w:val="Sylfaen"/>
    <w:charset w:val="00"/>
    <w:family w:val="auto"/>
    <w:pitch w:val="variable"/>
    <w:sig w:usb0="00000003" w:usb1="500079DB" w:usb2="00000010" w:usb3="00000000" w:csb0="00000001" w:csb1="00000000"/>
  </w:font>
  <w:font w:name="MS PGothic">
    <w:panose1 w:val="020B0600070205080204"/>
    <w:charset w:val="80"/>
    <w:family w:val="swiss"/>
    <w:pitch w:val="variable"/>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 w:name="Avenir Next Demi Bold">
    <w:altName w:val="Trebuchet MS"/>
    <w:charset w:val="00"/>
    <w:family w:val="auto"/>
    <w:pitch w:val="variable"/>
    <w:sig w:usb0="00000001" w:usb1="5000204A" w:usb2="00000000" w:usb3="00000000" w:csb0="0000009B"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0685D7" w14:textId="637FFEDB" w:rsidR="00B84B26" w:rsidRDefault="00B84B26" w:rsidP="00BA706C">
    <w:pPr>
      <w:pStyle w:val="Footer"/>
    </w:pPr>
    <w:r>
      <w:t xml:space="preserve">December </w:t>
    </w:r>
    <w:r w:rsidR="00C030C6">
      <w:t>10</w:t>
    </w:r>
    <w:r>
      <w:t>, 2021</w:t>
    </w:r>
    <w:r>
      <w:tab/>
    </w:r>
    <w:r>
      <w:tab/>
    </w:r>
    <w:sdt>
      <w:sdtPr>
        <w:id w:val="1826168766"/>
        <w:docPartObj>
          <w:docPartGallery w:val="Page Numbers (Bottom of Page)"/>
          <w:docPartUnique/>
        </w:docPartObj>
      </w:sdtPr>
      <w:sdtEndPr>
        <w:rPr>
          <w:noProof/>
        </w:rPr>
      </w:sdtEndPr>
      <w:sdtContent>
        <w:r>
          <w:fldChar w:fldCharType="begin"/>
        </w:r>
        <w:r>
          <w:instrText xml:space="preserve"> PAGE   \* MERGEFORMAT </w:instrText>
        </w:r>
        <w:r>
          <w:fldChar w:fldCharType="separate"/>
        </w:r>
        <w:r>
          <w:rPr>
            <w:noProof/>
          </w:rPr>
          <w:t>1</w:t>
        </w:r>
        <w:r>
          <w:rPr>
            <w:noProof/>
          </w:rPr>
          <w:fldChar w:fldCharType="end"/>
        </w:r>
      </w:sdtContent>
    </w:sdt>
  </w:p>
  <w:p w14:paraId="494950E3" w14:textId="77777777" w:rsidR="00B84B26" w:rsidRDefault="00B84B26" w:rsidP="005E45C3">
    <w:pPr>
      <w:pStyle w:val="Footer"/>
      <w:tabs>
        <w:tab w:val="clear" w:pos="4680"/>
        <w:tab w:val="clear" w:pos="9360"/>
        <w:tab w:val="left" w:pos="6705"/>
      </w:tabs>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807214" w14:textId="77777777" w:rsidR="00603187" w:rsidRDefault="00603187" w:rsidP="005E45C3">
      <w:pPr>
        <w:spacing w:after="0"/>
      </w:pPr>
      <w:r>
        <w:separator/>
      </w:r>
    </w:p>
  </w:footnote>
  <w:footnote w:type="continuationSeparator" w:id="0">
    <w:p w14:paraId="3F5CDC5F" w14:textId="77777777" w:rsidR="00603187" w:rsidRDefault="00603187" w:rsidP="005E45C3">
      <w:pPr>
        <w:spacing w:after="0"/>
      </w:pPr>
      <w:r>
        <w:continuationSeparator/>
      </w:r>
    </w:p>
  </w:footnote>
  <w:footnote w:id="1">
    <w:p w14:paraId="6487B975" w14:textId="77777777" w:rsidR="00B84B26" w:rsidRPr="00C07233" w:rsidRDefault="00B84B26" w:rsidP="00A55463">
      <w:pPr>
        <w:pStyle w:val="FootnoteText"/>
        <w:jc w:val="both"/>
        <w:rPr>
          <w:rFonts w:cstheme="minorHAnsi"/>
          <w:sz w:val="16"/>
          <w:szCs w:val="16"/>
        </w:rPr>
      </w:pPr>
      <w:r w:rsidRPr="00C07233">
        <w:rPr>
          <w:rStyle w:val="FootnoteReference"/>
          <w:rFonts w:cstheme="minorHAnsi"/>
          <w:sz w:val="16"/>
          <w:szCs w:val="16"/>
        </w:rPr>
        <w:footnoteRef/>
      </w:r>
      <w:r w:rsidRPr="00C07233">
        <w:rPr>
          <w:rFonts w:cstheme="minorHAnsi"/>
          <w:sz w:val="16"/>
          <w:szCs w:val="16"/>
        </w:rPr>
        <w:t xml:space="preserve"> The 2015</w:t>
      </w:r>
      <w:r w:rsidRPr="00C07233">
        <w:rPr>
          <w:rFonts w:eastAsia="Calibri" w:cstheme="minorHAnsi"/>
          <w:sz w:val="16"/>
          <w:szCs w:val="16"/>
        </w:rPr>
        <w:t xml:space="preserve"> Comprehensive Food Security and Vulnerability Analysis (CFSVA) </w:t>
      </w:r>
      <w:r w:rsidRPr="00C07233">
        <w:rPr>
          <w:rFonts w:cstheme="minorHAnsi"/>
          <w:sz w:val="16"/>
          <w:szCs w:val="16"/>
        </w:rPr>
        <w:t xml:space="preserve">found that </w:t>
      </w:r>
      <w:r w:rsidRPr="00C07233">
        <w:rPr>
          <w:rFonts w:cstheme="minorHAnsi"/>
          <w:i/>
          <w:sz w:val="16"/>
          <w:szCs w:val="16"/>
        </w:rPr>
        <w:t xml:space="preserve">40 percent of all households are food secure </w:t>
      </w:r>
      <w:r w:rsidRPr="00C07233">
        <w:rPr>
          <w:rFonts w:cstheme="minorHAnsi"/>
          <w:sz w:val="16"/>
          <w:szCs w:val="16"/>
        </w:rPr>
        <w:t xml:space="preserve">(i.e., able to meet essential food and non-food needs without engaging in atypical coping strategies, have an acceptable diet and use a low share of their budget to cover food needs); </w:t>
      </w:r>
      <w:r w:rsidRPr="00C07233">
        <w:rPr>
          <w:rFonts w:cstheme="minorHAnsi"/>
          <w:i/>
          <w:sz w:val="16"/>
          <w:szCs w:val="16"/>
        </w:rPr>
        <w:t xml:space="preserve">40 percent </w:t>
      </w:r>
      <w:r w:rsidRPr="00C07233">
        <w:rPr>
          <w:rFonts w:eastAsia="MS PGothic" w:cstheme="minorHAnsi"/>
          <w:i/>
          <w:sz w:val="16"/>
          <w:szCs w:val="16"/>
        </w:rPr>
        <w:t>are marginally food secure</w:t>
      </w:r>
      <w:r w:rsidRPr="00C07233">
        <w:rPr>
          <w:rFonts w:cstheme="minorHAnsi"/>
          <w:sz w:val="16"/>
          <w:szCs w:val="16"/>
        </w:rPr>
        <w:t xml:space="preserve">; </w:t>
      </w:r>
      <w:r w:rsidRPr="00C07233">
        <w:rPr>
          <w:rFonts w:cstheme="minorHAnsi"/>
          <w:i/>
          <w:sz w:val="16"/>
          <w:szCs w:val="16"/>
        </w:rPr>
        <w:t>17 percent are moderately food insecure</w:t>
      </w:r>
      <w:r w:rsidRPr="00C07233">
        <w:rPr>
          <w:rFonts w:cstheme="minorHAnsi"/>
          <w:sz w:val="16"/>
          <w:szCs w:val="16"/>
        </w:rPr>
        <w:t xml:space="preserve">; and </w:t>
      </w:r>
      <w:r w:rsidRPr="00C07233">
        <w:rPr>
          <w:rFonts w:cstheme="minorHAnsi"/>
          <w:i/>
          <w:sz w:val="16"/>
          <w:szCs w:val="16"/>
        </w:rPr>
        <w:t xml:space="preserve">3 percent </w:t>
      </w:r>
      <w:r w:rsidRPr="00C07233">
        <w:rPr>
          <w:rFonts w:eastAsia="MS PGothic" w:cstheme="minorHAnsi"/>
          <w:i/>
          <w:sz w:val="16"/>
          <w:szCs w:val="16"/>
        </w:rPr>
        <w:t>are severely food insecure</w:t>
      </w:r>
      <w:r w:rsidRPr="00C07233">
        <w:rPr>
          <w:rFonts w:cstheme="minorHAnsi"/>
          <w:sz w:val="16"/>
          <w:szCs w:val="16"/>
        </w:rPr>
        <w:t>.</w:t>
      </w:r>
    </w:p>
  </w:footnote>
  <w:footnote w:id="2">
    <w:p w14:paraId="45E2B457" w14:textId="77777777" w:rsidR="00B84B26" w:rsidRPr="00C07233" w:rsidRDefault="00B84B26" w:rsidP="00A55463">
      <w:pPr>
        <w:pStyle w:val="NoSpacing"/>
        <w:rPr>
          <w:rFonts w:cstheme="minorHAnsi"/>
          <w:sz w:val="16"/>
          <w:szCs w:val="16"/>
        </w:rPr>
      </w:pPr>
      <w:r w:rsidRPr="00C07233">
        <w:rPr>
          <w:rStyle w:val="FootnoteReference"/>
          <w:rFonts w:cstheme="minorHAnsi"/>
          <w:sz w:val="16"/>
          <w:szCs w:val="16"/>
        </w:rPr>
        <w:footnoteRef/>
      </w:r>
      <w:r w:rsidRPr="00C07233">
        <w:rPr>
          <w:rFonts w:cstheme="minorHAnsi"/>
          <w:sz w:val="16"/>
          <w:szCs w:val="16"/>
        </w:rPr>
        <w:t xml:space="preserve"> </w:t>
      </w:r>
      <w:r w:rsidRPr="00C07233">
        <w:rPr>
          <w:rFonts w:eastAsia="Calibri" w:cstheme="minorHAnsi"/>
          <w:sz w:val="16"/>
          <w:szCs w:val="16"/>
        </w:rPr>
        <w:t>Starches (i.e. including cereal and tubers) and pulses constitute the primary staple food in Rwanda. Food insecure households rarely consume pulses and legumes (0 to 3 days per week), while fruits and animal proteins (i.e., meat and milk) are consumed even less (Food and Nutrition Security Monitoring System, Round 11, 2015).</w:t>
      </w:r>
    </w:p>
  </w:footnote>
  <w:footnote w:id="3">
    <w:p w14:paraId="55936CA7" w14:textId="77777777" w:rsidR="00B84B26" w:rsidRPr="00C07233" w:rsidRDefault="00B84B26" w:rsidP="00A55463">
      <w:pPr>
        <w:pStyle w:val="NoSpacing"/>
        <w:rPr>
          <w:rFonts w:cstheme="minorHAnsi"/>
          <w:sz w:val="16"/>
          <w:szCs w:val="16"/>
        </w:rPr>
      </w:pPr>
      <w:r w:rsidRPr="00C07233">
        <w:rPr>
          <w:rStyle w:val="FootnoteReference"/>
          <w:rFonts w:cstheme="minorHAnsi"/>
          <w:sz w:val="16"/>
          <w:szCs w:val="16"/>
        </w:rPr>
        <w:footnoteRef/>
      </w:r>
      <w:r w:rsidRPr="00C07233">
        <w:rPr>
          <w:rFonts w:cstheme="minorHAnsi"/>
          <w:sz w:val="16"/>
          <w:szCs w:val="16"/>
        </w:rPr>
        <w:t xml:space="preserve"> </w:t>
      </w:r>
      <w:r w:rsidRPr="00C07233">
        <w:rPr>
          <w:rFonts w:cstheme="minorHAnsi"/>
          <w:i/>
          <w:sz w:val="16"/>
          <w:szCs w:val="16"/>
        </w:rPr>
        <w:t>Rwanda Situation Analysis and Policy Options</w:t>
      </w:r>
      <w:r w:rsidRPr="00C07233">
        <w:rPr>
          <w:rFonts w:cstheme="minorHAnsi"/>
          <w:sz w:val="16"/>
          <w:szCs w:val="16"/>
        </w:rPr>
        <w:t>, The World Bank, June 2017.</w:t>
      </w:r>
    </w:p>
  </w:footnote>
  <w:footnote w:id="4">
    <w:p w14:paraId="13BC2ECB" w14:textId="40B00F31" w:rsidR="00B84B26" w:rsidRPr="00C07233" w:rsidRDefault="00B84B26" w:rsidP="003A0B4F">
      <w:pPr>
        <w:pStyle w:val="FootnoteText"/>
        <w:rPr>
          <w:rFonts w:cstheme="minorHAnsi"/>
          <w:sz w:val="16"/>
          <w:szCs w:val="16"/>
          <w:lang w:val="en-US"/>
        </w:rPr>
      </w:pPr>
      <w:r w:rsidRPr="00C07233">
        <w:rPr>
          <w:rStyle w:val="FootnoteReference"/>
          <w:rFonts w:cstheme="minorHAnsi"/>
          <w:sz w:val="16"/>
          <w:szCs w:val="16"/>
        </w:rPr>
        <w:footnoteRef/>
      </w:r>
      <w:r w:rsidRPr="00C07233">
        <w:rPr>
          <w:rFonts w:cstheme="minorHAnsi"/>
          <w:sz w:val="16"/>
          <w:szCs w:val="16"/>
        </w:rPr>
        <w:t xml:space="preserve"> </w:t>
      </w:r>
      <w:r w:rsidRPr="00C07233">
        <w:rPr>
          <w:rFonts w:cstheme="minorHAnsi"/>
          <w:i/>
          <w:sz w:val="16"/>
          <w:szCs w:val="16"/>
        </w:rPr>
        <w:t>Comprehensive Evaluation of the Community Health Program in Rwanda</w:t>
      </w:r>
      <w:r w:rsidRPr="00C07233">
        <w:rPr>
          <w:rFonts w:cstheme="minorHAnsi"/>
          <w:sz w:val="16"/>
          <w:szCs w:val="16"/>
        </w:rPr>
        <w:t>, LSHTM, November 2016.</w:t>
      </w:r>
    </w:p>
  </w:footnote>
  <w:footnote w:id="5">
    <w:p w14:paraId="48E45247" w14:textId="78D60105" w:rsidR="00B84B26" w:rsidRPr="00733507" w:rsidRDefault="00B84B26" w:rsidP="00C55EC0">
      <w:pPr>
        <w:pStyle w:val="FootnoteText"/>
        <w:rPr>
          <w:sz w:val="16"/>
          <w:szCs w:val="16"/>
        </w:rPr>
      </w:pPr>
      <w:r w:rsidRPr="00733507">
        <w:rPr>
          <w:rStyle w:val="FootnoteReference"/>
          <w:sz w:val="16"/>
          <w:szCs w:val="16"/>
        </w:rPr>
        <w:footnoteRef/>
      </w:r>
      <w:r w:rsidRPr="00733507">
        <w:rPr>
          <w:sz w:val="16"/>
          <w:szCs w:val="16"/>
        </w:rPr>
        <w:t xml:space="preserve"> In the original program design, four districts received only NSDS. Kirehe district was added in January 2021 as part of the Government expansion program, as described in Annex 1.</w:t>
      </w:r>
    </w:p>
  </w:footnote>
  <w:footnote w:id="6">
    <w:p w14:paraId="10A94586" w14:textId="5DBA0351" w:rsidR="00B84B26" w:rsidRPr="009A1702" w:rsidRDefault="00B84B26">
      <w:pPr>
        <w:pStyle w:val="FootnoteText"/>
        <w:rPr>
          <w:rFonts w:cstheme="minorHAnsi"/>
          <w:sz w:val="16"/>
          <w:szCs w:val="16"/>
          <w:lang w:val="en-US"/>
        </w:rPr>
      </w:pPr>
      <w:r w:rsidRPr="009A1702">
        <w:rPr>
          <w:rStyle w:val="FootnoteReference"/>
          <w:rFonts w:cstheme="minorHAnsi"/>
          <w:sz w:val="16"/>
          <w:szCs w:val="16"/>
        </w:rPr>
        <w:footnoteRef/>
      </w:r>
      <w:r w:rsidRPr="009A1702">
        <w:rPr>
          <w:rFonts w:cstheme="minorHAnsi"/>
          <w:sz w:val="16"/>
          <w:szCs w:val="16"/>
        </w:rPr>
        <w:t xml:space="preserve"> </w:t>
      </w:r>
      <w:r>
        <w:rPr>
          <w:rFonts w:cstheme="minorHAnsi"/>
          <w:sz w:val="16"/>
          <w:szCs w:val="16"/>
        </w:rPr>
        <w:t>Possible m</w:t>
      </w:r>
      <w:r w:rsidRPr="009A1702">
        <w:rPr>
          <w:rFonts w:cstheme="minorHAnsi"/>
          <w:sz w:val="16"/>
          <w:szCs w:val="16"/>
        </w:rPr>
        <w:t>itigation strategies in the presence of significantly different pre-intervention tren</w:t>
      </w:r>
      <w:r>
        <w:rPr>
          <w:rFonts w:cstheme="minorHAnsi"/>
          <w:sz w:val="16"/>
          <w:szCs w:val="16"/>
        </w:rPr>
        <w:t>ds include a narrowing</w:t>
      </w:r>
      <w:r w:rsidRPr="009A1702">
        <w:rPr>
          <w:rFonts w:cstheme="minorHAnsi"/>
          <w:sz w:val="16"/>
          <w:szCs w:val="16"/>
        </w:rPr>
        <w:t xml:space="preserve"> of the study on treatment and comparison study districts closer to the </w:t>
      </w:r>
      <w:r w:rsidR="00C80DF4">
        <w:rPr>
          <w:rFonts w:cstheme="minorHAnsi"/>
          <w:sz w:val="16"/>
          <w:szCs w:val="16"/>
        </w:rPr>
        <w:t xml:space="preserve">district </w:t>
      </w:r>
      <w:r w:rsidRPr="009A1702">
        <w:rPr>
          <w:rFonts w:cstheme="minorHAnsi"/>
          <w:sz w:val="16"/>
          <w:szCs w:val="16"/>
        </w:rPr>
        <w:t>stunting thresholds used to determine program eligibility</w:t>
      </w:r>
      <w:r>
        <w:rPr>
          <w:rFonts w:cstheme="minorHAnsi"/>
          <w:sz w:val="16"/>
          <w:szCs w:val="16"/>
        </w:rPr>
        <w:t xml:space="preserve"> where pre-intervention trends are expected to be more similar</w:t>
      </w:r>
      <w:r w:rsidRPr="009A1702">
        <w:rPr>
          <w:rFonts w:cstheme="minorHAnsi"/>
          <w:sz w:val="16"/>
          <w:szCs w:val="16"/>
        </w:rPr>
        <w:t>. Further, community level matching estimators can be combined with difference-in-differences, including matching communities in part on the basis of pre-intervention trends as recorded in administrative data</w:t>
      </w:r>
      <w:r>
        <w:rPr>
          <w:rFonts w:cstheme="minorHAnsi"/>
          <w:sz w:val="16"/>
          <w:szCs w:val="16"/>
        </w:rPr>
        <w:t>, in order to improve comparability</w:t>
      </w:r>
      <w:r w:rsidRPr="009A1702">
        <w:rPr>
          <w:rFonts w:cstheme="minorHAnsi"/>
          <w:sz w:val="16"/>
          <w:szCs w:val="16"/>
        </w:rPr>
        <w:t>.</w:t>
      </w:r>
    </w:p>
  </w:footnote>
  <w:footnote w:id="7">
    <w:p w14:paraId="6949B00B" w14:textId="50BCB05B" w:rsidR="00B84B26" w:rsidRPr="00C07233" w:rsidRDefault="00B84B26">
      <w:pPr>
        <w:pStyle w:val="FootnoteText"/>
        <w:rPr>
          <w:rFonts w:cstheme="minorHAnsi"/>
          <w:sz w:val="16"/>
          <w:szCs w:val="16"/>
          <w:highlight w:val="yellow"/>
          <w:lang w:val="en-US"/>
        </w:rPr>
      </w:pPr>
      <w:r w:rsidRPr="00C07233">
        <w:rPr>
          <w:rStyle w:val="FootnoteReference"/>
          <w:rFonts w:cstheme="minorHAnsi"/>
          <w:sz w:val="16"/>
          <w:szCs w:val="16"/>
        </w:rPr>
        <w:footnoteRef/>
      </w:r>
      <w:r w:rsidRPr="00C07233">
        <w:rPr>
          <w:rFonts w:cstheme="minorHAnsi"/>
          <w:sz w:val="16"/>
          <w:szCs w:val="16"/>
        </w:rPr>
        <w:t xml:space="preserve"> </w:t>
      </w:r>
      <w:r w:rsidRPr="00C07233">
        <w:rPr>
          <w:rFonts w:cstheme="minorHAnsi"/>
          <w:color w:val="000000"/>
          <w:sz w:val="16"/>
          <w:szCs w:val="16"/>
          <w:shd w:val="clear" w:color="auto" w:fill="FFFFFF"/>
        </w:rPr>
        <w:t>Filmer, Deon P.; Friedman, Jed; Kandpal, Eeshani; Onishi, Junko. 2018. </w:t>
      </w:r>
      <w:r w:rsidRPr="00C07233">
        <w:rPr>
          <w:rFonts w:cstheme="minorHAnsi"/>
          <w:i/>
          <w:iCs/>
          <w:color w:val="000000"/>
          <w:sz w:val="16"/>
          <w:szCs w:val="16"/>
          <w:bdr w:val="none" w:sz="0" w:space="0" w:color="auto" w:frame="1"/>
          <w:shd w:val="clear" w:color="auto" w:fill="FFFFFF"/>
        </w:rPr>
        <w:t>General equilibrium effects of targeted cash transfers: nutrition impacts on non-beneficiary children (English)</w:t>
      </w:r>
      <w:r w:rsidRPr="00C07233">
        <w:rPr>
          <w:rFonts w:cstheme="minorHAnsi"/>
          <w:color w:val="000000"/>
          <w:sz w:val="16"/>
          <w:szCs w:val="16"/>
          <w:shd w:val="clear" w:color="auto" w:fill="FFFFFF"/>
        </w:rPr>
        <w:t>. Policy Research working paper; no. WPS 8377. Washington, D.C.: World Bank Group. </w:t>
      </w:r>
    </w:p>
  </w:footnote>
  <w:footnote w:id="8">
    <w:p w14:paraId="3AFC959E" w14:textId="03DCBFB4" w:rsidR="00B84B26" w:rsidRPr="00C07233" w:rsidRDefault="00B84B26">
      <w:pPr>
        <w:pStyle w:val="FootnoteText"/>
        <w:rPr>
          <w:rFonts w:cstheme="minorHAnsi"/>
          <w:sz w:val="16"/>
          <w:szCs w:val="16"/>
          <w:highlight w:val="yellow"/>
          <w:lang w:val="en-US"/>
        </w:rPr>
      </w:pPr>
      <w:r w:rsidRPr="00C07233">
        <w:rPr>
          <w:rStyle w:val="FootnoteReference"/>
          <w:rFonts w:cstheme="minorHAnsi"/>
          <w:sz w:val="16"/>
          <w:szCs w:val="16"/>
        </w:rPr>
        <w:footnoteRef/>
      </w:r>
      <w:r w:rsidRPr="00C07233">
        <w:rPr>
          <w:rFonts w:cstheme="minorHAnsi"/>
          <w:sz w:val="16"/>
          <w:szCs w:val="16"/>
        </w:rPr>
        <w:t xml:space="preserve"> See </w:t>
      </w:r>
      <w:r w:rsidRPr="00C07233">
        <w:rPr>
          <w:rFonts w:cstheme="minorHAnsi"/>
          <w:sz w:val="16"/>
          <w:szCs w:val="16"/>
          <w:lang w:val="en-US"/>
        </w:rPr>
        <w:t xml:space="preserve">Arnold et al. (2011) for a review of power analyses simulations in nutrition programs. Arnold, Benjamin F., Daniel Hogan, John Colford, and Alan Hubbard. 2011. </w:t>
      </w:r>
      <w:r w:rsidRPr="00C07233">
        <w:rPr>
          <w:rFonts w:cstheme="minorHAnsi"/>
          <w:i/>
          <w:sz w:val="16"/>
          <w:szCs w:val="16"/>
          <w:lang w:val="en-US"/>
        </w:rPr>
        <w:t>Simulation methods to estimate design power: an overview for applied research</w:t>
      </w:r>
      <w:r w:rsidRPr="00C07233">
        <w:rPr>
          <w:rFonts w:cstheme="minorHAnsi"/>
          <w:sz w:val="16"/>
          <w:szCs w:val="16"/>
          <w:lang w:val="en-US"/>
        </w:rPr>
        <w:t>. BMC Medical Research Methodology, 11(94).</w:t>
      </w:r>
    </w:p>
  </w:footnote>
  <w:footnote w:id="9">
    <w:p w14:paraId="10A3C13F" w14:textId="3A8B0D86" w:rsidR="00B84B26" w:rsidRPr="00C07233" w:rsidRDefault="00B84B26">
      <w:pPr>
        <w:pStyle w:val="FootnoteText"/>
        <w:rPr>
          <w:rFonts w:cstheme="minorHAnsi"/>
          <w:sz w:val="16"/>
          <w:szCs w:val="16"/>
          <w:lang w:val="en-US"/>
        </w:rPr>
      </w:pPr>
      <w:r w:rsidRPr="00C07233">
        <w:rPr>
          <w:rStyle w:val="FootnoteReference"/>
          <w:rFonts w:cstheme="minorHAnsi"/>
          <w:sz w:val="16"/>
          <w:szCs w:val="16"/>
        </w:rPr>
        <w:footnoteRef/>
      </w:r>
      <w:r w:rsidRPr="00C07233">
        <w:rPr>
          <w:rFonts w:cstheme="minorHAnsi"/>
          <w:sz w:val="16"/>
          <w:szCs w:val="16"/>
        </w:rPr>
        <w:t xml:space="preserve"> Mckenzie, David. 2012. “Beyond baseline and follow-up: The case for more T in experiments.” Journal of Development Economics, 99(2): 210-221.</w:t>
      </w:r>
    </w:p>
  </w:footnote>
  <w:footnote w:id="10">
    <w:p w14:paraId="4ADA0455" w14:textId="77777777" w:rsidR="00B84B26" w:rsidRDefault="00B84B26" w:rsidP="002D224C">
      <w:pPr>
        <w:pStyle w:val="FootnoteText"/>
      </w:pPr>
      <w:r>
        <w:rPr>
          <w:rStyle w:val="FootnoteReference"/>
        </w:rPr>
        <w:footnoteRef/>
      </w:r>
      <w:r>
        <w:t xml:space="preserve"> Kong et al. 2021. Birthweight: EN-BIRTH multi-country validation study. </w:t>
      </w:r>
      <w:r w:rsidRPr="00920AFB">
        <w:rPr>
          <w:i/>
          <w:iCs/>
        </w:rPr>
        <w:t>BMC Pregnancy and Childbirth</w:t>
      </w:r>
      <w:r>
        <w:t>, 21(Suppl 1):240</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1E119F"/>
    <w:multiLevelType w:val="hybridMultilevel"/>
    <w:tmpl w:val="80E2EAF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3F26FCC"/>
    <w:multiLevelType w:val="hybridMultilevel"/>
    <w:tmpl w:val="156C190E"/>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7F66F20"/>
    <w:multiLevelType w:val="hybridMultilevel"/>
    <w:tmpl w:val="E51E4B2C"/>
    <w:lvl w:ilvl="0" w:tplc="0409000F">
      <w:start w:val="1"/>
      <w:numFmt w:val="decimal"/>
      <w:lvlText w:val="%1."/>
      <w:lvlJc w:val="left"/>
      <w:pPr>
        <w:ind w:left="768" w:hanging="360"/>
      </w:pPr>
    </w:lvl>
    <w:lvl w:ilvl="1" w:tplc="04090019" w:tentative="1">
      <w:start w:val="1"/>
      <w:numFmt w:val="lowerLetter"/>
      <w:lvlText w:val="%2."/>
      <w:lvlJc w:val="left"/>
      <w:pPr>
        <w:ind w:left="1488" w:hanging="360"/>
      </w:pPr>
    </w:lvl>
    <w:lvl w:ilvl="2" w:tplc="0409001B" w:tentative="1">
      <w:start w:val="1"/>
      <w:numFmt w:val="lowerRoman"/>
      <w:lvlText w:val="%3."/>
      <w:lvlJc w:val="right"/>
      <w:pPr>
        <w:ind w:left="2208" w:hanging="180"/>
      </w:pPr>
    </w:lvl>
    <w:lvl w:ilvl="3" w:tplc="0409000F" w:tentative="1">
      <w:start w:val="1"/>
      <w:numFmt w:val="decimal"/>
      <w:lvlText w:val="%4."/>
      <w:lvlJc w:val="left"/>
      <w:pPr>
        <w:ind w:left="2928" w:hanging="360"/>
      </w:pPr>
    </w:lvl>
    <w:lvl w:ilvl="4" w:tplc="04090019" w:tentative="1">
      <w:start w:val="1"/>
      <w:numFmt w:val="lowerLetter"/>
      <w:lvlText w:val="%5."/>
      <w:lvlJc w:val="left"/>
      <w:pPr>
        <w:ind w:left="3648" w:hanging="360"/>
      </w:pPr>
    </w:lvl>
    <w:lvl w:ilvl="5" w:tplc="0409001B" w:tentative="1">
      <w:start w:val="1"/>
      <w:numFmt w:val="lowerRoman"/>
      <w:lvlText w:val="%6."/>
      <w:lvlJc w:val="right"/>
      <w:pPr>
        <w:ind w:left="4368" w:hanging="180"/>
      </w:pPr>
    </w:lvl>
    <w:lvl w:ilvl="6" w:tplc="0409000F" w:tentative="1">
      <w:start w:val="1"/>
      <w:numFmt w:val="decimal"/>
      <w:lvlText w:val="%7."/>
      <w:lvlJc w:val="left"/>
      <w:pPr>
        <w:ind w:left="5088" w:hanging="360"/>
      </w:pPr>
    </w:lvl>
    <w:lvl w:ilvl="7" w:tplc="04090019" w:tentative="1">
      <w:start w:val="1"/>
      <w:numFmt w:val="lowerLetter"/>
      <w:lvlText w:val="%8."/>
      <w:lvlJc w:val="left"/>
      <w:pPr>
        <w:ind w:left="5808" w:hanging="360"/>
      </w:pPr>
    </w:lvl>
    <w:lvl w:ilvl="8" w:tplc="0409001B" w:tentative="1">
      <w:start w:val="1"/>
      <w:numFmt w:val="lowerRoman"/>
      <w:lvlText w:val="%9."/>
      <w:lvlJc w:val="right"/>
      <w:pPr>
        <w:ind w:left="6528" w:hanging="180"/>
      </w:pPr>
    </w:lvl>
  </w:abstractNum>
  <w:abstractNum w:abstractNumId="3" w15:restartNumberingAfterBreak="0">
    <w:nsid w:val="186F08AA"/>
    <w:multiLevelType w:val="hybridMultilevel"/>
    <w:tmpl w:val="46B036FE"/>
    <w:lvl w:ilvl="0" w:tplc="2940E210">
      <w:start w:val="1"/>
      <w:numFmt w:val="bullet"/>
      <w:lvlText w:val="•"/>
      <w:lvlJc w:val="left"/>
      <w:pPr>
        <w:tabs>
          <w:tab w:val="num" w:pos="720"/>
        </w:tabs>
        <w:ind w:left="720" w:hanging="360"/>
      </w:pPr>
      <w:rPr>
        <w:rFonts w:ascii="Arial" w:hAnsi="Arial" w:hint="default"/>
      </w:rPr>
    </w:lvl>
    <w:lvl w:ilvl="1" w:tplc="18DC317A" w:tentative="1">
      <w:start w:val="1"/>
      <w:numFmt w:val="bullet"/>
      <w:lvlText w:val="•"/>
      <w:lvlJc w:val="left"/>
      <w:pPr>
        <w:tabs>
          <w:tab w:val="num" w:pos="1440"/>
        </w:tabs>
        <w:ind w:left="1440" w:hanging="360"/>
      </w:pPr>
      <w:rPr>
        <w:rFonts w:ascii="Arial" w:hAnsi="Arial" w:hint="default"/>
      </w:rPr>
    </w:lvl>
    <w:lvl w:ilvl="2" w:tplc="9CB8CAF4" w:tentative="1">
      <w:start w:val="1"/>
      <w:numFmt w:val="bullet"/>
      <w:lvlText w:val="•"/>
      <w:lvlJc w:val="left"/>
      <w:pPr>
        <w:tabs>
          <w:tab w:val="num" w:pos="2160"/>
        </w:tabs>
        <w:ind w:left="2160" w:hanging="360"/>
      </w:pPr>
      <w:rPr>
        <w:rFonts w:ascii="Arial" w:hAnsi="Arial" w:hint="default"/>
      </w:rPr>
    </w:lvl>
    <w:lvl w:ilvl="3" w:tplc="A328C20E" w:tentative="1">
      <w:start w:val="1"/>
      <w:numFmt w:val="bullet"/>
      <w:lvlText w:val="•"/>
      <w:lvlJc w:val="left"/>
      <w:pPr>
        <w:tabs>
          <w:tab w:val="num" w:pos="2880"/>
        </w:tabs>
        <w:ind w:left="2880" w:hanging="360"/>
      </w:pPr>
      <w:rPr>
        <w:rFonts w:ascii="Arial" w:hAnsi="Arial" w:hint="default"/>
      </w:rPr>
    </w:lvl>
    <w:lvl w:ilvl="4" w:tplc="365CD2F8" w:tentative="1">
      <w:start w:val="1"/>
      <w:numFmt w:val="bullet"/>
      <w:lvlText w:val="•"/>
      <w:lvlJc w:val="left"/>
      <w:pPr>
        <w:tabs>
          <w:tab w:val="num" w:pos="3600"/>
        </w:tabs>
        <w:ind w:left="3600" w:hanging="360"/>
      </w:pPr>
      <w:rPr>
        <w:rFonts w:ascii="Arial" w:hAnsi="Arial" w:hint="default"/>
      </w:rPr>
    </w:lvl>
    <w:lvl w:ilvl="5" w:tplc="1B806F70" w:tentative="1">
      <w:start w:val="1"/>
      <w:numFmt w:val="bullet"/>
      <w:lvlText w:val="•"/>
      <w:lvlJc w:val="left"/>
      <w:pPr>
        <w:tabs>
          <w:tab w:val="num" w:pos="4320"/>
        </w:tabs>
        <w:ind w:left="4320" w:hanging="360"/>
      </w:pPr>
      <w:rPr>
        <w:rFonts w:ascii="Arial" w:hAnsi="Arial" w:hint="default"/>
      </w:rPr>
    </w:lvl>
    <w:lvl w:ilvl="6" w:tplc="A0EE6E98" w:tentative="1">
      <w:start w:val="1"/>
      <w:numFmt w:val="bullet"/>
      <w:lvlText w:val="•"/>
      <w:lvlJc w:val="left"/>
      <w:pPr>
        <w:tabs>
          <w:tab w:val="num" w:pos="5040"/>
        </w:tabs>
        <w:ind w:left="5040" w:hanging="360"/>
      </w:pPr>
      <w:rPr>
        <w:rFonts w:ascii="Arial" w:hAnsi="Arial" w:hint="default"/>
      </w:rPr>
    </w:lvl>
    <w:lvl w:ilvl="7" w:tplc="6106A43A" w:tentative="1">
      <w:start w:val="1"/>
      <w:numFmt w:val="bullet"/>
      <w:lvlText w:val="•"/>
      <w:lvlJc w:val="left"/>
      <w:pPr>
        <w:tabs>
          <w:tab w:val="num" w:pos="5760"/>
        </w:tabs>
        <w:ind w:left="5760" w:hanging="360"/>
      </w:pPr>
      <w:rPr>
        <w:rFonts w:ascii="Arial" w:hAnsi="Arial" w:hint="default"/>
      </w:rPr>
    </w:lvl>
    <w:lvl w:ilvl="8" w:tplc="BE58C2A6"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1D1014F0"/>
    <w:multiLevelType w:val="hybridMultilevel"/>
    <w:tmpl w:val="DD6AD0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3824BE6"/>
    <w:multiLevelType w:val="hybridMultilevel"/>
    <w:tmpl w:val="A44430AC"/>
    <w:lvl w:ilvl="0" w:tplc="04090001">
      <w:start w:val="1"/>
      <w:numFmt w:val="bullet"/>
      <w:lvlText w:val=""/>
      <w:lvlJc w:val="left"/>
      <w:pPr>
        <w:ind w:left="360" w:hanging="360"/>
      </w:pPr>
      <w:rPr>
        <w:rFonts w:ascii="Symbol" w:hAnsi="Symbol" w:hint="default"/>
      </w:rPr>
    </w:lvl>
    <w:lvl w:ilvl="1" w:tplc="0409001B">
      <w:start w:val="1"/>
      <w:numFmt w:val="lowerRoman"/>
      <w:lvlText w:val="%2."/>
      <w:lvlJc w:val="right"/>
      <w:pPr>
        <w:ind w:left="1080" w:hanging="360"/>
      </w:pPr>
      <w:rPr>
        <w:rFonts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3BDE63ED"/>
    <w:multiLevelType w:val="hybridMultilevel"/>
    <w:tmpl w:val="ECDAFE5C"/>
    <w:lvl w:ilvl="0" w:tplc="33AEEB5C">
      <w:numFmt w:val="bullet"/>
      <w:lvlText w:val="-"/>
      <w:lvlJc w:val="left"/>
      <w:pPr>
        <w:ind w:left="720" w:hanging="360"/>
      </w:pPr>
      <w:rPr>
        <w:rFonts w:ascii="Calibri" w:eastAsiaTheme="minorHAnsi" w:hAnsi="Calibri" w:cs="Calibri"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926749D"/>
    <w:multiLevelType w:val="hybridMultilevel"/>
    <w:tmpl w:val="156C190E"/>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E5C5A18"/>
    <w:multiLevelType w:val="hybridMultilevel"/>
    <w:tmpl w:val="2D8E0E5E"/>
    <w:lvl w:ilvl="0" w:tplc="A7248ACC">
      <w:start w:val="1"/>
      <w:numFmt w:val="bullet"/>
      <w:lvlText w:val="•"/>
      <w:lvlJc w:val="left"/>
      <w:pPr>
        <w:tabs>
          <w:tab w:val="num" w:pos="720"/>
        </w:tabs>
        <w:ind w:left="720" w:hanging="360"/>
      </w:pPr>
      <w:rPr>
        <w:rFonts w:ascii="Arial" w:hAnsi="Arial" w:hint="default"/>
      </w:rPr>
    </w:lvl>
    <w:lvl w:ilvl="1" w:tplc="2CC4B3BA">
      <w:start w:val="110"/>
      <w:numFmt w:val="bullet"/>
      <w:lvlText w:val="•"/>
      <w:lvlJc w:val="left"/>
      <w:pPr>
        <w:tabs>
          <w:tab w:val="num" w:pos="1440"/>
        </w:tabs>
        <w:ind w:left="1440" w:hanging="360"/>
      </w:pPr>
      <w:rPr>
        <w:rFonts w:ascii="Arial" w:hAnsi="Arial" w:hint="default"/>
      </w:rPr>
    </w:lvl>
    <w:lvl w:ilvl="2" w:tplc="8CA04E20" w:tentative="1">
      <w:start w:val="1"/>
      <w:numFmt w:val="bullet"/>
      <w:lvlText w:val="•"/>
      <w:lvlJc w:val="left"/>
      <w:pPr>
        <w:tabs>
          <w:tab w:val="num" w:pos="2160"/>
        </w:tabs>
        <w:ind w:left="2160" w:hanging="360"/>
      </w:pPr>
      <w:rPr>
        <w:rFonts w:ascii="Arial" w:hAnsi="Arial" w:hint="default"/>
      </w:rPr>
    </w:lvl>
    <w:lvl w:ilvl="3" w:tplc="90B02440" w:tentative="1">
      <w:start w:val="1"/>
      <w:numFmt w:val="bullet"/>
      <w:lvlText w:val="•"/>
      <w:lvlJc w:val="left"/>
      <w:pPr>
        <w:tabs>
          <w:tab w:val="num" w:pos="2880"/>
        </w:tabs>
        <w:ind w:left="2880" w:hanging="360"/>
      </w:pPr>
      <w:rPr>
        <w:rFonts w:ascii="Arial" w:hAnsi="Arial" w:hint="default"/>
      </w:rPr>
    </w:lvl>
    <w:lvl w:ilvl="4" w:tplc="230E5584" w:tentative="1">
      <w:start w:val="1"/>
      <w:numFmt w:val="bullet"/>
      <w:lvlText w:val="•"/>
      <w:lvlJc w:val="left"/>
      <w:pPr>
        <w:tabs>
          <w:tab w:val="num" w:pos="3600"/>
        </w:tabs>
        <w:ind w:left="3600" w:hanging="360"/>
      </w:pPr>
      <w:rPr>
        <w:rFonts w:ascii="Arial" w:hAnsi="Arial" w:hint="default"/>
      </w:rPr>
    </w:lvl>
    <w:lvl w:ilvl="5" w:tplc="1EF02048" w:tentative="1">
      <w:start w:val="1"/>
      <w:numFmt w:val="bullet"/>
      <w:lvlText w:val="•"/>
      <w:lvlJc w:val="left"/>
      <w:pPr>
        <w:tabs>
          <w:tab w:val="num" w:pos="4320"/>
        </w:tabs>
        <w:ind w:left="4320" w:hanging="360"/>
      </w:pPr>
      <w:rPr>
        <w:rFonts w:ascii="Arial" w:hAnsi="Arial" w:hint="default"/>
      </w:rPr>
    </w:lvl>
    <w:lvl w:ilvl="6" w:tplc="B20AC9CC" w:tentative="1">
      <w:start w:val="1"/>
      <w:numFmt w:val="bullet"/>
      <w:lvlText w:val="•"/>
      <w:lvlJc w:val="left"/>
      <w:pPr>
        <w:tabs>
          <w:tab w:val="num" w:pos="5040"/>
        </w:tabs>
        <w:ind w:left="5040" w:hanging="360"/>
      </w:pPr>
      <w:rPr>
        <w:rFonts w:ascii="Arial" w:hAnsi="Arial" w:hint="default"/>
      </w:rPr>
    </w:lvl>
    <w:lvl w:ilvl="7" w:tplc="18E46952" w:tentative="1">
      <w:start w:val="1"/>
      <w:numFmt w:val="bullet"/>
      <w:lvlText w:val="•"/>
      <w:lvlJc w:val="left"/>
      <w:pPr>
        <w:tabs>
          <w:tab w:val="num" w:pos="5760"/>
        </w:tabs>
        <w:ind w:left="5760" w:hanging="360"/>
      </w:pPr>
      <w:rPr>
        <w:rFonts w:ascii="Arial" w:hAnsi="Arial" w:hint="default"/>
      </w:rPr>
    </w:lvl>
    <w:lvl w:ilvl="8" w:tplc="EEBE951A" w:tentative="1">
      <w:start w:val="1"/>
      <w:numFmt w:val="bullet"/>
      <w:lvlText w:val="•"/>
      <w:lvlJc w:val="left"/>
      <w:pPr>
        <w:tabs>
          <w:tab w:val="num" w:pos="6480"/>
        </w:tabs>
        <w:ind w:left="6480" w:hanging="360"/>
      </w:pPr>
      <w:rPr>
        <w:rFonts w:ascii="Arial" w:hAnsi="Arial" w:hint="default"/>
      </w:rPr>
    </w:lvl>
  </w:abstractNum>
  <w:abstractNum w:abstractNumId="9" w15:restartNumberingAfterBreak="0">
    <w:nsid w:val="51421462"/>
    <w:multiLevelType w:val="hybridMultilevel"/>
    <w:tmpl w:val="5B6CD0F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b/>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520C68CE"/>
    <w:multiLevelType w:val="hybridMultilevel"/>
    <w:tmpl w:val="156C190E"/>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67C0822"/>
    <w:multiLevelType w:val="hybridMultilevel"/>
    <w:tmpl w:val="7E4E159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9EE5683"/>
    <w:multiLevelType w:val="hybridMultilevel"/>
    <w:tmpl w:val="69625E2A"/>
    <w:lvl w:ilvl="0" w:tplc="04DE2E24">
      <w:start w:val="1"/>
      <w:numFmt w:val="bullet"/>
      <w:lvlText w:val="•"/>
      <w:lvlJc w:val="left"/>
      <w:pPr>
        <w:tabs>
          <w:tab w:val="num" w:pos="720"/>
        </w:tabs>
        <w:ind w:left="720" w:hanging="360"/>
      </w:pPr>
      <w:rPr>
        <w:rFonts w:ascii="Arial" w:hAnsi="Arial" w:hint="default"/>
      </w:rPr>
    </w:lvl>
    <w:lvl w:ilvl="1" w:tplc="9DCE6D92">
      <w:start w:val="110"/>
      <w:numFmt w:val="bullet"/>
      <w:lvlText w:val="•"/>
      <w:lvlJc w:val="left"/>
      <w:pPr>
        <w:tabs>
          <w:tab w:val="num" w:pos="1440"/>
        </w:tabs>
        <w:ind w:left="1440" w:hanging="360"/>
      </w:pPr>
      <w:rPr>
        <w:rFonts w:ascii="Arial" w:hAnsi="Arial" w:hint="default"/>
      </w:rPr>
    </w:lvl>
    <w:lvl w:ilvl="2" w:tplc="17A69502" w:tentative="1">
      <w:start w:val="1"/>
      <w:numFmt w:val="bullet"/>
      <w:lvlText w:val="•"/>
      <w:lvlJc w:val="left"/>
      <w:pPr>
        <w:tabs>
          <w:tab w:val="num" w:pos="2160"/>
        </w:tabs>
        <w:ind w:left="2160" w:hanging="360"/>
      </w:pPr>
      <w:rPr>
        <w:rFonts w:ascii="Arial" w:hAnsi="Arial" w:hint="default"/>
      </w:rPr>
    </w:lvl>
    <w:lvl w:ilvl="3" w:tplc="EE9ED1EA" w:tentative="1">
      <w:start w:val="1"/>
      <w:numFmt w:val="bullet"/>
      <w:lvlText w:val="•"/>
      <w:lvlJc w:val="left"/>
      <w:pPr>
        <w:tabs>
          <w:tab w:val="num" w:pos="2880"/>
        </w:tabs>
        <w:ind w:left="2880" w:hanging="360"/>
      </w:pPr>
      <w:rPr>
        <w:rFonts w:ascii="Arial" w:hAnsi="Arial" w:hint="default"/>
      </w:rPr>
    </w:lvl>
    <w:lvl w:ilvl="4" w:tplc="AD005270" w:tentative="1">
      <w:start w:val="1"/>
      <w:numFmt w:val="bullet"/>
      <w:lvlText w:val="•"/>
      <w:lvlJc w:val="left"/>
      <w:pPr>
        <w:tabs>
          <w:tab w:val="num" w:pos="3600"/>
        </w:tabs>
        <w:ind w:left="3600" w:hanging="360"/>
      </w:pPr>
      <w:rPr>
        <w:rFonts w:ascii="Arial" w:hAnsi="Arial" w:hint="default"/>
      </w:rPr>
    </w:lvl>
    <w:lvl w:ilvl="5" w:tplc="2C400E26" w:tentative="1">
      <w:start w:val="1"/>
      <w:numFmt w:val="bullet"/>
      <w:lvlText w:val="•"/>
      <w:lvlJc w:val="left"/>
      <w:pPr>
        <w:tabs>
          <w:tab w:val="num" w:pos="4320"/>
        </w:tabs>
        <w:ind w:left="4320" w:hanging="360"/>
      </w:pPr>
      <w:rPr>
        <w:rFonts w:ascii="Arial" w:hAnsi="Arial" w:hint="default"/>
      </w:rPr>
    </w:lvl>
    <w:lvl w:ilvl="6" w:tplc="1E0ABA6E" w:tentative="1">
      <w:start w:val="1"/>
      <w:numFmt w:val="bullet"/>
      <w:lvlText w:val="•"/>
      <w:lvlJc w:val="left"/>
      <w:pPr>
        <w:tabs>
          <w:tab w:val="num" w:pos="5040"/>
        </w:tabs>
        <w:ind w:left="5040" w:hanging="360"/>
      </w:pPr>
      <w:rPr>
        <w:rFonts w:ascii="Arial" w:hAnsi="Arial" w:hint="default"/>
      </w:rPr>
    </w:lvl>
    <w:lvl w:ilvl="7" w:tplc="C2E8F6B2" w:tentative="1">
      <w:start w:val="1"/>
      <w:numFmt w:val="bullet"/>
      <w:lvlText w:val="•"/>
      <w:lvlJc w:val="left"/>
      <w:pPr>
        <w:tabs>
          <w:tab w:val="num" w:pos="5760"/>
        </w:tabs>
        <w:ind w:left="5760" w:hanging="360"/>
      </w:pPr>
      <w:rPr>
        <w:rFonts w:ascii="Arial" w:hAnsi="Arial" w:hint="default"/>
      </w:rPr>
    </w:lvl>
    <w:lvl w:ilvl="8" w:tplc="D428C446" w:tentative="1">
      <w:start w:val="1"/>
      <w:numFmt w:val="bullet"/>
      <w:lvlText w:val="•"/>
      <w:lvlJc w:val="left"/>
      <w:pPr>
        <w:tabs>
          <w:tab w:val="num" w:pos="6480"/>
        </w:tabs>
        <w:ind w:left="6480" w:hanging="360"/>
      </w:pPr>
      <w:rPr>
        <w:rFonts w:ascii="Arial" w:hAnsi="Arial" w:hint="default"/>
      </w:rPr>
    </w:lvl>
  </w:abstractNum>
  <w:abstractNum w:abstractNumId="13" w15:restartNumberingAfterBreak="0">
    <w:nsid w:val="5C0B6DE4"/>
    <w:multiLevelType w:val="hybridMultilevel"/>
    <w:tmpl w:val="78B2B8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FEE004E"/>
    <w:multiLevelType w:val="hybridMultilevel"/>
    <w:tmpl w:val="A0B6F26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4A4318E"/>
    <w:multiLevelType w:val="hybridMultilevel"/>
    <w:tmpl w:val="3418EF9C"/>
    <w:lvl w:ilvl="0" w:tplc="04090001">
      <w:start w:val="1"/>
      <w:numFmt w:val="bullet"/>
      <w:lvlText w:val=""/>
      <w:lvlJc w:val="left"/>
      <w:pPr>
        <w:ind w:left="360" w:hanging="360"/>
      </w:pPr>
      <w:rPr>
        <w:rFonts w:ascii="Symbol" w:hAnsi="Symbol" w:hint="default"/>
      </w:rPr>
    </w:lvl>
    <w:lvl w:ilvl="1" w:tplc="04090001">
      <w:start w:val="1"/>
      <w:numFmt w:val="bullet"/>
      <w:lvlText w:val=""/>
      <w:lvlJc w:val="left"/>
      <w:pPr>
        <w:ind w:left="1080" w:hanging="360"/>
      </w:pPr>
      <w:rPr>
        <w:rFonts w:ascii="Symbol" w:hAnsi="Symbol" w:hint="default"/>
        <w:b/>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694C4661"/>
    <w:multiLevelType w:val="hybridMultilevel"/>
    <w:tmpl w:val="527E1652"/>
    <w:lvl w:ilvl="0" w:tplc="88221854">
      <w:start w:val="1"/>
      <w:numFmt w:val="bullet"/>
      <w:lvlText w:val="•"/>
      <w:lvlJc w:val="left"/>
      <w:pPr>
        <w:tabs>
          <w:tab w:val="num" w:pos="720"/>
        </w:tabs>
        <w:ind w:left="720" w:hanging="360"/>
      </w:pPr>
      <w:rPr>
        <w:rFonts w:ascii="Arial" w:hAnsi="Arial" w:hint="default"/>
      </w:rPr>
    </w:lvl>
    <w:lvl w:ilvl="1" w:tplc="BEA09914" w:tentative="1">
      <w:start w:val="1"/>
      <w:numFmt w:val="bullet"/>
      <w:lvlText w:val="•"/>
      <w:lvlJc w:val="left"/>
      <w:pPr>
        <w:tabs>
          <w:tab w:val="num" w:pos="1440"/>
        </w:tabs>
        <w:ind w:left="1440" w:hanging="360"/>
      </w:pPr>
      <w:rPr>
        <w:rFonts w:ascii="Arial" w:hAnsi="Arial" w:hint="default"/>
      </w:rPr>
    </w:lvl>
    <w:lvl w:ilvl="2" w:tplc="03D2DC86" w:tentative="1">
      <w:start w:val="1"/>
      <w:numFmt w:val="bullet"/>
      <w:lvlText w:val="•"/>
      <w:lvlJc w:val="left"/>
      <w:pPr>
        <w:tabs>
          <w:tab w:val="num" w:pos="2160"/>
        </w:tabs>
        <w:ind w:left="2160" w:hanging="360"/>
      </w:pPr>
      <w:rPr>
        <w:rFonts w:ascii="Arial" w:hAnsi="Arial" w:hint="default"/>
      </w:rPr>
    </w:lvl>
    <w:lvl w:ilvl="3" w:tplc="BCDCFA7A" w:tentative="1">
      <w:start w:val="1"/>
      <w:numFmt w:val="bullet"/>
      <w:lvlText w:val="•"/>
      <w:lvlJc w:val="left"/>
      <w:pPr>
        <w:tabs>
          <w:tab w:val="num" w:pos="2880"/>
        </w:tabs>
        <w:ind w:left="2880" w:hanging="360"/>
      </w:pPr>
      <w:rPr>
        <w:rFonts w:ascii="Arial" w:hAnsi="Arial" w:hint="default"/>
      </w:rPr>
    </w:lvl>
    <w:lvl w:ilvl="4" w:tplc="CF847912" w:tentative="1">
      <w:start w:val="1"/>
      <w:numFmt w:val="bullet"/>
      <w:lvlText w:val="•"/>
      <w:lvlJc w:val="left"/>
      <w:pPr>
        <w:tabs>
          <w:tab w:val="num" w:pos="3600"/>
        </w:tabs>
        <w:ind w:left="3600" w:hanging="360"/>
      </w:pPr>
      <w:rPr>
        <w:rFonts w:ascii="Arial" w:hAnsi="Arial" w:hint="default"/>
      </w:rPr>
    </w:lvl>
    <w:lvl w:ilvl="5" w:tplc="3410C852" w:tentative="1">
      <w:start w:val="1"/>
      <w:numFmt w:val="bullet"/>
      <w:lvlText w:val="•"/>
      <w:lvlJc w:val="left"/>
      <w:pPr>
        <w:tabs>
          <w:tab w:val="num" w:pos="4320"/>
        </w:tabs>
        <w:ind w:left="4320" w:hanging="360"/>
      </w:pPr>
      <w:rPr>
        <w:rFonts w:ascii="Arial" w:hAnsi="Arial" w:hint="default"/>
      </w:rPr>
    </w:lvl>
    <w:lvl w:ilvl="6" w:tplc="8004B790" w:tentative="1">
      <w:start w:val="1"/>
      <w:numFmt w:val="bullet"/>
      <w:lvlText w:val="•"/>
      <w:lvlJc w:val="left"/>
      <w:pPr>
        <w:tabs>
          <w:tab w:val="num" w:pos="5040"/>
        </w:tabs>
        <w:ind w:left="5040" w:hanging="360"/>
      </w:pPr>
      <w:rPr>
        <w:rFonts w:ascii="Arial" w:hAnsi="Arial" w:hint="default"/>
      </w:rPr>
    </w:lvl>
    <w:lvl w:ilvl="7" w:tplc="8C10B8F4" w:tentative="1">
      <w:start w:val="1"/>
      <w:numFmt w:val="bullet"/>
      <w:lvlText w:val="•"/>
      <w:lvlJc w:val="left"/>
      <w:pPr>
        <w:tabs>
          <w:tab w:val="num" w:pos="5760"/>
        </w:tabs>
        <w:ind w:left="5760" w:hanging="360"/>
      </w:pPr>
      <w:rPr>
        <w:rFonts w:ascii="Arial" w:hAnsi="Arial" w:hint="default"/>
      </w:rPr>
    </w:lvl>
    <w:lvl w:ilvl="8" w:tplc="196A62B6" w:tentative="1">
      <w:start w:val="1"/>
      <w:numFmt w:val="bullet"/>
      <w:lvlText w:val="•"/>
      <w:lvlJc w:val="left"/>
      <w:pPr>
        <w:tabs>
          <w:tab w:val="num" w:pos="6480"/>
        </w:tabs>
        <w:ind w:left="6480" w:hanging="360"/>
      </w:pPr>
      <w:rPr>
        <w:rFonts w:ascii="Arial" w:hAnsi="Arial" w:hint="default"/>
      </w:rPr>
    </w:lvl>
  </w:abstractNum>
  <w:abstractNum w:abstractNumId="17" w15:restartNumberingAfterBreak="0">
    <w:nsid w:val="6B4761EC"/>
    <w:multiLevelType w:val="hybridMultilevel"/>
    <w:tmpl w:val="BDF4BB8C"/>
    <w:lvl w:ilvl="0" w:tplc="82B0048A">
      <w:start w:val="1"/>
      <w:numFmt w:val="bullet"/>
      <w:lvlText w:val="•"/>
      <w:lvlJc w:val="left"/>
      <w:pPr>
        <w:tabs>
          <w:tab w:val="num" w:pos="720"/>
        </w:tabs>
        <w:ind w:left="720" w:hanging="360"/>
      </w:pPr>
      <w:rPr>
        <w:rFonts w:ascii="Arial" w:hAnsi="Arial" w:hint="default"/>
      </w:rPr>
    </w:lvl>
    <w:lvl w:ilvl="1" w:tplc="93FEF6A2" w:tentative="1">
      <w:start w:val="1"/>
      <w:numFmt w:val="bullet"/>
      <w:lvlText w:val="•"/>
      <w:lvlJc w:val="left"/>
      <w:pPr>
        <w:tabs>
          <w:tab w:val="num" w:pos="1440"/>
        </w:tabs>
        <w:ind w:left="1440" w:hanging="360"/>
      </w:pPr>
      <w:rPr>
        <w:rFonts w:ascii="Arial" w:hAnsi="Arial" w:hint="default"/>
      </w:rPr>
    </w:lvl>
    <w:lvl w:ilvl="2" w:tplc="40BA9930" w:tentative="1">
      <w:start w:val="1"/>
      <w:numFmt w:val="bullet"/>
      <w:lvlText w:val="•"/>
      <w:lvlJc w:val="left"/>
      <w:pPr>
        <w:tabs>
          <w:tab w:val="num" w:pos="2160"/>
        </w:tabs>
        <w:ind w:left="2160" w:hanging="360"/>
      </w:pPr>
      <w:rPr>
        <w:rFonts w:ascii="Arial" w:hAnsi="Arial" w:hint="default"/>
      </w:rPr>
    </w:lvl>
    <w:lvl w:ilvl="3" w:tplc="6A165840" w:tentative="1">
      <w:start w:val="1"/>
      <w:numFmt w:val="bullet"/>
      <w:lvlText w:val="•"/>
      <w:lvlJc w:val="left"/>
      <w:pPr>
        <w:tabs>
          <w:tab w:val="num" w:pos="2880"/>
        </w:tabs>
        <w:ind w:left="2880" w:hanging="360"/>
      </w:pPr>
      <w:rPr>
        <w:rFonts w:ascii="Arial" w:hAnsi="Arial" w:hint="default"/>
      </w:rPr>
    </w:lvl>
    <w:lvl w:ilvl="4" w:tplc="E6FA95D0" w:tentative="1">
      <w:start w:val="1"/>
      <w:numFmt w:val="bullet"/>
      <w:lvlText w:val="•"/>
      <w:lvlJc w:val="left"/>
      <w:pPr>
        <w:tabs>
          <w:tab w:val="num" w:pos="3600"/>
        </w:tabs>
        <w:ind w:left="3600" w:hanging="360"/>
      </w:pPr>
      <w:rPr>
        <w:rFonts w:ascii="Arial" w:hAnsi="Arial" w:hint="default"/>
      </w:rPr>
    </w:lvl>
    <w:lvl w:ilvl="5" w:tplc="E3446106" w:tentative="1">
      <w:start w:val="1"/>
      <w:numFmt w:val="bullet"/>
      <w:lvlText w:val="•"/>
      <w:lvlJc w:val="left"/>
      <w:pPr>
        <w:tabs>
          <w:tab w:val="num" w:pos="4320"/>
        </w:tabs>
        <w:ind w:left="4320" w:hanging="360"/>
      </w:pPr>
      <w:rPr>
        <w:rFonts w:ascii="Arial" w:hAnsi="Arial" w:hint="default"/>
      </w:rPr>
    </w:lvl>
    <w:lvl w:ilvl="6" w:tplc="9132BA80" w:tentative="1">
      <w:start w:val="1"/>
      <w:numFmt w:val="bullet"/>
      <w:lvlText w:val="•"/>
      <w:lvlJc w:val="left"/>
      <w:pPr>
        <w:tabs>
          <w:tab w:val="num" w:pos="5040"/>
        </w:tabs>
        <w:ind w:left="5040" w:hanging="360"/>
      </w:pPr>
      <w:rPr>
        <w:rFonts w:ascii="Arial" w:hAnsi="Arial" w:hint="default"/>
      </w:rPr>
    </w:lvl>
    <w:lvl w:ilvl="7" w:tplc="4F5CD2F2" w:tentative="1">
      <w:start w:val="1"/>
      <w:numFmt w:val="bullet"/>
      <w:lvlText w:val="•"/>
      <w:lvlJc w:val="left"/>
      <w:pPr>
        <w:tabs>
          <w:tab w:val="num" w:pos="5760"/>
        </w:tabs>
        <w:ind w:left="5760" w:hanging="360"/>
      </w:pPr>
      <w:rPr>
        <w:rFonts w:ascii="Arial" w:hAnsi="Arial" w:hint="default"/>
      </w:rPr>
    </w:lvl>
    <w:lvl w:ilvl="8" w:tplc="1874868A" w:tentative="1">
      <w:start w:val="1"/>
      <w:numFmt w:val="bullet"/>
      <w:lvlText w:val="•"/>
      <w:lvlJc w:val="left"/>
      <w:pPr>
        <w:tabs>
          <w:tab w:val="num" w:pos="6480"/>
        </w:tabs>
        <w:ind w:left="6480" w:hanging="360"/>
      </w:pPr>
      <w:rPr>
        <w:rFonts w:ascii="Arial" w:hAnsi="Arial" w:hint="default"/>
      </w:rPr>
    </w:lvl>
  </w:abstractNum>
  <w:abstractNum w:abstractNumId="18" w15:restartNumberingAfterBreak="0">
    <w:nsid w:val="6D7020F1"/>
    <w:multiLevelType w:val="hybridMultilevel"/>
    <w:tmpl w:val="C90ECB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02F14A8"/>
    <w:multiLevelType w:val="hybridMultilevel"/>
    <w:tmpl w:val="0E9E1F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0DD177B"/>
    <w:multiLevelType w:val="hybridMultilevel"/>
    <w:tmpl w:val="DD769F8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21" w15:restartNumberingAfterBreak="0">
    <w:nsid w:val="70FA7CC2"/>
    <w:multiLevelType w:val="hybridMultilevel"/>
    <w:tmpl w:val="2C6455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3D50B02"/>
    <w:multiLevelType w:val="hybridMultilevel"/>
    <w:tmpl w:val="DB5A9E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4E2664B"/>
    <w:multiLevelType w:val="hybridMultilevel"/>
    <w:tmpl w:val="225EEB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2"/>
  </w:num>
  <w:num w:numId="2">
    <w:abstractNumId w:val="7"/>
  </w:num>
  <w:num w:numId="3">
    <w:abstractNumId w:val="12"/>
  </w:num>
  <w:num w:numId="4">
    <w:abstractNumId w:val="8"/>
  </w:num>
  <w:num w:numId="5">
    <w:abstractNumId w:val="3"/>
  </w:num>
  <w:num w:numId="6">
    <w:abstractNumId w:val="10"/>
  </w:num>
  <w:num w:numId="7">
    <w:abstractNumId w:val="17"/>
  </w:num>
  <w:num w:numId="8">
    <w:abstractNumId w:val="16"/>
  </w:num>
  <w:num w:numId="9">
    <w:abstractNumId w:val="0"/>
  </w:num>
  <w:num w:numId="10">
    <w:abstractNumId w:val="5"/>
  </w:num>
  <w:num w:numId="11">
    <w:abstractNumId w:val="15"/>
  </w:num>
  <w:num w:numId="12">
    <w:abstractNumId w:val="9"/>
  </w:num>
  <w:num w:numId="13">
    <w:abstractNumId w:val="4"/>
  </w:num>
  <w:num w:numId="14">
    <w:abstractNumId w:val="19"/>
  </w:num>
  <w:num w:numId="15">
    <w:abstractNumId w:val="6"/>
  </w:num>
  <w:num w:numId="16">
    <w:abstractNumId w:val="11"/>
  </w:num>
  <w:num w:numId="17">
    <w:abstractNumId w:val="13"/>
  </w:num>
  <w:num w:numId="18">
    <w:abstractNumId w:val="1"/>
  </w:num>
  <w:num w:numId="19">
    <w:abstractNumId w:val="18"/>
  </w:num>
  <w:num w:numId="20">
    <w:abstractNumId w:val="20"/>
  </w:num>
  <w:num w:numId="21">
    <w:abstractNumId w:val="20"/>
  </w:num>
  <w:num w:numId="22">
    <w:abstractNumId w:val="21"/>
  </w:num>
  <w:num w:numId="23">
    <w:abstractNumId w:val="2"/>
  </w:num>
  <w:num w:numId="24">
    <w:abstractNumId w:val="14"/>
  </w:num>
  <w:num w:numId="25">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TrackFormatting/>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45C3"/>
    <w:rsid w:val="000004F4"/>
    <w:rsid w:val="000024FE"/>
    <w:rsid w:val="00002AF7"/>
    <w:rsid w:val="0000690C"/>
    <w:rsid w:val="00007DE3"/>
    <w:rsid w:val="00010769"/>
    <w:rsid w:val="00013DD4"/>
    <w:rsid w:val="0001436B"/>
    <w:rsid w:val="0001610D"/>
    <w:rsid w:val="000171DB"/>
    <w:rsid w:val="0002007F"/>
    <w:rsid w:val="00020C02"/>
    <w:rsid w:val="00027073"/>
    <w:rsid w:val="00030DF5"/>
    <w:rsid w:val="00030ECD"/>
    <w:rsid w:val="00034873"/>
    <w:rsid w:val="00036ECF"/>
    <w:rsid w:val="0005016D"/>
    <w:rsid w:val="0005107D"/>
    <w:rsid w:val="000542D2"/>
    <w:rsid w:val="00072FD2"/>
    <w:rsid w:val="00076B19"/>
    <w:rsid w:val="00081BA9"/>
    <w:rsid w:val="00082A06"/>
    <w:rsid w:val="00082DB0"/>
    <w:rsid w:val="00086717"/>
    <w:rsid w:val="000916D7"/>
    <w:rsid w:val="000917D9"/>
    <w:rsid w:val="00091A2B"/>
    <w:rsid w:val="000A1A04"/>
    <w:rsid w:val="000A53E0"/>
    <w:rsid w:val="000A5CCB"/>
    <w:rsid w:val="000A5DB0"/>
    <w:rsid w:val="000B0FB0"/>
    <w:rsid w:val="000B782C"/>
    <w:rsid w:val="000C1FC3"/>
    <w:rsid w:val="000C3C7D"/>
    <w:rsid w:val="000C5844"/>
    <w:rsid w:val="000D0C73"/>
    <w:rsid w:val="000D1964"/>
    <w:rsid w:val="000D1A34"/>
    <w:rsid w:val="000D334D"/>
    <w:rsid w:val="000D7A78"/>
    <w:rsid w:val="000E17B8"/>
    <w:rsid w:val="000E3A01"/>
    <w:rsid w:val="000F5B00"/>
    <w:rsid w:val="0010048F"/>
    <w:rsid w:val="00104B3C"/>
    <w:rsid w:val="00105A57"/>
    <w:rsid w:val="00107C9A"/>
    <w:rsid w:val="001135B9"/>
    <w:rsid w:val="00114532"/>
    <w:rsid w:val="00116460"/>
    <w:rsid w:val="00117F27"/>
    <w:rsid w:val="0012367B"/>
    <w:rsid w:val="00127162"/>
    <w:rsid w:val="00135F84"/>
    <w:rsid w:val="0013645E"/>
    <w:rsid w:val="0013696D"/>
    <w:rsid w:val="00140E3A"/>
    <w:rsid w:val="001440FF"/>
    <w:rsid w:val="001445F9"/>
    <w:rsid w:val="00150D85"/>
    <w:rsid w:val="001529D9"/>
    <w:rsid w:val="00153F9D"/>
    <w:rsid w:val="0015566F"/>
    <w:rsid w:val="0016052A"/>
    <w:rsid w:val="0017119D"/>
    <w:rsid w:val="001758E5"/>
    <w:rsid w:val="00180233"/>
    <w:rsid w:val="00180C2B"/>
    <w:rsid w:val="0018254A"/>
    <w:rsid w:val="00182FC0"/>
    <w:rsid w:val="00187799"/>
    <w:rsid w:val="00194782"/>
    <w:rsid w:val="001965C9"/>
    <w:rsid w:val="001A0118"/>
    <w:rsid w:val="001A7A1E"/>
    <w:rsid w:val="001B2084"/>
    <w:rsid w:val="001B68FA"/>
    <w:rsid w:val="001C40DF"/>
    <w:rsid w:val="001C4926"/>
    <w:rsid w:val="001D0A0E"/>
    <w:rsid w:val="001D2AFB"/>
    <w:rsid w:val="001D4831"/>
    <w:rsid w:val="001D5AA4"/>
    <w:rsid w:val="001E3826"/>
    <w:rsid w:val="001F4A11"/>
    <w:rsid w:val="0020123F"/>
    <w:rsid w:val="00206128"/>
    <w:rsid w:val="002154F9"/>
    <w:rsid w:val="002176BC"/>
    <w:rsid w:val="00222552"/>
    <w:rsid w:val="00222D73"/>
    <w:rsid w:val="0022501D"/>
    <w:rsid w:val="00225B49"/>
    <w:rsid w:val="002306C0"/>
    <w:rsid w:val="00231A18"/>
    <w:rsid w:val="00232FE9"/>
    <w:rsid w:val="00234CF9"/>
    <w:rsid w:val="00235025"/>
    <w:rsid w:val="00236B0F"/>
    <w:rsid w:val="002370C0"/>
    <w:rsid w:val="0024010B"/>
    <w:rsid w:val="00240A48"/>
    <w:rsid w:val="00241A8D"/>
    <w:rsid w:val="002427E2"/>
    <w:rsid w:val="00242C0C"/>
    <w:rsid w:val="00255068"/>
    <w:rsid w:val="00256AB5"/>
    <w:rsid w:val="00263697"/>
    <w:rsid w:val="002638F6"/>
    <w:rsid w:val="00264F4B"/>
    <w:rsid w:val="00265A93"/>
    <w:rsid w:val="002669EE"/>
    <w:rsid w:val="0027014F"/>
    <w:rsid w:val="002717D9"/>
    <w:rsid w:val="00271AD1"/>
    <w:rsid w:val="002743B2"/>
    <w:rsid w:val="002759DC"/>
    <w:rsid w:val="002767E3"/>
    <w:rsid w:val="00282E88"/>
    <w:rsid w:val="00283E1B"/>
    <w:rsid w:val="00290BEB"/>
    <w:rsid w:val="00293C53"/>
    <w:rsid w:val="00297962"/>
    <w:rsid w:val="00297AC2"/>
    <w:rsid w:val="002A0DAD"/>
    <w:rsid w:val="002A3EA8"/>
    <w:rsid w:val="002B15E1"/>
    <w:rsid w:val="002B2057"/>
    <w:rsid w:val="002C5A11"/>
    <w:rsid w:val="002C7E79"/>
    <w:rsid w:val="002D224C"/>
    <w:rsid w:val="002D5F19"/>
    <w:rsid w:val="002E4453"/>
    <w:rsid w:val="002E653A"/>
    <w:rsid w:val="002F2065"/>
    <w:rsid w:val="002F3069"/>
    <w:rsid w:val="002F5F05"/>
    <w:rsid w:val="003000C6"/>
    <w:rsid w:val="00300FE8"/>
    <w:rsid w:val="00302B49"/>
    <w:rsid w:val="00310E63"/>
    <w:rsid w:val="00313DD0"/>
    <w:rsid w:val="00316E54"/>
    <w:rsid w:val="00326908"/>
    <w:rsid w:val="003307EE"/>
    <w:rsid w:val="003354B8"/>
    <w:rsid w:val="00340168"/>
    <w:rsid w:val="00341CB1"/>
    <w:rsid w:val="0034327A"/>
    <w:rsid w:val="0034733D"/>
    <w:rsid w:val="00347651"/>
    <w:rsid w:val="00362C96"/>
    <w:rsid w:val="003730FE"/>
    <w:rsid w:val="003733DA"/>
    <w:rsid w:val="00375A91"/>
    <w:rsid w:val="00386AD0"/>
    <w:rsid w:val="00394CDA"/>
    <w:rsid w:val="003A0B4F"/>
    <w:rsid w:val="003A1758"/>
    <w:rsid w:val="003A4B33"/>
    <w:rsid w:val="003A4BF4"/>
    <w:rsid w:val="003B6943"/>
    <w:rsid w:val="003E0293"/>
    <w:rsid w:val="003E6163"/>
    <w:rsid w:val="003F5A43"/>
    <w:rsid w:val="003F6475"/>
    <w:rsid w:val="00411142"/>
    <w:rsid w:val="00411724"/>
    <w:rsid w:val="004159F7"/>
    <w:rsid w:val="00421573"/>
    <w:rsid w:val="00431FD4"/>
    <w:rsid w:val="0043376D"/>
    <w:rsid w:val="0043638D"/>
    <w:rsid w:val="00440384"/>
    <w:rsid w:val="00444DAC"/>
    <w:rsid w:val="0044761E"/>
    <w:rsid w:val="00454608"/>
    <w:rsid w:val="00454800"/>
    <w:rsid w:val="00454F6C"/>
    <w:rsid w:val="00457ADE"/>
    <w:rsid w:val="00461371"/>
    <w:rsid w:val="0046260F"/>
    <w:rsid w:val="00462A14"/>
    <w:rsid w:val="00464225"/>
    <w:rsid w:val="00465F39"/>
    <w:rsid w:val="00473A50"/>
    <w:rsid w:val="004740B5"/>
    <w:rsid w:val="00474FA0"/>
    <w:rsid w:val="00480731"/>
    <w:rsid w:val="0048089D"/>
    <w:rsid w:val="004845C3"/>
    <w:rsid w:val="00484798"/>
    <w:rsid w:val="00484F57"/>
    <w:rsid w:val="004907C9"/>
    <w:rsid w:val="004949CD"/>
    <w:rsid w:val="004A0697"/>
    <w:rsid w:val="004A4298"/>
    <w:rsid w:val="004A4362"/>
    <w:rsid w:val="004B6049"/>
    <w:rsid w:val="004C0774"/>
    <w:rsid w:val="004C1461"/>
    <w:rsid w:val="004C1F82"/>
    <w:rsid w:val="004D0EE0"/>
    <w:rsid w:val="004D1DB2"/>
    <w:rsid w:val="004D2741"/>
    <w:rsid w:val="004D7BD3"/>
    <w:rsid w:val="004E68A7"/>
    <w:rsid w:val="004F08ED"/>
    <w:rsid w:val="004F2101"/>
    <w:rsid w:val="004F2301"/>
    <w:rsid w:val="004F3410"/>
    <w:rsid w:val="004F36D0"/>
    <w:rsid w:val="00502543"/>
    <w:rsid w:val="00502C06"/>
    <w:rsid w:val="00502C2C"/>
    <w:rsid w:val="00503318"/>
    <w:rsid w:val="0050471C"/>
    <w:rsid w:val="00506A43"/>
    <w:rsid w:val="0051182A"/>
    <w:rsid w:val="00511BA0"/>
    <w:rsid w:val="00521BFE"/>
    <w:rsid w:val="0053102B"/>
    <w:rsid w:val="00536ABC"/>
    <w:rsid w:val="00537547"/>
    <w:rsid w:val="0055126F"/>
    <w:rsid w:val="00556E5B"/>
    <w:rsid w:val="00561269"/>
    <w:rsid w:val="00563E83"/>
    <w:rsid w:val="00565EB9"/>
    <w:rsid w:val="005762CA"/>
    <w:rsid w:val="00577284"/>
    <w:rsid w:val="005775AB"/>
    <w:rsid w:val="00577FCB"/>
    <w:rsid w:val="00581E2D"/>
    <w:rsid w:val="00593A04"/>
    <w:rsid w:val="005A10CA"/>
    <w:rsid w:val="005A1D8A"/>
    <w:rsid w:val="005A2EDB"/>
    <w:rsid w:val="005A317D"/>
    <w:rsid w:val="005A3C82"/>
    <w:rsid w:val="005A5F66"/>
    <w:rsid w:val="005B2CF1"/>
    <w:rsid w:val="005B4FB7"/>
    <w:rsid w:val="005C0E67"/>
    <w:rsid w:val="005D4AF1"/>
    <w:rsid w:val="005E1F28"/>
    <w:rsid w:val="005E45C3"/>
    <w:rsid w:val="005E6212"/>
    <w:rsid w:val="005E71F8"/>
    <w:rsid w:val="005F0887"/>
    <w:rsid w:val="005F223A"/>
    <w:rsid w:val="005F5E3D"/>
    <w:rsid w:val="00603187"/>
    <w:rsid w:val="00604168"/>
    <w:rsid w:val="00612C7F"/>
    <w:rsid w:val="00613EBE"/>
    <w:rsid w:val="00615716"/>
    <w:rsid w:val="00622EC2"/>
    <w:rsid w:val="006252C7"/>
    <w:rsid w:val="00627F6A"/>
    <w:rsid w:val="0063007C"/>
    <w:rsid w:val="0063088C"/>
    <w:rsid w:val="00640D48"/>
    <w:rsid w:val="00651318"/>
    <w:rsid w:val="0065541A"/>
    <w:rsid w:val="00656EAD"/>
    <w:rsid w:val="00663076"/>
    <w:rsid w:val="0066501D"/>
    <w:rsid w:val="00677E9B"/>
    <w:rsid w:val="00681EC5"/>
    <w:rsid w:val="00682968"/>
    <w:rsid w:val="006920AB"/>
    <w:rsid w:val="00696A32"/>
    <w:rsid w:val="00697186"/>
    <w:rsid w:val="006A25B6"/>
    <w:rsid w:val="006A5D80"/>
    <w:rsid w:val="006B0F9A"/>
    <w:rsid w:val="006B4EDB"/>
    <w:rsid w:val="006B6C60"/>
    <w:rsid w:val="006B7A15"/>
    <w:rsid w:val="006C1D54"/>
    <w:rsid w:val="006C4529"/>
    <w:rsid w:val="006C6B1E"/>
    <w:rsid w:val="006D1093"/>
    <w:rsid w:val="006D187D"/>
    <w:rsid w:val="006F27F4"/>
    <w:rsid w:val="006F70DA"/>
    <w:rsid w:val="007046A1"/>
    <w:rsid w:val="00706BCC"/>
    <w:rsid w:val="00712B91"/>
    <w:rsid w:val="00712D6A"/>
    <w:rsid w:val="00713569"/>
    <w:rsid w:val="00722450"/>
    <w:rsid w:val="00723AFE"/>
    <w:rsid w:val="00726B5D"/>
    <w:rsid w:val="00733507"/>
    <w:rsid w:val="007348E8"/>
    <w:rsid w:val="00735216"/>
    <w:rsid w:val="00741706"/>
    <w:rsid w:val="007469A3"/>
    <w:rsid w:val="00747438"/>
    <w:rsid w:val="00747613"/>
    <w:rsid w:val="0075643C"/>
    <w:rsid w:val="007620C4"/>
    <w:rsid w:val="007639E1"/>
    <w:rsid w:val="00773810"/>
    <w:rsid w:val="007750F5"/>
    <w:rsid w:val="00777C0B"/>
    <w:rsid w:val="00786B59"/>
    <w:rsid w:val="0079320E"/>
    <w:rsid w:val="007932A3"/>
    <w:rsid w:val="00797F8B"/>
    <w:rsid w:val="007A2AB1"/>
    <w:rsid w:val="007B447E"/>
    <w:rsid w:val="007B6CE9"/>
    <w:rsid w:val="007C4032"/>
    <w:rsid w:val="007C63D7"/>
    <w:rsid w:val="007D410E"/>
    <w:rsid w:val="007D46F8"/>
    <w:rsid w:val="007F3F9D"/>
    <w:rsid w:val="007F6E62"/>
    <w:rsid w:val="007F7383"/>
    <w:rsid w:val="008070EC"/>
    <w:rsid w:val="00807AB2"/>
    <w:rsid w:val="00816409"/>
    <w:rsid w:val="00817CBD"/>
    <w:rsid w:val="00824F11"/>
    <w:rsid w:val="0083055B"/>
    <w:rsid w:val="008337EB"/>
    <w:rsid w:val="00840B57"/>
    <w:rsid w:val="00841EB6"/>
    <w:rsid w:val="00846E94"/>
    <w:rsid w:val="008532E4"/>
    <w:rsid w:val="00854028"/>
    <w:rsid w:val="00861E68"/>
    <w:rsid w:val="00862A72"/>
    <w:rsid w:val="00864F8D"/>
    <w:rsid w:val="00865933"/>
    <w:rsid w:val="00866AD4"/>
    <w:rsid w:val="00875685"/>
    <w:rsid w:val="00881E0B"/>
    <w:rsid w:val="00881EA1"/>
    <w:rsid w:val="0088205F"/>
    <w:rsid w:val="008833AC"/>
    <w:rsid w:val="00884475"/>
    <w:rsid w:val="00890549"/>
    <w:rsid w:val="00894B08"/>
    <w:rsid w:val="008960E2"/>
    <w:rsid w:val="0089634C"/>
    <w:rsid w:val="00897D78"/>
    <w:rsid w:val="008A104D"/>
    <w:rsid w:val="008A21C0"/>
    <w:rsid w:val="008A2E8F"/>
    <w:rsid w:val="008A33AF"/>
    <w:rsid w:val="008A47D2"/>
    <w:rsid w:val="008B11BF"/>
    <w:rsid w:val="008B52A3"/>
    <w:rsid w:val="008B6FC2"/>
    <w:rsid w:val="008C0E07"/>
    <w:rsid w:val="008C2ABB"/>
    <w:rsid w:val="008C2EA7"/>
    <w:rsid w:val="008C5E16"/>
    <w:rsid w:val="008D1325"/>
    <w:rsid w:val="008D27FF"/>
    <w:rsid w:val="008E21D8"/>
    <w:rsid w:val="008E5F8A"/>
    <w:rsid w:val="008E642B"/>
    <w:rsid w:val="008E73C2"/>
    <w:rsid w:val="008F3690"/>
    <w:rsid w:val="008F4C7A"/>
    <w:rsid w:val="008F4F27"/>
    <w:rsid w:val="008F5CDB"/>
    <w:rsid w:val="00905A5C"/>
    <w:rsid w:val="009064DB"/>
    <w:rsid w:val="00912312"/>
    <w:rsid w:val="00925367"/>
    <w:rsid w:val="0092644F"/>
    <w:rsid w:val="00933095"/>
    <w:rsid w:val="00935639"/>
    <w:rsid w:val="00956175"/>
    <w:rsid w:val="00961319"/>
    <w:rsid w:val="00962525"/>
    <w:rsid w:val="00965E1D"/>
    <w:rsid w:val="0097008C"/>
    <w:rsid w:val="00981DD1"/>
    <w:rsid w:val="00984FC5"/>
    <w:rsid w:val="009A0654"/>
    <w:rsid w:val="009A12CA"/>
    <w:rsid w:val="009A1702"/>
    <w:rsid w:val="009A27B1"/>
    <w:rsid w:val="009A3F7C"/>
    <w:rsid w:val="009A45C9"/>
    <w:rsid w:val="009A75BE"/>
    <w:rsid w:val="009B1821"/>
    <w:rsid w:val="009B2BBB"/>
    <w:rsid w:val="009B58E0"/>
    <w:rsid w:val="009B5FD5"/>
    <w:rsid w:val="009C0625"/>
    <w:rsid w:val="009C6015"/>
    <w:rsid w:val="009C74C9"/>
    <w:rsid w:val="009D0C95"/>
    <w:rsid w:val="009D5DE4"/>
    <w:rsid w:val="009D7860"/>
    <w:rsid w:val="009E25B1"/>
    <w:rsid w:val="009E4B27"/>
    <w:rsid w:val="009E63F3"/>
    <w:rsid w:val="009F0113"/>
    <w:rsid w:val="009F68E0"/>
    <w:rsid w:val="009F75C8"/>
    <w:rsid w:val="00A01E69"/>
    <w:rsid w:val="00A02C57"/>
    <w:rsid w:val="00A05725"/>
    <w:rsid w:val="00A10F97"/>
    <w:rsid w:val="00A14101"/>
    <w:rsid w:val="00A35D50"/>
    <w:rsid w:val="00A362C0"/>
    <w:rsid w:val="00A43651"/>
    <w:rsid w:val="00A4779F"/>
    <w:rsid w:val="00A5091C"/>
    <w:rsid w:val="00A53A8D"/>
    <w:rsid w:val="00A55366"/>
    <w:rsid w:val="00A55463"/>
    <w:rsid w:val="00A57250"/>
    <w:rsid w:val="00A61C78"/>
    <w:rsid w:val="00A66A22"/>
    <w:rsid w:val="00A77F79"/>
    <w:rsid w:val="00A816E7"/>
    <w:rsid w:val="00A82A25"/>
    <w:rsid w:val="00A832A6"/>
    <w:rsid w:val="00A8375B"/>
    <w:rsid w:val="00A85DA8"/>
    <w:rsid w:val="00A86F06"/>
    <w:rsid w:val="00A86F88"/>
    <w:rsid w:val="00A87A7C"/>
    <w:rsid w:val="00A9164B"/>
    <w:rsid w:val="00A938AD"/>
    <w:rsid w:val="00A957CD"/>
    <w:rsid w:val="00AB0919"/>
    <w:rsid w:val="00AB0D68"/>
    <w:rsid w:val="00AB131D"/>
    <w:rsid w:val="00AB199C"/>
    <w:rsid w:val="00AB28D0"/>
    <w:rsid w:val="00AB4381"/>
    <w:rsid w:val="00AB708F"/>
    <w:rsid w:val="00AB7C66"/>
    <w:rsid w:val="00AC3F08"/>
    <w:rsid w:val="00AC4830"/>
    <w:rsid w:val="00AC6E32"/>
    <w:rsid w:val="00AD2C66"/>
    <w:rsid w:val="00AD5D80"/>
    <w:rsid w:val="00AD7A29"/>
    <w:rsid w:val="00AE0991"/>
    <w:rsid w:val="00AF0D3C"/>
    <w:rsid w:val="00AF25DC"/>
    <w:rsid w:val="00AF54B8"/>
    <w:rsid w:val="00B00762"/>
    <w:rsid w:val="00B03437"/>
    <w:rsid w:val="00B038E1"/>
    <w:rsid w:val="00B34082"/>
    <w:rsid w:val="00B440F3"/>
    <w:rsid w:val="00B4756B"/>
    <w:rsid w:val="00B51585"/>
    <w:rsid w:val="00B53C15"/>
    <w:rsid w:val="00B67575"/>
    <w:rsid w:val="00B71874"/>
    <w:rsid w:val="00B735BA"/>
    <w:rsid w:val="00B7731D"/>
    <w:rsid w:val="00B80487"/>
    <w:rsid w:val="00B838EA"/>
    <w:rsid w:val="00B84B26"/>
    <w:rsid w:val="00B866B8"/>
    <w:rsid w:val="00BA273E"/>
    <w:rsid w:val="00BA3790"/>
    <w:rsid w:val="00BA706C"/>
    <w:rsid w:val="00BB7AEF"/>
    <w:rsid w:val="00BC2931"/>
    <w:rsid w:val="00BC2DB8"/>
    <w:rsid w:val="00BC4DBB"/>
    <w:rsid w:val="00BD1DB4"/>
    <w:rsid w:val="00BD4211"/>
    <w:rsid w:val="00BE0A87"/>
    <w:rsid w:val="00BE2B74"/>
    <w:rsid w:val="00BE3523"/>
    <w:rsid w:val="00BE684C"/>
    <w:rsid w:val="00C030C6"/>
    <w:rsid w:val="00C05B2D"/>
    <w:rsid w:val="00C07233"/>
    <w:rsid w:val="00C10123"/>
    <w:rsid w:val="00C10224"/>
    <w:rsid w:val="00C12020"/>
    <w:rsid w:val="00C15B4E"/>
    <w:rsid w:val="00C238B1"/>
    <w:rsid w:val="00C24E07"/>
    <w:rsid w:val="00C24E36"/>
    <w:rsid w:val="00C500B6"/>
    <w:rsid w:val="00C55B4B"/>
    <w:rsid w:val="00C55EC0"/>
    <w:rsid w:val="00C61284"/>
    <w:rsid w:val="00C61DAE"/>
    <w:rsid w:val="00C6232D"/>
    <w:rsid w:val="00C64DB9"/>
    <w:rsid w:val="00C6674F"/>
    <w:rsid w:val="00C7093B"/>
    <w:rsid w:val="00C77C45"/>
    <w:rsid w:val="00C80DF4"/>
    <w:rsid w:val="00C81010"/>
    <w:rsid w:val="00C8508F"/>
    <w:rsid w:val="00C94D14"/>
    <w:rsid w:val="00C95C10"/>
    <w:rsid w:val="00CC489C"/>
    <w:rsid w:val="00CD0406"/>
    <w:rsid w:val="00CD21AE"/>
    <w:rsid w:val="00CD31AC"/>
    <w:rsid w:val="00CE12C5"/>
    <w:rsid w:val="00CE5294"/>
    <w:rsid w:val="00CF2434"/>
    <w:rsid w:val="00D008FF"/>
    <w:rsid w:val="00D0679A"/>
    <w:rsid w:val="00D1511D"/>
    <w:rsid w:val="00D15A80"/>
    <w:rsid w:val="00D21903"/>
    <w:rsid w:val="00D275DC"/>
    <w:rsid w:val="00D27F8B"/>
    <w:rsid w:val="00D30372"/>
    <w:rsid w:val="00D31582"/>
    <w:rsid w:val="00D32619"/>
    <w:rsid w:val="00D40BD1"/>
    <w:rsid w:val="00D42FB6"/>
    <w:rsid w:val="00D47A12"/>
    <w:rsid w:val="00D5208A"/>
    <w:rsid w:val="00D5720D"/>
    <w:rsid w:val="00D62702"/>
    <w:rsid w:val="00D65292"/>
    <w:rsid w:val="00D652A0"/>
    <w:rsid w:val="00D670BE"/>
    <w:rsid w:val="00D749D2"/>
    <w:rsid w:val="00D77C07"/>
    <w:rsid w:val="00D81195"/>
    <w:rsid w:val="00D84043"/>
    <w:rsid w:val="00D85B7C"/>
    <w:rsid w:val="00D90590"/>
    <w:rsid w:val="00D9180F"/>
    <w:rsid w:val="00D961AA"/>
    <w:rsid w:val="00DA6E47"/>
    <w:rsid w:val="00DC253A"/>
    <w:rsid w:val="00DC519E"/>
    <w:rsid w:val="00DC55A2"/>
    <w:rsid w:val="00DC5A8E"/>
    <w:rsid w:val="00DD016E"/>
    <w:rsid w:val="00DD66C4"/>
    <w:rsid w:val="00DD7AF8"/>
    <w:rsid w:val="00DE37E3"/>
    <w:rsid w:val="00E005F6"/>
    <w:rsid w:val="00E02866"/>
    <w:rsid w:val="00E045F4"/>
    <w:rsid w:val="00E11F9B"/>
    <w:rsid w:val="00E1774B"/>
    <w:rsid w:val="00E302DB"/>
    <w:rsid w:val="00E306A0"/>
    <w:rsid w:val="00E40F73"/>
    <w:rsid w:val="00E42D82"/>
    <w:rsid w:val="00E43EFB"/>
    <w:rsid w:val="00E448A9"/>
    <w:rsid w:val="00E51EC3"/>
    <w:rsid w:val="00E52986"/>
    <w:rsid w:val="00E63C51"/>
    <w:rsid w:val="00E64F31"/>
    <w:rsid w:val="00E72E45"/>
    <w:rsid w:val="00E75E1E"/>
    <w:rsid w:val="00E80EA6"/>
    <w:rsid w:val="00E81286"/>
    <w:rsid w:val="00E812F3"/>
    <w:rsid w:val="00E85EB9"/>
    <w:rsid w:val="00E90DFA"/>
    <w:rsid w:val="00E91B32"/>
    <w:rsid w:val="00E93A49"/>
    <w:rsid w:val="00E96F07"/>
    <w:rsid w:val="00EA210B"/>
    <w:rsid w:val="00EA3BB6"/>
    <w:rsid w:val="00EA4163"/>
    <w:rsid w:val="00EB2FFE"/>
    <w:rsid w:val="00EB3260"/>
    <w:rsid w:val="00EC78E0"/>
    <w:rsid w:val="00ED42D5"/>
    <w:rsid w:val="00EE086E"/>
    <w:rsid w:val="00EF333F"/>
    <w:rsid w:val="00EF6ABE"/>
    <w:rsid w:val="00EF6B64"/>
    <w:rsid w:val="00F02053"/>
    <w:rsid w:val="00F1476E"/>
    <w:rsid w:val="00F1571A"/>
    <w:rsid w:val="00F162BE"/>
    <w:rsid w:val="00F1708B"/>
    <w:rsid w:val="00F226AB"/>
    <w:rsid w:val="00F24962"/>
    <w:rsid w:val="00F32357"/>
    <w:rsid w:val="00F40BD6"/>
    <w:rsid w:val="00F452CF"/>
    <w:rsid w:val="00F541E3"/>
    <w:rsid w:val="00F56034"/>
    <w:rsid w:val="00F70739"/>
    <w:rsid w:val="00F71A03"/>
    <w:rsid w:val="00F748DB"/>
    <w:rsid w:val="00F74BD5"/>
    <w:rsid w:val="00F8242E"/>
    <w:rsid w:val="00F90B8F"/>
    <w:rsid w:val="00F91E83"/>
    <w:rsid w:val="00F96CE6"/>
    <w:rsid w:val="00F96F8B"/>
    <w:rsid w:val="00FA17EF"/>
    <w:rsid w:val="00FA2CC9"/>
    <w:rsid w:val="00FA2E54"/>
    <w:rsid w:val="00FB31CC"/>
    <w:rsid w:val="00FC0C11"/>
    <w:rsid w:val="00FC2610"/>
    <w:rsid w:val="00FC6E0F"/>
    <w:rsid w:val="00FD673F"/>
    <w:rsid w:val="00FD7412"/>
    <w:rsid w:val="00FD7F2B"/>
    <w:rsid w:val="00FE27E9"/>
    <w:rsid w:val="00FE2AB5"/>
    <w:rsid w:val="00FE5BD2"/>
    <w:rsid w:val="00FF5C9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4E8BCA5"/>
  <w15:chartTrackingRefBased/>
  <w15:docId w15:val="{7B0BBBBC-F36A-46AC-9C26-29D97C2DAE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E45C3"/>
    <w:pPr>
      <w:spacing w:after="120" w:line="240" w:lineRule="auto"/>
    </w:pPr>
  </w:style>
  <w:style w:type="paragraph" w:styleId="Heading1">
    <w:name w:val="heading 1"/>
    <w:basedOn w:val="Normal"/>
    <w:next w:val="Normal"/>
    <w:link w:val="Heading1Char"/>
    <w:uiPriority w:val="9"/>
    <w:qFormat/>
    <w:rsid w:val="003A0B4F"/>
    <w:pPr>
      <w:outlineLvl w:val="0"/>
    </w:pPr>
    <w:rPr>
      <w:b/>
      <w:sz w:val="28"/>
    </w:rPr>
  </w:style>
  <w:style w:type="paragraph" w:styleId="Heading2">
    <w:name w:val="heading 2"/>
    <w:basedOn w:val="Normal"/>
    <w:next w:val="Normal"/>
    <w:link w:val="Heading2Char"/>
    <w:uiPriority w:val="9"/>
    <w:unhideWhenUsed/>
    <w:qFormat/>
    <w:rsid w:val="0051182A"/>
    <w:pPr>
      <w:outlineLvl w:val="1"/>
    </w:pPr>
    <w:rPr>
      <w:sz w:val="24"/>
      <w:u w:val="single"/>
    </w:rPr>
  </w:style>
  <w:style w:type="paragraph" w:styleId="Heading3">
    <w:name w:val="heading 3"/>
    <w:basedOn w:val="Heading2"/>
    <w:next w:val="Normal"/>
    <w:link w:val="Heading3Char"/>
    <w:uiPriority w:val="9"/>
    <w:unhideWhenUsed/>
    <w:qFormat/>
    <w:rsid w:val="005A2EDB"/>
    <w:pPr>
      <w:outlineLvl w:val="2"/>
    </w:pPr>
    <w:rPr>
      <w:i/>
      <w:sz w:val="22"/>
      <w:u w:val="none"/>
    </w:rPr>
  </w:style>
  <w:style w:type="paragraph" w:styleId="Heading4">
    <w:name w:val="heading 4"/>
    <w:basedOn w:val="Normal"/>
    <w:next w:val="Normal"/>
    <w:link w:val="Heading4Char"/>
    <w:uiPriority w:val="9"/>
    <w:semiHidden/>
    <w:unhideWhenUsed/>
    <w:qFormat/>
    <w:rsid w:val="002E4453"/>
    <w:pPr>
      <w:keepNext/>
      <w:keepLines/>
      <w:spacing w:before="40" w:after="0"/>
      <w:outlineLvl w:val="3"/>
    </w:pPr>
    <w:rPr>
      <w:rFonts w:eastAsia="Times New Roman"/>
      <w:caps/>
      <w:color w:val="224E76"/>
      <w:spacing w:val="10"/>
      <w:sz w:val="24"/>
      <w:szCs w:val="24"/>
    </w:rPr>
  </w:style>
  <w:style w:type="paragraph" w:styleId="Heading5">
    <w:name w:val="heading 5"/>
    <w:basedOn w:val="Normal"/>
    <w:next w:val="Normal"/>
    <w:link w:val="Heading5Char"/>
    <w:uiPriority w:val="9"/>
    <w:semiHidden/>
    <w:unhideWhenUsed/>
    <w:qFormat/>
    <w:rsid w:val="002E4453"/>
    <w:pPr>
      <w:keepNext/>
      <w:keepLines/>
      <w:spacing w:before="40" w:after="0"/>
      <w:outlineLvl w:val="4"/>
    </w:pPr>
    <w:rPr>
      <w:rFonts w:eastAsia="Times New Roman"/>
      <w:caps/>
      <w:color w:val="224E76"/>
      <w:spacing w:val="10"/>
      <w:sz w:val="24"/>
      <w:szCs w:val="24"/>
    </w:rPr>
  </w:style>
  <w:style w:type="paragraph" w:styleId="Heading6">
    <w:name w:val="heading 6"/>
    <w:basedOn w:val="Normal"/>
    <w:next w:val="Normal"/>
    <w:link w:val="Heading6Char"/>
    <w:uiPriority w:val="9"/>
    <w:semiHidden/>
    <w:unhideWhenUsed/>
    <w:qFormat/>
    <w:rsid w:val="002E4453"/>
    <w:pPr>
      <w:keepNext/>
      <w:keepLines/>
      <w:spacing w:before="40" w:after="0"/>
      <w:outlineLvl w:val="5"/>
    </w:pPr>
    <w:rPr>
      <w:rFonts w:eastAsia="Times New Roman"/>
      <w:caps/>
      <w:color w:val="3476B1"/>
      <w:spacing w:val="10"/>
      <w:sz w:val="24"/>
      <w:szCs w:val="24"/>
    </w:rPr>
  </w:style>
  <w:style w:type="paragraph" w:styleId="Heading7">
    <w:name w:val="heading 7"/>
    <w:basedOn w:val="Normal"/>
    <w:next w:val="Normal"/>
    <w:link w:val="Heading7Char"/>
    <w:uiPriority w:val="9"/>
    <w:semiHidden/>
    <w:unhideWhenUsed/>
    <w:qFormat/>
    <w:rsid w:val="002E4453"/>
    <w:pPr>
      <w:keepNext/>
      <w:keepLines/>
      <w:spacing w:before="40" w:after="0"/>
      <w:outlineLvl w:val="6"/>
    </w:pPr>
    <w:rPr>
      <w:i/>
      <w:iCs/>
      <w:caps/>
      <w:color w:val="3476B1"/>
      <w:spacing w:val="10"/>
      <w:sz w:val="24"/>
      <w:szCs w:val="24"/>
    </w:rPr>
  </w:style>
  <w:style w:type="paragraph" w:styleId="Heading8">
    <w:name w:val="heading 8"/>
    <w:basedOn w:val="Normal"/>
    <w:next w:val="Normal"/>
    <w:link w:val="Heading8Char"/>
    <w:uiPriority w:val="9"/>
    <w:semiHidden/>
    <w:unhideWhenUsed/>
    <w:qFormat/>
    <w:rsid w:val="002E4453"/>
    <w:pPr>
      <w:spacing w:line="252" w:lineRule="auto"/>
      <w:jc w:val="center"/>
      <w:outlineLvl w:val="7"/>
    </w:pPr>
    <w:rPr>
      <w:rFonts w:ascii="Calibri Light" w:eastAsia="Times New Roman" w:hAnsi="Calibri Light" w:cs="Times New Roman"/>
      <w:caps/>
      <w:spacing w:val="10"/>
      <w:sz w:val="20"/>
      <w:szCs w:val="20"/>
    </w:rPr>
  </w:style>
  <w:style w:type="paragraph" w:styleId="Heading9">
    <w:name w:val="heading 9"/>
    <w:basedOn w:val="Normal"/>
    <w:next w:val="Normal"/>
    <w:link w:val="Heading9Char"/>
    <w:uiPriority w:val="9"/>
    <w:semiHidden/>
    <w:unhideWhenUsed/>
    <w:qFormat/>
    <w:rsid w:val="002E4453"/>
    <w:pPr>
      <w:spacing w:line="252" w:lineRule="auto"/>
      <w:jc w:val="center"/>
      <w:outlineLvl w:val="8"/>
    </w:pPr>
    <w:rPr>
      <w:rFonts w:ascii="Calibri Light" w:eastAsia="Times New Roman" w:hAnsi="Calibri Light" w:cs="Times New Roman"/>
      <w:i/>
      <w:iCs/>
      <w:caps/>
      <w:spacing w:val="1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A0B4F"/>
    <w:rPr>
      <w:b/>
      <w:sz w:val="28"/>
    </w:rPr>
  </w:style>
  <w:style w:type="character" w:customStyle="1" w:styleId="Heading2Char">
    <w:name w:val="Heading 2 Char"/>
    <w:basedOn w:val="DefaultParagraphFont"/>
    <w:link w:val="Heading2"/>
    <w:uiPriority w:val="9"/>
    <w:rsid w:val="0051182A"/>
    <w:rPr>
      <w:sz w:val="24"/>
      <w:u w:val="single"/>
    </w:rPr>
  </w:style>
  <w:style w:type="character" w:customStyle="1" w:styleId="Heading3Char">
    <w:name w:val="Heading 3 Char"/>
    <w:basedOn w:val="DefaultParagraphFont"/>
    <w:link w:val="Heading3"/>
    <w:uiPriority w:val="9"/>
    <w:rsid w:val="005A2EDB"/>
    <w:rPr>
      <w:i/>
    </w:rPr>
  </w:style>
  <w:style w:type="paragraph" w:styleId="Header">
    <w:name w:val="header"/>
    <w:basedOn w:val="Normal"/>
    <w:link w:val="HeaderChar"/>
    <w:uiPriority w:val="99"/>
    <w:unhideWhenUsed/>
    <w:rsid w:val="005E45C3"/>
    <w:pPr>
      <w:tabs>
        <w:tab w:val="center" w:pos="4680"/>
        <w:tab w:val="right" w:pos="9360"/>
      </w:tabs>
      <w:spacing w:after="0"/>
    </w:pPr>
  </w:style>
  <w:style w:type="character" w:customStyle="1" w:styleId="HeaderChar">
    <w:name w:val="Header Char"/>
    <w:basedOn w:val="DefaultParagraphFont"/>
    <w:link w:val="Header"/>
    <w:uiPriority w:val="99"/>
    <w:rsid w:val="005E45C3"/>
  </w:style>
  <w:style w:type="paragraph" w:styleId="Footer">
    <w:name w:val="footer"/>
    <w:basedOn w:val="Normal"/>
    <w:link w:val="FooterChar"/>
    <w:uiPriority w:val="99"/>
    <w:unhideWhenUsed/>
    <w:rsid w:val="005E45C3"/>
    <w:pPr>
      <w:tabs>
        <w:tab w:val="center" w:pos="4680"/>
        <w:tab w:val="right" w:pos="9360"/>
      </w:tabs>
      <w:spacing w:after="0"/>
    </w:pPr>
  </w:style>
  <w:style w:type="character" w:customStyle="1" w:styleId="FooterChar">
    <w:name w:val="Footer Char"/>
    <w:basedOn w:val="DefaultParagraphFont"/>
    <w:link w:val="Footer"/>
    <w:uiPriority w:val="99"/>
    <w:rsid w:val="005E45C3"/>
  </w:style>
  <w:style w:type="paragraph" w:styleId="ListParagraph">
    <w:name w:val="List Paragraph"/>
    <w:aliases w:val="Bullets,List Paragraph (numbered (a)),References,List Bullet Mary,123 List Paragraph,Body,Bullet,Bullet paras,List Paragraph nowy,List Paragraph1,List_Paragraph,Liste 1,Main numbered paragraph,Multilevel para_II,Numbered List Paragraph,Ha"/>
    <w:basedOn w:val="Normal"/>
    <w:link w:val="ListParagraphChar"/>
    <w:uiPriority w:val="34"/>
    <w:qFormat/>
    <w:rsid w:val="00735216"/>
    <w:pPr>
      <w:ind w:left="720"/>
      <w:contextualSpacing/>
    </w:pPr>
  </w:style>
  <w:style w:type="character" w:customStyle="1" w:styleId="ListParagraphChar">
    <w:name w:val="List Paragraph Char"/>
    <w:aliases w:val="Bullets Char,List Paragraph (numbered (a)) Char,References Char,List Bullet Mary Char,123 List Paragraph Char,Body Char,Bullet Char,Bullet paras Char,List Paragraph nowy Char,List Paragraph1 Char,List_Paragraph Char,Liste 1 Char"/>
    <w:basedOn w:val="DefaultParagraphFont"/>
    <w:link w:val="ListParagraph"/>
    <w:uiPriority w:val="34"/>
    <w:qFormat/>
    <w:locked/>
    <w:rsid w:val="00A55463"/>
  </w:style>
  <w:style w:type="paragraph" w:styleId="NormalWeb">
    <w:name w:val="Normal (Web)"/>
    <w:basedOn w:val="Normal"/>
    <w:uiPriority w:val="99"/>
    <w:semiHidden/>
    <w:unhideWhenUsed/>
    <w:rsid w:val="006B0F9A"/>
    <w:pPr>
      <w:spacing w:before="100" w:beforeAutospacing="1" w:after="100" w:afterAutospacing="1"/>
    </w:pPr>
    <w:rPr>
      <w:rFonts w:ascii="Times New Roman" w:eastAsia="Times New Roman" w:hAnsi="Times New Roman" w:cs="Times New Roman"/>
      <w:sz w:val="24"/>
      <w:szCs w:val="24"/>
    </w:rPr>
  </w:style>
  <w:style w:type="table" w:styleId="TableGrid">
    <w:name w:val="Table Grid"/>
    <w:basedOn w:val="TableNormal"/>
    <w:uiPriority w:val="39"/>
    <w:rsid w:val="006B0F9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link w:val="NoSpacingChar"/>
    <w:uiPriority w:val="1"/>
    <w:qFormat/>
    <w:rsid w:val="00A55366"/>
    <w:pPr>
      <w:spacing w:after="0" w:line="240" w:lineRule="auto"/>
    </w:pPr>
  </w:style>
  <w:style w:type="character" w:customStyle="1" w:styleId="NoSpacingChar">
    <w:name w:val="No Spacing Char"/>
    <w:basedOn w:val="DefaultParagraphFont"/>
    <w:link w:val="NoSpacing"/>
    <w:uiPriority w:val="1"/>
    <w:rsid w:val="00A55463"/>
  </w:style>
  <w:style w:type="paragraph" w:styleId="TOCHeading">
    <w:name w:val="TOC Heading"/>
    <w:basedOn w:val="Heading1"/>
    <w:next w:val="Normal"/>
    <w:uiPriority w:val="39"/>
    <w:unhideWhenUsed/>
    <w:qFormat/>
    <w:rsid w:val="00FD7412"/>
    <w:pPr>
      <w:keepNext/>
      <w:keepLines/>
      <w:spacing w:before="240" w:after="0" w:line="259" w:lineRule="auto"/>
      <w:outlineLvl w:val="9"/>
    </w:pPr>
    <w:rPr>
      <w:rFonts w:asciiTheme="majorHAnsi" w:eastAsiaTheme="majorEastAsia" w:hAnsiTheme="majorHAnsi" w:cstheme="majorBidi"/>
      <w:b w:val="0"/>
      <w:color w:val="2E74B5" w:themeColor="accent1" w:themeShade="BF"/>
      <w:sz w:val="32"/>
      <w:szCs w:val="32"/>
    </w:rPr>
  </w:style>
  <w:style w:type="paragraph" w:styleId="TOC1">
    <w:name w:val="toc 1"/>
    <w:basedOn w:val="Normal"/>
    <w:next w:val="Normal"/>
    <w:autoRedefine/>
    <w:uiPriority w:val="39"/>
    <w:unhideWhenUsed/>
    <w:rsid w:val="00FD7412"/>
    <w:pPr>
      <w:spacing w:after="100"/>
    </w:pPr>
  </w:style>
  <w:style w:type="paragraph" w:styleId="TOC2">
    <w:name w:val="toc 2"/>
    <w:basedOn w:val="Normal"/>
    <w:next w:val="Normal"/>
    <w:autoRedefine/>
    <w:uiPriority w:val="39"/>
    <w:unhideWhenUsed/>
    <w:rsid w:val="00FD7412"/>
    <w:pPr>
      <w:spacing w:after="100"/>
      <w:ind w:left="220"/>
    </w:pPr>
  </w:style>
  <w:style w:type="character" w:styleId="Hyperlink">
    <w:name w:val="Hyperlink"/>
    <w:basedOn w:val="DefaultParagraphFont"/>
    <w:uiPriority w:val="99"/>
    <w:unhideWhenUsed/>
    <w:rsid w:val="00FD7412"/>
    <w:rPr>
      <w:color w:val="0563C1" w:themeColor="hyperlink"/>
      <w:u w:val="single"/>
    </w:rPr>
  </w:style>
  <w:style w:type="paragraph" w:styleId="FootnoteText">
    <w:name w:val="footnote text"/>
    <w:aliases w:val="Footnote Text Char2,Footnote Text Char1 Char1,Footnote Text Char Char Char1,Footnote Text Char1 Char Char,Footnote Text Char Char Char Char,Footnote Text Char Char1 Char,Footnote Text Char Char2,ft,single space,ALTS FOOTNOTE,f"/>
    <w:basedOn w:val="Normal"/>
    <w:link w:val="FootnoteTextChar"/>
    <w:uiPriority w:val="99"/>
    <w:unhideWhenUsed/>
    <w:qFormat/>
    <w:rsid w:val="00A55463"/>
    <w:pPr>
      <w:spacing w:after="0"/>
    </w:pPr>
    <w:rPr>
      <w:sz w:val="20"/>
      <w:szCs w:val="20"/>
      <w:lang w:val="en-GB"/>
    </w:rPr>
  </w:style>
  <w:style w:type="character" w:customStyle="1" w:styleId="FootnoteTextChar">
    <w:name w:val="Footnote Text Char"/>
    <w:aliases w:val="Footnote Text Char2 Char,Footnote Text Char1 Char1 Char,Footnote Text Char Char Char1 Char,Footnote Text Char1 Char Char Char,Footnote Text Char Char Char Char Char,Footnote Text Char Char1 Char Char,Footnote Text Char Char2 Char"/>
    <w:basedOn w:val="DefaultParagraphFont"/>
    <w:link w:val="FootnoteText"/>
    <w:uiPriority w:val="99"/>
    <w:rsid w:val="00A55463"/>
    <w:rPr>
      <w:sz w:val="20"/>
      <w:szCs w:val="20"/>
      <w:lang w:val="en-GB"/>
    </w:rPr>
  </w:style>
  <w:style w:type="character" w:styleId="FootnoteReference">
    <w:name w:val="footnote reference"/>
    <w:aliases w:val="16 Point,Superscript 6 Point,ftref,BVI fnr,Ref,de nota al pie,fr,Used by Word for Help footnote symbols,Car Car Char Car Char Car Car Char Car Char Char,Char Char,Footnote,SUPERS,BVI f,R,(NECG) Footnote Reference, BVI fnr"/>
    <w:basedOn w:val="DefaultParagraphFont"/>
    <w:link w:val="FNRefeCharChar"/>
    <w:uiPriority w:val="99"/>
    <w:unhideWhenUsed/>
    <w:qFormat/>
    <w:rsid w:val="00A55463"/>
    <w:rPr>
      <w:vertAlign w:val="superscript"/>
    </w:rPr>
  </w:style>
  <w:style w:type="paragraph" w:customStyle="1" w:styleId="FNRefeCharChar">
    <w:name w:val="FNRefe Char Char"/>
    <w:aliases w:val="BVI fnr Char Char, BVI fnr Char Char Char, BVI fnr Car Car Char Char Char,BVI fnr Car Char Char Char, BVI fnr Car Car Car Car Char Char Char Char Char,BVI fnr Car Car Char Char Char,BVI fnr Car Car Car Car Char Char Char Char Char"/>
    <w:basedOn w:val="Normal"/>
    <w:link w:val="FootnoteReference"/>
    <w:uiPriority w:val="99"/>
    <w:rsid w:val="00A55463"/>
    <w:pPr>
      <w:spacing w:after="160" w:line="240" w:lineRule="exact"/>
    </w:pPr>
    <w:rPr>
      <w:vertAlign w:val="superscript"/>
    </w:rPr>
  </w:style>
  <w:style w:type="paragraph" w:styleId="BalloonText">
    <w:name w:val="Balloon Text"/>
    <w:basedOn w:val="Normal"/>
    <w:link w:val="BalloonTextChar"/>
    <w:uiPriority w:val="99"/>
    <w:semiHidden/>
    <w:unhideWhenUsed/>
    <w:rsid w:val="00A55463"/>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55463"/>
    <w:rPr>
      <w:rFonts w:ascii="Segoe UI" w:hAnsi="Segoe UI" w:cs="Segoe UI"/>
      <w:sz w:val="18"/>
      <w:szCs w:val="18"/>
    </w:rPr>
  </w:style>
  <w:style w:type="character" w:styleId="CommentReference">
    <w:name w:val="annotation reference"/>
    <w:basedOn w:val="DefaultParagraphFont"/>
    <w:uiPriority w:val="99"/>
    <w:semiHidden/>
    <w:unhideWhenUsed/>
    <w:rsid w:val="00C7093B"/>
    <w:rPr>
      <w:sz w:val="16"/>
      <w:szCs w:val="16"/>
    </w:rPr>
  </w:style>
  <w:style w:type="paragraph" w:styleId="CommentText">
    <w:name w:val="annotation text"/>
    <w:basedOn w:val="Normal"/>
    <w:link w:val="CommentTextChar"/>
    <w:uiPriority w:val="99"/>
    <w:unhideWhenUsed/>
    <w:rsid w:val="00C7093B"/>
    <w:rPr>
      <w:sz w:val="20"/>
      <w:szCs w:val="20"/>
    </w:rPr>
  </w:style>
  <w:style w:type="character" w:customStyle="1" w:styleId="CommentTextChar">
    <w:name w:val="Comment Text Char"/>
    <w:basedOn w:val="DefaultParagraphFont"/>
    <w:link w:val="CommentText"/>
    <w:uiPriority w:val="99"/>
    <w:rsid w:val="00C7093B"/>
    <w:rPr>
      <w:sz w:val="20"/>
      <w:szCs w:val="20"/>
    </w:rPr>
  </w:style>
  <w:style w:type="paragraph" w:styleId="CommentSubject">
    <w:name w:val="annotation subject"/>
    <w:basedOn w:val="CommentText"/>
    <w:next w:val="CommentText"/>
    <w:link w:val="CommentSubjectChar"/>
    <w:uiPriority w:val="99"/>
    <w:semiHidden/>
    <w:unhideWhenUsed/>
    <w:rsid w:val="00C7093B"/>
    <w:rPr>
      <w:b/>
      <w:bCs/>
    </w:rPr>
  </w:style>
  <w:style w:type="character" w:customStyle="1" w:styleId="CommentSubjectChar">
    <w:name w:val="Comment Subject Char"/>
    <w:basedOn w:val="CommentTextChar"/>
    <w:link w:val="CommentSubject"/>
    <w:uiPriority w:val="99"/>
    <w:semiHidden/>
    <w:rsid w:val="00C7093B"/>
    <w:rPr>
      <w:b/>
      <w:bCs/>
      <w:sz w:val="20"/>
      <w:szCs w:val="20"/>
    </w:rPr>
  </w:style>
  <w:style w:type="paragraph" w:styleId="TOC3">
    <w:name w:val="toc 3"/>
    <w:basedOn w:val="Normal"/>
    <w:next w:val="Normal"/>
    <w:autoRedefine/>
    <w:uiPriority w:val="39"/>
    <w:unhideWhenUsed/>
    <w:rsid w:val="00F24962"/>
    <w:pPr>
      <w:spacing w:after="100"/>
      <w:ind w:left="440"/>
    </w:pPr>
  </w:style>
  <w:style w:type="paragraph" w:styleId="Revision">
    <w:name w:val="Revision"/>
    <w:hidden/>
    <w:uiPriority w:val="99"/>
    <w:semiHidden/>
    <w:rsid w:val="00E64F31"/>
    <w:pPr>
      <w:spacing w:after="0" w:line="240" w:lineRule="auto"/>
    </w:pPr>
  </w:style>
  <w:style w:type="character" w:styleId="PlaceholderText">
    <w:name w:val="Placeholder Text"/>
    <w:basedOn w:val="DefaultParagraphFont"/>
    <w:uiPriority w:val="99"/>
    <w:semiHidden/>
    <w:rsid w:val="00081BA9"/>
    <w:rPr>
      <w:color w:val="808080"/>
    </w:rPr>
  </w:style>
  <w:style w:type="character" w:customStyle="1" w:styleId="Heading4Char">
    <w:name w:val="Heading 4 Char"/>
    <w:basedOn w:val="DefaultParagraphFont"/>
    <w:link w:val="Heading4"/>
    <w:uiPriority w:val="9"/>
    <w:semiHidden/>
    <w:rsid w:val="002E4453"/>
    <w:rPr>
      <w:rFonts w:eastAsia="Times New Roman"/>
      <w:caps/>
      <w:color w:val="224E76"/>
      <w:spacing w:val="10"/>
      <w:sz w:val="24"/>
      <w:szCs w:val="24"/>
    </w:rPr>
  </w:style>
  <w:style w:type="character" w:customStyle="1" w:styleId="Heading5Char">
    <w:name w:val="Heading 5 Char"/>
    <w:basedOn w:val="DefaultParagraphFont"/>
    <w:link w:val="Heading5"/>
    <w:uiPriority w:val="9"/>
    <w:semiHidden/>
    <w:rsid w:val="002E4453"/>
    <w:rPr>
      <w:rFonts w:eastAsia="Times New Roman"/>
      <w:caps/>
      <w:color w:val="224E76"/>
      <w:spacing w:val="10"/>
      <w:sz w:val="24"/>
      <w:szCs w:val="24"/>
    </w:rPr>
  </w:style>
  <w:style w:type="character" w:customStyle="1" w:styleId="Heading6Char">
    <w:name w:val="Heading 6 Char"/>
    <w:basedOn w:val="DefaultParagraphFont"/>
    <w:link w:val="Heading6"/>
    <w:uiPriority w:val="9"/>
    <w:semiHidden/>
    <w:rsid w:val="002E4453"/>
    <w:rPr>
      <w:rFonts w:eastAsia="Times New Roman"/>
      <w:caps/>
      <w:color w:val="3476B1"/>
      <w:spacing w:val="10"/>
      <w:sz w:val="24"/>
      <w:szCs w:val="24"/>
    </w:rPr>
  </w:style>
  <w:style w:type="character" w:customStyle="1" w:styleId="Heading7Char">
    <w:name w:val="Heading 7 Char"/>
    <w:basedOn w:val="DefaultParagraphFont"/>
    <w:link w:val="Heading7"/>
    <w:uiPriority w:val="9"/>
    <w:semiHidden/>
    <w:rsid w:val="002E4453"/>
    <w:rPr>
      <w:i/>
      <w:iCs/>
      <w:caps/>
      <w:color w:val="3476B1"/>
      <w:spacing w:val="10"/>
      <w:sz w:val="24"/>
      <w:szCs w:val="24"/>
    </w:rPr>
  </w:style>
  <w:style w:type="character" w:customStyle="1" w:styleId="Heading8Char">
    <w:name w:val="Heading 8 Char"/>
    <w:basedOn w:val="DefaultParagraphFont"/>
    <w:link w:val="Heading8"/>
    <w:uiPriority w:val="9"/>
    <w:semiHidden/>
    <w:rsid w:val="002E4453"/>
    <w:rPr>
      <w:rFonts w:ascii="Calibri Light" w:eastAsia="Times New Roman" w:hAnsi="Calibri Light" w:cs="Times New Roman"/>
      <w:caps/>
      <w:spacing w:val="10"/>
      <w:sz w:val="20"/>
      <w:szCs w:val="20"/>
    </w:rPr>
  </w:style>
  <w:style w:type="character" w:customStyle="1" w:styleId="Heading9Char">
    <w:name w:val="Heading 9 Char"/>
    <w:basedOn w:val="DefaultParagraphFont"/>
    <w:link w:val="Heading9"/>
    <w:uiPriority w:val="9"/>
    <w:semiHidden/>
    <w:rsid w:val="002E4453"/>
    <w:rPr>
      <w:rFonts w:ascii="Calibri Light" w:eastAsia="Times New Roman" w:hAnsi="Calibri Light" w:cs="Times New Roman"/>
      <w:i/>
      <w:iCs/>
      <w:caps/>
      <w:spacing w:val="10"/>
      <w:sz w:val="20"/>
      <w:szCs w:val="20"/>
    </w:rPr>
  </w:style>
  <w:style w:type="character" w:styleId="Emphasis">
    <w:name w:val="Emphasis"/>
    <w:uiPriority w:val="20"/>
    <w:qFormat/>
    <w:rsid w:val="002E4453"/>
    <w:rPr>
      <w:i w:val="0"/>
      <w:iCs w:val="0"/>
      <w:caps/>
      <w:spacing w:val="5"/>
      <w:sz w:val="20"/>
      <w:szCs w:val="20"/>
    </w:rPr>
  </w:style>
  <w:style w:type="paragraph" w:customStyle="1" w:styleId="msonormal0">
    <w:name w:val="msonormal"/>
    <w:basedOn w:val="Normal"/>
    <w:rsid w:val="002E4453"/>
    <w:pPr>
      <w:spacing w:before="100" w:beforeAutospacing="1" w:after="100" w:afterAutospacing="1"/>
    </w:pPr>
    <w:rPr>
      <w:rFonts w:ascii="Times New Roman" w:eastAsia="Times New Roman" w:hAnsi="Times New Roman" w:cs="Times New Roman"/>
      <w:sz w:val="24"/>
      <w:szCs w:val="24"/>
    </w:rPr>
  </w:style>
  <w:style w:type="paragraph" w:styleId="Title">
    <w:name w:val="Title"/>
    <w:basedOn w:val="Normal"/>
    <w:next w:val="Normal"/>
    <w:link w:val="TitleChar"/>
    <w:uiPriority w:val="10"/>
    <w:qFormat/>
    <w:rsid w:val="002E4453"/>
    <w:pPr>
      <w:spacing w:after="0"/>
      <w:contextualSpacing/>
    </w:pPr>
    <w:rPr>
      <w:caps/>
      <w:color w:val="234F77"/>
      <w:spacing w:val="50"/>
      <w:sz w:val="44"/>
      <w:szCs w:val="44"/>
    </w:rPr>
  </w:style>
  <w:style w:type="character" w:customStyle="1" w:styleId="TitleChar">
    <w:name w:val="Title Char"/>
    <w:basedOn w:val="DefaultParagraphFont"/>
    <w:link w:val="Title"/>
    <w:uiPriority w:val="10"/>
    <w:rsid w:val="002E4453"/>
    <w:rPr>
      <w:caps/>
      <w:color w:val="234F77"/>
      <w:spacing w:val="50"/>
      <w:sz w:val="44"/>
      <w:szCs w:val="44"/>
    </w:rPr>
  </w:style>
  <w:style w:type="paragraph" w:styleId="Subtitle">
    <w:name w:val="Subtitle"/>
    <w:basedOn w:val="Normal"/>
    <w:next w:val="Normal"/>
    <w:link w:val="SubtitleChar"/>
    <w:uiPriority w:val="11"/>
    <w:qFormat/>
    <w:rsid w:val="002E4453"/>
    <w:pPr>
      <w:spacing w:after="560"/>
      <w:jc w:val="center"/>
    </w:pPr>
    <w:rPr>
      <w:rFonts w:ascii="Calibri Light" w:eastAsia="Times New Roman" w:hAnsi="Calibri Light" w:cs="Times New Roman"/>
      <w:caps/>
      <w:spacing w:val="20"/>
      <w:sz w:val="18"/>
      <w:szCs w:val="18"/>
    </w:rPr>
  </w:style>
  <w:style w:type="character" w:customStyle="1" w:styleId="SubtitleChar">
    <w:name w:val="Subtitle Char"/>
    <w:basedOn w:val="DefaultParagraphFont"/>
    <w:link w:val="Subtitle"/>
    <w:uiPriority w:val="11"/>
    <w:rsid w:val="002E4453"/>
    <w:rPr>
      <w:rFonts w:ascii="Calibri Light" w:eastAsia="Times New Roman" w:hAnsi="Calibri Light" w:cs="Times New Roman"/>
      <w:caps/>
      <w:spacing w:val="20"/>
      <w:sz w:val="18"/>
      <w:szCs w:val="18"/>
    </w:rPr>
  </w:style>
  <w:style w:type="paragraph" w:styleId="Quote">
    <w:name w:val="Quote"/>
    <w:basedOn w:val="Normal"/>
    <w:next w:val="Normal"/>
    <w:link w:val="QuoteChar"/>
    <w:uiPriority w:val="29"/>
    <w:qFormat/>
    <w:rsid w:val="002E4453"/>
    <w:pPr>
      <w:spacing w:after="200" w:line="252" w:lineRule="auto"/>
    </w:pPr>
    <w:rPr>
      <w:rFonts w:ascii="Calibri Light" w:eastAsia="Times New Roman" w:hAnsi="Calibri Light" w:cs="Times New Roman"/>
      <w:i/>
      <w:iCs/>
    </w:rPr>
  </w:style>
  <w:style w:type="character" w:customStyle="1" w:styleId="QuoteChar">
    <w:name w:val="Quote Char"/>
    <w:basedOn w:val="DefaultParagraphFont"/>
    <w:link w:val="Quote"/>
    <w:uiPriority w:val="29"/>
    <w:rsid w:val="002E4453"/>
    <w:rPr>
      <w:rFonts w:ascii="Calibri Light" w:eastAsia="Times New Roman" w:hAnsi="Calibri Light" w:cs="Times New Roman"/>
      <w:i/>
      <w:iCs/>
    </w:rPr>
  </w:style>
  <w:style w:type="paragraph" w:styleId="IntenseQuote">
    <w:name w:val="Intense Quote"/>
    <w:basedOn w:val="Normal"/>
    <w:next w:val="Normal"/>
    <w:link w:val="IntenseQuoteChar"/>
    <w:uiPriority w:val="30"/>
    <w:qFormat/>
    <w:rsid w:val="002E4453"/>
    <w:pPr>
      <w:pBdr>
        <w:top w:val="single" w:sz="4" w:space="10" w:color="5B9BD5" w:themeColor="accent1"/>
        <w:bottom w:val="single" w:sz="4" w:space="10" w:color="5B9BD5" w:themeColor="accent1"/>
      </w:pBdr>
      <w:spacing w:before="360" w:after="360"/>
      <w:ind w:left="864" w:right="864"/>
      <w:jc w:val="center"/>
    </w:pPr>
    <w:rPr>
      <w:caps/>
      <w:color w:val="224E76"/>
      <w:spacing w:val="5"/>
      <w:sz w:val="20"/>
      <w:szCs w:val="20"/>
    </w:rPr>
  </w:style>
  <w:style w:type="character" w:customStyle="1" w:styleId="IntenseQuoteChar">
    <w:name w:val="Intense Quote Char"/>
    <w:basedOn w:val="DefaultParagraphFont"/>
    <w:link w:val="IntenseQuote"/>
    <w:uiPriority w:val="30"/>
    <w:rsid w:val="002E4453"/>
    <w:rPr>
      <w:caps/>
      <w:color w:val="224E76"/>
      <w:spacing w:val="5"/>
      <w:sz w:val="20"/>
      <w:szCs w:val="20"/>
    </w:rPr>
  </w:style>
  <w:style w:type="paragraph" w:customStyle="1" w:styleId="Heading11">
    <w:name w:val="Heading 11"/>
    <w:basedOn w:val="Normal"/>
    <w:next w:val="Normal"/>
    <w:uiPriority w:val="9"/>
    <w:qFormat/>
    <w:rsid w:val="002E4453"/>
    <w:pPr>
      <w:pBdr>
        <w:bottom w:val="single" w:sz="4" w:space="1" w:color="3476B1"/>
      </w:pBdr>
      <w:spacing w:before="400" w:after="200" w:line="252" w:lineRule="auto"/>
      <w:jc w:val="center"/>
      <w:outlineLvl w:val="0"/>
    </w:pPr>
    <w:rPr>
      <w:rFonts w:asciiTheme="majorHAnsi" w:eastAsiaTheme="majorEastAsia" w:hAnsiTheme="majorHAnsi" w:cstheme="majorBidi"/>
      <w:color w:val="2E74B5" w:themeColor="accent1" w:themeShade="BF"/>
      <w:sz w:val="32"/>
      <w:szCs w:val="32"/>
    </w:rPr>
  </w:style>
  <w:style w:type="paragraph" w:customStyle="1" w:styleId="Heading21">
    <w:name w:val="Heading 21"/>
    <w:basedOn w:val="Normal"/>
    <w:next w:val="Normal"/>
    <w:uiPriority w:val="9"/>
    <w:qFormat/>
    <w:rsid w:val="002E4453"/>
    <w:pPr>
      <w:pBdr>
        <w:bottom w:val="single" w:sz="4" w:space="1" w:color="224E76"/>
      </w:pBdr>
      <w:spacing w:before="400" w:after="200" w:line="252" w:lineRule="auto"/>
      <w:jc w:val="center"/>
      <w:outlineLvl w:val="1"/>
    </w:pPr>
    <w:rPr>
      <w:rFonts w:ascii="Calibri Light" w:eastAsia="Times New Roman" w:hAnsi="Calibri Light" w:cs="Times New Roman"/>
      <w:caps/>
      <w:color w:val="234F77"/>
      <w:spacing w:val="15"/>
      <w:sz w:val="24"/>
      <w:szCs w:val="24"/>
    </w:rPr>
  </w:style>
  <w:style w:type="paragraph" w:customStyle="1" w:styleId="Heading31">
    <w:name w:val="Heading 31"/>
    <w:basedOn w:val="Normal"/>
    <w:next w:val="Normal"/>
    <w:uiPriority w:val="9"/>
    <w:qFormat/>
    <w:rsid w:val="002E4453"/>
    <w:pPr>
      <w:pBdr>
        <w:top w:val="dotted" w:sz="4" w:space="1" w:color="224E76"/>
        <w:bottom w:val="dotted" w:sz="4" w:space="1" w:color="224E76"/>
      </w:pBdr>
      <w:spacing w:before="300" w:after="200" w:line="252" w:lineRule="auto"/>
      <w:jc w:val="center"/>
      <w:outlineLvl w:val="2"/>
    </w:pPr>
    <w:rPr>
      <w:rFonts w:ascii="Times New Roman" w:eastAsia="Times New Roman" w:hAnsi="Times New Roman" w:cs="Times New Roman"/>
      <w:caps/>
      <w:color w:val="002060"/>
      <w:sz w:val="24"/>
      <w:szCs w:val="24"/>
    </w:rPr>
  </w:style>
  <w:style w:type="paragraph" w:customStyle="1" w:styleId="Title1">
    <w:name w:val="Title1"/>
    <w:basedOn w:val="Normal"/>
    <w:next w:val="Normal"/>
    <w:uiPriority w:val="10"/>
    <w:qFormat/>
    <w:rsid w:val="002E4453"/>
    <w:pPr>
      <w:pBdr>
        <w:top w:val="dotted" w:sz="2" w:space="1" w:color="234F77"/>
        <w:bottom w:val="dotted" w:sz="2" w:space="6" w:color="234F77"/>
      </w:pBdr>
      <w:spacing w:before="500" w:after="300"/>
      <w:jc w:val="right"/>
    </w:pPr>
    <w:rPr>
      <w:rFonts w:ascii="Times New Roman" w:eastAsia="Times New Roman" w:hAnsi="Times New Roman" w:cs="Times New Roman"/>
      <w:caps/>
      <w:color w:val="234F77"/>
      <w:spacing w:val="50"/>
      <w:sz w:val="44"/>
      <w:szCs w:val="44"/>
    </w:rPr>
  </w:style>
  <w:style w:type="paragraph" w:customStyle="1" w:styleId="IntenseQuote1">
    <w:name w:val="Intense Quote1"/>
    <w:basedOn w:val="Normal"/>
    <w:next w:val="Normal"/>
    <w:uiPriority w:val="30"/>
    <w:qFormat/>
    <w:rsid w:val="002E4453"/>
    <w:pPr>
      <w:pBdr>
        <w:top w:val="dotted" w:sz="2" w:space="10" w:color="234F77"/>
        <w:bottom w:val="dotted" w:sz="2" w:space="4" w:color="234F77"/>
      </w:pBdr>
      <w:spacing w:before="160" w:after="200" w:line="300" w:lineRule="auto"/>
      <w:ind w:left="1440" w:right="1440"/>
    </w:pPr>
    <w:rPr>
      <w:rFonts w:ascii="Calibri Light" w:eastAsia="Times New Roman" w:hAnsi="Calibri Light" w:cs="Times New Roman"/>
      <w:caps/>
      <w:color w:val="224E76"/>
      <w:spacing w:val="5"/>
      <w:sz w:val="20"/>
      <w:szCs w:val="20"/>
    </w:rPr>
  </w:style>
  <w:style w:type="paragraph" w:customStyle="1" w:styleId="p1">
    <w:name w:val="p1"/>
    <w:basedOn w:val="Normal"/>
    <w:rsid w:val="002E4453"/>
    <w:pPr>
      <w:spacing w:after="0"/>
    </w:pPr>
    <w:rPr>
      <w:rFonts w:ascii="Helvetica Neue" w:eastAsia="Times New Roman" w:hAnsi="Helvetica Neue" w:cs="Times New Roman"/>
      <w:color w:val="454545"/>
      <w:sz w:val="18"/>
      <w:szCs w:val="18"/>
    </w:rPr>
  </w:style>
  <w:style w:type="character" w:styleId="SubtleEmphasis">
    <w:name w:val="Subtle Emphasis"/>
    <w:uiPriority w:val="19"/>
    <w:qFormat/>
    <w:rsid w:val="002E4453"/>
    <w:rPr>
      <w:i/>
      <w:iCs/>
    </w:rPr>
  </w:style>
  <w:style w:type="character" w:styleId="IntenseEmphasis">
    <w:name w:val="Intense Emphasis"/>
    <w:uiPriority w:val="21"/>
    <w:qFormat/>
    <w:rsid w:val="002E4453"/>
    <w:rPr>
      <w:i/>
      <w:iCs/>
      <w:caps/>
      <w:spacing w:val="10"/>
      <w:sz w:val="20"/>
      <w:szCs w:val="20"/>
    </w:rPr>
  </w:style>
  <w:style w:type="character" w:styleId="SubtleReference">
    <w:name w:val="Subtle Reference"/>
    <w:basedOn w:val="DefaultParagraphFont"/>
    <w:uiPriority w:val="31"/>
    <w:qFormat/>
    <w:rsid w:val="002E4453"/>
    <w:rPr>
      <w:smallCaps/>
      <w:color w:val="5A5A5A" w:themeColor="text1" w:themeTint="A5"/>
    </w:rPr>
  </w:style>
  <w:style w:type="character" w:styleId="IntenseReference">
    <w:name w:val="Intense Reference"/>
    <w:basedOn w:val="DefaultParagraphFont"/>
    <w:uiPriority w:val="32"/>
    <w:qFormat/>
    <w:rsid w:val="002E4453"/>
    <w:rPr>
      <w:b/>
      <w:bCs/>
      <w:smallCaps/>
      <w:color w:val="5B9BD5" w:themeColor="accent1"/>
      <w:spacing w:val="5"/>
    </w:rPr>
  </w:style>
  <w:style w:type="character" w:styleId="BookTitle">
    <w:name w:val="Book Title"/>
    <w:basedOn w:val="DefaultParagraphFont"/>
    <w:uiPriority w:val="33"/>
    <w:qFormat/>
    <w:rsid w:val="002E4453"/>
    <w:rPr>
      <w:b/>
      <w:bCs/>
      <w:i/>
      <w:iCs/>
      <w:spacing w:val="5"/>
    </w:rPr>
  </w:style>
  <w:style w:type="character" w:customStyle="1" w:styleId="Strong1">
    <w:name w:val="Strong1"/>
    <w:uiPriority w:val="22"/>
    <w:qFormat/>
    <w:rsid w:val="002E4453"/>
    <w:rPr>
      <w:b/>
      <w:bCs/>
      <w:color w:val="3476B1"/>
      <w:spacing w:val="5"/>
    </w:rPr>
  </w:style>
  <w:style w:type="character" w:customStyle="1" w:styleId="SubtleReference1">
    <w:name w:val="Subtle Reference1"/>
    <w:basedOn w:val="DefaultParagraphFont"/>
    <w:uiPriority w:val="31"/>
    <w:qFormat/>
    <w:rsid w:val="002E4453"/>
    <w:rPr>
      <w:rFonts w:ascii="Calibri" w:eastAsia="Times New Roman" w:hAnsi="Calibri" w:cs="Times New Roman" w:hint="default"/>
      <w:i/>
      <w:iCs/>
      <w:color w:val="224E76"/>
    </w:rPr>
  </w:style>
  <w:style w:type="character" w:customStyle="1" w:styleId="IntenseReference1">
    <w:name w:val="Intense Reference1"/>
    <w:uiPriority w:val="32"/>
    <w:qFormat/>
    <w:rsid w:val="002E4453"/>
    <w:rPr>
      <w:rFonts w:ascii="Calibri" w:eastAsia="Times New Roman" w:hAnsi="Calibri" w:cs="Times New Roman" w:hint="default"/>
      <w:b/>
      <w:bCs/>
      <w:i/>
      <w:iCs/>
      <w:color w:val="224E76"/>
    </w:rPr>
  </w:style>
  <w:style w:type="character" w:customStyle="1" w:styleId="BookTitle1">
    <w:name w:val="Book Title1"/>
    <w:uiPriority w:val="33"/>
    <w:qFormat/>
    <w:rsid w:val="002E4453"/>
    <w:rPr>
      <w:caps/>
      <w:color w:val="224E76"/>
      <w:spacing w:val="5"/>
      <w:u w:color="224E76"/>
    </w:rPr>
  </w:style>
  <w:style w:type="character" w:customStyle="1" w:styleId="Heading1Char1">
    <w:name w:val="Heading 1 Char1"/>
    <w:basedOn w:val="DefaultParagraphFont"/>
    <w:uiPriority w:val="9"/>
    <w:locked/>
    <w:rsid w:val="002E4453"/>
    <w:rPr>
      <w:rFonts w:asciiTheme="majorHAnsi" w:eastAsiaTheme="majorEastAsia" w:hAnsiTheme="majorHAnsi" w:cstheme="majorBidi"/>
      <w:color w:val="2E74B5" w:themeColor="accent1" w:themeShade="BF"/>
      <w:sz w:val="32"/>
      <w:szCs w:val="32"/>
    </w:rPr>
  </w:style>
  <w:style w:type="character" w:customStyle="1" w:styleId="apple-converted-space">
    <w:name w:val="apple-converted-space"/>
    <w:basedOn w:val="DefaultParagraphFont"/>
    <w:rsid w:val="002E4453"/>
  </w:style>
  <w:style w:type="character" w:customStyle="1" w:styleId="TitleChar1">
    <w:name w:val="Title Char1"/>
    <w:basedOn w:val="DefaultParagraphFont"/>
    <w:uiPriority w:val="10"/>
    <w:rsid w:val="002E4453"/>
    <w:rPr>
      <w:rFonts w:asciiTheme="majorHAnsi" w:eastAsiaTheme="majorEastAsia" w:hAnsiTheme="majorHAnsi" w:cstheme="majorBidi" w:hint="default"/>
      <w:spacing w:val="-10"/>
      <w:kern w:val="28"/>
      <w:sz w:val="56"/>
      <w:szCs w:val="56"/>
    </w:rPr>
  </w:style>
  <w:style w:type="character" w:customStyle="1" w:styleId="IntenseQuoteChar1">
    <w:name w:val="Intense Quote Char1"/>
    <w:basedOn w:val="DefaultParagraphFont"/>
    <w:uiPriority w:val="30"/>
    <w:rsid w:val="002E4453"/>
    <w:rPr>
      <w:i/>
      <w:iCs/>
      <w:color w:val="5B9BD5" w:themeColor="accent1"/>
    </w:rPr>
  </w:style>
  <w:style w:type="table" w:customStyle="1" w:styleId="GridTable4-Accent11">
    <w:name w:val="Grid Table 4 - Accent 11"/>
    <w:basedOn w:val="TableNormal"/>
    <w:uiPriority w:val="49"/>
    <w:rsid w:val="002E4453"/>
    <w:pPr>
      <w:spacing w:after="200" w:line="252" w:lineRule="auto"/>
    </w:pPr>
    <w:rPr>
      <w:rFonts w:ascii="Calibri Light" w:eastAsia="Times New Roman" w:hAnsi="Calibri Light" w:cs="Times New Roman"/>
    </w:rPr>
    <w:tblPr>
      <w:tblStyleRowBandSize w:val="1"/>
      <w:tblStyleColBandSize w:val="1"/>
      <w:tblInd w:w="0" w:type="nil"/>
      <w:tblBorders>
        <w:top w:val="single" w:sz="4" w:space="0" w:color="90A1CF"/>
        <w:left w:val="single" w:sz="4" w:space="0" w:color="90A1CF"/>
        <w:bottom w:val="single" w:sz="4" w:space="0" w:color="90A1CF"/>
        <w:right w:val="single" w:sz="4" w:space="0" w:color="90A1CF"/>
        <w:insideH w:val="single" w:sz="4" w:space="0" w:color="90A1CF"/>
        <w:insideV w:val="single" w:sz="4" w:space="0" w:color="90A1CF"/>
      </w:tblBorders>
    </w:tblPr>
    <w:tblStylePr w:type="firstRow">
      <w:rPr>
        <w:b/>
        <w:bCs/>
        <w:color w:val="FFFFFF"/>
      </w:rPr>
      <w:tblPr/>
      <w:tcPr>
        <w:tcBorders>
          <w:top w:val="single" w:sz="4" w:space="0" w:color="4A66AC"/>
          <w:left w:val="single" w:sz="4" w:space="0" w:color="4A66AC"/>
          <w:bottom w:val="single" w:sz="4" w:space="0" w:color="4A66AC"/>
          <w:right w:val="single" w:sz="4" w:space="0" w:color="4A66AC"/>
          <w:insideH w:val="nil"/>
          <w:insideV w:val="nil"/>
        </w:tcBorders>
        <w:shd w:val="clear" w:color="auto" w:fill="4A66AC"/>
      </w:tcPr>
    </w:tblStylePr>
    <w:tblStylePr w:type="lastRow">
      <w:rPr>
        <w:b/>
        <w:bCs/>
      </w:rPr>
      <w:tblPr/>
      <w:tcPr>
        <w:tcBorders>
          <w:top w:val="double" w:sz="4" w:space="0" w:color="4A66AC"/>
        </w:tcBorders>
      </w:tcPr>
    </w:tblStylePr>
    <w:tblStylePr w:type="firstCol">
      <w:rPr>
        <w:b/>
        <w:bCs/>
      </w:rPr>
    </w:tblStylePr>
    <w:tblStylePr w:type="lastCol">
      <w:rPr>
        <w:b/>
        <w:bCs/>
      </w:rPr>
    </w:tblStylePr>
    <w:tblStylePr w:type="band1Vert">
      <w:tblPr/>
      <w:tcPr>
        <w:shd w:val="clear" w:color="auto" w:fill="D9DFEF"/>
      </w:tcPr>
    </w:tblStylePr>
    <w:tblStylePr w:type="band1Horz">
      <w:tblPr/>
      <w:tcPr>
        <w:shd w:val="clear" w:color="auto" w:fill="D9DFE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97354">
      <w:bodyDiv w:val="1"/>
      <w:marLeft w:val="0"/>
      <w:marRight w:val="0"/>
      <w:marTop w:val="0"/>
      <w:marBottom w:val="0"/>
      <w:divBdr>
        <w:top w:val="none" w:sz="0" w:space="0" w:color="auto"/>
        <w:left w:val="none" w:sz="0" w:space="0" w:color="auto"/>
        <w:bottom w:val="none" w:sz="0" w:space="0" w:color="auto"/>
        <w:right w:val="none" w:sz="0" w:space="0" w:color="auto"/>
      </w:divBdr>
    </w:div>
    <w:div w:id="53965225">
      <w:bodyDiv w:val="1"/>
      <w:marLeft w:val="0"/>
      <w:marRight w:val="0"/>
      <w:marTop w:val="0"/>
      <w:marBottom w:val="0"/>
      <w:divBdr>
        <w:top w:val="none" w:sz="0" w:space="0" w:color="auto"/>
        <w:left w:val="none" w:sz="0" w:space="0" w:color="auto"/>
        <w:bottom w:val="none" w:sz="0" w:space="0" w:color="auto"/>
        <w:right w:val="none" w:sz="0" w:space="0" w:color="auto"/>
      </w:divBdr>
    </w:div>
    <w:div w:id="54553958">
      <w:bodyDiv w:val="1"/>
      <w:marLeft w:val="0"/>
      <w:marRight w:val="0"/>
      <w:marTop w:val="0"/>
      <w:marBottom w:val="0"/>
      <w:divBdr>
        <w:top w:val="none" w:sz="0" w:space="0" w:color="auto"/>
        <w:left w:val="none" w:sz="0" w:space="0" w:color="auto"/>
        <w:bottom w:val="none" w:sz="0" w:space="0" w:color="auto"/>
        <w:right w:val="none" w:sz="0" w:space="0" w:color="auto"/>
      </w:divBdr>
    </w:div>
    <w:div w:id="60298207">
      <w:bodyDiv w:val="1"/>
      <w:marLeft w:val="0"/>
      <w:marRight w:val="0"/>
      <w:marTop w:val="0"/>
      <w:marBottom w:val="0"/>
      <w:divBdr>
        <w:top w:val="none" w:sz="0" w:space="0" w:color="auto"/>
        <w:left w:val="none" w:sz="0" w:space="0" w:color="auto"/>
        <w:bottom w:val="none" w:sz="0" w:space="0" w:color="auto"/>
        <w:right w:val="none" w:sz="0" w:space="0" w:color="auto"/>
      </w:divBdr>
      <w:divsChild>
        <w:div w:id="438842887">
          <w:marLeft w:val="360"/>
          <w:marRight w:val="0"/>
          <w:marTop w:val="200"/>
          <w:marBottom w:val="0"/>
          <w:divBdr>
            <w:top w:val="none" w:sz="0" w:space="0" w:color="auto"/>
            <w:left w:val="none" w:sz="0" w:space="0" w:color="auto"/>
            <w:bottom w:val="none" w:sz="0" w:space="0" w:color="auto"/>
            <w:right w:val="none" w:sz="0" w:space="0" w:color="auto"/>
          </w:divBdr>
        </w:div>
        <w:div w:id="1179732436">
          <w:marLeft w:val="360"/>
          <w:marRight w:val="0"/>
          <w:marTop w:val="200"/>
          <w:marBottom w:val="0"/>
          <w:divBdr>
            <w:top w:val="none" w:sz="0" w:space="0" w:color="auto"/>
            <w:left w:val="none" w:sz="0" w:space="0" w:color="auto"/>
            <w:bottom w:val="none" w:sz="0" w:space="0" w:color="auto"/>
            <w:right w:val="none" w:sz="0" w:space="0" w:color="auto"/>
          </w:divBdr>
        </w:div>
        <w:div w:id="2011256239">
          <w:marLeft w:val="360"/>
          <w:marRight w:val="0"/>
          <w:marTop w:val="200"/>
          <w:marBottom w:val="0"/>
          <w:divBdr>
            <w:top w:val="none" w:sz="0" w:space="0" w:color="auto"/>
            <w:left w:val="none" w:sz="0" w:space="0" w:color="auto"/>
            <w:bottom w:val="none" w:sz="0" w:space="0" w:color="auto"/>
            <w:right w:val="none" w:sz="0" w:space="0" w:color="auto"/>
          </w:divBdr>
        </w:div>
        <w:div w:id="2120950793">
          <w:marLeft w:val="360"/>
          <w:marRight w:val="0"/>
          <w:marTop w:val="200"/>
          <w:marBottom w:val="0"/>
          <w:divBdr>
            <w:top w:val="none" w:sz="0" w:space="0" w:color="auto"/>
            <w:left w:val="none" w:sz="0" w:space="0" w:color="auto"/>
            <w:bottom w:val="none" w:sz="0" w:space="0" w:color="auto"/>
            <w:right w:val="none" w:sz="0" w:space="0" w:color="auto"/>
          </w:divBdr>
        </w:div>
      </w:divsChild>
    </w:div>
    <w:div w:id="94713469">
      <w:bodyDiv w:val="1"/>
      <w:marLeft w:val="0"/>
      <w:marRight w:val="0"/>
      <w:marTop w:val="0"/>
      <w:marBottom w:val="0"/>
      <w:divBdr>
        <w:top w:val="none" w:sz="0" w:space="0" w:color="auto"/>
        <w:left w:val="none" w:sz="0" w:space="0" w:color="auto"/>
        <w:bottom w:val="none" w:sz="0" w:space="0" w:color="auto"/>
        <w:right w:val="none" w:sz="0" w:space="0" w:color="auto"/>
      </w:divBdr>
      <w:divsChild>
        <w:div w:id="1274288777">
          <w:marLeft w:val="360"/>
          <w:marRight w:val="0"/>
          <w:marTop w:val="200"/>
          <w:marBottom w:val="0"/>
          <w:divBdr>
            <w:top w:val="none" w:sz="0" w:space="0" w:color="auto"/>
            <w:left w:val="none" w:sz="0" w:space="0" w:color="auto"/>
            <w:bottom w:val="none" w:sz="0" w:space="0" w:color="auto"/>
            <w:right w:val="none" w:sz="0" w:space="0" w:color="auto"/>
          </w:divBdr>
        </w:div>
      </w:divsChild>
    </w:div>
    <w:div w:id="198903610">
      <w:bodyDiv w:val="1"/>
      <w:marLeft w:val="0"/>
      <w:marRight w:val="0"/>
      <w:marTop w:val="0"/>
      <w:marBottom w:val="0"/>
      <w:divBdr>
        <w:top w:val="none" w:sz="0" w:space="0" w:color="auto"/>
        <w:left w:val="none" w:sz="0" w:space="0" w:color="auto"/>
        <w:bottom w:val="none" w:sz="0" w:space="0" w:color="auto"/>
        <w:right w:val="none" w:sz="0" w:space="0" w:color="auto"/>
      </w:divBdr>
    </w:div>
    <w:div w:id="207882414">
      <w:bodyDiv w:val="1"/>
      <w:marLeft w:val="0"/>
      <w:marRight w:val="0"/>
      <w:marTop w:val="0"/>
      <w:marBottom w:val="0"/>
      <w:divBdr>
        <w:top w:val="none" w:sz="0" w:space="0" w:color="auto"/>
        <w:left w:val="none" w:sz="0" w:space="0" w:color="auto"/>
        <w:bottom w:val="none" w:sz="0" w:space="0" w:color="auto"/>
        <w:right w:val="none" w:sz="0" w:space="0" w:color="auto"/>
      </w:divBdr>
    </w:div>
    <w:div w:id="212154010">
      <w:bodyDiv w:val="1"/>
      <w:marLeft w:val="0"/>
      <w:marRight w:val="0"/>
      <w:marTop w:val="0"/>
      <w:marBottom w:val="0"/>
      <w:divBdr>
        <w:top w:val="none" w:sz="0" w:space="0" w:color="auto"/>
        <w:left w:val="none" w:sz="0" w:space="0" w:color="auto"/>
        <w:bottom w:val="none" w:sz="0" w:space="0" w:color="auto"/>
        <w:right w:val="none" w:sz="0" w:space="0" w:color="auto"/>
      </w:divBdr>
    </w:div>
    <w:div w:id="215555580">
      <w:bodyDiv w:val="1"/>
      <w:marLeft w:val="0"/>
      <w:marRight w:val="0"/>
      <w:marTop w:val="0"/>
      <w:marBottom w:val="0"/>
      <w:divBdr>
        <w:top w:val="none" w:sz="0" w:space="0" w:color="auto"/>
        <w:left w:val="none" w:sz="0" w:space="0" w:color="auto"/>
        <w:bottom w:val="none" w:sz="0" w:space="0" w:color="auto"/>
        <w:right w:val="none" w:sz="0" w:space="0" w:color="auto"/>
      </w:divBdr>
    </w:div>
    <w:div w:id="255601588">
      <w:bodyDiv w:val="1"/>
      <w:marLeft w:val="0"/>
      <w:marRight w:val="0"/>
      <w:marTop w:val="0"/>
      <w:marBottom w:val="0"/>
      <w:divBdr>
        <w:top w:val="none" w:sz="0" w:space="0" w:color="auto"/>
        <w:left w:val="none" w:sz="0" w:space="0" w:color="auto"/>
        <w:bottom w:val="none" w:sz="0" w:space="0" w:color="auto"/>
        <w:right w:val="none" w:sz="0" w:space="0" w:color="auto"/>
      </w:divBdr>
    </w:div>
    <w:div w:id="265115097">
      <w:bodyDiv w:val="1"/>
      <w:marLeft w:val="0"/>
      <w:marRight w:val="0"/>
      <w:marTop w:val="0"/>
      <w:marBottom w:val="0"/>
      <w:divBdr>
        <w:top w:val="none" w:sz="0" w:space="0" w:color="auto"/>
        <w:left w:val="none" w:sz="0" w:space="0" w:color="auto"/>
        <w:bottom w:val="none" w:sz="0" w:space="0" w:color="auto"/>
        <w:right w:val="none" w:sz="0" w:space="0" w:color="auto"/>
      </w:divBdr>
    </w:div>
    <w:div w:id="341052422">
      <w:bodyDiv w:val="1"/>
      <w:marLeft w:val="0"/>
      <w:marRight w:val="0"/>
      <w:marTop w:val="0"/>
      <w:marBottom w:val="0"/>
      <w:divBdr>
        <w:top w:val="none" w:sz="0" w:space="0" w:color="auto"/>
        <w:left w:val="none" w:sz="0" w:space="0" w:color="auto"/>
        <w:bottom w:val="none" w:sz="0" w:space="0" w:color="auto"/>
        <w:right w:val="none" w:sz="0" w:space="0" w:color="auto"/>
      </w:divBdr>
    </w:div>
    <w:div w:id="410274780">
      <w:bodyDiv w:val="1"/>
      <w:marLeft w:val="0"/>
      <w:marRight w:val="0"/>
      <w:marTop w:val="0"/>
      <w:marBottom w:val="0"/>
      <w:divBdr>
        <w:top w:val="none" w:sz="0" w:space="0" w:color="auto"/>
        <w:left w:val="none" w:sz="0" w:space="0" w:color="auto"/>
        <w:bottom w:val="none" w:sz="0" w:space="0" w:color="auto"/>
        <w:right w:val="none" w:sz="0" w:space="0" w:color="auto"/>
      </w:divBdr>
    </w:div>
    <w:div w:id="441656674">
      <w:bodyDiv w:val="1"/>
      <w:marLeft w:val="0"/>
      <w:marRight w:val="0"/>
      <w:marTop w:val="0"/>
      <w:marBottom w:val="0"/>
      <w:divBdr>
        <w:top w:val="none" w:sz="0" w:space="0" w:color="auto"/>
        <w:left w:val="none" w:sz="0" w:space="0" w:color="auto"/>
        <w:bottom w:val="none" w:sz="0" w:space="0" w:color="auto"/>
        <w:right w:val="none" w:sz="0" w:space="0" w:color="auto"/>
      </w:divBdr>
      <w:divsChild>
        <w:div w:id="747263982">
          <w:marLeft w:val="360"/>
          <w:marRight w:val="0"/>
          <w:marTop w:val="200"/>
          <w:marBottom w:val="0"/>
          <w:divBdr>
            <w:top w:val="none" w:sz="0" w:space="0" w:color="auto"/>
            <w:left w:val="none" w:sz="0" w:space="0" w:color="auto"/>
            <w:bottom w:val="none" w:sz="0" w:space="0" w:color="auto"/>
            <w:right w:val="none" w:sz="0" w:space="0" w:color="auto"/>
          </w:divBdr>
        </w:div>
        <w:div w:id="2143577366">
          <w:marLeft w:val="1080"/>
          <w:marRight w:val="0"/>
          <w:marTop w:val="100"/>
          <w:marBottom w:val="0"/>
          <w:divBdr>
            <w:top w:val="none" w:sz="0" w:space="0" w:color="auto"/>
            <w:left w:val="none" w:sz="0" w:space="0" w:color="auto"/>
            <w:bottom w:val="none" w:sz="0" w:space="0" w:color="auto"/>
            <w:right w:val="none" w:sz="0" w:space="0" w:color="auto"/>
          </w:divBdr>
        </w:div>
        <w:div w:id="1000040155">
          <w:marLeft w:val="1080"/>
          <w:marRight w:val="0"/>
          <w:marTop w:val="100"/>
          <w:marBottom w:val="0"/>
          <w:divBdr>
            <w:top w:val="none" w:sz="0" w:space="0" w:color="auto"/>
            <w:left w:val="none" w:sz="0" w:space="0" w:color="auto"/>
            <w:bottom w:val="none" w:sz="0" w:space="0" w:color="auto"/>
            <w:right w:val="none" w:sz="0" w:space="0" w:color="auto"/>
          </w:divBdr>
        </w:div>
        <w:div w:id="482432890">
          <w:marLeft w:val="360"/>
          <w:marRight w:val="0"/>
          <w:marTop w:val="200"/>
          <w:marBottom w:val="0"/>
          <w:divBdr>
            <w:top w:val="none" w:sz="0" w:space="0" w:color="auto"/>
            <w:left w:val="none" w:sz="0" w:space="0" w:color="auto"/>
            <w:bottom w:val="none" w:sz="0" w:space="0" w:color="auto"/>
            <w:right w:val="none" w:sz="0" w:space="0" w:color="auto"/>
          </w:divBdr>
        </w:div>
        <w:div w:id="523714688">
          <w:marLeft w:val="1080"/>
          <w:marRight w:val="0"/>
          <w:marTop w:val="100"/>
          <w:marBottom w:val="0"/>
          <w:divBdr>
            <w:top w:val="none" w:sz="0" w:space="0" w:color="auto"/>
            <w:left w:val="none" w:sz="0" w:space="0" w:color="auto"/>
            <w:bottom w:val="none" w:sz="0" w:space="0" w:color="auto"/>
            <w:right w:val="none" w:sz="0" w:space="0" w:color="auto"/>
          </w:divBdr>
        </w:div>
        <w:div w:id="1234202243">
          <w:marLeft w:val="1080"/>
          <w:marRight w:val="0"/>
          <w:marTop w:val="100"/>
          <w:marBottom w:val="0"/>
          <w:divBdr>
            <w:top w:val="none" w:sz="0" w:space="0" w:color="auto"/>
            <w:left w:val="none" w:sz="0" w:space="0" w:color="auto"/>
            <w:bottom w:val="none" w:sz="0" w:space="0" w:color="auto"/>
            <w:right w:val="none" w:sz="0" w:space="0" w:color="auto"/>
          </w:divBdr>
        </w:div>
        <w:div w:id="268971286">
          <w:marLeft w:val="360"/>
          <w:marRight w:val="0"/>
          <w:marTop w:val="200"/>
          <w:marBottom w:val="0"/>
          <w:divBdr>
            <w:top w:val="none" w:sz="0" w:space="0" w:color="auto"/>
            <w:left w:val="none" w:sz="0" w:space="0" w:color="auto"/>
            <w:bottom w:val="none" w:sz="0" w:space="0" w:color="auto"/>
            <w:right w:val="none" w:sz="0" w:space="0" w:color="auto"/>
          </w:divBdr>
        </w:div>
        <w:div w:id="864561373">
          <w:marLeft w:val="1080"/>
          <w:marRight w:val="0"/>
          <w:marTop w:val="100"/>
          <w:marBottom w:val="0"/>
          <w:divBdr>
            <w:top w:val="none" w:sz="0" w:space="0" w:color="auto"/>
            <w:left w:val="none" w:sz="0" w:space="0" w:color="auto"/>
            <w:bottom w:val="none" w:sz="0" w:space="0" w:color="auto"/>
            <w:right w:val="none" w:sz="0" w:space="0" w:color="auto"/>
          </w:divBdr>
        </w:div>
        <w:div w:id="1940597892">
          <w:marLeft w:val="1080"/>
          <w:marRight w:val="0"/>
          <w:marTop w:val="100"/>
          <w:marBottom w:val="0"/>
          <w:divBdr>
            <w:top w:val="none" w:sz="0" w:space="0" w:color="auto"/>
            <w:left w:val="none" w:sz="0" w:space="0" w:color="auto"/>
            <w:bottom w:val="none" w:sz="0" w:space="0" w:color="auto"/>
            <w:right w:val="none" w:sz="0" w:space="0" w:color="auto"/>
          </w:divBdr>
        </w:div>
        <w:div w:id="1020623775">
          <w:marLeft w:val="1080"/>
          <w:marRight w:val="0"/>
          <w:marTop w:val="100"/>
          <w:marBottom w:val="0"/>
          <w:divBdr>
            <w:top w:val="none" w:sz="0" w:space="0" w:color="auto"/>
            <w:left w:val="none" w:sz="0" w:space="0" w:color="auto"/>
            <w:bottom w:val="none" w:sz="0" w:space="0" w:color="auto"/>
            <w:right w:val="none" w:sz="0" w:space="0" w:color="auto"/>
          </w:divBdr>
        </w:div>
        <w:div w:id="344670136">
          <w:marLeft w:val="360"/>
          <w:marRight w:val="0"/>
          <w:marTop w:val="200"/>
          <w:marBottom w:val="0"/>
          <w:divBdr>
            <w:top w:val="none" w:sz="0" w:space="0" w:color="auto"/>
            <w:left w:val="none" w:sz="0" w:space="0" w:color="auto"/>
            <w:bottom w:val="none" w:sz="0" w:space="0" w:color="auto"/>
            <w:right w:val="none" w:sz="0" w:space="0" w:color="auto"/>
          </w:divBdr>
        </w:div>
        <w:div w:id="1422530469">
          <w:marLeft w:val="1080"/>
          <w:marRight w:val="0"/>
          <w:marTop w:val="100"/>
          <w:marBottom w:val="0"/>
          <w:divBdr>
            <w:top w:val="none" w:sz="0" w:space="0" w:color="auto"/>
            <w:left w:val="none" w:sz="0" w:space="0" w:color="auto"/>
            <w:bottom w:val="none" w:sz="0" w:space="0" w:color="auto"/>
            <w:right w:val="none" w:sz="0" w:space="0" w:color="auto"/>
          </w:divBdr>
        </w:div>
        <w:div w:id="1500005695">
          <w:marLeft w:val="360"/>
          <w:marRight w:val="0"/>
          <w:marTop w:val="200"/>
          <w:marBottom w:val="0"/>
          <w:divBdr>
            <w:top w:val="none" w:sz="0" w:space="0" w:color="auto"/>
            <w:left w:val="none" w:sz="0" w:space="0" w:color="auto"/>
            <w:bottom w:val="none" w:sz="0" w:space="0" w:color="auto"/>
            <w:right w:val="none" w:sz="0" w:space="0" w:color="auto"/>
          </w:divBdr>
        </w:div>
      </w:divsChild>
    </w:div>
    <w:div w:id="530414650">
      <w:bodyDiv w:val="1"/>
      <w:marLeft w:val="0"/>
      <w:marRight w:val="0"/>
      <w:marTop w:val="0"/>
      <w:marBottom w:val="0"/>
      <w:divBdr>
        <w:top w:val="none" w:sz="0" w:space="0" w:color="auto"/>
        <w:left w:val="none" w:sz="0" w:space="0" w:color="auto"/>
        <w:bottom w:val="none" w:sz="0" w:space="0" w:color="auto"/>
        <w:right w:val="none" w:sz="0" w:space="0" w:color="auto"/>
      </w:divBdr>
    </w:div>
    <w:div w:id="603347407">
      <w:bodyDiv w:val="1"/>
      <w:marLeft w:val="0"/>
      <w:marRight w:val="0"/>
      <w:marTop w:val="0"/>
      <w:marBottom w:val="0"/>
      <w:divBdr>
        <w:top w:val="none" w:sz="0" w:space="0" w:color="auto"/>
        <w:left w:val="none" w:sz="0" w:space="0" w:color="auto"/>
        <w:bottom w:val="none" w:sz="0" w:space="0" w:color="auto"/>
        <w:right w:val="none" w:sz="0" w:space="0" w:color="auto"/>
      </w:divBdr>
      <w:divsChild>
        <w:div w:id="623316838">
          <w:marLeft w:val="360"/>
          <w:marRight w:val="0"/>
          <w:marTop w:val="200"/>
          <w:marBottom w:val="0"/>
          <w:divBdr>
            <w:top w:val="none" w:sz="0" w:space="0" w:color="auto"/>
            <w:left w:val="none" w:sz="0" w:space="0" w:color="auto"/>
            <w:bottom w:val="none" w:sz="0" w:space="0" w:color="auto"/>
            <w:right w:val="none" w:sz="0" w:space="0" w:color="auto"/>
          </w:divBdr>
        </w:div>
        <w:div w:id="1298880890">
          <w:marLeft w:val="360"/>
          <w:marRight w:val="0"/>
          <w:marTop w:val="200"/>
          <w:marBottom w:val="0"/>
          <w:divBdr>
            <w:top w:val="none" w:sz="0" w:space="0" w:color="auto"/>
            <w:left w:val="none" w:sz="0" w:space="0" w:color="auto"/>
            <w:bottom w:val="none" w:sz="0" w:space="0" w:color="auto"/>
            <w:right w:val="none" w:sz="0" w:space="0" w:color="auto"/>
          </w:divBdr>
        </w:div>
        <w:div w:id="274098508">
          <w:marLeft w:val="360"/>
          <w:marRight w:val="0"/>
          <w:marTop w:val="200"/>
          <w:marBottom w:val="0"/>
          <w:divBdr>
            <w:top w:val="none" w:sz="0" w:space="0" w:color="auto"/>
            <w:left w:val="none" w:sz="0" w:space="0" w:color="auto"/>
            <w:bottom w:val="none" w:sz="0" w:space="0" w:color="auto"/>
            <w:right w:val="none" w:sz="0" w:space="0" w:color="auto"/>
          </w:divBdr>
        </w:div>
        <w:div w:id="1745562712">
          <w:marLeft w:val="360"/>
          <w:marRight w:val="0"/>
          <w:marTop w:val="200"/>
          <w:marBottom w:val="0"/>
          <w:divBdr>
            <w:top w:val="none" w:sz="0" w:space="0" w:color="auto"/>
            <w:left w:val="none" w:sz="0" w:space="0" w:color="auto"/>
            <w:bottom w:val="none" w:sz="0" w:space="0" w:color="auto"/>
            <w:right w:val="none" w:sz="0" w:space="0" w:color="auto"/>
          </w:divBdr>
        </w:div>
        <w:div w:id="114561623">
          <w:marLeft w:val="360"/>
          <w:marRight w:val="0"/>
          <w:marTop w:val="200"/>
          <w:marBottom w:val="0"/>
          <w:divBdr>
            <w:top w:val="none" w:sz="0" w:space="0" w:color="auto"/>
            <w:left w:val="none" w:sz="0" w:space="0" w:color="auto"/>
            <w:bottom w:val="none" w:sz="0" w:space="0" w:color="auto"/>
            <w:right w:val="none" w:sz="0" w:space="0" w:color="auto"/>
          </w:divBdr>
        </w:div>
      </w:divsChild>
    </w:div>
    <w:div w:id="737751103">
      <w:bodyDiv w:val="1"/>
      <w:marLeft w:val="0"/>
      <w:marRight w:val="0"/>
      <w:marTop w:val="0"/>
      <w:marBottom w:val="0"/>
      <w:divBdr>
        <w:top w:val="none" w:sz="0" w:space="0" w:color="auto"/>
        <w:left w:val="none" w:sz="0" w:space="0" w:color="auto"/>
        <w:bottom w:val="none" w:sz="0" w:space="0" w:color="auto"/>
        <w:right w:val="none" w:sz="0" w:space="0" w:color="auto"/>
      </w:divBdr>
    </w:div>
    <w:div w:id="776099933">
      <w:bodyDiv w:val="1"/>
      <w:marLeft w:val="0"/>
      <w:marRight w:val="0"/>
      <w:marTop w:val="0"/>
      <w:marBottom w:val="0"/>
      <w:divBdr>
        <w:top w:val="none" w:sz="0" w:space="0" w:color="auto"/>
        <w:left w:val="none" w:sz="0" w:space="0" w:color="auto"/>
        <w:bottom w:val="none" w:sz="0" w:space="0" w:color="auto"/>
        <w:right w:val="none" w:sz="0" w:space="0" w:color="auto"/>
      </w:divBdr>
    </w:div>
    <w:div w:id="803619891">
      <w:bodyDiv w:val="1"/>
      <w:marLeft w:val="0"/>
      <w:marRight w:val="0"/>
      <w:marTop w:val="0"/>
      <w:marBottom w:val="0"/>
      <w:divBdr>
        <w:top w:val="none" w:sz="0" w:space="0" w:color="auto"/>
        <w:left w:val="none" w:sz="0" w:space="0" w:color="auto"/>
        <w:bottom w:val="none" w:sz="0" w:space="0" w:color="auto"/>
        <w:right w:val="none" w:sz="0" w:space="0" w:color="auto"/>
      </w:divBdr>
    </w:div>
    <w:div w:id="808212271">
      <w:bodyDiv w:val="1"/>
      <w:marLeft w:val="0"/>
      <w:marRight w:val="0"/>
      <w:marTop w:val="0"/>
      <w:marBottom w:val="0"/>
      <w:divBdr>
        <w:top w:val="none" w:sz="0" w:space="0" w:color="auto"/>
        <w:left w:val="none" w:sz="0" w:space="0" w:color="auto"/>
        <w:bottom w:val="none" w:sz="0" w:space="0" w:color="auto"/>
        <w:right w:val="none" w:sz="0" w:space="0" w:color="auto"/>
      </w:divBdr>
      <w:divsChild>
        <w:div w:id="1668897556">
          <w:marLeft w:val="806"/>
          <w:marRight w:val="0"/>
          <w:marTop w:val="200"/>
          <w:marBottom w:val="0"/>
          <w:divBdr>
            <w:top w:val="none" w:sz="0" w:space="0" w:color="auto"/>
            <w:left w:val="none" w:sz="0" w:space="0" w:color="auto"/>
            <w:bottom w:val="none" w:sz="0" w:space="0" w:color="auto"/>
            <w:right w:val="none" w:sz="0" w:space="0" w:color="auto"/>
          </w:divBdr>
        </w:div>
        <w:div w:id="1208644185">
          <w:marLeft w:val="806"/>
          <w:marRight w:val="0"/>
          <w:marTop w:val="200"/>
          <w:marBottom w:val="0"/>
          <w:divBdr>
            <w:top w:val="none" w:sz="0" w:space="0" w:color="auto"/>
            <w:left w:val="none" w:sz="0" w:space="0" w:color="auto"/>
            <w:bottom w:val="none" w:sz="0" w:space="0" w:color="auto"/>
            <w:right w:val="none" w:sz="0" w:space="0" w:color="auto"/>
          </w:divBdr>
        </w:div>
        <w:div w:id="747460167">
          <w:marLeft w:val="806"/>
          <w:marRight w:val="0"/>
          <w:marTop w:val="200"/>
          <w:marBottom w:val="0"/>
          <w:divBdr>
            <w:top w:val="none" w:sz="0" w:space="0" w:color="auto"/>
            <w:left w:val="none" w:sz="0" w:space="0" w:color="auto"/>
            <w:bottom w:val="none" w:sz="0" w:space="0" w:color="auto"/>
            <w:right w:val="none" w:sz="0" w:space="0" w:color="auto"/>
          </w:divBdr>
        </w:div>
        <w:div w:id="1176110425">
          <w:marLeft w:val="806"/>
          <w:marRight w:val="0"/>
          <w:marTop w:val="200"/>
          <w:marBottom w:val="0"/>
          <w:divBdr>
            <w:top w:val="none" w:sz="0" w:space="0" w:color="auto"/>
            <w:left w:val="none" w:sz="0" w:space="0" w:color="auto"/>
            <w:bottom w:val="none" w:sz="0" w:space="0" w:color="auto"/>
            <w:right w:val="none" w:sz="0" w:space="0" w:color="auto"/>
          </w:divBdr>
        </w:div>
      </w:divsChild>
    </w:div>
    <w:div w:id="809857202">
      <w:bodyDiv w:val="1"/>
      <w:marLeft w:val="0"/>
      <w:marRight w:val="0"/>
      <w:marTop w:val="0"/>
      <w:marBottom w:val="0"/>
      <w:divBdr>
        <w:top w:val="none" w:sz="0" w:space="0" w:color="auto"/>
        <w:left w:val="none" w:sz="0" w:space="0" w:color="auto"/>
        <w:bottom w:val="none" w:sz="0" w:space="0" w:color="auto"/>
        <w:right w:val="none" w:sz="0" w:space="0" w:color="auto"/>
      </w:divBdr>
    </w:div>
    <w:div w:id="836043103">
      <w:bodyDiv w:val="1"/>
      <w:marLeft w:val="0"/>
      <w:marRight w:val="0"/>
      <w:marTop w:val="0"/>
      <w:marBottom w:val="0"/>
      <w:divBdr>
        <w:top w:val="none" w:sz="0" w:space="0" w:color="auto"/>
        <w:left w:val="none" w:sz="0" w:space="0" w:color="auto"/>
        <w:bottom w:val="none" w:sz="0" w:space="0" w:color="auto"/>
        <w:right w:val="none" w:sz="0" w:space="0" w:color="auto"/>
      </w:divBdr>
    </w:div>
    <w:div w:id="961502498">
      <w:bodyDiv w:val="1"/>
      <w:marLeft w:val="0"/>
      <w:marRight w:val="0"/>
      <w:marTop w:val="0"/>
      <w:marBottom w:val="0"/>
      <w:divBdr>
        <w:top w:val="none" w:sz="0" w:space="0" w:color="auto"/>
        <w:left w:val="none" w:sz="0" w:space="0" w:color="auto"/>
        <w:bottom w:val="none" w:sz="0" w:space="0" w:color="auto"/>
        <w:right w:val="none" w:sz="0" w:space="0" w:color="auto"/>
      </w:divBdr>
    </w:div>
    <w:div w:id="997615352">
      <w:bodyDiv w:val="1"/>
      <w:marLeft w:val="0"/>
      <w:marRight w:val="0"/>
      <w:marTop w:val="0"/>
      <w:marBottom w:val="0"/>
      <w:divBdr>
        <w:top w:val="none" w:sz="0" w:space="0" w:color="auto"/>
        <w:left w:val="none" w:sz="0" w:space="0" w:color="auto"/>
        <w:bottom w:val="none" w:sz="0" w:space="0" w:color="auto"/>
        <w:right w:val="none" w:sz="0" w:space="0" w:color="auto"/>
      </w:divBdr>
    </w:div>
    <w:div w:id="1001740446">
      <w:bodyDiv w:val="1"/>
      <w:marLeft w:val="0"/>
      <w:marRight w:val="0"/>
      <w:marTop w:val="0"/>
      <w:marBottom w:val="0"/>
      <w:divBdr>
        <w:top w:val="none" w:sz="0" w:space="0" w:color="auto"/>
        <w:left w:val="none" w:sz="0" w:space="0" w:color="auto"/>
        <w:bottom w:val="none" w:sz="0" w:space="0" w:color="auto"/>
        <w:right w:val="none" w:sz="0" w:space="0" w:color="auto"/>
      </w:divBdr>
      <w:divsChild>
        <w:div w:id="57557786">
          <w:marLeft w:val="360"/>
          <w:marRight w:val="0"/>
          <w:marTop w:val="200"/>
          <w:marBottom w:val="0"/>
          <w:divBdr>
            <w:top w:val="none" w:sz="0" w:space="0" w:color="auto"/>
            <w:left w:val="none" w:sz="0" w:space="0" w:color="auto"/>
            <w:bottom w:val="none" w:sz="0" w:space="0" w:color="auto"/>
            <w:right w:val="none" w:sz="0" w:space="0" w:color="auto"/>
          </w:divBdr>
        </w:div>
        <w:div w:id="1672023003">
          <w:marLeft w:val="1080"/>
          <w:marRight w:val="0"/>
          <w:marTop w:val="100"/>
          <w:marBottom w:val="0"/>
          <w:divBdr>
            <w:top w:val="none" w:sz="0" w:space="0" w:color="auto"/>
            <w:left w:val="none" w:sz="0" w:space="0" w:color="auto"/>
            <w:bottom w:val="none" w:sz="0" w:space="0" w:color="auto"/>
            <w:right w:val="none" w:sz="0" w:space="0" w:color="auto"/>
          </w:divBdr>
        </w:div>
        <w:div w:id="1410076825">
          <w:marLeft w:val="1080"/>
          <w:marRight w:val="0"/>
          <w:marTop w:val="100"/>
          <w:marBottom w:val="0"/>
          <w:divBdr>
            <w:top w:val="none" w:sz="0" w:space="0" w:color="auto"/>
            <w:left w:val="none" w:sz="0" w:space="0" w:color="auto"/>
            <w:bottom w:val="none" w:sz="0" w:space="0" w:color="auto"/>
            <w:right w:val="none" w:sz="0" w:space="0" w:color="auto"/>
          </w:divBdr>
        </w:div>
        <w:div w:id="1687903964">
          <w:marLeft w:val="360"/>
          <w:marRight w:val="0"/>
          <w:marTop w:val="200"/>
          <w:marBottom w:val="0"/>
          <w:divBdr>
            <w:top w:val="none" w:sz="0" w:space="0" w:color="auto"/>
            <w:left w:val="none" w:sz="0" w:space="0" w:color="auto"/>
            <w:bottom w:val="none" w:sz="0" w:space="0" w:color="auto"/>
            <w:right w:val="none" w:sz="0" w:space="0" w:color="auto"/>
          </w:divBdr>
        </w:div>
        <w:div w:id="433015181">
          <w:marLeft w:val="1080"/>
          <w:marRight w:val="0"/>
          <w:marTop w:val="100"/>
          <w:marBottom w:val="0"/>
          <w:divBdr>
            <w:top w:val="none" w:sz="0" w:space="0" w:color="auto"/>
            <w:left w:val="none" w:sz="0" w:space="0" w:color="auto"/>
            <w:bottom w:val="none" w:sz="0" w:space="0" w:color="auto"/>
            <w:right w:val="none" w:sz="0" w:space="0" w:color="auto"/>
          </w:divBdr>
        </w:div>
        <w:div w:id="2064520955">
          <w:marLeft w:val="1080"/>
          <w:marRight w:val="0"/>
          <w:marTop w:val="100"/>
          <w:marBottom w:val="0"/>
          <w:divBdr>
            <w:top w:val="none" w:sz="0" w:space="0" w:color="auto"/>
            <w:left w:val="none" w:sz="0" w:space="0" w:color="auto"/>
            <w:bottom w:val="none" w:sz="0" w:space="0" w:color="auto"/>
            <w:right w:val="none" w:sz="0" w:space="0" w:color="auto"/>
          </w:divBdr>
        </w:div>
        <w:div w:id="1984117855">
          <w:marLeft w:val="360"/>
          <w:marRight w:val="0"/>
          <w:marTop w:val="200"/>
          <w:marBottom w:val="0"/>
          <w:divBdr>
            <w:top w:val="none" w:sz="0" w:space="0" w:color="auto"/>
            <w:left w:val="none" w:sz="0" w:space="0" w:color="auto"/>
            <w:bottom w:val="none" w:sz="0" w:space="0" w:color="auto"/>
            <w:right w:val="none" w:sz="0" w:space="0" w:color="auto"/>
          </w:divBdr>
        </w:div>
        <w:div w:id="1887719026">
          <w:marLeft w:val="1080"/>
          <w:marRight w:val="0"/>
          <w:marTop w:val="100"/>
          <w:marBottom w:val="0"/>
          <w:divBdr>
            <w:top w:val="none" w:sz="0" w:space="0" w:color="auto"/>
            <w:left w:val="none" w:sz="0" w:space="0" w:color="auto"/>
            <w:bottom w:val="none" w:sz="0" w:space="0" w:color="auto"/>
            <w:right w:val="none" w:sz="0" w:space="0" w:color="auto"/>
          </w:divBdr>
        </w:div>
        <w:div w:id="564413494">
          <w:marLeft w:val="1080"/>
          <w:marRight w:val="0"/>
          <w:marTop w:val="100"/>
          <w:marBottom w:val="0"/>
          <w:divBdr>
            <w:top w:val="none" w:sz="0" w:space="0" w:color="auto"/>
            <w:left w:val="none" w:sz="0" w:space="0" w:color="auto"/>
            <w:bottom w:val="none" w:sz="0" w:space="0" w:color="auto"/>
            <w:right w:val="none" w:sz="0" w:space="0" w:color="auto"/>
          </w:divBdr>
        </w:div>
        <w:div w:id="1306734718">
          <w:marLeft w:val="1080"/>
          <w:marRight w:val="0"/>
          <w:marTop w:val="100"/>
          <w:marBottom w:val="0"/>
          <w:divBdr>
            <w:top w:val="none" w:sz="0" w:space="0" w:color="auto"/>
            <w:left w:val="none" w:sz="0" w:space="0" w:color="auto"/>
            <w:bottom w:val="none" w:sz="0" w:space="0" w:color="auto"/>
            <w:right w:val="none" w:sz="0" w:space="0" w:color="auto"/>
          </w:divBdr>
        </w:div>
        <w:div w:id="1493720775">
          <w:marLeft w:val="360"/>
          <w:marRight w:val="0"/>
          <w:marTop w:val="200"/>
          <w:marBottom w:val="0"/>
          <w:divBdr>
            <w:top w:val="none" w:sz="0" w:space="0" w:color="auto"/>
            <w:left w:val="none" w:sz="0" w:space="0" w:color="auto"/>
            <w:bottom w:val="none" w:sz="0" w:space="0" w:color="auto"/>
            <w:right w:val="none" w:sz="0" w:space="0" w:color="auto"/>
          </w:divBdr>
        </w:div>
        <w:div w:id="1822234956">
          <w:marLeft w:val="1080"/>
          <w:marRight w:val="0"/>
          <w:marTop w:val="100"/>
          <w:marBottom w:val="0"/>
          <w:divBdr>
            <w:top w:val="none" w:sz="0" w:space="0" w:color="auto"/>
            <w:left w:val="none" w:sz="0" w:space="0" w:color="auto"/>
            <w:bottom w:val="none" w:sz="0" w:space="0" w:color="auto"/>
            <w:right w:val="none" w:sz="0" w:space="0" w:color="auto"/>
          </w:divBdr>
        </w:div>
        <w:div w:id="471599636">
          <w:marLeft w:val="360"/>
          <w:marRight w:val="0"/>
          <w:marTop w:val="200"/>
          <w:marBottom w:val="0"/>
          <w:divBdr>
            <w:top w:val="none" w:sz="0" w:space="0" w:color="auto"/>
            <w:left w:val="none" w:sz="0" w:space="0" w:color="auto"/>
            <w:bottom w:val="none" w:sz="0" w:space="0" w:color="auto"/>
            <w:right w:val="none" w:sz="0" w:space="0" w:color="auto"/>
          </w:divBdr>
        </w:div>
      </w:divsChild>
    </w:div>
    <w:div w:id="1036320941">
      <w:bodyDiv w:val="1"/>
      <w:marLeft w:val="0"/>
      <w:marRight w:val="0"/>
      <w:marTop w:val="0"/>
      <w:marBottom w:val="0"/>
      <w:divBdr>
        <w:top w:val="none" w:sz="0" w:space="0" w:color="auto"/>
        <w:left w:val="none" w:sz="0" w:space="0" w:color="auto"/>
        <w:bottom w:val="none" w:sz="0" w:space="0" w:color="auto"/>
        <w:right w:val="none" w:sz="0" w:space="0" w:color="auto"/>
      </w:divBdr>
    </w:div>
    <w:div w:id="1060129977">
      <w:bodyDiv w:val="1"/>
      <w:marLeft w:val="0"/>
      <w:marRight w:val="0"/>
      <w:marTop w:val="0"/>
      <w:marBottom w:val="0"/>
      <w:divBdr>
        <w:top w:val="none" w:sz="0" w:space="0" w:color="auto"/>
        <w:left w:val="none" w:sz="0" w:space="0" w:color="auto"/>
        <w:bottom w:val="none" w:sz="0" w:space="0" w:color="auto"/>
        <w:right w:val="none" w:sz="0" w:space="0" w:color="auto"/>
      </w:divBdr>
      <w:divsChild>
        <w:div w:id="1889873278">
          <w:marLeft w:val="547"/>
          <w:marRight w:val="0"/>
          <w:marTop w:val="0"/>
          <w:marBottom w:val="0"/>
          <w:divBdr>
            <w:top w:val="none" w:sz="0" w:space="0" w:color="auto"/>
            <w:left w:val="none" w:sz="0" w:space="0" w:color="auto"/>
            <w:bottom w:val="none" w:sz="0" w:space="0" w:color="auto"/>
            <w:right w:val="none" w:sz="0" w:space="0" w:color="auto"/>
          </w:divBdr>
        </w:div>
      </w:divsChild>
    </w:div>
    <w:div w:id="1191795842">
      <w:bodyDiv w:val="1"/>
      <w:marLeft w:val="0"/>
      <w:marRight w:val="0"/>
      <w:marTop w:val="0"/>
      <w:marBottom w:val="0"/>
      <w:divBdr>
        <w:top w:val="none" w:sz="0" w:space="0" w:color="auto"/>
        <w:left w:val="none" w:sz="0" w:space="0" w:color="auto"/>
        <w:bottom w:val="none" w:sz="0" w:space="0" w:color="auto"/>
        <w:right w:val="none" w:sz="0" w:space="0" w:color="auto"/>
      </w:divBdr>
    </w:div>
    <w:div w:id="1214973612">
      <w:bodyDiv w:val="1"/>
      <w:marLeft w:val="0"/>
      <w:marRight w:val="0"/>
      <w:marTop w:val="0"/>
      <w:marBottom w:val="0"/>
      <w:divBdr>
        <w:top w:val="none" w:sz="0" w:space="0" w:color="auto"/>
        <w:left w:val="none" w:sz="0" w:space="0" w:color="auto"/>
        <w:bottom w:val="none" w:sz="0" w:space="0" w:color="auto"/>
        <w:right w:val="none" w:sz="0" w:space="0" w:color="auto"/>
      </w:divBdr>
    </w:div>
    <w:div w:id="1422920022">
      <w:bodyDiv w:val="1"/>
      <w:marLeft w:val="0"/>
      <w:marRight w:val="0"/>
      <w:marTop w:val="0"/>
      <w:marBottom w:val="0"/>
      <w:divBdr>
        <w:top w:val="none" w:sz="0" w:space="0" w:color="auto"/>
        <w:left w:val="none" w:sz="0" w:space="0" w:color="auto"/>
        <w:bottom w:val="none" w:sz="0" w:space="0" w:color="auto"/>
        <w:right w:val="none" w:sz="0" w:space="0" w:color="auto"/>
      </w:divBdr>
    </w:div>
    <w:div w:id="1575042650">
      <w:bodyDiv w:val="1"/>
      <w:marLeft w:val="0"/>
      <w:marRight w:val="0"/>
      <w:marTop w:val="0"/>
      <w:marBottom w:val="0"/>
      <w:divBdr>
        <w:top w:val="none" w:sz="0" w:space="0" w:color="auto"/>
        <w:left w:val="none" w:sz="0" w:space="0" w:color="auto"/>
        <w:bottom w:val="none" w:sz="0" w:space="0" w:color="auto"/>
        <w:right w:val="none" w:sz="0" w:space="0" w:color="auto"/>
      </w:divBdr>
    </w:div>
    <w:div w:id="1587417147">
      <w:bodyDiv w:val="1"/>
      <w:marLeft w:val="0"/>
      <w:marRight w:val="0"/>
      <w:marTop w:val="0"/>
      <w:marBottom w:val="0"/>
      <w:divBdr>
        <w:top w:val="none" w:sz="0" w:space="0" w:color="auto"/>
        <w:left w:val="none" w:sz="0" w:space="0" w:color="auto"/>
        <w:bottom w:val="none" w:sz="0" w:space="0" w:color="auto"/>
        <w:right w:val="none" w:sz="0" w:space="0" w:color="auto"/>
      </w:divBdr>
    </w:div>
    <w:div w:id="1642298248">
      <w:bodyDiv w:val="1"/>
      <w:marLeft w:val="0"/>
      <w:marRight w:val="0"/>
      <w:marTop w:val="0"/>
      <w:marBottom w:val="0"/>
      <w:divBdr>
        <w:top w:val="none" w:sz="0" w:space="0" w:color="auto"/>
        <w:left w:val="none" w:sz="0" w:space="0" w:color="auto"/>
        <w:bottom w:val="none" w:sz="0" w:space="0" w:color="auto"/>
        <w:right w:val="none" w:sz="0" w:space="0" w:color="auto"/>
      </w:divBdr>
    </w:div>
    <w:div w:id="1667711269">
      <w:bodyDiv w:val="1"/>
      <w:marLeft w:val="0"/>
      <w:marRight w:val="0"/>
      <w:marTop w:val="0"/>
      <w:marBottom w:val="0"/>
      <w:divBdr>
        <w:top w:val="none" w:sz="0" w:space="0" w:color="auto"/>
        <w:left w:val="none" w:sz="0" w:space="0" w:color="auto"/>
        <w:bottom w:val="none" w:sz="0" w:space="0" w:color="auto"/>
        <w:right w:val="none" w:sz="0" w:space="0" w:color="auto"/>
      </w:divBdr>
    </w:div>
    <w:div w:id="1712874963">
      <w:bodyDiv w:val="1"/>
      <w:marLeft w:val="0"/>
      <w:marRight w:val="0"/>
      <w:marTop w:val="0"/>
      <w:marBottom w:val="0"/>
      <w:divBdr>
        <w:top w:val="none" w:sz="0" w:space="0" w:color="auto"/>
        <w:left w:val="none" w:sz="0" w:space="0" w:color="auto"/>
        <w:bottom w:val="none" w:sz="0" w:space="0" w:color="auto"/>
        <w:right w:val="none" w:sz="0" w:space="0" w:color="auto"/>
      </w:divBdr>
    </w:div>
    <w:div w:id="1782453576">
      <w:bodyDiv w:val="1"/>
      <w:marLeft w:val="0"/>
      <w:marRight w:val="0"/>
      <w:marTop w:val="0"/>
      <w:marBottom w:val="0"/>
      <w:divBdr>
        <w:top w:val="none" w:sz="0" w:space="0" w:color="auto"/>
        <w:left w:val="none" w:sz="0" w:space="0" w:color="auto"/>
        <w:bottom w:val="none" w:sz="0" w:space="0" w:color="auto"/>
        <w:right w:val="none" w:sz="0" w:space="0" w:color="auto"/>
      </w:divBdr>
    </w:div>
    <w:div w:id="1809668999">
      <w:bodyDiv w:val="1"/>
      <w:marLeft w:val="0"/>
      <w:marRight w:val="0"/>
      <w:marTop w:val="0"/>
      <w:marBottom w:val="0"/>
      <w:divBdr>
        <w:top w:val="none" w:sz="0" w:space="0" w:color="auto"/>
        <w:left w:val="none" w:sz="0" w:space="0" w:color="auto"/>
        <w:bottom w:val="none" w:sz="0" w:space="0" w:color="auto"/>
        <w:right w:val="none" w:sz="0" w:space="0" w:color="auto"/>
      </w:divBdr>
    </w:div>
    <w:div w:id="1905330175">
      <w:bodyDiv w:val="1"/>
      <w:marLeft w:val="0"/>
      <w:marRight w:val="0"/>
      <w:marTop w:val="0"/>
      <w:marBottom w:val="0"/>
      <w:divBdr>
        <w:top w:val="none" w:sz="0" w:space="0" w:color="auto"/>
        <w:left w:val="none" w:sz="0" w:space="0" w:color="auto"/>
        <w:bottom w:val="none" w:sz="0" w:space="0" w:color="auto"/>
        <w:right w:val="none" w:sz="0" w:space="0" w:color="auto"/>
      </w:divBdr>
    </w:div>
    <w:div w:id="1938126298">
      <w:bodyDiv w:val="1"/>
      <w:marLeft w:val="0"/>
      <w:marRight w:val="0"/>
      <w:marTop w:val="0"/>
      <w:marBottom w:val="0"/>
      <w:divBdr>
        <w:top w:val="none" w:sz="0" w:space="0" w:color="auto"/>
        <w:left w:val="none" w:sz="0" w:space="0" w:color="auto"/>
        <w:bottom w:val="none" w:sz="0" w:space="0" w:color="auto"/>
        <w:right w:val="none" w:sz="0" w:space="0" w:color="auto"/>
      </w:divBdr>
    </w:div>
    <w:div w:id="2045711987">
      <w:bodyDiv w:val="1"/>
      <w:marLeft w:val="0"/>
      <w:marRight w:val="0"/>
      <w:marTop w:val="0"/>
      <w:marBottom w:val="0"/>
      <w:divBdr>
        <w:top w:val="none" w:sz="0" w:space="0" w:color="auto"/>
        <w:left w:val="none" w:sz="0" w:space="0" w:color="auto"/>
        <w:bottom w:val="none" w:sz="0" w:space="0" w:color="auto"/>
        <w:right w:val="none" w:sz="0" w:space="0" w:color="auto"/>
      </w:divBdr>
      <w:divsChild>
        <w:div w:id="816846111">
          <w:marLeft w:val="360"/>
          <w:marRight w:val="0"/>
          <w:marTop w:val="200"/>
          <w:marBottom w:val="0"/>
          <w:divBdr>
            <w:top w:val="none" w:sz="0" w:space="0" w:color="auto"/>
            <w:left w:val="none" w:sz="0" w:space="0" w:color="auto"/>
            <w:bottom w:val="none" w:sz="0" w:space="0" w:color="auto"/>
            <w:right w:val="none" w:sz="0" w:space="0" w:color="auto"/>
          </w:divBdr>
        </w:div>
        <w:div w:id="754058934">
          <w:marLeft w:val="360"/>
          <w:marRight w:val="0"/>
          <w:marTop w:val="200"/>
          <w:marBottom w:val="0"/>
          <w:divBdr>
            <w:top w:val="none" w:sz="0" w:space="0" w:color="auto"/>
            <w:left w:val="none" w:sz="0" w:space="0" w:color="auto"/>
            <w:bottom w:val="none" w:sz="0" w:space="0" w:color="auto"/>
            <w:right w:val="none" w:sz="0" w:space="0" w:color="auto"/>
          </w:divBdr>
        </w:div>
      </w:divsChild>
    </w:div>
    <w:div w:id="2090928957">
      <w:bodyDiv w:val="1"/>
      <w:marLeft w:val="0"/>
      <w:marRight w:val="0"/>
      <w:marTop w:val="0"/>
      <w:marBottom w:val="0"/>
      <w:divBdr>
        <w:top w:val="none" w:sz="0" w:space="0" w:color="auto"/>
        <w:left w:val="none" w:sz="0" w:space="0" w:color="auto"/>
        <w:bottom w:val="none" w:sz="0" w:space="0" w:color="auto"/>
        <w:right w:val="none" w:sz="0" w:space="0" w:color="auto"/>
      </w:divBdr>
    </w:div>
    <w:div w:id="2112780478">
      <w:bodyDiv w:val="1"/>
      <w:marLeft w:val="0"/>
      <w:marRight w:val="0"/>
      <w:marTop w:val="0"/>
      <w:marBottom w:val="0"/>
      <w:divBdr>
        <w:top w:val="none" w:sz="0" w:space="0" w:color="auto"/>
        <w:left w:val="none" w:sz="0" w:space="0" w:color="auto"/>
        <w:bottom w:val="none" w:sz="0" w:space="0" w:color="auto"/>
        <w:right w:val="none" w:sz="0" w:space="0" w:color="auto"/>
      </w:divBdr>
      <w:divsChild>
        <w:div w:id="1947151924">
          <w:marLeft w:val="360"/>
          <w:marRight w:val="0"/>
          <w:marTop w:val="200"/>
          <w:marBottom w:val="0"/>
          <w:divBdr>
            <w:top w:val="none" w:sz="0" w:space="0" w:color="auto"/>
            <w:left w:val="none" w:sz="0" w:space="0" w:color="auto"/>
            <w:bottom w:val="none" w:sz="0" w:space="0" w:color="auto"/>
            <w:right w:val="none" w:sz="0" w:space="0" w:color="auto"/>
          </w:divBdr>
        </w:div>
        <w:div w:id="1280450966">
          <w:marLeft w:val="360"/>
          <w:marRight w:val="0"/>
          <w:marTop w:val="200"/>
          <w:marBottom w:val="0"/>
          <w:divBdr>
            <w:top w:val="none" w:sz="0" w:space="0" w:color="auto"/>
            <w:left w:val="none" w:sz="0" w:space="0" w:color="auto"/>
            <w:bottom w:val="none" w:sz="0" w:space="0" w:color="auto"/>
            <w:right w:val="none" w:sz="0" w:space="0" w:color="auto"/>
          </w:divBdr>
        </w:div>
        <w:div w:id="1489327750">
          <w:marLeft w:val="360"/>
          <w:marRight w:val="0"/>
          <w:marTop w:val="200"/>
          <w:marBottom w:val="0"/>
          <w:divBdr>
            <w:top w:val="none" w:sz="0" w:space="0" w:color="auto"/>
            <w:left w:val="none" w:sz="0" w:space="0" w:color="auto"/>
            <w:bottom w:val="none" w:sz="0" w:space="0" w:color="auto"/>
            <w:right w:val="none" w:sz="0" w:space="0" w:color="auto"/>
          </w:divBdr>
        </w:div>
      </w:divsChild>
    </w:div>
    <w:div w:id="21383301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4.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cid:image002.png@01D40FE4.DF561DB0" TargetMode="Externa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95BE127-0606-4148-9405-4CA4F73CAD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36</Pages>
  <Words>12494</Words>
  <Characters>71216</Characters>
  <Application>Microsoft Office Word</Application>
  <DocSecurity>0</DocSecurity>
  <Lines>593</Lines>
  <Paragraphs>167</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
      <vt:lpstr/>
    </vt:vector>
  </TitlesOfParts>
  <Company/>
  <LinksUpToDate>false</LinksUpToDate>
  <CharactersWithSpaces>83543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Sebastian Bauhoff</dc:creator>
  <cp:keywords/>
  <dc:description/>
  <cp:lastModifiedBy>Chiara Dell'Aira</cp:lastModifiedBy>
  <cp:revision>5</cp:revision>
  <cp:lastPrinted>2020-02-13T15:35:00Z</cp:lastPrinted>
  <dcterms:created xsi:type="dcterms:W3CDTF">2021-12-10T14:54:00Z</dcterms:created>
  <dcterms:modified xsi:type="dcterms:W3CDTF">2021-12-10T19:28:00Z</dcterms:modified>
</cp:coreProperties>
</file>