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86A8E4" w14:textId="099D51DD" w:rsidR="006718E4" w:rsidRPr="00DA7275" w:rsidRDefault="00DA7275" w:rsidP="000417BB">
      <w:pPr>
        <w:pStyle w:val="Ttulo1"/>
        <w:jc w:val="center"/>
      </w:pPr>
      <w:r w:rsidRPr="00DA7275">
        <w:t>Impact Evaluation Concept Note</w:t>
      </w:r>
      <w:r w:rsidR="006718E4">
        <w:t xml:space="preserve"> – Regression Discontinuity Design</w:t>
      </w:r>
    </w:p>
    <w:p w14:paraId="0E4D1E50" w14:textId="070C8FED" w:rsidR="000417BB" w:rsidRDefault="34899E99" w:rsidP="34899E99">
      <w:pPr>
        <w:pStyle w:val="Ttulo1"/>
        <w:rPr>
          <w:rFonts w:eastAsia="Calibri" w:cs="Calibri"/>
          <w:lang w:val="en"/>
        </w:rPr>
      </w:pPr>
      <w:r w:rsidRPr="34899E99">
        <w:rPr>
          <w:rFonts w:eastAsia="Calibri" w:cs="Calibri"/>
          <w:lang w:val="en"/>
        </w:rPr>
        <w:t xml:space="preserve"> Action Against Hunger</w:t>
      </w:r>
    </w:p>
    <w:p w14:paraId="6EBFB5DC" w14:textId="05E3D27E" w:rsidR="34899E99" w:rsidRDefault="34899E99" w:rsidP="00AE2371">
      <w:pPr>
        <w:rPr>
          <w:lang w:val="es-CO"/>
        </w:rPr>
      </w:pPr>
    </w:p>
    <w:p w14:paraId="4F0A804F" w14:textId="77777777" w:rsidR="00DA7275" w:rsidRDefault="00DA7275" w:rsidP="00DA7275">
      <w:pPr>
        <w:jc w:val="center"/>
        <w:rPr>
          <w:b/>
        </w:rPr>
      </w:pPr>
    </w:p>
    <w:p w14:paraId="573F9DDF" w14:textId="0C60D119" w:rsidR="00DA7275" w:rsidRDefault="00DA7275" w:rsidP="00DA7275">
      <w:pPr>
        <w:rPr>
          <w:b/>
        </w:rPr>
      </w:pPr>
    </w:p>
    <w:p w14:paraId="3E985079" w14:textId="6027A937" w:rsidR="00DA7275" w:rsidRPr="002D1BCD" w:rsidRDefault="00DA7275" w:rsidP="00BC5779">
      <w:pPr>
        <w:pStyle w:val="Ttulo2"/>
        <w:numPr>
          <w:ilvl w:val="0"/>
          <w:numId w:val="5"/>
        </w:numPr>
      </w:pPr>
      <w:r w:rsidRPr="108E77EB">
        <w:t>Research Questions</w:t>
      </w:r>
    </w:p>
    <w:p w14:paraId="45F4D4CE" w14:textId="15E1E7A0" w:rsidR="00030D69" w:rsidRDefault="00030D69" w:rsidP="00DA7275">
      <w:pPr>
        <w:rPr>
          <w:b/>
        </w:rPr>
      </w:pPr>
      <w:r>
        <w:t>In this study</w:t>
      </w:r>
      <w:r w:rsidR="00D22625">
        <w:t>,</w:t>
      </w:r>
      <w:r>
        <w:t xml:space="preserve"> we ask whether cash assistance to immigrants</w:t>
      </w:r>
      <w:r w:rsidR="00AD4130">
        <w:t xml:space="preserve"> from Venezuela</w:t>
      </w:r>
      <w:r w:rsidR="00FB59B8">
        <w:t xml:space="preserve"> and internal migrants in Colombia</w:t>
      </w:r>
      <w:r w:rsidR="00AD4130">
        <w:t xml:space="preserve"> that live</w:t>
      </w:r>
      <w:r>
        <w:t xml:space="preserve"> in </w:t>
      </w:r>
      <w:r w:rsidR="00AD4130">
        <w:t xml:space="preserve">conditions of social </w:t>
      </w:r>
      <w:r>
        <w:t xml:space="preserve">vulnerability </w:t>
      </w:r>
      <w:r w:rsidR="00AD4130">
        <w:t xml:space="preserve">help to overcome short-term financial stress (e.g., food insecurity), emotional well-being, intrahousehold violence, and long-term outcomes of economic self-sustainability (e.g., entrepreneurship). </w:t>
      </w:r>
    </w:p>
    <w:p w14:paraId="621607F4" w14:textId="6C937BD8" w:rsidR="00DA7275" w:rsidRPr="00AD4130" w:rsidRDefault="00DA7275" w:rsidP="00BC5779">
      <w:pPr>
        <w:pStyle w:val="Ttulo2"/>
        <w:numPr>
          <w:ilvl w:val="0"/>
          <w:numId w:val="5"/>
        </w:numPr>
      </w:pPr>
      <w:r w:rsidRPr="108E77EB">
        <w:t xml:space="preserve">Identification Strategy </w:t>
      </w:r>
    </w:p>
    <w:p w14:paraId="4963B2DA" w14:textId="2983A313" w:rsidR="00DD1A07" w:rsidRDefault="00AD4130" w:rsidP="00AD4130">
      <w:r>
        <w:t>Our main identification strategy is a Regression Discontinuity Design</w:t>
      </w:r>
      <w:r w:rsidR="00DD1A07">
        <w:t xml:space="preserve"> (RDD)</w:t>
      </w:r>
      <w:r>
        <w:t xml:space="preserve">. </w:t>
      </w:r>
      <w:r w:rsidRPr="00AD4130">
        <w:t xml:space="preserve">To obtain a causal estimate of the effect of </w:t>
      </w:r>
      <w:r>
        <w:t>the cash assistance</w:t>
      </w:r>
      <w:r w:rsidRPr="00AD4130">
        <w:t>, we exploit the eligibility rule</w:t>
      </w:r>
      <w:r>
        <w:t xml:space="preserve"> of the program that assigns a </w:t>
      </w:r>
      <w:r w:rsidR="005A32F1">
        <w:t xml:space="preserve">set of </w:t>
      </w:r>
      <w:r>
        <w:t>score</w:t>
      </w:r>
      <w:r w:rsidR="005A32F1">
        <w:t>s</w:t>
      </w:r>
      <w:r>
        <w:t xml:space="preserve"> </w:t>
      </w:r>
      <w:r w:rsidR="005A32F1">
        <w:t xml:space="preserve">to each individual </w:t>
      </w:r>
      <w:r>
        <w:t xml:space="preserve">based on </w:t>
      </w:r>
      <w:r w:rsidR="006D261F">
        <w:t xml:space="preserve">the </w:t>
      </w:r>
      <w:r>
        <w:t xml:space="preserve">characteristics of the families at the moment of application. </w:t>
      </w:r>
      <w:r w:rsidR="00361A70">
        <w:t>Once each family’s vulnerability is assessed through a s</w:t>
      </w:r>
      <w:r w:rsidR="00972740">
        <w:t>ociodemographic and economic characteristics survey, two scores are assigned to each</w:t>
      </w:r>
      <w:r w:rsidR="00361A70">
        <w:t xml:space="preserve">. </w:t>
      </w:r>
      <w:r w:rsidR="00A92EFA">
        <w:t xml:space="preserve">This design compares outcomes of individuals who are just above and below an eligibility threshold of </w:t>
      </w:r>
      <w:r w:rsidR="005A32F1">
        <w:t>both scores</w:t>
      </w:r>
      <w:r w:rsidR="00A92EFA">
        <w:t xml:space="preserve">. </w:t>
      </w:r>
      <w:r w:rsidR="00361A70">
        <w:t>Families do not know how the score</w:t>
      </w:r>
      <w:r w:rsidR="005A32F1">
        <w:t>s are</w:t>
      </w:r>
      <w:r w:rsidR="00361A70">
        <w:t xml:space="preserve"> computed and so are not able to manipulate variables in order to change it. </w:t>
      </w:r>
      <w:r w:rsidR="005A3EC6">
        <w:t>Based on budget constraints, the program</w:t>
      </w:r>
      <w:r w:rsidR="00361A70">
        <w:t xml:space="preserve"> </w:t>
      </w:r>
      <w:r w:rsidR="00F80617">
        <w:t>gives cash assistance to every family with a vulnerability score of 90 or above</w:t>
      </w:r>
      <w:r w:rsidR="005A32F1">
        <w:t xml:space="preserve"> for one of the scores (Scorecard Model </w:t>
      </w:r>
      <w:r w:rsidR="00EC40C3">
        <w:t>s</w:t>
      </w:r>
      <w:r w:rsidR="005A32F1">
        <w:t xml:space="preserve">core) and </w:t>
      </w:r>
      <w:r w:rsidR="006D261F">
        <w:t xml:space="preserve">estimated household expenses </w:t>
      </w:r>
      <w:r w:rsidR="005A32F1">
        <w:t xml:space="preserve">below </w:t>
      </w:r>
      <w:r w:rsidR="00974A94">
        <w:t xml:space="preserve">53,168 </w:t>
      </w:r>
      <w:r w:rsidR="006D261F">
        <w:t xml:space="preserve">calculated using </w:t>
      </w:r>
      <w:r w:rsidR="00974A94">
        <w:t>a Proxy Means Test</w:t>
      </w:r>
      <w:r w:rsidR="00F80617">
        <w:t xml:space="preserve">. </w:t>
      </w:r>
      <w:r w:rsidR="001556DB">
        <w:t xml:space="preserve">We are restricting the sample of analysis to </w:t>
      </w:r>
      <w:r w:rsidR="005E49DF">
        <w:t xml:space="preserve">individuals who were surveyed for their eligibility assessment </w:t>
      </w:r>
      <w:r w:rsidR="00DA4123">
        <w:t>between November 2021 and April 2022</w:t>
      </w:r>
      <w:r w:rsidR="00B158D3">
        <w:t xml:space="preserve">. This is because the program delivers the first cash transfer within the first months of </w:t>
      </w:r>
      <w:r w:rsidR="004D310F">
        <w:t xml:space="preserve">defining the eligibility status of each individual. Given that the program lasts approximately </w:t>
      </w:r>
      <w:r w:rsidR="00CF09FD">
        <w:t xml:space="preserve">6 </w:t>
      </w:r>
      <w:r w:rsidR="00A21B76">
        <w:t>months</w:t>
      </w:r>
      <w:r w:rsidR="00CF09FD">
        <w:t xml:space="preserve"> since the first cash transfer, this will allow us to </w:t>
      </w:r>
      <w:r w:rsidR="00A21B76">
        <w:t>evaluate the outcomes of</w:t>
      </w:r>
      <w:r w:rsidR="00CF09FD">
        <w:t xml:space="preserve"> a cohort of participants </w:t>
      </w:r>
      <w:r w:rsidR="00A21B76">
        <w:t>between 1 and 3 months of graduation from the program.</w:t>
      </w:r>
    </w:p>
    <w:p w14:paraId="6DF53B34" w14:textId="0F31C8AD" w:rsidR="00903567" w:rsidRDefault="00F80617" w:rsidP="00AD4130">
      <w:r>
        <w:t>The distribution of the score</w:t>
      </w:r>
      <w:r w:rsidR="006D261F">
        <w:t>s</w:t>
      </w:r>
      <w:r>
        <w:t xml:space="preserve"> </w:t>
      </w:r>
      <w:r w:rsidR="006D261F">
        <w:t xml:space="preserve">across the full support of both assignment variables </w:t>
      </w:r>
      <w:r>
        <w:t>is shown in Panel A</w:t>
      </w:r>
      <w:r w:rsidR="006D261F">
        <w:t xml:space="preserve"> and Panel C</w:t>
      </w:r>
      <w:r>
        <w:t xml:space="preserve"> – Figure 1.</w:t>
      </w:r>
      <w:r w:rsidR="00DD1A07">
        <w:t xml:space="preserve"> </w:t>
      </w:r>
      <w:r w:rsidR="00DD1A07" w:rsidRPr="00DD1A07">
        <w:t xml:space="preserve">One potential problem of RD designs is that </w:t>
      </w:r>
      <w:r w:rsidR="00DD1A07">
        <w:t>applicants may be able to alter the score</w:t>
      </w:r>
      <w:r w:rsidR="006D261F">
        <w:t>s</w:t>
      </w:r>
      <w:r w:rsidR="00DD1A07">
        <w:t xml:space="preserve"> used to assign the program in their favor </w:t>
      </w:r>
      <w:r w:rsidR="000524C1">
        <w:t>to</w:t>
      </w:r>
      <w:r w:rsidR="00DD1A07">
        <w:t xml:space="preserve"> become eligible for the benefits. </w:t>
      </w:r>
      <w:r w:rsidR="00A92EFA">
        <w:t>The Figure</w:t>
      </w:r>
      <w:r w:rsidR="00EC40C3">
        <w:t>s</w:t>
      </w:r>
      <w:r w:rsidR="00A92EFA">
        <w:t xml:space="preserve"> show that at the threshold of 90 points</w:t>
      </w:r>
      <w:r w:rsidR="00EC40C3">
        <w:t xml:space="preserve"> of the Scorecard Model (SM) score, and at the threshold of 53,168 in household expenses from the Proxy Means Test (PMT) </w:t>
      </w:r>
      <w:r w:rsidR="00A92EFA">
        <w:t>there are no evident changes in the density of the score</w:t>
      </w:r>
      <w:r w:rsidR="00EC40C3">
        <w:t>s</w:t>
      </w:r>
      <w:r w:rsidR="00A92EFA">
        <w:t>. A formal test of this condition is shown in Panel B</w:t>
      </w:r>
      <w:r w:rsidR="00EC40C3">
        <w:t xml:space="preserve"> and Panel D</w:t>
      </w:r>
      <w:r w:rsidR="00A92EFA">
        <w:t>- Figure 1 where we plot the density of individuals within bandwidths of the score</w:t>
      </w:r>
      <w:r w:rsidR="00EC40C3">
        <w:t>s</w:t>
      </w:r>
      <w:r w:rsidR="00A92EFA">
        <w:t>, together with confidence intervals. The Figure</w:t>
      </w:r>
      <w:r w:rsidR="00EC40C3">
        <w:t>s</w:t>
      </w:r>
      <w:r w:rsidR="00A92EFA">
        <w:t xml:space="preserve"> </w:t>
      </w:r>
      <w:r w:rsidR="006850A0">
        <w:t>show</w:t>
      </w:r>
      <w:r w:rsidR="00A92EFA">
        <w:t xml:space="preserve"> that there are </w:t>
      </w:r>
      <w:r w:rsidR="006850A0">
        <w:t>no</w:t>
      </w:r>
      <w:r w:rsidR="00EC40C3">
        <w:t xml:space="preserve"> </w:t>
      </w:r>
      <w:r w:rsidR="00A92EFA">
        <w:t xml:space="preserve">significant changes in the number of individuals </w:t>
      </w:r>
      <w:r w:rsidR="007A4FF8">
        <w:t xml:space="preserve">in </w:t>
      </w:r>
      <w:r w:rsidR="00EC40C3">
        <w:t xml:space="preserve">close vicinity at </w:t>
      </w:r>
      <w:r w:rsidR="00A92EFA">
        <w:t>the left or right of the 90-points threshold</w:t>
      </w:r>
      <w:r w:rsidR="00EC40C3">
        <w:t xml:space="preserve"> and the 53,168</w:t>
      </w:r>
      <w:r w:rsidR="000524C1">
        <w:t xml:space="preserve"> </w:t>
      </w:r>
      <w:r w:rsidR="00EC40C3">
        <w:t>threshold for the SM score and the PMT, respectively</w:t>
      </w:r>
      <w:r w:rsidR="00A92EFA">
        <w:t>. Taken together</w:t>
      </w:r>
      <w:r w:rsidR="005B6D1B">
        <w:t>,</w:t>
      </w:r>
      <w:r w:rsidR="00A92EFA">
        <w:t xml:space="preserve"> these figures show that </w:t>
      </w:r>
      <w:r w:rsidR="000524C1">
        <w:t>applicants have no manipulation of the score</w:t>
      </w:r>
      <w:r w:rsidR="00A92EFA">
        <w:t>s. If there were manipulation</w:t>
      </w:r>
      <w:r w:rsidR="005B6D1B">
        <w:t>,</w:t>
      </w:r>
      <w:r w:rsidR="00A92EFA">
        <w:t xml:space="preserve"> the strategy w</w:t>
      </w:r>
      <w:r w:rsidR="005B6D1B">
        <w:t>ould</w:t>
      </w:r>
      <w:r w:rsidR="00A92EFA">
        <w:t xml:space="preserve"> fail to identify a causal </w:t>
      </w:r>
      <w:r w:rsidR="006D261F">
        <w:t xml:space="preserve">effect </w:t>
      </w:r>
      <w:r w:rsidR="00A92EFA">
        <w:t>as the internal validity of an RD design is sustained by the assumption that individuals that are just above and below the threshold</w:t>
      </w:r>
      <w:r w:rsidR="00FD6B6A">
        <w:t xml:space="preserve">s of the variables that determine their eligibility in the program </w:t>
      </w:r>
      <w:r w:rsidR="00A92EFA">
        <w:t xml:space="preserve">are comparable in all dimensions; with the only </w:t>
      </w:r>
      <w:r w:rsidR="00A92EFA">
        <w:lastRenderedPageBreak/>
        <w:t>difference being that those at the right of the threshold receive the benefit.</w:t>
      </w:r>
      <w:r w:rsidR="00FD6B6A">
        <w:t xml:space="preserve"> </w:t>
      </w:r>
      <w:r w:rsidR="00DC3157">
        <w:t>A graphical representation of this regression discontinuity design that uses two simultaneous assignment variables is presented in Figure 1.</w:t>
      </w:r>
    </w:p>
    <w:p w14:paraId="4AC9AE89" w14:textId="77777777" w:rsidR="00492EC5" w:rsidRPr="00AD4130" w:rsidRDefault="00492EC5" w:rsidP="00492EC5">
      <w:r w:rsidRPr="00AD4130">
        <w:t>Our main specification for RD analysis takes the following form:</w:t>
      </w:r>
    </w:p>
    <w:p w14:paraId="5C010738" w14:textId="0D4353E2" w:rsidR="00492EC5" w:rsidRPr="00AD4130" w:rsidRDefault="00AE2371" w:rsidP="00492EC5">
      <w:pPr>
        <w:numPr>
          <w:ilvl w:val="0"/>
          <w:numId w:val="4"/>
        </w:numPr>
      </w:pPr>
      <m:oMath>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=α+f</m:t>
        </m:r>
        <m:d>
          <m:dPr>
            <m:ctrlPr>
              <w:rPr>
                <w:rFonts w:ascii="Cambria Math" w:hAnsi="Cambria Math"/>
                <w:i/>
              </w:rPr>
            </m:ctrlPr>
          </m:dPr>
          <m:e>
            <m:sSub>
              <m:sSubPr>
                <m:ctrlPr>
                  <w:rPr>
                    <w:rFonts w:ascii="Cambria Math" w:hAnsi="Cambria Math"/>
                    <w:i/>
                  </w:rPr>
                </m:ctrlPr>
              </m:sSubPr>
              <m:e>
                <m:r>
                  <w:rPr>
                    <w:rFonts w:ascii="Cambria Math" w:hAnsi="Cambria Math"/>
                  </w:rPr>
                  <m:t>Z</m:t>
                </m:r>
              </m:e>
              <m:sub>
                <m:r>
                  <w:rPr>
                    <w:rFonts w:ascii="Cambria Math" w:hAnsi="Cambria Math"/>
                  </w:rPr>
                  <m:t>i</m:t>
                </m:r>
              </m:sub>
            </m:sSub>
          </m:e>
        </m:d>
        <m:r>
          <w:rPr>
            <w:rFonts w:ascii="Cambria Math" w:hAnsi="Cambria Math"/>
          </w:rPr>
          <m:t>+τ*</m:t>
        </m:r>
        <m:r>
          <m:rPr>
            <m:sty m:val="bi"/>
          </m:rPr>
          <w:rPr>
            <w:rFonts w:ascii="Cambria Math" w:hAnsi="Cambria Math"/>
          </w:rPr>
          <m:t>1</m:t>
        </m:r>
        <m:d>
          <m:dPr>
            <m:ctrlPr>
              <w:rPr>
                <w:rFonts w:ascii="Cambria Math" w:hAnsi="Cambria Math"/>
                <w:i/>
              </w:rPr>
            </m:ctrlPr>
          </m:dPr>
          <m:e>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i</m:t>
            </m:r>
          </m:sub>
        </m:sSub>
      </m:oMath>
    </w:p>
    <w:p w14:paraId="2E7ECFB4" w14:textId="77777777" w:rsidR="00492EC5" w:rsidRPr="00AD4130" w:rsidRDefault="00492EC5" w:rsidP="00492EC5"/>
    <w:p w14:paraId="00EACD11" w14:textId="1C5FD5A7" w:rsidR="00492EC5" w:rsidRDefault="00492EC5" w:rsidP="00AD4130">
      <w:r w:rsidRPr="00AD4130">
        <w:t xml:space="preserve">where </w:t>
      </w:r>
      <m:oMath>
        <m:sSub>
          <m:sSubPr>
            <m:ctrlPr>
              <w:rPr>
                <w:rFonts w:ascii="Cambria Math" w:hAnsi="Cambria Math"/>
                <w:i/>
              </w:rPr>
            </m:ctrlPr>
          </m:sSubPr>
          <m:e>
            <m:r>
              <w:rPr>
                <w:rFonts w:ascii="Cambria Math" w:hAnsi="Cambria Math"/>
              </w:rPr>
              <m:t>y</m:t>
            </m:r>
          </m:e>
          <m:sub>
            <m:r>
              <w:rPr>
                <w:rFonts w:ascii="Cambria Math" w:hAnsi="Cambria Math"/>
              </w:rPr>
              <m:t>i</m:t>
            </m:r>
          </m:sub>
        </m:sSub>
      </m:oMath>
      <w:r w:rsidRPr="00AD4130">
        <w:t xml:space="preserve"> represents a</w:t>
      </w:r>
      <w:r>
        <w:t xml:space="preserve">n </w:t>
      </w:r>
      <w:r w:rsidRPr="00AD4130">
        <w:t>outcome (such as</w:t>
      </w:r>
      <w:r>
        <w:t xml:space="preserve"> food insecurity post assistance)</w:t>
      </w:r>
      <w:r w:rsidRPr="00AD4130">
        <w:t xml:space="preserve"> for </w:t>
      </w:r>
      <w:r>
        <w:t>household</w:t>
      </w:r>
      <w:r w:rsidRPr="00AD4130">
        <w:t xml:space="preserve"> </w:t>
      </w:r>
      <w:r w:rsidRPr="00AD4130">
        <w:rPr>
          <w:i/>
        </w:rPr>
        <w:t>i</w:t>
      </w:r>
      <w:r w:rsidRPr="00AD4130">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Pr="00AD4130">
        <w:t xml:space="preserve"> is a vector of control variables specific to the </w:t>
      </w:r>
      <w:r>
        <w:t>household</w:t>
      </w:r>
      <w:r w:rsidRPr="00AD4130">
        <w:t>, such as sex and age</w:t>
      </w:r>
      <w:r>
        <w:t xml:space="preserve"> of the household head</w:t>
      </w:r>
      <w:r w:rsidRPr="00AD4130">
        <w:t xml:space="preserve">. </w:t>
      </w:r>
      <m:oMath>
        <m:r>
          <w:rPr>
            <w:rFonts w:ascii="Cambria Math" w:hAnsi="Cambria Math"/>
          </w:rPr>
          <m:t>f(∙)</m:t>
        </m:r>
      </m:oMath>
      <w:r w:rsidRPr="00AD4130">
        <w:t xml:space="preserve"> is a smooth function of the </w:t>
      </w:r>
      <w:r w:rsidR="007A4FF8">
        <w:t xml:space="preserve">vector of </w:t>
      </w:r>
      <w:r w:rsidRPr="00AD4130">
        <w:t>running variable</w:t>
      </w:r>
      <w:r w:rsidR="007A4FF8">
        <w:t>s</w:t>
      </w:r>
      <w:r>
        <w:t xml:space="preserve"> (i.e., the score</w:t>
      </w:r>
      <w:r w:rsidR="007A4FF8">
        <w:t>s</w:t>
      </w:r>
      <w:r>
        <w:t xml:space="preserve"> in this case)</w:t>
      </w:r>
      <w:r w:rsidRPr="00AD4130">
        <w:t xml:space="preserve">, commonly known as the control function in the RD literature. </w:t>
      </w:r>
      <m:oMath>
        <m:d>
          <m:dPr>
            <m:ctrlPr>
              <w:rPr>
                <w:rFonts w:ascii="Cambria Math" w:hAnsi="Cambria Math"/>
                <w:i/>
              </w:rPr>
            </m:ctrlPr>
          </m:dPr>
          <m:e>
            <m:r>
              <w:rPr>
                <w:rFonts w:ascii="Cambria Math" w:hAnsi="Cambria Math"/>
              </w:rPr>
              <m:t>Zi≥0</m:t>
            </m:r>
          </m:e>
        </m:d>
      </m:oMath>
      <w:r w:rsidRPr="00AD4130">
        <w:t xml:space="preserve"> is an indicator function that takes the value 1 when the running variable</w:t>
      </w:r>
      <w:r w:rsidR="007A4FF8">
        <w:t>s</w:t>
      </w:r>
      <w:r w:rsidRPr="00AD4130">
        <w:t xml:space="preserve"> </w:t>
      </w:r>
      <w:r w:rsidR="007A4FF8">
        <w:t>are</w:t>
      </w:r>
      <w:r w:rsidRPr="00AD4130">
        <w:t xml:space="preserve"> equal to or higher than </w:t>
      </w:r>
      <w:r w:rsidR="007A4FF8">
        <w:t xml:space="preserve">their </w:t>
      </w:r>
      <w:r w:rsidR="006850A0">
        <w:t xml:space="preserve">relevant </w:t>
      </w:r>
      <w:r w:rsidR="007A4FF8">
        <w:t>threshold</w:t>
      </w:r>
      <w:r w:rsidR="008F3B18">
        <w:t>,</w:t>
      </w:r>
      <w:r w:rsidRPr="00AD4130">
        <w:t xml:space="preserve"> that is when the</w:t>
      </w:r>
      <w:r>
        <w:t xml:space="preserve"> household becomes eligible for the program;</w:t>
      </w:r>
      <w:r w:rsidRPr="00AD4130">
        <w:t xml:space="preserve"> </w:t>
      </w:r>
      <m:oMath>
        <m:sSub>
          <m:sSubPr>
            <m:ctrlPr>
              <w:rPr>
                <w:rFonts w:ascii="Cambria Math" w:hAnsi="Cambria Math"/>
                <w:i/>
              </w:rPr>
            </m:ctrlPr>
          </m:sSubPr>
          <m:e>
            <m:r>
              <w:rPr>
                <w:rFonts w:ascii="Cambria Math" w:hAnsi="Cambria Math"/>
              </w:rPr>
              <m:t>ε</m:t>
            </m:r>
          </m:e>
          <m:sub>
            <m:r>
              <w:rPr>
                <w:rFonts w:ascii="Cambria Math" w:hAnsi="Cambria Math"/>
              </w:rPr>
              <m:t>i</m:t>
            </m:r>
          </m:sub>
        </m:sSub>
      </m:oMath>
      <w:r w:rsidRPr="00AD4130">
        <w:t xml:space="preserve"> </w:t>
      </w:r>
      <w:r>
        <w:t>the error term of the regression</w:t>
      </w:r>
      <w:r w:rsidRPr="00AD4130">
        <w:t>.</w:t>
      </w:r>
      <w:r>
        <w:t xml:space="preserve"> </w:t>
      </w:r>
      <w:r w:rsidRPr="00AD4130">
        <w:t xml:space="preserve">The coefficient of interest is </w:t>
      </w:r>
      <m:oMath>
        <m:r>
          <w:rPr>
            <w:rFonts w:ascii="Cambria Math" w:hAnsi="Cambria Math"/>
          </w:rPr>
          <m:t>τ</m:t>
        </m:r>
      </m:oMath>
      <w:r w:rsidRPr="00AD4130">
        <w:t xml:space="preserve">, which can be interpreted as the </w:t>
      </w:r>
      <w:r w:rsidR="008F3B18">
        <w:t>average local</w:t>
      </w:r>
      <w:r w:rsidRPr="00AD4130">
        <w:t xml:space="preserve"> effect of a </w:t>
      </w:r>
      <w:r>
        <w:t>household being e</w:t>
      </w:r>
      <w:r w:rsidRPr="00AD4130">
        <w:t xml:space="preserve">ligible for </w:t>
      </w:r>
      <w:r>
        <w:t>the program</w:t>
      </w:r>
      <w:r w:rsidRPr="00AD4130">
        <w:t xml:space="preserve">. </w:t>
      </w:r>
    </w:p>
    <w:p w14:paraId="6212EE64" w14:textId="1B8308D3" w:rsidR="00361A70" w:rsidRDefault="00903567" w:rsidP="00AD4130">
      <w:r>
        <w:t xml:space="preserve">In addition, we assess the validity of our design </w:t>
      </w:r>
      <w:r w:rsidR="00C747CF">
        <w:t xml:space="preserve">by comparing eligible to </w:t>
      </w:r>
      <w:r w:rsidR="0014422A">
        <w:t>non-eligible</w:t>
      </w:r>
      <w:r w:rsidR="00C747CF">
        <w:t xml:space="preserve"> individuals using data from application forms. We accessed da</w:t>
      </w:r>
      <w:r w:rsidR="00C747CF" w:rsidRPr="00AE2371">
        <w:t xml:space="preserve">ta on </w:t>
      </w:r>
      <w:r w:rsidR="007E1270" w:rsidRPr="00AE2371">
        <w:t>t</w:t>
      </w:r>
      <w:r w:rsidR="00493FB9" w:rsidRPr="00AE2371">
        <w:t>he Household (HH) Consumption Index, HH per capita expenditures, HH per capita income, HH members to bedrooms ratio, number of months since arriving in Colombia, HH head age, sex, number of meals taken during the last week, number of HH members, number of HH members under 18 years old,</w:t>
      </w:r>
      <w:r w:rsidR="00493FB9">
        <w:t xml:space="preserve"> number of HH members between 18 and 59 years old, number of HH members with primary education attained, and number of HH members without education</w:t>
      </w:r>
      <w:r w:rsidR="00492EC5">
        <w:t xml:space="preserve">. </w:t>
      </w:r>
      <w:r w:rsidR="001A50D8">
        <w:t xml:space="preserve">The </w:t>
      </w:r>
      <w:r w:rsidR="00F13FDD">
        <w:t>results</w:t>
      </w:r>
      <w:r w:rsidR="001A50D8">
        <w:t xml:space="preserve"> are shown in Table 1</w:t>
      </w:r>
      <w:r w:rsidR="00493FB9">
        <w:t xml:space="preserve"> and Table 2</w:t>
      </w:r>
      <w:r w:rsidR="001A50D8">
        <w:t>. We find that</w:t>
      </w:r>
      <w:r w:rsidR="00FE656D">
        <w:t>,</w:t>
      </w:r>
      <w:r w:rsidR="001A50D8">
        <w:t xml:space="preserve"> </w:t>
      </w:r>
      <w:r w:rsidR="00FE656D">
        <w:t>before</w:t>
      </w:r>
      <w:r w:rsidR="001A50D8">
        <w:t xml:space="preserve"> the initiation of the program</w:t>
      </w:r>
      <w:r w:rsidR="00FE656D">
        <w:t>,</w:t>
      </w:r>
      <w:r w:rsidR="001A50D8">
        <w:t xml:space="preserve"> households that are just to the right of the cutoff rule of eligibility </w:t>
      </w:r>
      <w:r w:rsidR="00E56798">
        <w:t xml:space="preserve">for </w:t>
      </w:r>
      <w:r w:rsidR="00493FB9">
        <w:t>each</w:t>
      </w:r>
      <w:r w:rsidR="00E56798">
        <w:t xml:space="preserve"> assignment variable</w:t>
      </w:r>
      <w:r w:rsidR="00493FB9">
        <w:t xml:space="preserve">, conditional on being eligible </w:t>
      </w:r>
      <w:r w:rsidR="00DC3157">
        <w:t>based on</w:t>
      </w:r>
      <w:r w:rsidR="00493FB9">
        <w:t xml:space="preserve"> the threshold of the other assignment variable,</w:t>
      </w:r>
      <w:r w:rsidR="00E56798">
        <w:t xml:space="preserve"> </w:t>
      </w:r>
      <w:r w:rsidR="001A50D8">
        <w:t>are comparable in all dimensions measured to household</w:t>
      </w:r>
      <w:r w:rsidR="000524C1">
        <w:t>s</w:t>
      </w:r>
      <w:r w:rsidR="001A50D8">
        <w:t xml:space="preserve"> that are just to the left of the cutoff rule and hence do not receive the program. As such, this design guarantees that causal estimates can be obtained and estimated after gathering data for these same households after the program delivers aid </w:t>
      </w:r>
      <w:r w:rsidR="00DC3157">
        <w:t xml:space="preserve">to </w:t>
      </w:r>
      <w:r w:rsidR="001A50D8">
        <w:t>eligible families.</w:t>
      </w:r>
    </w:p>
    <w:p w14:paraId="5F18483F" w14:textId="786FE4A6" w:rsidR="00230699" w:rsidRDefault="00230699" w:rsidP="00AD4130"/>
    <w:p w14:paraId="77A3A4D8" w14:textId="5BF7EC13" w:rsidR="006A2189" w:rsidRDefault="006A2189" w:rsidP="00AD4130"/>
    <w:p w14:paraId="51288D9C" w14:textId="1BCD8B6A" w:rsidR="006A2189" w:rsidRDefault="006A2189" w:rsidP="00AD4130"/>
    <w:p w14:paraId="376A3102" w14:textId="7FE6E8D9" w:rsidR="006A2189" w:rsidRDefault="006A2189" w:rsidP="00AD4130"/>
    <w:p w14:paraId="587FC5D7" w14:textId="221D656A" w:rsidR="006A2189" w:rsidRDefault="006A2189" w:rsidP="006A2189">
      <w:pPr>
        <w:spacing w:after="0" w:line="240" w:lineRule="auto"/>
        <w:jc w:val="center"/>
      </w:pPr>
      <w:r w:rsidRPr="001A50D8">
        <w:rPr>
          <w:b/>
        </w:rPr>
        <w:lastRenderedPageBreak/>
        <w:t>Figure 1:</w:t>
      </w:r>
      <w:r>
        <w:t xml:space="preserve"> Graphical representation of the Regression Discontinuity Design with two assignment variables for the sample in </w:t>
      </w:r>
      <w:r w:rsidR="007B5F3D">
        <w:t>the evaluation</w:t>
      </w:r>
      <w:r>
        <w:rPr>
          <w:noProof/>
        </w:rPr>
        <w:drawing>
          <wp:inline distT="0" distB="0" distL="0" distR="0" wp14:anchorId="66D42F29" wp14:editId="126EDAF4">
            <wp:extent cx="5943600" cy="43243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324350"/>
                    </a:xfrm>
                    <a:prstGeom prst="rect">
                      <a:avLst/>
                    </a:prstGeom>
                    <a:noFill/>
                    <a:ln>
                      <a:noFill/>
                    </a:ln>
                  </pic:spPr>
                </pic:pic>
              </a:graphicData>
            </a:graphic>
          </wp:inline>
        </w:drawing>
      </w:r>
    </w:p>
    <w:p w14:paraId="323B3832" w14:textId="24E7933C" w:rsidR="006A2189" w:rsidRDefault="006A2189" w:rsidP="006A2189">
      <w:pPr>
        <w:spacing w:after="0" w:line="240" w:lineRule="auto"/>
      </w:pPr>
    </w:p>
    <w:p w14:paraId="630819B2" w14:textId="48CEA4A5" w:rsidR="006A2189" w:rsidRDefault="006A2189" w:rsidP="006A2189">
      <w:pPr>
        <w:spacing w:after="0" w:line="240" w:lineRule="auto"/>
      </w:pPr>
    </w:p>
    <w:p w14:paraId="3A8F25C2" w14:textId="20A858D2" w:rsidR="006A2189" w:rsidRDefault="006A2189" w:rsidP="006A2189">
      <w:pPr>
        <w:spacing w:after="0" w:line="240" w:lineRule="auto"/>
      </w:pPr>
    </w:p>
    <w:p w14:paraId="22D8CD09" w14:textId="76F15C8A" w:rsidR="006A2189" w:rsidRDefault="006A2189" w:rsidP="006A2189">
      <w:pPr>
        <w:spacing w:after="0" w:line="240" w:lineRule="auto"/>
        <w:jc w:val="center"/>
      </w:pPr>
      <w:r w:rsidRPr="001A50D8">
        <w:rPr>
          <w:b/>
        </w:rPr>
        <w:t xml:space="preserve">Figure </w:t>
      </w:r>
      <w:r>
        <w:rPr>
          <w:b/>
        </w:rPr>
        <w:t>2</w:t>
      </w:r>
      <w:r w:rsidRPr="001A50D8">
        <w:rPr>
          <w:b/>
        </w:rPr>
        <w:t>:</w:t>
      </w:r>
      <w:r>
        <w:t xml:space="preserve"> Graphical representation of non-manipulation of the vulnerability score that assigns program benefits</w:t>
      </w:r>
      <w:r w:rsidR="00370842">
        <w:t xml:space="preserve"> for the sample</w:t>
      </w:r>
    </w:p>
    <w:p w14:paraId="24780E0D" w14:textId="77777777" w:rsidR="00DC3157" w:rsidRPr="00AD4130" w:rsidRDefault="00DC3157" w:rsidP="006A2189">
      <w:pPr>
        <w:spacing w:after="0" w:line="240" w:lineRule="auto"/>
        <w:jc w:val="cente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6E1884" w14:paraId="212F3D9F" w14:textId="77777777" w:rsidTr="007E1270">
        <w:tc>
          <w:tcPr>
            <w:tcW w:w="4675" w:type="dxa"/>
          </w:tcPr>
          <w:p w14:paraId="05C233EF" w14:textId="26B866F7" w:rsidR="00A951D1" w:rsidRDefault="00A951D1" w:rsidP="006A2189">
            <w:r>
              <w:t>Panel A: Scorecard Model score - Distribution</w:t>
            </w:r>
          </w:p>
        </w:tc>
        <w:tc>
          <w:tcPr>
            <w:tcW w:w="4675" w:type="dxa"/>
          </w:tcPr>
          <w:p w14:paraId="064F0995" w14:textId="0691784F" w:rsidR="00A951D1" w:rsidRDefault="00A951D1" w:rsidP="006A2189">
            <w:r>
              <w:t>Panel B: Scorecard Model score - Manipulation Test using Applicant’s Data</w:t>
            </w:r>
          </w:p>
        </w:tc>
      </w:tr>
      <w:tr w:rsidR="006E1884" w14:paraId="44152A13" w14:textId="77777777" w:rsidTr="007E1270">
        <w:tc>
          <w:tcPr>
            <w:tcW w:w="4675" w:type="dxa"/>
          </w:tcPr>
          <w:p w14:paraId="2C5BC1D9" w14:textId="4C0B7143" w:rsidR="00A951D1" w:rsidRDefault="003862F3" w:rsidP="006A2189">
            <w:r>
              <w:rPr>
                <w:noProof/>
              </w:rPr>
              <w:drawing>
                <wp:inline distT="0" distB="0" distL="0" distR="0" wp14:anchorId="17AECE39" wp14:editId="592374CD">
                  <wp:extent cx="2800350" cy="2037433"/>
                  <wp:effectExtent l="0" t="0" r="0" b="127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07478" cy="2042619"/>
                          </a:xfrm>
                          <a:prstGeom prst="rect">
                            <a:avLst/>
                          </a:prstGeom>
                          <a:noFill/>
                          <a:ln>
                            <a:noFill/>
                          </a:ln>
                        </pic:spPr>
                      </pic:pic>
                    </a:graphicData>
                  </a:graphic>
                </wp:inline>
              </w:drawing>
            </w:r>
          </w:p>
        </w:tc>
        <w:tc>
          <w:tcPr>
            <w:tcW w:w="4675" w:type="dxa"/>
          </w:tcPr>
          <w:p w14:paraId="57286770" w14:textId="587570BA" w:rsidR="00A951D1" w:rsidRDefault="006E1884" w:rsidP="006A2189">
            <w:r>
              <w:rPr>
                <w:noProof/>
              </w:rPr>
              <w:drawing>
                <wp:inline distT="0" distB="0" distL="0" distR="0" wp14:anchorId="4E0A0A5E" wp14:editId="4B0207E0">
                  <wp:extent cx="2762250" cy="2009713"/>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0744" cy="2015893"/>
                          </a:xfrm>
                          <a:prstGeom prst="rect">
                            <a:avLst/>
                          </a:prstGeom>
                          <a:noFill/>
                          <a:ln>
                            <a:noFill/>
                          </a:ln>
                        </pic:spPr>
                      </pic:pic>
                    </a:graphicData>
                  </a:graphic>
                </wp:inline>
              </w:drawing>
            </w:r>
          </w:p>
        </w:tc>
      </w:tr>
      <w:tr w:rsidR="006E1884" w14:paraId="000054A5" w14:textId="77777777" w:rsidTr="007E1270">
        <w:tc>
          <w:tcPr>
            <w:tcW w:w="4675" w:type="dxa"/>
          </w:tcPr>
          <w:p w14:paraId="7AFBF470" w14:textId="39899E92" w:rsidR="00A951D1" w:rsidRDefault="00A951D1" w:rsidP="006A2189">
            <w:r>
              <w:lastRenderedPageBreak/>
              <w:t>Panel C: Proxy Means Test score - Distribution</w:t>
            </w:r>
          </w:p>
        </w:tc>
        <w:tc>
          <w:tcPr>
            <w:tcW w:w="4675" w:type="dxa"/>
          </w:tcPr>
          <w:p w14:paraId="2EDD6F37" w14:textId="5D675577" w:rsidR="00A951D1" w:rsidRDefault="00A951D1" w:rsidP="006A2189">
            <w:r>
              <w:t>Panel D: Proxy Means Test score - Manipulation Test using Applicant’s Data</w:t>
            </w:r>
          </w:p>
        </w:tc>
      </w:tr>
      <w:tr w:rsidR="006E1884" w14:paraId="3C7CB378" w14:textId="77777777" w:rsidTr="007E1270">
        <w:tc>
          <w:tcPr>
            <w:tcW w:w="4675" w:type="dxa"/>
          </w:tcPr>
          <w:p w14:paraId="27BBF23E" w14:textId="47026537" w:rsidR="00A951D1" w:rsidRDefault="006E1884" w:rsidP="006A2189">
            <w:r>
              <w:rPr>
                <w:noProof/>
              </w:rPr>
              <w:drawing>
                <wp:inline distT="0" distB="0" distL="0" distR="0" wp14:anchorId="3CFAAA8A" wp14:editId="267FEFBE">
                  <wp:extent cx="2790825" cy="2030504"/>
                  <wp:effectExtent l="0" t="0" r="0"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06282" cy="2041750"/>
                          </a:xfrm>
                          <a:prstGeom prst="rect">
                            <a:avLst/>
                          </a:prstGeom>
                          <a:noFill/>
                          <a:ln>
                            <a:noFill/>
                          </a:ln>
                        </pic:spPr>
                      </pic:pic>
                    </a:graphicData>
                  </a:graphic>
                </wp:inline>
              </w:drawing>
            </w:r>
          </w:p>
        </w:tc>
        <w:tc>
          <w:tcPr>
            <w:tcW w:w="4675" w:type="dxa"/>
          </w:tcPr>
          <w:p w14:paraId="7049061E" w14:textId="41F1C36D" w:rsidR="00A951D1" w:rsidRDefault="006E1884" w:rsidP="006A2189">
            <w:r>
              <w:rPr>
                <w:noProof/>
              </w:rPr>
              <w:drawing>
                <wp:inline distT="0" distB="0" distL="0" distR="0" wp14:anchorId="72E2FB45" wp14:editId="2C16C1D1">
                  <wp:extent cx="2790825" cy="2030505"/>
                  <wp:effectExtent l="0" t="0" r="0" b="825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05768" cy="2041377"/>
                          </a:xfrm>
                          <a:prstGeom prst="rect">
                            <a:avLst/>
                          </a:prstGeom>
                          <a:noFill/>
                          <a:ln>
                            <a:noFill/>
                          </a:ln>
                        </pic:spPr>
                      </pic:pic>
                    </a:graphicData>
                  </a:graphic>
                </wp:inline>
              </w:drawing>
            </w:r>
          </w:p>
        </w:tc>
      </w:tr>
    </w:tbl>
    <w:p w14:paraId="756445DB" w14:textId="77777777" w:rsidR="006A2189" w:rsidRPr="00DD1A07" w:rsidRDefault="006A2189" w:rsidP="006A2189">
      <w:pPr>
        <w:spacing w:after="0" w:line="240" w:lineRule="auto"/>
      </w:pPr>
    </w:p>
    <w:p w14:paraId="03D82409" w14:textId="77CDB101" w:rsidR="001A50D8" w:rsidRDefault="009F50C4" w:rsidP="000524C1">
      <w:pPr>
        <w:spacing w:after="0" w:line="240" w:lineRule="auto"/>
        <w:rPr>
          <w:b/>
        </w:rPr>
      </w:pPr>
      <w:r w:rsidRPr="009F50C4">
        <w:rPr>
          <w:noProof/>
        </w:rPr>
        <w:t xml:space="preserve"> </w:t>
      </w:r>
    </w:p>
    <w:p w14:paraId="755D3333" w14:textId="77777777" w:rsidR="001A50D8" w:rsidRDefault="001A50D8" w:rsidP="00AD4130">
      <w:pPr>
        <w:rPr>
          <w:b/>
        </w:rPr>
      </w:pPr>
    </w:p>
    <w:p w14:paraId="46069750" w14:textId="69560D8A" w:rsidR="001A50D8" w:rsidRDefault="001A50D8" w:rsidP="00FB59B8">
      <w:pPr>
        <w:jc w:val="center"/>
      </w:pPr>
      <w:r>
        <w:rPr>
          <w:b/>
        </w:rPr>
        <w:t>Table 1</w:t>
      </w:r>
      <w:r w:rsidR="00FB59B8">
        <w:t>:</w:t>
      </w:r>
      <w:r w:rsidRPr="00FB59B8">
        <w:t xml:space="preserve"> </w:t>
      </w:r>
      <w:r w:rsidR="002364B5">
        <w:t>RD estimates of differences between eligible and non-eligible applicants with Proxy Means Test</w:t>
      </w:r>
      <w:r w:rsidR="00043680">
        <w:t xml:space="preserve"> scores</w:t>
      </w:r>
      <w:r w:rsidR="002364B5">
        <w:t xml:space="preserve"> around </w:t>
      </w:r>
      <w:r w:rsidR="00043680">
        <w:t>the</w:t>
      </w:r>
      <w:r w:rsidR="002364B5">
        <w:t xml:space="preserve"> cutoff</w:t>
      </w:r>
      <w:r w:rsidR="00043680">
        <w:t xml:space="preserve"> (restricted to participants with Scorecard Model scores below the threshold)</w:t>
      </w:r>
    </w:p>
    <w:p w14:paraId="36AA978F" w14:textId="75E2623B" w:rsidR="00043680" w:rsidRDefault="009B6FCA" w:rsidP="00FB59B8">
      <w:pPr>
        <w:jc w:val="center"/>
      </w:pPr>
      <w:r w:rsidRPr="009B6FCA">
        <w:rPr>
          <w:noProof/>
        </w:rPr>
        <w:drawing>
          <wp:inline distT="0" distB="0" distL="0" distR="0" wp14:anchorId="767F2325" wp14:editId="3DD2DDC4">
            <wp:extent cx="5943600" cy="1553845"/>
            <wp:effectExtent l="0" t="0" r="0" b="825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1553845"/>
                    </a:xfrm>
                    <a:prstGeom prst="rect">
                      <a:avLst/>
                    </a:prstGeom>
                    <a:noFill/>
                    <a:ln>
                      <a:noFill/>
                    </a:ln>
                  </pic:spPr>
                </pic:pic>
              </a:graphicData>
            </a:graphic>
          </wp:inline>
        </w:drawing>
      </w:r>
    </w:p>
    <w:p w14:paraId="11C2C602" w14:textId="7832FD2F" w:rsidR="00043680" w:rsidRDefault="00043680" w:rsidP="00FB59B8">
      <w:pPr>
        <w:jc w:val="center"/>
      </w:pPr>
    </w:p>
    <w:p w14:paraId="2D7E9CFF" w14:textId="576FC47B" w:rsidR="00043680" w:rsidRDefault="00043680" w:rsidP="00043680">
      <w:pPr>
        <w:jc w:val="center"/>
      </w:pPr>
      <w:r>
        <w:rPr>
          <w:b/>
        </w:rPr>
        <w:t>Table 2</w:t>
      </w:r>
      <w:r>
        <w:t>:</w:t>
      </w:r>
      <w:r w:rsidRPr="00FB59B8">
        <w:t xml:space="preserve"> </w:t>
      </w:r>
      <w:r>
        <w:t>RD estimates of differences between eligible and non-eligible applicants with Scorecard Model scores around the cutoff (restricted to participants with Proxy Means Test scores below the threshold)</w:t>
      </w:r>
    </w:p>
    <w:p w14:paraId="5727F8B2" w14:textId="1B5C74F4" w:rsidR="00043680" w:rsidRDefault="009B6FCA" w:rsidP="00FB59B8">
      <w:pPr>
        <w:jc w:val="center"/>
      </w:pPr>
      <w:r w:rsidRPr="009B6FCA">
        <w:rPr>
          <w:noProof/>
        </w:rPr>
        <w:drawing>
          <wp:inline distT="0" distB="0" distL="0" distR="0" wp14:anchorId="751103F9" wp14:editId="5FE1AC88">
            <wp:extent cx="5943600" cy="1553845"/>
            <wp:effectExtent l="0" t="0" r="0" b="825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1553845"/>
                    </a:xfrm>
                    <a:prstGeom prst="rect">
                      <a:avLst/>
                    </a:prstGeom>
                    <a:noFill/>
                    <a:ln>
                      <a:noFill/>
                    </a:ln>
                  </pic:spPr>
                </pic:pic>
              </a:graphicData>
            </a:graphic>
          </wp:inline>
        </w:drawing>
      </w:r>
    </w:p>
    <w:p w14:paraId="5E5ACE32" w14:textId="5CA5399E" w:rsidR="002364B5" w:rsidRDefault="002364B5" w:rsidP="002364B5"/>
    <w:p w14:paraId="3A802D7F" w14:textId="0025DD57" w:rsidR="002364B5" w:rsidRPr="00AD4130" w:rsidRDefault="002364B5" w:rsidP="002364B5">
      <w:pPr>
        <w:spacing w:after="0" w:line="240" w:lineRule="auto"/>
        <w:jc w:val="center"/>
      </w:pPr>
      <w:r w:rsidRPr="001A50D8">
        <w:rPr>
          <w:b/>
        </w:rPr>
        <w:lastRenderedPageBreak/>
        <w:t xml:space="preserve">Figure </w:t>
      </w:r>
      <w:r>
        <w:rPr>
          <w:b/>
        </w:rPr>
        <w:t>3</w:t>
      </w:r>
      <w:r w:rsidRPr="001A50D8">
        <w:rPr>
          <w:b/>
        </w:rPr>
        <w:t>:</w:t>
      </w:r>
      <w:r>
        <w:t xml:space="preserve"> Graphical representation of the RD estimates of differences between eligible and non-eligible applicants with scores of their Proxy Means Test and Scorecard Model around their respective cutoffs</w:t>
      </w:r>
      <w:r w:rsidR="004D3143">
        <w:t xml:space="preserve"> on selected variables</w:t>
      </w:r>
    </w:p>
    <w:p w14:paraId="49A039FD" w14:textId="22DD85B7" w:rsidR="002364B5" w:rsidRDefault="002364B5" w:rsidP="002364B5"/>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5"/>
        <w:gridCol w:w="4725"/>
      </w:tblGrid>
      <w:tr w:rsidR="007B18C0" w14:paraId="722DFDC1" w14:textId="77777777" w:rsidTr="007E1270">
        <w:tc>
          <w:tcPr>
            <w:tcW w:w="4585" w:type="dxa"/>
          </w:tcPr>
          <w:p w14:paraId="1703D57D" w14:textId="6FE6CABF" w:rsidR="002364B5" w:rsidRDefault="002364B5" w:rsidP="00DC3157">
            <w:r>
              <w:t xml:space="preserve">Panel A: </w:t>
            </w:r>
            <w:r w:rsidR="009B6FCA">
              <w:t xml:space="preserve">HH Consumption Index around </w:t>
            </w:r>
            <w:r w:rsidR="00053B6D">
              <w:t xml:space="preserve">the </w:t>
            </w:r>
            <w:r w:rsidR="009B6FCA">
              <w:t>Proxy Means Test threshold</w:t>
            </w:r>
          </w:p>
        </w:tc>
        <w:tc>
          <w:tcPr>
            <w:tcW w:w="4765" w:type="dxa"/>
          </w:tcPr>
          <w:p w14:paraId="0921D67C" w14:textId="6FC992BB" w:rsidR="002364B5" w:rsidRDefault="002364B5" w:rsidP="002364B5">
            <w:r>
              <w:t>Panel B:</w:t>
            </w:r>
            <w:r w:rsidR="009B6FCA">
              <w:t xml:space="preserve"> HH Consumption Index around </w:t>
            </w:r>
            <w:r w:rsidR="00053B6D">
              <w:t xml:space="preserve">the </w:t>
            </w:r>
            <w:r w:rsidR="009B6FCA">
              <w:t>Scorecard Model threshold</w:t>
            </w:r>
          </w:p>
        </w:tc>
      </w:tr>
      <w:tr w:rsidR="007B18C0" w14:paraId="2CC0445E" w14:textId="77777777" w:rsidTr="007E1270">
        <w:tc>
          <w:tcPr>
            <w:tcW w:w="4585" w:type="dxa"/>
          </w:tcPr>
          <w:p w14:paraId="696CC37B" w14:textId="52BA9542" w:rsidR="002364B5" w:rsidRDefault="009141B6" w:rsidP="002364B5">
            <w:r>
              <w:rPr>
                <w:noProof/>
              </w:rPr>
              <w:drawing>
                <wp:inline distT="0" distB="0" distL="0" distR="0" wp14:anchorId="5AFCEF86" wp14:editId="6DA833E2">
                  <wp:extent cx="2790825" cy="2030504"/>
                  <wp:effectExtent l="0" t="0" r="0" b="825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3571" cy="2039778"/>
                          </a:xfrm>
                          <a:prstGeom prst="rect">
                            <a:avLst/>
                          </a:prstGeom>
                          <a:noFill/>
                          <a:ln>
                            <a:noFill/>
                          </a:ln>
                        </pic:spPr>
                      </pic:pic>
                    </a:graphicData>
                  </a:graphic>
                </wp:inline>
              </w:drawing>
            </w:r>
          </w:p>
        </w:tc>
        <w:tc>
          <w:tcPr>
            <w:tcW w:w="4765" w:type="dxa"/>
          </w:tcPr>
          <w:p w14:paraId="0C9434F5" w14:textId="05226745" w:rsidR="002364B5" w:rsidRDefault="007B18C0" w:rsidP="002364B5">
            <w:r>
              <w:rPr>
                <w:noProof/>
              </w:rPr>
              <w:drawing>
                <wp:inline distT="0" distB="0" distL="0" distR="0" wp14:anchorId="08098D39" wp14:editId="68A27CEB">
                  <wp:extent cx="2790825" cy="2030504"/>
                  <wp:effectExtent l="0" t="0" r="0" b="825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01713" cy="2038426"/>
                          </a:xfrm>
                          <a:prstGeom prst="rect">
                            <a:avLst/>
                          </a:prstGeom>
                          <a:noFill/>
                          <a:ln>
                            <a:noFill/>
                          </a:ln>
                        </pic:spPr>
                      </pic:pic>
                    </a:graphicData>
                  </a:graphic>
                </wp:inline>
              </w:drawing>
            </w:r>
          </w:p>
        </w:tc>
      </w:tr>
      <w:tr w:rsidR="007B18C0" w14:paraId="296190A1" w14:textId="77777777" w:rsidTr="007E1270">
        <w:tc>
          <w:tcPr>
            <w:tcW w:w="4585" w:type="dxa"/>
          </w:tcPr>
          <w:p w14:paraId="670B87D0" w14:textId="1FABF142" w:rsidR="002364B5" w:rsidRDefault="002364B5" w:rsidP="002364B5">
            <w:r>
              <w:t>Panel C:</w:t>
            </w:r>
            <w:r w:rsidR="009B6FCA">
              <w:t xml:space="preserve"> HH</w:t>
            </w:r>
            <w:r w:rsidR="009141B6">
              <w:t xml:space="preserve"> per capita expenditure</w:t>
            </w:r>
            <w:r w:rsidR="009B6FCA">
              <w:t xml:space="preserve"> around </w:t>
            </w:r>
            <w:r w:rsidR="00053B6D">
              <w:t xml:space="preserve">the </w:t>
            </w:r>
            <w:r w:rsidR="009B6FCA">
              <w:t>Proxy Means Test threshold</w:t>
            </w:r>
          </w:p>
        </w:tc>
        <w:tc>
          <w:tcPr>
            <w:tcW w:w="4765" w:type="dxa"/>
          </w:tcPr>
          <w:p w14:paraId="40662335" w14:textId="738EA436" w:rsidR="002364B5" w:rsidRDefault="002364B5" w:rsidP="002364B5">
            <w:r>
              <w:t>Panel D:</w:t>
            </w:r>
            <w:r w:rsidR="009B6FCA">
              <w:t xml:space="preserve"> HH </w:t>
            </w:r>
            <w:r w:rsidR="009141B6">
              <w:t>per capita expenditure</w:t>
            </w:r>
            <w:r w:rsidR="009B6FCA">
              <w:t xml:space="preserve"> around </w:t>
            </w:r>
            <w:r w:rsidR="00053B6D">
              <w:t xml:space="preserve">the </w:t>
            </w:r>
            <w:r w:rsidR="009B6FCA">
              <w:t>Scorecard Model threshold</w:t>
            </w:r>
          </w:p>
        </w:tc>
      </w:tr>
      <w:tr w:rsidR="007B18C0" w14:paraId="2C544D68" w14:textId="77777777" w:rsidTr="007E1270">
        <w:tc>
          <w:tcPr>
            <w:tcW w:w="4585" w:type="dxa"/>
          </w:tcPr>
          <w:p w14:paraId="1EF64B4E" w14:textId="22532A26" w:rsidR="002364B5" w:rsidRDefault="009141B6" w:rsidP="002364B5">
            <w:r>
              <w:rPr>
                <w:noProof/>
              </w:rPr>
              <w:drawing>
                <wp:inline distT="0" distB="0" distL="0" distR="0" wp14:anchorId="6B84BDFB" wp14:editId="7173A3EE">
                  <wp:extent cx="2790825" cy="2030504"/>
                  <wp:effectExtent l="0" t="0" r="0" b="825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95036" cy="2033568"/>
                          </a:xfrm>
                          <a:prstGeom prst="rect">
                            <a:avLst/>
                          </a:prstGeom>
                          <a:noFill/>
                          <a:ln>
                            <a:noFill/>
                          </a:ln>
                        </pic:spPr>
                      </pic:pic>
                    </a:graphicData>
                  </a:graphic>
                </wp:inline>
              </w:drawing>
            </w:r>
          </w:p>
        </w:tc>
        <w:tc>
          <w:tcPr>
            <w:tcW w:w="4765" w:type="dxa"/>
          </w:tcPr>
          <w:p w14:paraId="69B3A881" w14:textId="166A5354" w:rsidR="002364B5" w:rsidRDefault="007B18C0" w:rsidP="002364B5">
            <w:r>
              <w:rPr>
                <w:noProof/>
              </w:rPr>
              <w:drawing>
                <wp:inline distT="0" distB="0" distL="0" distR="0" wp14:anchorId="3E9949DC" wp14:editId="62F5A6C2">
                  <wp:extent cx="2752725" cy="2002784"/>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66767" cy="2013000"/>
                          </a:xfrm>
                          <a:prstGeom prst="rect">
                            <a:avLst/>
                          </a:prstGeom>
                          <a:noFill/>
                          <a:ln>
                            <a:noFill/>
                          </a:ln>
                        </pic:spPr>
                      </pic:pic>
                    </a:graphicData>
                  </a:graphic>
                </wp:inline>
              </w:drawing>
            </w:r>
          </w:p>
        </w:tc>
      </w:tr>
      <w:tr w:rsidR="007B18C0" w14:paraId="6C3DDA8D" w14:textId="77777777" w:rsidTr="007E1270">
        <w:tc>
          <w:tcPr>
            <w:tcW w:w="4585" w:type="dxa"/>
          </w:tcPr>
          <w:p w14:paraId="392A61E1" w14:textId="21B97ECE" w:rsidR="002364B5" w:rsidRDefault="002364B5" w:rsidP="002364B5">
            <w:r>
              <w:t xml:space="preserve">Panel </w:t>
            </w:r>
            <w:r w:rsidR="004D3143">
              <w:t>E</w:t>
            </w:r>
            <w:r>
              <w:t>:</w:t>
            </w:r>
            <w:r w:rsidR="00053B6D">
              <w:t xml:space="preserve"> Months since arriving in Colombia around the Proxy Means Test threshold</w:t>
            </w:r>
          </w:p>
        </w:tc>
        <w:tc>
          <w:tcPr>
            <w:tcW w:w="4765" w:type="dxa"/>
          </w:tcPr>
          <w:p w14:paraId="29F9B913" w14:textId="566F44EE" w:rsidR="002364B5" w:rsidRDefault="002364B5" w:rsidP="002364B5">
            <w:r>
              <w:t xml:space="preserve">Panel </w:t>
            </w:r>
            <w:r w:rsidR="004D3143">
              <w:t>F</w:t>
            </w:r>
            <w:r>
              <w:t>:</w:t>
            </w:r>
            <w:r w:rsidR="00053B6D">
              <w:t xml:space="preserve"> Months since arriving in Colombia around the Scorecard Model threshold</w:t>
            </w:r>
          </w:p>
        </w:tc>
      </w:tr>
      <w:tr w:rsidR="007B18C0" w14:paraId="7597CE5D" w14:textId="77777777" w:rsidTr="007E1270">
        <w:tc>
          <w:tcPr>
            <w:tcW w:w="4585" w:type="dxa"/>
          </w:tcPr>
          <w:p w14:paraId="1BF64C76" w14:textId="6A26D537" w:rsidR="002364B5" w:rsidRDefault="009141B6" w:rsidP="002364B5">
            <w:r>
              <w:rPr>
                <w:noProof/>
              </w:rPr>
              <w:drawing>
                <wp:inline distT="0" distB="0" distL="0" distR="0" wp14:anchorId="6ECE8E2C" wp14:editId="22101820">
                  <wp:extent cx="2790825" cy="2030504"/>
                  <wp:effectExtent l="0" t="0" r="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01931" cy="2038585"/>
                          </a:xfrm>
                          <a:prstGeom prst="rect">
                            <a:avLst/>
                          </a:prstGeom>
                          <a:noFill/>
                          <a:ln>
                            <a:noFill/>
                          </a:ln>
                        </pic:spPr>
                      </pic:pic>
                    </a:graphicData>
                  </a:graphic>
                </wp:inline>
              </w:drawing>
            </w:r>
          </w:p>
        </w:tc>
        <w:tc>
          <w:tcPr>
            <w:tcW w:w="4765" w:type="dxa"/>
          </w:tcPr>
          <w:p w14:paraId="52DFFA72" w14:textId="05B43C20" w:rsidR="002364B5" w:rsidRDefault="007B18C0" w:rsidP="002364B5">
            <w:r>
              <w:rPr>
                <w:noProof/>
              </w:rPr>
              <w:drawing>
                <wp:inline distT="0" distB="0" distL="0" distR="0" wp14:anchorId="6E734D0C" wp14:editId="2ACBC63F">
                  <wp:extent cx="2790263" cy="2030095"/>
                  <wp:effectExtent l="0" t="0" r="0" b="825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99180" cy="2036583"/>
                          </a:xfrm>
                          <a:prstGeom prst="rect">
                            <a:avLst/>
                          </a:prstGeom>
                          <a:noFill/>
                          <a:ln>
                            <a:noFill/>
                          </a:ln>
                        </pic:spPr>
                      </pic:pic>
                    </a:graphicData>
                  </a:graphic>
                </wp:inline>
              </w:drawing>
            </w:r>
          </w:p>
        </w:tc>
      </w:tr>
      <w:tr w:rsidR="007B18C0" w14:paraId="46DF7D39" w14:textId="77777777" w:rsidTr="007E1270">
        <w:tc>
          <w:tcPr>
            <w:tcW w:w="4585" w:type="dxa"/>
          </w:tcPr>
          <w:p w14:paraId="5BD4B5A7" w14:textId="6A829812" w:rsidR="002364B5" w:rsidRDefault="002364B5" w:rsidP="002364B5">
            <w:r>
              <w:lastRenderedPageBreak/>
              <w:t xml:space="preserve">Panel </w:t>
            </w:r>
            <w:r w:rsidR="004D3143">
              <w:t>G</w:t>
            </w:r>
            <w:r>
              <w:t>:</w:t>
            </w:r>
            <w:r w:rsidR="00053B6D">
              <w:t xml:space="preserve"> Age of HH head around the Proxy Means Test threshold</w:t>
            </w:r>
          </w:p>
        </w:tc>
        <w:tc>
          <w:tcPr>
            <w:tcW w:w="4765" w:type="dxa"/>
          </w:tcPr>
          <w:p w14:paraId="0A49A8DB" w14:textId="05ABF026" w:rsidR="002364B5" w:rsidRDefault="002364B5" w:rsidP="002364B5">
            <w:r>
              <w:t xml:space="preserve">Panel </w:t>
            </w:r>
            <w:r w:rsidR="004D3143">
              <w:t>H</w:t>
            </w:r>
            <w:r>
              <w:t>:</w:t>
            </w:r>
            <w:r w:rsidR="00053B6D">
              <w:t xml:space="preserve"> Age of HH head around the Scorecard Model threshold</w:t>
            </w:r>
          </w:p>
        </w:tc>
      </w:tr>
      <w:tr w:rsidR="007B18C0" w14:paraId="513EE9FE" w14:textId="77777777" w:rsidTr="007E1270">
        <w:tc>
          <w:tcPr>
            <w:tcW w:w="4585" w:type="dxa"/>
          </w:tcPr>
          <w:p w14:paraId="06D3DF3C" w14:textId="423EB02A" w:rsidR="002364B5" w:rsidRDefault="009141B6" w:rsidP="002364B5">
            <w:r>
              <w:rPr>
                <w:noProof/>
              </w:rPr>
              <w:drawing>
                <wp:inline distT="0" distB="0" distL="0" distR="0" wp14:anchorId="79F92188" wp14:editId="0D1E69A2">
                  <wp:extent cx="2819400" cy="2051294"/>
                  <wp:effectExtent l="0" t="0" r="0"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30493" cy="2059365"/>
                          </a:xfrm>
                          <a:prstGeom prst="rect">
                            <a:avLst/>
                          </a:prstGeom>
                          <a:noFill/>
                          <a:ln>
                            <a:noFill/>
                          </a:ln>
                        </pic:spPr>
                      </pic:pic>
                    </a:graphicData>
                  </a:graphic>
                </wp:inline>
              </w:drawing>
            </w:r>
          </w:p>
        </w:tc>
        <w:tc>
          <w:tcPr>
            <w:tcW w:w="4765" w:type="dxa"/>
          </w:tcPr>
          <w:p w14:paraId="0927A704" w14:textId="1694F427" w:rsidR="002364B5" w:rsidRDefault="007B18C0" w:rsidP="002364B5">
            <w:r>
              <w:rPr>
                <w:noProof/>
              </w:rPr>
              <w:drawing>
                <wp:inline distT="0" distB="0" distL="0" distR="0" wp14:anchorId="3E107828" wp14:editId="6E349DFB">
                  <wp:extent cx="2790190" cy="2030042"/>
                  <wp:effectExtent l="0" t="0" r="0" b="889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5526" cy="2041200"/>
                          </a:xfrm>
                          <a:prstGeom prst="rect">
                            <a:avLst/>
                          </a:prstGeom>
                          <a:noFill/>
                          <a:ln>
                            <a:noFill/>
                          </a:ln>
                        </pic:spPr>
                      </pic:pic>
                    </a:graphicData>
                  </a:graphic>
                </wp:inline>
              </w:drawing>
            </w:r>
          </w:p>
        </w:tc>
      </w:tr>
      <w:tr w:rsidR="00DC3157" w14:paraId="54021CB3" w14:textId="77777777" w:rsidTr="007E1270">
        <w:tc>
          <w:tcPr>
            <w:tcW w:w="4585" w:type="dxa"/>
          </w:tcPr>
          <w:p w14:paraId="590CAA96" w14:textId="3DCF36A2" w:rsidR="002364B5" w:rsidRDefault="002364B5" w:rsidP="002364B5">
            <w:r>
              <w:t xml:space="preserve">Panel </w:t>
            </w:r>
            <w:r w:rsidR="004D3143">
              <w:t>I</w:t>
            </w:r>
            <w:r>
              <w:t>:</w:t>
            </w:r>
            <w:r w:rsidR="00053B6D">
              <w:t xml:space="preserve"> Number of HH members around the Proxy Means Test threshold</w:t>
            </w:r>
          </w:p>
        </w:tc>
        <w:tc>
          <w:tcPr>
            <w:tcW w:w="4765" w:type="dxa"/>
          </w:tcPr>
          <w:p w14:paraId="55F9320E" w14:textId="487F3254" w:rsidR="002364B5" w:rsidRDefault="002364B5" w:rsidP="002364B5">
            <w:r>
              <w:t xml:space="preserve">Panel </w:t>
            </w:r>
            <w:r w:rsidR="004D3143">
              <w:t>J</w:t>
            </w:r>
            <w:r>
              <w:t>:</w:t>
            </w:r>
            <w:r w:rsidR="00053B6D">
              <w:t xml:space="preserve"> Number of HH members around the Scorecard Model threshold</w:t>
            </w:r>
          </w:p>
        </w:tc>
      </w:tr>
      <w:tr w:rsidR="00DC3157" w14:paraId="09FED37B" w14:textId="77777777" w:rsidTr="007E1270">
        <w:tc>
          <w:tcPr>
            <w:tcW w:w="4585" w:type="dxa"/>
          </w:tcPr>
          <w:p w14:paraId="0A4303C6" w14:textId="2AA6A26C" w:rsidR="002364B5" w:rsidRDefault="009141B6" w:rsidP="002364B5">
            <w:r>
              <w:rPr>
                <w:noProof/>
              </w:rPr>
              <w:drawing>
                <wp:inline distT="0" distB="0" distL="0" distR="0" wp14:anchorId="55B1D882" wp14:editId="40E5D819">
                  <wp:extent cx="2828925" cy="2058224"/>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35067" cy="2062692"/>
                          </a:xfrm>
                          <a:prstGeom prst="rect">
                            <a:avLst/>
                          </a:prstGeom>
                          <a:noFill/>
                          <a:ln>
                            <a:noFill/>
                          </a:ln>
                        </pic:spPr>
                      </pic:pic>
                    </a:graphicData>
                  </a:graphic>
                </wp:inline>
              </w:drawing>
            </w:r>
          </w:p>
        </w:tc>
        <w:tc>
          <w:tcPr>
            <w:tcW w:w="4765" w:type="dxa"/>
          </w:tcPr>
          <w:p w14:paraId="47F480D2" w14:textId="3F023DED" w:rsidR="002364B5" w:rsidRDefault="007B18C0" w:rsidP="002364B5">
            <w:r>
              <w:rPr>
                <w:noProof/>
              </w:rPr>
              <w:drawing>
                <wp:inline distT="0" distB="0" distL="0" distR="0" wp14:anchorId="2508A59A" wp14:editId="393C769A">
                  <wp:extent cx="2886075" cy="2099804"/>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91404" cy="2103681"/>
                          </a:xfrm>
                          <a:prstGeom prst="rect">
                            <a:avLst/>
                          </a:prstGeom>
                          <a:noFill/>
                          <a:ln>
                            <a:noFill/>
                          </a:ln>
                        </pic:spPr>
                      </pic:pic>
                    </a:graphicData>
                  </a:graphic>
                </wp:inline>
              </w:drawing>
            </w:r>
          </w:p>
        </w:tc>
      </w:tr>
    </w:tbl>
    <w:p w14:paraId="218D0832" w14:textId="77777777" w:rsidR="002364B5" w:rsidRPr="00AD4130" w:rsidRDefault="002364B5" w:rsidP="002364B5">
      <w:pPr>
        <w:rPr>
          <w:b/>
        </w:rPr>
      </w:pPr>
    </w:p>
    <w:p w14:paraId="023C0598" w14:textId="19E33741" w:rsidR="003F30E2" w:rsidRPr="002D1BCD" w:rsidRDefault="00DA7275" w:rsidP="002D1BCD">
      <w:pPr>
        <w:pStyle w:val="Prrafodelista"/>
        <w:numPr>
          <w:ilvl w:val="0"/>
          <w:numId w:val="2"/>
        </w:numPr>
        <w:rPr>
          <w:b/>
        </w:rPr>
      </w:pPr>
      <w:r w:rsidRPr="108E77EB">
        <w:rPr>
          <w:b/>
          <w:bCs/>
        </w:rPr>
        <w:t>Survey and Sample Design</w:t>
      </w:r>
    </w:p>
    <w:p w14:paraId="521DDC64" w14:textId="406DA099" w:rsidR="00694313" w:rsidRDefault="00271CAF" w:rsidP="006718E4">
      <w:pPr>
        <w:spacing w:line="240" w:lineRule="auto"/>
        <w:jc w:val="both"/>
      </w:pPr>
      <w:r>
        <w:t xml:space="preserve">The results from the power analysis show that the optimal bandwidths are approximately </w:t>
      </w:r>
      <w:r w:rsidR="001A3723">
        <w:t>[-12; 7]</w:t>
      </w:r>
      <w:r>
        <w:t xml:space="preserve"> points around the eligibility threshold</w:t>
      </w:r>
      <w:r w:rsidR="00DC3157">
        <w:t xml:space="preserve"> for the Scorecard Model and </w:t>
      </w:r>
      <w:r w:rsidR="002E1ADE">
        <w:t>[-3785; 3300]</w:t>
      </w:r>
      <w:r w:rsidR="00DC3157">
        <w:t xml:space="preserve"> points around the threshold of the Proxy Mean Test score</w:t>
      </w:r>
      <w:r>
        <w:t>. In the data</w:t>
      </w:r>
      <w:r w:rsidR="008F3B18">
        <w:t>,</w:t>
      </w:r>
      <w:r>
        <w:t xml:space="preserve"> we have 2,</w:t>
      </w:r>
      <w:r w:rsidR="00166424">
        <w:t>318</w:t>
      </w:r>
      <w:r>
        <w:t xml:space="preserve"> </w:t>
      </w:r>
      <w:r w:rsidR="000524C1">
        <w:t>non-</w:t>
      </w:r>
      <w:r>
        <w:t xml:space="preserve">eligible applicants and </w:t>
      </w:r>
      <w:r w:rsidR="00166424">
        <w:t>10,084</w:t>
      </w:r>
      <w:r>
        <w:t xml:space="preserve"> eligible applicants in this vicinity. </w:t>
      </w:r>
      <w:r w:rsidR="00A7567A">
        <w:t>We propose a sample size that will be able to detect a</w:t>
      </w:r>
      <w:r w:rsidR="002E1ADE">
        <w:t>t least a</w:t>
      </w:r>
      <w:r w:rsidR="00A7567A">
        <w:t xml:space="preserve"> 0.3 SD difference </w:t>
      </w:r>
      <w:r w:rsidR="008F3B18">
        <w:t>i</w:t>
      </w:r>
      <w:r w:rsidR="008F3B18" w:rsidRPr="002E1ADE">
        <w:t xml:space="preserve">n </w:t>
      </w:r>
      <w:r w:rsidR="002E1ADE" w:rsidRPr="002E1ADE">
        <w:t>household consumption index, household per capital expenses</w:t>
      </w:r>
      <w:r w:rsidR="000524C1">
        <w:t>,</w:t>
      </w:r>
      <w:r w:rsidR="002E1ADE" w:rsidRPr="002E1ADE">
        <w:t xml:space="preserve"> and household per capita income</w:t>
      </w:r>
      <w:r w:rsidR="00A7567A">
        <w:t xml:space="preserve">. </w:t>
      </w:r>
      <w:r w:rsidR="00694313">
        <w:t>With this assumption</w:t>
      </w:r>
      <w:r w:rsidR="00F24657">
        <w:t>,</w:t>
      </w:r>
      <w:r w:rsidR="00694313">
        <w:t xml:space="preserve"> we would need to gather a random sample, in this vicinity, of </w:t>
      </w:r>
      <w:r w:rsidR="00DD7510">
        <w:t>2,060</w:t>
      </w:r>
      <w:r w:rsidR="002E1ADE">
        <w:t xml:space="preserve"> </w:t>
      </w:r>
      <w:r w:rsidR="000524C1">
        <w:t>non-</w:t>
      </w:r>
      <w:r w:rsidR="00A7567A">
        <w:t>eligible applicants and 1,3</w:t>
      </w:r>
      <w:r w:rsidR="00DD7510">
        <w:t>93</w:t>
      </w:r>
      <w:r w:rsidR="00A7567A">
        <w:t xml:space="preserve"> eligible applicants</w:t>
      </w:r>
      <w:r w:rsidR="00694313">
        <w:t xml:space="preserve">. The computations were done using the command </w:t>
      </w:r>
      <w:r w:rsidR="00694313" w:rsidRPr="00E10FF3">
        <w:rPr>
          <w:i/>
          <w:iCs/>
        </w:rPr>
        <w:t>rdsampsi</w:t>
      </w:r>
      <w:r w:rsidR="00694313">
        <w:t xml:space="preserve"> in Stata® provided by Cattaneo, Titiunik &amp; Vazquez-Bare (2019).</w:t>
      </w:r>
      <w:r w:rsidR="00694313">
        <w:rPr>
          <w:rStyle w:val="Refdenotaalpie"/>
        </w:rPr>
        <w:footnoteReference w:id="2"/>
      </w:r>
      <w:r w:rsidR="00694313">
        <w:t xml:space="preserve"> As noted</w:t>
      </w:r>
      <w:r w:rsidR="00532352">
        <w:t xml:space="preserve"> below</w:t>
      </w:r>
      <w:r w:rsidR="000524C1">
        <w:t>,</w:t>
      </w:r>
      <w:r w:rsidR="00532352">
        <w:t xml:space="preserve"> this is a feasible sample size given the possible contact rates in the field.</w:t>
      </w:r>
      <w:r w:rsidR="00DD7510">
        <w:t xml:space="preserve"> However, a greater sample of 5,228 participants is recommended for further sensitivity analysis.</w:t>
      </w:r>
    </w:p>
    <w:p w14:paraId="53AF458D" w14:textId="77BCCD0D" w:rsidR="003F30E2" w:rsidRPr="003F30E2" w:rsidRDefault="003F30E2" w:rsidP="00DA7275">
      <w:r>
        <w:t xml:space="preserve">All households will initially be contacted for a telephone survey, and a representative sample of households not reached by telephone </w:t>
      </w:r>
      <w:r w:rsidR="00D103D0">
        <w:t xml:space="preserve">will be followed up for a face-to-face survey. Assuming </w:t>
      </w:r>
      <w:r w:rsidR="00D103D0">
        <w:lastRenderedPageBreak/>
        <w:t>differential phone-survey re-contact rates of 60% and 40% in the treatment and control groups, respectively, and 69% re-contact rates in the face-to-face survey, the final target analytic sample is between approximately 1</w:t>
      </w:r>
      <w:r w:rsidR="0014422A">
        <w:t>,</w:t>
      </w:r>
      <w:r w:rsidR="00D103D0">
        <w:t>300 and 1</w:t>
      </w:r>
      <w:r w:rsidR="0014422A">
        <w:t>,</w:t>
      </w:r>
      <w:r w:rsidR="00D103D0">
        <w:t>600 households per intervention group, or 2</w:t>
      </w:r>
      <w:r w:rsidR="0014422A">
        <w:t>,</w:t>
      </w:r>
      <w:r w:rsidR="00D103D0">
        <w:t>600 to 3</w:t>
      </w:r>
      <w:r w:rsidR="0014422A">
        <w:t>,</w:t>
      </w:r>
      <w:r w:rsidR="00D103D0">
        <w:t>200 households total. The analytic sample will be powered to detect an</w:t>
      </w:r>
      <w:r w:rsidR="002D1BCD">
        <w:t xml:space="preserve"> effect size of</w:t>
      </w:r>
      <w:r w:rsidR="00D103D0">
        <w:t xml:space="preserve"> approximately 0.</w:t>
      </w:r>
      <w:r w:rsidR="0014422A">
        <w:t>3</w:t>
      </w:r>
      <w:r w:rsidR="00532352">
        <w:t>2</w:t>
      </w:r>
      <w:r w:rsidR="00D103D0">
        <w:t xml:space="preserve"> standard deviation</w:t>
      </w:r>
      <w:r w:rsidR="002D1BCD">
        <w:t>s</w:t>
      </w:r>
      <w:r w:rsidR="00D103D0">
        <w:t xml:space="preserve"> </w:t>
      </w:r>
      <w:r w:rsidR="001A3723">
        <w:t xml:space="preserve">at least </w:t>
      </w:r>
      <w:r w:rsidR="00D103D0">
        <w:t>on household consumption</w:t>
      </w:r>
      <w:r w:rsidR="001A3723">
        <w:t xml:space="preserve"> index, household per capital expenses</w:t>
      </w:r>
      <w:r w:rsidR="000524C1">
        <w:t>,</w:t>
      </w:r>
      <w:r w:rsidR="001A3723">
        <w:t xml:space="preserve"> and household per capita income</w:t>
      </w:r>
      <w:r w:rsidR="00D103D0">
        <w:t xml:space="preserve"> (power=80% and significance=5%). </w:t>
      </w:r>
    </w:p>
    <w:p w14:paraId="060C07F2" w14:textId="0075E592" w:rsidR="003F30E2" w:rsidRDefault="003F30E2">
      <w:pPr>
        <w:jc w:val="center"/>
        <w:rPr>
          <w:b/>
        </w:rPr>
      </w:pPr>
      <w:r>
        <w:rPr>
          <w:b/>
        </w:rPr>
        <w:t>Table 1. Sample Sizes</w:t>
      </w:r>
    </w:p>
    <w:p w14:paraId="66270187" w14:textId="1999AD42" w:rsidR="001A3723" w:rsidRDefault="002E1ADE" w:rsidP="006718E4">
      <w:pPr>
        <w:jc w:val="center"/>
        <w:rPr>
          <w:b/>
        </w:rPr>
      </w:pPr>
      <w:r w:rsidRPr="002E1ADE">
        <w:rPr>
          <w:noProof/>
        </w:rPr>
        <w:drawing>
          <wp:inline distT="0" distB="0" distL="0" distR="0" wp14:anchorId="38EBAD9A" wp14:editId="1BB551F8">
            <wp:extent cx="5943600" cy="3122930"/>
            <wp:effectExtent l="0" t="0" r="0" b="127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122930"/>
                    </a:xfrm>
                    <a:prstGeom prst="rect">
                      <a:avLst/>
                    </a:prstGeom>
                    <a:noFill/>
                    <a:ln>
                      <a:noFill/>
                    </a:ln>
                  </pic:spPr>
                </pic:pic>
              </a:graphicData>
            </a:graphic>
          </wp:inline>
        </w:drawing>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1620"/>
        <w:gridCol w:w="1800"/>
        <w:gridCol w:w="1530"/>
        <w:gridCol w:w="1525"/>
      </w:tblGrid>
      <w:tr w:rsidR="00D103D0" w:rsidRPr="003F30E2" w14:paraId="73E9ECD7" w14:textId="77777777" w:rsidTr="00D103D0">
        <w:trPr>
          <w:trHeight w:val="631"/>
        </w:trPr>
        <w:tc>
          <w:tcPr>
            <w:tcW w:w="2875" w:type="dxa"/>
            <w:shd w:val="clear" w:color="auto" w:fill="auto"/>
            <w:noWrap/>
            <w:vAlign w:val="bottom"/>
            <w:hideMark/>
          </w:tcPr>
          <w:p w14:paraId="1699919A" w14:textId="77777777" w:rsidR="00D103D0" w:rsidRPr="00DA7275" w:rsidRDefault="00D103D0" w:rsidP="00DA7275">
            <w:pPr>
              <w:spacing w:after="0" w:line="240" w:lineRule="auto"/>
              <w:rPr>
                <w:rFonts w:ascii="Times New Roman" w:eastAsia="Times New Roman" w:hAnsi="Times New Roman" w:cs="Times New Roman"/>
                <w:sz w:val="24"/>
                <w:szCs w:val="24"/>
              </w:rPr>
            </w:pPr>
          </w:p>
        </w:tc>
        <w:tc>
          <w:tcPr>
            <w:tcW w:w="1620" w:type="dxa"/>
            <w:shd w:val="clear" w:color="auto" w:fill="auto"/>
            <w:vAlign w:val="bottom"/>
            <w:hideMark/>
          </w:tcPr>
          <w:p w14:paraId="1C738DC0" w14:textId="77777777" w:rsidR="00D103D0" w:rsidRDefault="00D103D0" w:rsidP="00DA7275">
            <w:pPr>
              <w:spacing w:after="0" w:line="240" w:lineRule="auto"/>
              <w:rPr>
                <w:rFonts w:ascii="Calibri" w:eastAsia="Times New Roman" w:hAnsi="Calibri" w:cs="Calibri"/>
                <w:b/>
                <w:bCs/>
                <w:color w:val="000000"/>
              </w:rPr>
            </w:pPr>
            <w:r>
              <w:rPr>
                <w:rFonts w:ascii="Calibri" w:eastAsia="Times New Roman" w:hAnsi="Calibri" w:cs="Calibri"/>
                <w:b/>
                <w:bCs/>
                <w:color w:val="000000"/>
              </w:rPr>
              <w:t>Phone Survey Sample</w:t>
            </w:r>
          </w:p>
          <w:p w14:paraId="1811B932" w14:textId="77777777" w:rsidR="00D103D0" w:rsidRPr="00DA7275" w:rsidRDefault="00D103D0" w:rsidP="00DA7275">
            <w:pPr>
              <w:spacing w:after="0" w:line="240" w:lineRule="auto"/>
              <w:rPr>
                <w:rFonts w:ascii="Calibri" w:eastAsia="Times New Roman" w:hAnsi="Calibri" w:cs="Calibri"/>
                <w:b/>
                <w:bCs/>
                <w:color w:val="000000"/>
              </w:rPr>
            </w:pPr>
            <w:r>
              <w:rPr>
                <w:rFonts w:ascii="Calibri" w:eastAsia="Times New Roman" w:hAnsi="Calibri" w:cs="Calibri"/>
                <w:b/>
                <w:bCs/>
                <w:color w:val="000000"/>
              </w:rPr>
              <w:t>(N Households)</w:t>
            </w:r>
          </w:p>
        </w:tc>
        <w:tc>
          <w:tcPr>
            <w:tcW w:w="1800" w:type="dxa"/>
            <w:shd w:val="clear" w:color="auto" w:fill="auto"/>
            <w:vAlign w:val="bottom"/>
            <w:hideMark/>
          </w:tcPr>
          <w:p w14:paraId="7AFA80B6" w14:textId="77777777" w:rsidR="00D103D0" w:rsidRPr="003F30E2" w:rsidRDefault="00D103D0" w:rsidP="00DA7275">
            <w:pPr>
              <w:spacing w:after="0" w:line="240" w:lineRule="auto"/>
              <w:rPr>
                <w:rFonts w:ascii="Calibri" w:eastAsia="Times New Roman" w:hAnsi="Calibri" w:cs="Calibri"/>
                <w:b/>
                <w:bCs/>
                <w:color w:val="000000"/>
              </w:rPr>
            </w:pPr>
            <w:r w:rsidRPr="003F30E2">
              <w:rPr>
                <w:rFonts w:ascii="Calibri" w:eastAsia="Times New Roman" w:hAnsi="Calibri" w:cs="Calibri"/>
                <w:b/>
                <w:bCs/>
                <w:color w:val="000000"/>
              </w:rPr>
              <w:t xml:space="preserve">Face-to-Face Survey </w:t>
            </w:r>
          </w:p>
          <w:p w14:paraId="7728C63E" w14:textId="77777777" w:rsidR="00D103D0" w:rsidRPr="00DA7275" w:rsidRDefault="00D103D0" w:rsidP="00DA7275">
            <w:pPr>
              <w:spacing w:after="0" w:line="240" w:lineRule="auto"/>
              <w:rPr>
                <w:rFonts w:ascii="Calibri" w:eastAsia="Times New Roman" w:hAnsi="Calibri" w:cs="Calibri"/>
                <w:b/>
                <w:bCs/>
                <w:color w:val="000000"/>
              </w:rPr>
            </w:pPr>
            <w:r w:rsidRPr="003F30E2">
              <w:rPr>
                <w:rFonts w:ascii="Calibri" w:eastAsia="Times New Roman" w:hAnsi="Calibri" w:cs="Calibri"/>
                <w:b/>
                <w:bCs/>
                <w:color w:val="000000"/>
              </w:rPr>
              <w:t xml:space="preserve">(N Households </w:t>
            </w:r>
            <w:r>
              <w:rPr>
                <w:rFonts w:ascii="Calibri" w:eastAsia="Times New Roman" w:hAnsi="Calibri" w:cs="Calibri"/>
                <w:b/>
                <w:bCs/>
                <w:color w:val="000000"/>
              </w:rPr>
              <w:t>)*</w:t>
            </w:r>
          </w:p>
        </w:tc>
        <w:tc>
          <w:tcPr>
            <w:tcW w:w="1530" w:type="dxa"/>
          </w:tcPr>
          <w:p w14:paraId="724A29BD" w14:textId="77777777" w:rsidR="00D103D0" w:rsidRDefault="00D103D0" w:rsidP="003F30E2">
            <w:pPr>
              <w:spacing w:after="0" w:line="240" w:lineRule="auto"/>
              <w:rPr>
                <w:rFonts w:ascii="Calibri" w:eastAsia="Times New Roman" w:hAnsi="Calibri" w:cs="Calibri"/>
                <w:b/>
                <w:bCs/>
                <w:color w:val="000000"/>
              </w:rPr>
            </w:pPr>
            <w:r>
              <w:rPr>
                <w:rFonts w:ascii="Calibri" w:eastAsia="Times New Roman" w:hAnsi="Calibri" w:cs="Calibri"/>
                <w:b/>
                <w:bCs/>
                <w:color w:val="000000"/>
              </w:rPr>
              <w:t xml:space="preserve">Effective Analysis Sample </w:t>
            </w:r>
          </w:p>
          <w:p w14:paraId="2230232F" w14:textId="77777777" w:rsidR="00D103D0" w:rsidRPr="003F30E2" w:rsidRDefault="00D103D0" w:rsidP="00D103D0">
            <w:pPr>
              <w:spacing w:after="0" w:line="240" w:lineRule="auto"/>
              <w:rPr>
                <w:rFonts w:ascii="Calibri" w:eastAsia="Times New Roman" w:hAnsi="Calibri" w:cs="Calibri"/>
                <w:b/>
                <w:bCs/>
                <w:color w:val="000000"/>
              </w:rPr>
            </w:pPr>
            <w:r>
              <w:rPr>
                <w:rFonts w:ascii="Calibri" w:eastAsia="Times New Roman" w:hAnsi="Calibri" w:cs="Calibri"/>
                <w:b/>
                <w:bCs/>
                <w:color w:val="000000"/>
              </w:rPr>
              <w:t>(N Households Pessimistic scenario)</w:t>
            </w:r>
          </w:p>
        </w:tc>
        <w:tc>
          <w:tcPr>
            <w:tcW w:w="1525" w:type="dxa"/>
          </w:tcPr>
          <w:p w14:paraId="2BC28EBA" w14:textId="77777777" w:rsidR="00D103D0" w:rsidRDefault="00D103D0" w:rsidP="003F30E2">
            <w:pPr>
              <w:spacing w:after="0" w:line="240" w:lineRule="auto"/>
              <w:rPr>
                <w:rFonts w:ascii="Calibri" w:eastAsia="Times New Roman" w:hAnsi="Calibri" w:cs="Calibri"/>
                <w:b/>
                <w:bCs/>
                <w:color w:val="000000"/>
              </w:rPr>
            </w:pPr>
            <w:r>
              <w:rPr>
                <w:rFonts w:ascii="Calibri" w:eastAsia="Times New Roman" w:hAnsi="Calibri" w:cs="Calibri"/>
                <w:b/>
                <w:bCs/>
                <w:color w:val="000000"/>
              </w:rPr>
              <w:t xml:space="preserve"> Effective Analysis Sample</w:t>
            </w:r>
          </w:p>
          <w:p w14:paraId="61EA4870" w14:textId="77777777" w:rsidR="00D103D0" w:rsidRDefault="00D103D0" w:rsidP="003F30E2">
            <w:pPr>
              <w:spacing w:after="0" w:line="240" w:lineRule="auto"/>
              <w:rPr>
                <w:rFonts w:ascii="Calibri" w:eastAsia="Times New Roman" w:hAnsi="Calibri" w:cs="Calibri"/>
                <w:b/>
                <w:bCs/>
                <w:color w:val="000000"/>
              </w:rPr>
            </w:pPr>
            <w:r>
              <w:rPr>
                <w:rFonts w:ascii="Calibri" w:eastAsia="Times New Roman" w:hAnsi="Calibri" w:cs="Calibri"/>
                <w:b/>
                <w:bCs/>
                <w:color w:val="000000"/>
              </w:rPr>
              <w:t>(N Households Optimistic scenario)</w:t>
            </w:r>
          </w:p>
        </w:tc>
      </w:tr>
      <w:tr w:rsidR="00D103D0" w:rsidRPr="00DA7275" w14:paraId="630B0069" w14:textId="77777777" w:rsidTr="00D103D0">
        <w:trPr>
          <w:trHeight w:val="210"/>
        </w:trPr>
        <w:tc>
          <w:tcPr>
            <w:tcW w:w="2875" w:type="dxa"/>
            <w:shd w:val="clear" w:color="auto" w:fill="auto"/>
            <w:noWrap/>
            <w:vAlign w:val="bottom"/>
            <w:hideMark/>
          </w:tcPr>
          <w:p w14:paraId="702FF37B" w14:textId="77777777" w:rsidR="00D103D0" w:rsidRPr="00DA7275" w:rsidRDefault="00D103D0" w:rsidP="00D103D0">
            <w:pPr>
              <w:spacing w:after="0" w:line="240" w:lineRule="auto"/>
              <w:rPr>
                <w:rFonts w:ascii="Calibri" w:eastAsia="Times New Roman" w:hAnsi="Calibri" w:cs="Calibri"/>
                <w:color w:val="000000"/>
              </w:rPr>
            </w:pPr>
            <w:r>
              <w:rPr>
                <w:rFonts w:ascii="Calibri" w:eastAsia="Times New Roman" w:hAnsi="Calibri" w:cs="Calibri"/>
                <w:color w:val="000000"/>
              </w:rPr>
              <w:t xml:space="preserve">Sample - Treatment Group </w:t>
            </w:r>
          </w:p>
        </w:tc>
        <w:tc>
          <w:tcPr>
            <w:tcW w:w="1620" w:type="dxa"/>
            <w:shd w:val="clear" w:color="auto" w:fill="auto"/>
            <w:noWrap/>
            <w:vAlign w:val="bottom"/>
            <w:hideMark/>
          </w:tcPr>
          <w:p w14:paraId="7A9CADCA" w14:textId="77777777" w:rsidR="00D103D0" w:rsidRPr="00DA7275" w:rsidRDefault="00D103D0" w:rsidP="00D103D0">
            <w:pPr>
              <w:spacing w:after="0" w:line="240" w:lineRule="auto"/>
              <w:jc w:val="center"/>
              <w:rPr>
                <w:rFonts w:ascii="Calibri" w:eastAsia="Times New Roman" w:hAnsi="Calibri" w:cs="Calibri"/>
                <w:color w:val="000000"/>
              </w:rPr>
            </w:pPr>
            <w:r w:rsidRPr="00DA7275">
              <w:rPr>
                <w:rFonts w:ascii="Calibri" w:eastAsia="Times New Roman" w:hAnsi="Calibri" w:cs="Calibri"/>
                <w:color w:val="000000"/>
              </w:rPr>
              <w:t>1879</w:t>
            </w:r>
          </w:p>
        </w:tc>
        <w:tc>
          <w:tcPr>
            <w:tcW w:w="1800" w:type="dxa"/>
            <w:shd w:val="clear" w:color="auto" w:fill="auto"/>
            <w:noWrap/>
            <w:vAlign w:val="bottom"/>
            <w:hideMark/>
          </w:tcPr>
          <w:p w14:paraId="67C4252D" w14:textId="77777777" w:rsidR="00D103D0" w:rsidRPr="00DA7275" w:rsidRDefault="00D103D0" w:rsidP="00D103D0">
            <w:pPr>
              <w:spacing w:after="0" w:line="240" w:lineRule="auto"/>
              <w:jc w:val="center"/>
              <w:rPr>
                <w:rFonts w:ascii="Calibri" w:eastAsia="Times New Roman" w:hAnsi="Calibri" w:cs="Calibri"/>
                <w:color w:val="000000"/>
              </w:rPr>
            </w:pPr>
            <w:r w:rsidRPr="00DA7275">
              <w:rPr>
                <w:rFonts w:ascii="Calibri" w:eastAsia="Times New Roman" w:hAnsi="Calibri" w:cs="Calibri"/>
                <w:color w:val="000000"/>
              </w:rPr>
              <w:t>282</w:t>
            </w:r>
          </w:p>
        </w:tc>
        <w:tc>
          <w:tcPr>
            <w:tcW w:w="1530" w:type="dxa"/>
            <w:vAlign w:val="bottom"/>
          </w:tcPr>
          <w:p w14:paraId="6AD326DB" w14:textId="77777777" w:rsidR="00D103D0" w:rsidRPr="003F30E2" w:rsidRDefault="00D103D0"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1297</w:t>
            </w:r>
          </w:p>
        </w:tc>
        <w:tc>
          <w:tcPr>
            <w:tcW w:w="1525" w:type="dxa"/>
            <w:vAlign w:val="bottom"/>
          </w:tcPr>
          <w:p w14:paraId="418694E6" w14:textId="77777777" w:rsidR="00D103D0" w:rsidRPr="00D103D0" w:rsidRDefault="00D103D0"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1654</w:t>
            </w:r>
          </w:p>
        </w:tc>
      </w:tr>
      <w:tr w:rsidR="00D103D0" w:rsidRPr="00DA7275" w14:paraId="541103DC" w14:textId="77777777" w:rsidTr="00D103D0">
        <w:trPr>
          <w:trHeight w:val="210"/>
        </w:trPr>
        <w:tc>
          <w:tcPr>
            <w:tcW w:w="2875" w:type="dxa"/>
            <w:shd w:val="clear" w:color="auto" w:fill="auto"/>
            <w:noWrap/>
            <w:vAlign w:val="bottom"/>
            <w:hideMark/>
          </w:tcPr>
          <w:p w14:paraId="381BB993" w14:textId="77777777" w:rsidR="00D103D0" w:rsidRPr="00DA7275" w:rsidRDefault="00D103D0" w:rsidP="00D103D0">
            <w:pPr>
              <w:spacing w:after="0" w:line="240" w:lineRule="auto"/>
              <w:rPr>
                <w:rFonts w:ascii="Calibri" w:eastAsia="Times New Roman" w:hAnsi="Calibri" w:cs="Calibri"/>
                <w:color w:val="000000"/>
              </w:rPr>
            </w:pPr>
            <w:r>
              <w:rPr>
                <w:rFonts w:ascii="Calibri" w:eastAsia="Times New Roman" w:hAnsi="Calibri" w:cs="Calibri"/>
                <w:color w:val="000000"/>
              </w:rPr>
              <w:t>Sample – Control Group</w:t>
            </w:r>
          </w:p>
        </w:tc>
        <w:tc>
          <w:tcPr>
            <w:tcW w:w="1620" w:type="dxa"/>
            <w:shd w:val="clear" w:color="auto" w:fill="auto"/>
            <w:noWrap/>
            <w:vAlign w:val="bottom"/>
            <w:hideMark/>
          </w:tcPr>
          <w:p w14:paraId="1AAB18CB" w14:textId="64BD1268" w:rsidR="00D103D0" w:rsidRPr="00DA7275" w:rsidRDefault="00A7567A"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1467</w:t>
            </w:r>
          </w:p>
        </w:tc>
        <w:tc>
          <w:tcPr>
            <w:tcW w:w="1800" w:type="dxa"/>
            <w:shd w:val="clear" w:color="auto" w:fill="auto"/>
            <w:noWrap/>
            <w:vAlign w:val="bottom"/>
            <w:hideMark/>
          </w:tcPr>
          <w:p w14:paraId="30E2D5CD" w14:textId="4477FA38" w:rsidR="00D103D0" w:rsidRPr="00DA7275" w:rsidRDefault="00A7567A"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587</w:t>
            </w:r>
          </w:p>
        </w:tc>
        <w:tc>
          <w:tcPr>
            <w:tcW w:w="1530" w:type="dxa"/>
            <w:vAlign w:val="bottom"/>
          </w:tcPr>
          <w:p w14:paraId="0930D9D7" w14:textId="49C71966" w:rsidR="00D103D0" w:rsidRPr="003F30E2" w:rsidRDefault="00A7567A"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2,055</w:t>
            </w:r>
          </w:p>
        </w:tc>
        <w:tc>
          <w:tcPr>
            <w:tcW w:w="1525" w:type="dxa"/>
            <w:vAlign w:val="bottom"/>
          </w:tcPr>
          <w:p w14:paraId="3221C1B5" w14:textId="76263CD6" w:rsidR="00D103D0" w:rsidRPr="00D103D0" w:rsidRDefault="00A7567A" w:rsidP="00D103D0">
            <w:pPr>
              <w:spacing w:after="0" w:line="240" w:lineRule="auto"/>
              <w:jc w:val="center"/>
              <w:rPr>
                <w:rFonts w:ascii="Calibri" w:eastAsia="Times New Roman" w:hAnsi="Calibri" w:cs="Calibri"/>
                <w:color w:val="000000"/>
              </w:rPr>
            </w:pPr>
            <w:r>
              <w:rPr>
                <w:rFonts w:ascii="Calibri" w:eastAsia="Times New Roman" w:hAnsi="Calibri" w:cs="Calibri"/>
                <w:color w:val="000000"/>
              </w:rPr>
              <w:t>1,712</w:t>
            </w:r>
          </w:p>
        </w:tc>
      </w:tr>
    </w:tbl>
    <w:p w14:paraId="2BCDF739" w14:textId="77777777" w:rsidR="00DA7275" w:rsidRPr="003F30E2" w:rsidRDefault="003F30E2" w:rsidP="003F30E2">
      <w:r w:rsidRPr="003F30E2">
        <w:t xml:space="preserve">*The number of face-to-face surveys will be up to 1221 households not reached through the phone survey, though the distribution across treatment and control may vary. </w:t>
      </w:r>
    </w:p>
    <w:p w14:paraId="0D3B746F" w14:textId="77777777" w:rsidR="00DA7275" w:rsidRPr="006718E4" w:rsidRDefault="00DA7275" w:rsidP="006718E4">
      <w:pPr>
        <w:rPr>
          <w:b/>
        </w:rPr>
      </w:pPr>
    </w:p>
    <w:sectPr w:rsidR="00DA7275" w:rsidRPr="006718E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17337" w14:textId="77777777" w:rsidR="00367ACB" w:rsidRDefault="00367ACB" w:rsidP="00546B3E">
      <w:pPr>
        <w:spacing w:after="0" w:line="240" w:lineRule="auto"/>
      </w:pPr>
      <w:r>
        <w:separator/>
      </w:r>
    </w:p>
  </w:endnote>
  <w:endnote w:type="continuationSeparator" w:id="0">
    <w:p w14:paraId="28093785" w14:textId="77777777" w:rsidR="00367ACB" w:rsidRDefault="00367ACB" w:rsidP="00546B3E">
      <w:pPr>
        <w:spacing w:after="0" w:line="240" w:lineRule="auto"/>
      </w:pPr>
      <w:r>
        <w:continuationSeparator/>
      </w:r>
    </w:p>
  </w:endnote>
  <w:endnote w:type="continuationNotice" w:id="1">
    <w:p w14:paraId="17B3DC07" w14:textId="77777777" w:rsidR="00367ACB" w:rsidRDefault="00367AC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2ED8DC" w14:textId="77777777" w:rsidR="00367ACB" w:rsidRDefault="00367ACB" w:rsidP="00546B3E">
      <w:pPr>
        <w:spacing w:after="0" w:line="240" w:lineRule="auto"/>
      </w:pPr>
      <w:r>
        <w:separator/>
      </w:r>
    </w:p>
  </w:footnote>
  <w:footnote w:type="continuationSeparator" w:id="0">
    <w:p w14:paraId="2509BE12" w14:textId="77777777" w:rsidR="00367ACB" w:rsidRDefault="00367ACB" w:rsidP="00546B3E">
      <w:pPr>
        <w:spacing w:after="0" w:line="240" w:lineRule="auto"/>
      </w:pPr>
      <w:r>
        <w:continuationSeparator/>
      </w:r>
    </w:p>
  </w:footnote>
  <w:footnote w:type="continuationNotice" w:id="1">
    <w:p w14:paraId="44813B6A" w14:textId="77777777" w:rsidR="00367ACB" w:rsidRDefault="00367ACB">
      <w:pPr>
        <w:spacing w:after="0" w:line="240" w:lineRule="auto"/>
      </w:pPr>
    </w:p>
  </w:footnote>
  <w:footnote w:id="2">
    <w:p w14:paraId="4B3B9B29" w14:textId="77777777" w:rsidR="00694313" w:rsidRPr="00546B3E" w:rsidRDefault="00694313" w:rsidP="00694313">
      <w:pPr>
        <w:pStyle w:val="Textonotapie"/>
      </w:pPr>
      <w:r>
        <w:rPr>
          <w:rStyle w:val="Refdenotaalpie"/>
        </w:rPr>
        <w:footnoteRef/>
      </w:r>
      <w:r>
        <w:t xml:space="preserve"> </w:t>
      </w:r>
      <w:r w:rsidRPr="00E10FF3">
        <w:t xml:space="preserve">See </w:t>
      </w:r>
      <w:r w:rsidRPr="00546B3E">
        <w:t>Cattaneo, M. D., Titiunik, R., &amp; Vazquez-Bare, G. (2019). Power calculations for regression-discontinuity designs. </w:t>
      </w:r>
      <w:r w:rsidRPr="00546B3E">
        <w:rPr>
          <w:i/>
          <w:iCs/>
        </w:rPr>
        <w:t>The Stata Journal</w:t>
      </w:r>
      <w:r w:rsidRPr="00546B3E">
        <w:t>, </w:t>
      </w:r>
      <w:r w:rsidRPr="00546B3E">
        <w:rPr>
          <w:i/>
          <w:iCs/>
        </w:rPr>
        <w:t>19</w:t>
      </w:r>
      <w:r w:rsidRPr="00546B3E">
        <w:t>(1), 210-245.</w:t>
      </w:r>
    </w:p>
    <w:p w14:paraId="48BC4005" w14:textId="77777777" w:rsidR="00694313" w:rsidRPr="00E10FF3" w:rsidRDefault="00694313" w:rsidP="00694313">
      <w:pPr>
        <w:pStyle w:val="Textonotapie"/>
        <w:rPr>
          <w:lang w:val="es-ES"/>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1560F"/>
    <w:multiLevelType w:val="hybridMultilevel"/>
    <w:tmpl w:val="1E4A83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6E7E20"/>
    <w:multiLevelType w:val="hybridMultilevel"/>
    <w:tmpl w:val="64D82F76"/>
    <w:lvl w:ilvl="0" w:tplc="2024790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3AC7315E"/>
    <w:multiLevelType w:val="hybridMultilevel"/>
    <w:tmpl w:val="E07EF6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C071AB6"/>
    <w:multiLevelType w:val="hybridMultilevel"/>
    <w:tmpl w:val="1E4A83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3972FB9"/>
    <w:multiLevelType w:val="hybridMultilevel"/>
    <w:tmpl w:val="C88E9D6E"/>
    <w:lvl w:ilvl="0" w:tplc="05C0FC6E">
      <w:start w:val="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97077492">
    <w:abstractNumId w:val="4"/>
  </w:num>
  <w:num w:numId="2" w16cid:durableId="2042168940">
    <w:abstractNumId w:val="3"/>
  </w:num>
  <w:num w:numId="3" w16cid:durableId="178198637">
    <w:abstractNumId w:val="0"/>
  </w:num>
  <w:num w:numId="4" w16cid:durableId="17124397">
    <w:abstractNumId w:val="1"/>
  </w:num>
  <w:num w:numId="5" w16cid:durableId="9115445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tDSyMDEwNTczMTQ1NzZS0lEKTi0uzszPAykwqgUAn5HQKSwAAAA="/>
  </w:docVars>
  <w:rsids>
    <w:rsidRoot w:val="00DA7275"/>
    <w:rsid w:val="00030D69"/>
    <w:rsid w:val="000417BB"/>
    <w:rsid w:val="00043680"/>
    <w:rsid w:val="000462CE"/>
    <w:rsid w:val="000524C1"/>
    <w:rsid w:val="00053B6D"/>
    <w:rsid w:val="00081419"/>
    <w:rsid w:val="000951EE"/>
    <w:rsid w:val="00102005"/>
    <w:rsid w:val="0014422A"/>
    <w:rsid w:val="001556DB"/>
    <w:rsid w:val="00166424"/>
    <w:rsid w:val="001A3723"/>
    <w:rsid w:val="001A50D8"/>
    <w:rsid w:val="001F322A"/>
    <w:rsid w:val="00230699"/>
    <w:rsid w:val="002364B5"/>
    <w:rsid w:val="00271CAF"/>
    <w:rsid w:val="002D1BCD"/>
    <w:rsid w:val="002E1ADE"/>
    <w:rsid w:val="003206F1"/>
    <w:rsid w:val="00361A70"/>
    <w:rsid w:val="00367ACB"/>
    <w:rsid w:val="00370842"/>
    <w:rsid w:val="003862F3"/>
    <w:rsid w:val="003C3EDA"/>
    <w:rsid w:val="003D7B2A"/>
    <w:rsid w:val="003F30E2"/>
    <w:rsid w:val="00443A0C"/>
    <w:rsid w:val="00492EC5"/>
    <w:rsid w:val="00493FB9"/>
    <w:rsid w:val="004D2787"/>
    <w:rsid w:val="004D310F"/>
    <w:rsid w:val="004D3143"/>
    <w:rsid w:val="004E7E5F"/>
    <w:rsid w:val="00517552"/>
    <w:rsid w:val="00532352"/>
    <w:rsid w:val="00546B3E"/>
    <w:rsid w:val="00575DC3"/>
    <w:rsid w:val="00593B4C"/>
    <w:rsid w:val="005A32F1"/>
    <w:rsid w:val="005A3EC6"/>
    <w:rsid w:val="005B6D1B"/>
    <w:rsid w:val="005B6DA4"/>
    <w:rsid w:val="005C14CD"/>
    <w:rsid w:val="005E49DF"/>
    <w:rsid w:val="005E592C"/>
    <w:rsid w:val="00652887"/>
    <w:rsid w:val="0065393F"/>
    <w:rsid w:val="00655C5B"/>
    <w:rsid w:val="006718E4"/>
    <w:rsid w:val="006850A0"/>
    <w:rsid w:val="00692B6D"/>
    <w:rsid w:val="00694313"/>
    <w:rsid w:val="006A2189"/>
    <w:rsid w:val="006B0A79"/>
    <w:rsid w:val="006D261F"/>
    <w:rsid w:val="006E1884"/>
    <w:rsid w:val="00713A7A"/>
    <w:rsid w:val="007507E9"/>
    <w:rsid w:val="007A0023"/>
    <w:rsid w:val="007A4FF8"/>
    <w:rsid w:val="007B18C0"/>
    <w:rsid w:val="007B5F3D"/>
    <w:rsid w:val="007B7E1F"/>
    <w:rsid w:val="007E1270"/>
    <w:rsid w:val="007E4DD6"/>
    <w:rsid w:val="008B5DC0"/>
    <w:rsid w:val="008F3B18"/>
    <w:rsid w:val="00903567"/>
    <w:rsid w:val="009141B6"/>
    <w:rsid w:val="00972740"/>
    <w:rsid w:val="00974A94"/>
    <w:rsid w:val="00986D80"/>
    <w:rsid w:val="009B6FCA"/>
    <w:rsid w:val="009C3F30"/>
    <w:rsid w:val="009D6133"/>
    <w:rsid w:val="009F00CF"/>
    <w:rsid w:val="009F0A12"/>
    <w:rsid w:val="009F50C4"/>
    <w:rsid w:val="00A21B76"/>
    <w:rsid w:val="00A7567A"/>
    <w:rsid w:val="00A92EFA"/>
    <w:rsid w:val="00A951D1"/>
    <w:rsid w:val="00AD4130"/>
    <w:rsid w:val="00AE2371"/>
    <w:rsid w:val="00B158D3"/>
    <w:rsid w:val="00B45B86"/>
    <w:rsid w:val="00BC5779"/>
    <w:rsid w:val="00BE7AB9"/>
    <w:rsid w:val="00C46ADF"/>
    <w:rsid w:val="00C747CF"/>
    <w:rsid w:val="00CC20D6"/>
    <w:rsid w:val="00CF09FD"/>
    <w:rsid w:val="00CF40B8"/>
    <w:rsid w:val="00CF7DDF"/>
    <w:rsid w:val="00D103D0"/>
    <w:rsid w:val="00D22625"/>
    <w:rsid w:val="00D40DC1"/>
    <w:rsid w:val="00DA4123"/>
    <w:rsid w:val="00DA7275"/>
    <w:rsid w:val="00DC3157"/>
    <w:rsid w:val="00DD1A07"/>
    <w:rsid w:val="00DD7510"/>
    <w:rsid w:val="00DF2273"/>
    <w:rsid w:val="00E00C38"/>
    <w:rsid w:val="00E56798"/>
    <w:rsid w:val="00EC40C3"/>
    <w:rsid w:val="00F121A1"/>
    <w:rsid w:val="00F13FDD"/>
    <w:rsid w:val="00F24657"/>
    <w:rsid w:val="00F53A0A"/>
    <w:rsid w:val="00F80617"/>
    <w:rsid w:val="00FB59B8"/>
    <w:rsid w:val="00FD6B6A"/>
    <w:rsid w:val="00FE656D"/>
    <w:rsid w:val="05B235C2"/>
    <w:rsid w:val="108E77EB"/>
    <w:rsid w:val="34899E99"/>
    <w:rsid w:val="7C44B3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C68A87"/>
  <w15:chartTrackingRefBased/>
  <w15:docId w15:val="{4EBFB860-AB77-4521-886C-AD5924C7C6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0417BB"/>
    <w:pPr>
      <w:keepNext/>
      <w:keepLines/>
      <w:spacing w:before="240" w:after="0"/>
      <w:outlineLvl w:val="0"/>
    </w:pPr>
    <w:rPr>
      <w:rFonts w:ascii="Calibri" w:eastAsiaTheme="majorEastAsia" w:hAnsi="Calibri" w:cstheme="majorBidi"/>
      <w:b/>
      <w:color w:val="000000" w:themeColor="text1"/>
      <w:sz w:val="32"/>
      <w:szCs w:val="32"/>
    </w:rPr>
  </w:style>
  <w:style w:type="paragraph" w:styleId="Ttulo2">
    <w:name w:val="heading 2"/>
    <w:basedOn w:val="Normal"/>
    <w:next w:val="Normal"/>
    <w:link w:val="Ttulo2Car"/>
    <w:uiPriority w:val="9"/>
    <w:unhideWhenUsed/>
    <w:qFormat/>
    <w:rsid w:val="000417BB"/>
    <w:pPr>
      <w:keepNext/>
      <w:keepLines/>
      <w:spacing w:before="40" w:after="0"/>
      <w:outlineLvl w:val="1"/>
    </w:pPr>
    <w:rPr>
      <w:rFonts w:ascii="Calibri" w:eastAsiaTheme="majorEastAsia" w:hAnsi="Calibri" w:cstheme="majorBidi"/>
      <w:color w:val="000000" w:themeColor="text1"/>
      <w:sz w:val="28"/>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F30E2"/>
    <w:pPr>
      <w:ind w:left="720"/>
      <w:contextualSpacing/>
    </w:pPr>
  </w:style>
  <w:style w:type="paragraph" w:styleId="Revisin">
    <w:name w:val="Revision"/>
    <w:hidden/>
    <w:uiPriority w:val="99"/>
    <w:semiHidden/>
    <w:rsid w:val="009D6133"/>
    <w:pPr>
      <w:spacing w:after="0" w:line="240" w:lineRule="auto"/>
    </w:pPr>
  </w:style>
  <w:style w:type="paragraph" w:styleId="Textonotapie">
    <w:name w:val="footnote text"/>
    <w:basedOn w:val="Normal"/>
    <w:link w:val="TextonotapieCar"/>
    <w:uiPriority w:val="99"/>
    <w:semiHidden/>
    <w:unhideWhenUsed/>
    <w:rsid w:val="00546B3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546B3E"/>
    <w:rPr>
      <w:sz w:val="20"/>
      <w:szCs w:val="20"/>
    </w:rPr>
  </w:style>
  <w:style w:type="character" w:styleId="Refdenotaalpie">
    <w:name w:val="footnote reference"/>
    <w:basedOn w:val="Fuentedeprrafopredeter"/>
    <w:uiPriority w:val="99"/>
    <w:semiHidden/>
    <w:unhideWhenUsed/>
    <w:rsid w:val="00546B3E"/>
    <w:rPr>
      <w:vertAlign w:val="superscript"/>
    </w:rPr>
  </w:style>
  <w:style w:type="character" w:styleId="Refdecomentario">
    <w:name w:val="annotation reference"/>
    <w:basedOn w:val="Fuentedeprrafopredeter"/>
    <w:uiPriority w:val="99"/>
    <w:semiHidden/>
    <w:unhideWhenUsed/>
    <w:rsid w:val="000462CE"/>
    <w:rPr>
      <w:sz w:val="16"/>
      <w:szCs w:val="16"/>
    </w:rPr>
  </w:style>
  <w:style w:type="paragraph" w:styleId="Textocomentario">
    <w:name w:val="annotation text"/>
    <w:basedOn w:val="Normal"/>
    <w:link w:val="TextocomentarioCar"/>
    <w:uiPriority w:val="99"/>
    <w:semiHidden/>
    <w:unhideWhenUsed/>
    <w:rsid w:val="000462CE"/>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0462CE"/>
    <w:rPr>
      <w:sz w:val="20"/>
      <w:szCs w:val="20"/>
    </w:rPr>
  </w:style>
  <w:style w:type="paragraph" w:styleId="Asuntodelcomentario">
    <w:name w:val="annotation subject"/>
    <w:basedOn w:val="Textocomentario"/>
    <w:next w:val="Textocomentario"/>
    <w:link w:val="AsuntodelcomentarioCar"/>
    <w:uiPriority w:val="99"/>
    <w:semiHidden/>
    <w:unhideWhenUsed/>
    <w:rsid w:val="000462CE"/>
    <w:rPr>
      <w:b/>
      <w:bCs/>
    </w:rPr>
  </w:style>
  <w:style w:type="character" w:customStyle="1" w:styleId="AsuntodelcomentarioCar">
    <w:name w:val="Asunto del comentario Car"/>
    <w:basedOn w:val="TextocomentarioCar"/>
    <w:link w:val="Asuntodelcomentario"/>
    <w:uiPriority w:val="99"/>
    <w:semiHidden/>
    <w:rsid w:val="000462CE"/>
    <w:rPr>
      <w:b/>
      <w:bCs/>
      <w:sz w:val="20"/>
      <w:szCs w:val="20"/>
    </w:rPr>
  </w:style>
  <w:style w:type="table" w:styleId="Tablaconcuadrcula">
    <w:name w:val="Table Grid"/>
    <w:basedOn w:val="Tablanormal"/>
    <w:uiPriority w:val="39"/>
    <w:rsid w:val="00A951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semiHidden/>
    <w:unhideWhenUsed/>
    <w:rsid w:val="00102005"/>
    <w:pPr>
      <w:tabs>
        <w:tab w:val="center" w:pos="4680"/>
        <w:tab w:val="right" w:pos="9360"/>
      </w:tabs>
      <w:spacing w:after="0" w:line="240" w:lineRule="auto"/>
    </w:pPr>
  </w:style>
  <w:style w:type="character" w:customStyle="1" w:styleId="EncabezadoCar">
    <w:name w:val="Encabezado Car"/>
    <w:basedOn w:val="Fuentedeprrafopredeter"/>
    <w:link w:val="Encabezado"/>
    <w:uiPriority w:val="99"/>
    <w:semiHidden/>
    <w:rsid w:val="00102005"/>
  </w:style>
  <w:style w:type="paragraph" w:styleId="Piedepgina">
    <w:name w:val="footer"/>
    <w:basedOn w:val="Normal"/>
    <w:link w:val="PiedepginaCar"/>
    <w:uiPriority w:val="99"/>
    <w:semiHidden/>
    <w:unhideWhenUsed/>
    <w:rsid w:val="00102005"/>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semiHidden/>
    <w:rsid w:val="00102005"/>
  </w:style>
  <w:style w:type="paragraph" w:styleId="Textodeglobo">
    <w:name w:val="Balloon Text"/>
    <w:basedOn w:val="Normal"/>
    <w:link w:val="TextodegloboCar"/>
    <w:uiPriority w:val="99"/>
    <w:semiHidden/>
    <w:unhideWhenUsed/>
    <w:rsid w:val="00DF227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F2273"/>
    <w:rPr>
      <w:rFonts w:ascii="Segoe UI" w:hAnsi="Segoe UI" w:cs="Segoe UI"/>
      <w:sz w:val="18"/>
      <w:szCs w:val="18"/>
    </w:rPr>
  </w:style>
  <w:style w:type="character" w:customStyle="1" w:styleId="Ttulo1Car">
    <w:name w:val="Título 1 Car"/>
    <w:basedOn w:val="Fuentedeprrafopredeter"/>
    <w:link w:val="Ttulo1"/>
    <w:uiPriority w:val="9"/>
    <w:rsid w:val="000417BB"/>
    <w:rPr>
      <w:rFonts w:ascii="Calibri" w:eastAsiaTheme="majorEastAsia" w:hAnsi="Calibri" w:cstheme="majorBidi"/>
      <w:b/>
      <w:color w:val="000000" w:themeColor="text1"/>
      <w:sz w:val="32"/>
      <w:szCs w:val="32"/>
    </w:rPr>
  </w:style>
  <w:style w:type="character" w:customStyle="1" w:styleId="Ttulo2Car">
    <w:name w:val="Título 2 Car"/>
    <w:basedOn w:val="Fuentedeprrafopredeter"/>
    <w:link w:val="Ttulo2"/>
    <w:uiPriority w:val="9"/>
    <w:rsid w:val="000417BB"/>
    <w:rPr>
      <w:rFonts w:ascii="Calibri" w:eastAsiaTheme="majorEastAsia" w:hAnsi="Calibri" w:cstheme="majorBidi"/>
      <w:color w:val="000000" w:themeColor="text1"/>
      <w:sz w:val="28"/>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864220">
      <w:bodyDiv w:val="1"/>
      <w:marLeft w:val="0"/>
      <w:marRight w:val="0"/>
      <w:marTop w:val="0"/>
      <w:marBottom w:val="0"/>
      <w:divBdr>
        <w:top w:val="none" w:sz="0" w:space="0" w:color="auto"/>
        <w:left w:val="none" w:sz="0" w:space="0" w:color="auto"/>
        <w:bottom w:val="none" w:sz="0" w:space="0" w:color="auto"/>
        <w:right w:val="none" w:sz="0" w:space="0" w:color="auto"/>
      </w:divBdr>
    </w:div>
    <w:div w:id="527111257">
      <w:bodyDiv w:val="1"/>
      <w:marLeft w:val="0"/>
      <w:marRight w:val="0"/>
      <w:marTop w:val="0"/>
      <w:marBottom w:val="0"/>
      <w:divBdr>
        <w:top w:val="none" w:sz="0" w:space="0" w:color="auto"/>
        <w:left w:val="none" w:sz="0" w:space="0" w:color="auto"/>
        <w:bottom w:val="none" w:sz="0" w:space="0" w:color="auto"/>
        <w:right w:val="none" w:sz="0" w:space="0" w:color="auto"/>
      </w:divBdr>
    </w:div>
    <w:div w:id="545532468">
      <w:bodyDiv w:val="1"/>
      <w:marLeft w:val="0"/>
      <w:marRight w:val="0"/>
      <w:marTop w:val="0"/>
      <w:marBottom w:val="0"/>
      <w:divBdr>
        <w:top w:val="none" w:sz="0" w:space="0" w:color="auto"/>
        <w:left w:val="none" w:sz="0" w:space="0" w:color="auto"/>
        <w:bottom w:val="none" w:sz="0" w:space="0" w:color="auto"/>
        <w:right w:val="none" w:sz="0" w:space="0" w:color="auto"/>
      </w:divBdr>
    </w:div>
    <w:div w:id="781461597">
      <w:bodyDiv w:val="1"/>
      <w:marLeft w:val="0"/>
      <w:marRight w:val="0"/>
      <w:marTop w:val="0"/>
      <w:marBottom w:val="0"/>
      <w:divBdr>
        <w:top w:val="none" w:sz="0" w:space="0" w:color="auto"/>
        <w:left w:val="none" w:sz="0" w:space="0" w:color="auto"/>
        <w:bottom w:val="none" w:sz="0" w:space="0" w:color="auto"/>
        <w:right w:val="none" w:sz="0" w:space="0" w:color="auto"/>
      </w:divBdr>
    </w:div>
    <w:div w:id="1156409769">
      <w:bodyDiv w:val="1"/>
      <w:marLeft w:val="0"/>
      <w:marRight w:val="0"/>
      <w:marTop w:val="0"/>
      <w:marBottom w:val="0"/>
      <w:divBdr>
        <w:top w:val="none" w:sz="0" w:space="0" w:color="auto"/>
        <w:left w:val="none" w:sz="0" w:space="0" w:color="auto"/>
        <w:bottom w:val="none" w:sz="0" w:space="0" w:color="auto"/>
        <w:right w:val="none" w:sz="0" w:space="0" w:color="auto"/>
      </w:divBdr>
    </w:div>
    <w:div w:id="1254780299">
      <w:bodyDiv w:val="1"/>
      <w:marLeft w:val="0"/>
      <w:marRight w:val="0"/>
      <w:marTop w:val="0"/>
      <w:marBottom w:val="0"/>
      <w:divBdr>
        <w:top w:val="none" w:sz="0" w:space="0" w:color="auto"/>
        <w:left w:val="none" w:sz="0" w:space="0" w:color="auto"/>
        <w:bottom w:val="none" w:sz="0" w:space="0" w:color="auto"/>
        <w:right w:val="none" w:sz="0" w:space="0" w:color="auto"/>
      </w:divBdr>
    </w:div>
    <w:div w:id="1621063965">
      <w:bodyDiv w:val="1"/>
      <w:marLeft w:val="0"/>
      <w:marRight w:val="0"/>
      <w:marTop w:val="0"/>
      <w:marBottom w:val="0"/>
      <w:divBdr>
        <w:top w:val="none" w:sz="0" w:space="0" w:color="auto"/>
        <w:left w:val="none" w:sz="0" w:space="0" w:color="auto"/>
        <w:bottom w:val="none" w:sz="0" w:space="0" w:color="auto"/>
        <w:right w:val="none" w:sz="0" w:space="0" w:color="auto"/>
      </w:divBdr>
    </w:div>
    <w:div w:id="2094431952">
      <w:bodyDiv w:val="1"/>
      <w:marLeft w:val="0"/>
      <w:marRight w:val="0"/>
      <w:marTop w:val="0"/>
      <w:marBottom w:val="0"/>
      <w:divBdr>
        <w:top w:val="none" w:sz="0" w:space="0" w:color="auto"/>
        <w:left w:val="none" w:sz="0" w:space="0" w:color="auto"/>
        <w:bottom w:val="none" w:sz="0" w:space="0" w:color="auto"/>
        <w:right w:val="none" w:sz="0" w:space="0" w:color="auto"/>
      </w:divBdr>
    </w:div>
    <w:div w:id="2140679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emf"/><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09A259C56D6F489AE5E218E7014FDB" ma:contentTypeVersion="10" ma:contentTypeDescription="Create a new document." ma:contentTypeScope="" ma:versionID="9d1c71208c76a923df4f6a5c8a3598a2">
  <xsd:schema xmlns:xsd="http://www.w3.org/2001/XMLSchema" xmlns:xs="http://www.w3.org/2001/XMLSchema" xmlns:p="http://schemas.microsoft.com/office/2006/metadata/properties" xmlns:ns2="cd8416c0-35eb-4f48-9100-17b0775731e7" xmlns:ns3="5ea312a2-d478-49d3-bfc7-cda58e0adf89" targetNamespace="http://schemas.microsoft.com/office/2006/metadata/properties" ma:root="true" ma:fieldsID="e5fe046c68ec60aaab546c9ef2590054" ns2:_="" ns3:_="">
    <xsd:import namespace="cd8416c0-35eb-4f48-9100-17b0775731e7"/>
    <xsd:import namespace="5ea312a2-d478-49d3-bfc7-cda58e0adf8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8416c0-35eb-4f48-9100-17b0775731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ea312a2-d478-49d3-bfc7-cda58e0adf8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4F20FC-72CD-425F-A0B2-E73F8E6F5855}">
  <ds:schemaRefs>
    <ds:schemaRef ds:uri="http://purl.org/dc/dcmitype/"/>
    <ds:schemaRef ds:uri="http://schemas.microsoft.com/office/2006/metadata/properties"/>
    <ds:schemaRef ds:uri="http://schemas.microsoft.com/office/2006/documentManagement/types"/>
    <ds:schemaRef ds:uri="5ea312a2-d478-49d3-bfc7-cda58e0adf89"/>
    <ds:schemaRef ds:uri="http://purl.org/dc/elements/1.1/"/>
    <ds:schemaRef ds:uri="http://schemas.openxmlformats.org/package/2006/metadata/core-properties"/>
    <ds:schemaRef ds:uri="http://purl.org/dc/terms/"/>
    <ds:schemaRef ds:uri="http://schemas.microsoft.com/office/infopath/2007/PartnerControls"/>
    <ds:schemaRef ds:uri="cd8416c0-35eb-4f48-9100-17b0775731e7"/>
    <ds:schemaRef ds:uri="http://www.w3.org/XML/1998/namespace"/>
  </ds:schemaRefs>
</ds:datastoreItem>
</file>

<file path=customXml/itemProps2.xml><?xml version="1.0" encoding="utf-8"?>
<ds:datastoreItem xmlns:ds="http://schemas.openxmlformats.org/officeDocument/2006/customXml" ds:itemID="{BD4B4727-08AE-4694-AC47-7033185D9E4B}">
  <ds:schemaRefs>
    <ds:schemaRef ds:uri="http://schemas.microsoft.com/sharepoint/v3/contenttype/forms"/>
  </ds:schemaRefs>
</ds:datastoreItem>
</file>

<file path=customXml/itemProps3.xml><?xml version="1.0" encoding="utf-8"?>
<ds:datastoreItem xmlns:ds="http://schemas.openxmlformats.org/officeDocument/2006/customXml" ds:itemID="{537517A4-94F2-49D9-919B-4E04845494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8416c0-35eb-4f48-9100-17b0775731e7"/>
    <ds:schemaRef ds:uri="5ea312a2-d478-49d3-bfc7-cda58e0adf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795FB90-D7D2-4C5D-BA57-CA57DF1B3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1488</Words>
  <Characters>8184</Characters>
  <Application>Microsoft Office Word</Application>
  <DocSecurity>0</DocSecurity>
  <Lines>68</Lines>
  <Paragraphs>19</Paragraphs>
  <ScaleCrop>false</ScaleCrop>
  <Company/>
  <LinksUpToDate>false</LinksUpToDate>
  <CharactersWithSpaces>9653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 Martinez</dc:creator>
  <cp:keywords/>
  <dc:description/>
  <cp:lastModifiedBy>Jorge  Zavala</cp:lastModifiedBy>
  <cp:revision>37</cp:revision>
  <dcterms:created xsi:type="dcterms:W3CDTF">2022-01-26T05:38:00Z</dcterms:created>
  <dcterms:modified xsi:type="dcterms:W3CDTF">2022-06-24T14:18:00Z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0x0101002209A259C56D6F489AE5E218E7014FDB</vt:lpwstr>
  </property>
</Properties>
</file>