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EC0F" w14:textId="77777777" w:rsidR="00857EF9" w:rsidRDefault="00857EF9" w:rsidP="00951B72">
      <w:pPr>
        <w:jc w:val="center"/>
        <w:rPr>
          <w:b/>
        </w:rPr>
      </w:pPr>
      <w:r w:rsidRPr="00857EF9">
        <w:rPr>
          <w:b/>
        </w:rPr>
        <w:t>Evaluating the Impacts of Clean Cooking Technology in Laos</w:t>
      </w:r>
    </w:p>
    <w:p w14:paraId="54857E40" w14:textId="21D4967D" w:rsidR="00951B72" w:rsidRPr="00951B72" w:rsidRDefault="00951B72" w:rsidP="00951B72">
      <w:pPr>
        <w:jc w:val="center"/>
        <w:rPr>
          <w:b/>
        </w:rPr>
      </w:pPr>
      <w:r w:rsidRPr="00951B72">
        <w:rPr>
          <w:b/>
        </w:rPr>
        <w:t>Pre-Analysis Plan</w:t>
      </w:r>
    </w:p>
    <w:p w14:paraId="54857E41" w14:textId="67591B5C" w:rsidR="00951B72" w:rsidRDefault="00AC1F50" w:rsidP="00951B72">
      <w:pPr>
        <w:jc w:val="center"/>
        <w:rPr>
          <w:b/>
        </w:rPr>
      </w:pPr>
      <w:r>
        <w:rPr>
          <w:b/>
        </w:rPr>
        <w:t>January</w:t>
      </w:r>
      <w:r w:rsidR="009621A4" w:rsidRPr="00951B72">
        <w:rPr>
          <w:b/>
        </w:rPr>
        <w:t xml:space="preserve"> </w:t>
      </w:r>
      <w:r w:rsidR="00951B72" w:rsidRPr="00951B72">
        <w:rPr>
          <w:b/>
        </w:rPr>
        <w:t>20</w:t>
      </w:r>
      <w:r w:rsidR="00E348DB">
        <w:rPr>
          <w:b/>
        </w:rPr>
        <w:t>2</w:t>
      </w:r>
      <w:r>
        <w:rPr>
          <w:b/>
        </w:rPr>
        <w:t>3</w:t>
      </w:r>
    </w:p>
    <w:p w14:paraId="54857E42" w14:textId="77777777" w:rsidR="00951B72" w:rsidRDefault="00951B72" w:rsidP="00951B72">
      <w:pPr>
        <w:jc w:val="center"/>
        <w:rPr>
          <w:b/>
        </w:rPr>
      </w:pPr>
    </w:p>
    <w:p w14:paraId="54857E43" w14:textId="77777777" w:rsidR="00951B72" w:rsidRDefault="00951B72" w:rsidP="006F3770">
      <w:pPr>
        <w:pStyle w:val="Heading1"/>
      </w:pPr>
      <w:r>
        <w:t>Introduction</w:t>
      </w:r>
    </w:p>
    <w:p w14:paraId="30E477E6" w14:textId="2159A3BD" w:rsidR="004424BA" w:rsidRDefault="00263A92" w:rsidP="008949EB">
      <w:pPr>
        <w:jc w:val="both"/>
      </w:pPr>
      <w:r w:rsidRPr="00263A92">
        <w:t>The aim of this pre-analysis plan is to define the methodology that we will follow to conduct our analysis. The first section of the plan will provide an overview of the study, including a description of the interventions, the sampling process, data sources and sample size calculations. The second section will describe the hypotheses that we will be testing and how we are defining the variables that will test the hypotheses. The final section will discuss the methodology and specifications to be used in the analysis.</w:t>
      </w:r>
    </w:p>
    <w:p w14:paraId="74E12448" w14:textId="76F377C7" w:rsidR="008949EB" w:rsidRPr="0025188F" w:rsidRDefault="008949EB" w:rsidP="008949EB">
      <w:pPr>
        <w:jc w:val="both"/>
        <w:rPr>
          <w:rFonts w:cstheme="minorHAnsi"/>
        </w:rPr>
      </w:pPr>
      <w:r>
        <w:t>Studies using qualitative or descriptive analysis show that access to improved cooking technology can decrease the amount of time spent on cooking, cleaning utensils and collecting fuel, compared to traditional solid fuels such as firewood and charcoal (Malla et al., 2011; Habermehl, 2007; Habermehl, 2008; ADB, 2009; Christianensen and Heltberg, 2012; Djedje, 2009). Clean cooking technologies also can help reduce greenhouse gas emissions and lower levels of household air pollution (HAP). Hence, a</w:t>
      </w:r>
      <w:r w:rsidRPr="0025188F">
        <w:rPr>
          <w:rFonts w:cstheme="minorHAnsi"/>
        </w:rPr>
        <w:t xml:space="preserve">ccess to clean cooking technologies could provide significant health benefits and release time constraints that can make it challenging to balance both domestic tasks and market work. As women are typically responsible for most of the cooking and other household work, access to clean cooking technologies could have a particularly important impact on their health and ability to participate in income generating activities.  </w:t>
      </w:r>
    </w:p>
    <w:p w14:paraId="6963099F" w14:textId="4C089EC9" w:rsidR="00DF09D7" w:rsidRDefault="00DF09D7" w:rsidP="00DF09D7">
      <w:pPr>
        <w:jc w:val="both"/>
      </w:pPr>
      <w:r>
        <w:t xml:space="preserve">Some rigorous studies have found some encouraging results of access to clean cookstoves on self-reported health outcomes and fuel consumption (Bensch and Peters, 2012; McCracken et al., 2007; Smith-Siversten et al., 2009). However, a growing body of literature has cast a doubt on the effectiveness of clean cookstove technology in reducing the inhalation of harmful substances, improving health outcomes, and reducing fuel use when tested in everyday household use (Hanna et al., 2016; Burwen and Levine, 2011; Romieu et al., 2009). There are a few different explanations for the underperformance of clean cooking technologies when they are observed in the field rather than in the laboratory. On the one hand, take-up and consistent use of the technology is lower than may be expected, due to breakage, need for repairs, or challenges in using them. On the other hand, households may use the stoves improperly, which does not lead to a reduction in smoke, as </w:t>
      </w:r>
      <w:r w:rsidR="004B4598">
        <w:t xml:space="preserve">most studies focus on stoves that still </w:t>
      </w:r>
      <w:r w:rsidR="00DB0767">
        <w:t>burn wood or charcoal</w:t>
      </w:r>
      <w:r>
        <w:t>.</w:t>
      </w:r>
    </w:p>
    <w:p w14:paraId="54857E47" w14:textId="77777777" w:rsidR="00951B72" w:rsidRDefault="00291F97" w:rsidP="006F3770">
      <w:pPr>
        <w:pStyle w:val="Heading1"/>
      </w:pPr>
      <w:r>
        <w:t>Overview of the study</w:t>
      </w:r>
    </w:p>
    <w:p w14:paraId="32E012B9" w14:textId="43F33E5F" w:rsidR="008A44FB" w:rsidRPr="004B69AD" w:rsidRDefault="002B20F1" w:rsidP="008A44FB">
      <w:pPr>
        <w:jc w:val="both"/>
      </w:pPr>
      <w:r>
        <w:t>The East Asia and Pacific Gender Innovation Lab (EAPGIL) is carrying out an impact evaluation of more advanced clean cookstove technology—a gasifying wood stove that is considered t</w:t>
      </w:r>
      <w:r>
        <w:rPr>
          <w:color w:val="000000" w:themeColor="text1"/>
        </w:rPr>
        <w:t xml:space="preserve">ier 5 on CO and PM 2.5 to meet WHO guidelines on HAP, and </w:t>
      </w:r>
      <w:r w:rsidR="00635CC0">
        <w:rPr>
          <w:color w:val="000000" w:themeColor="text1"/>
        </w:rPr>
        <w:t xml:space="preserve">a </w:t>
      </w:r>
      <w:r>
        <w:rPr>
          <w:color w:val="000000" w:themeColor="text1"/>
        </w:rPr>
        <w:t>minimum tier 4 on thermal efficiency, safety, and durability according to the Voluntary Performance Targets set by the International Organization for Standardization (ISO</w:t>
      </w:r>
      <w:r>
        <w:t>5).</w:t>
      </w:r>
      <w:r w:rsidR="004B69AD">
        <w:t xml:space="preserve"> </w:t>
      </w:r>
      <w:r w:rsidR="008A44FB" w:rsidRPr="00E41B4F">
        <w:rPr>
          <w:color w:val="000000" w:themeColor="text1"/>
        </w:rPr>
        <w:t>This study will contribute to the body of literature by testing in a household environment a different type of cookstove that is more efficient and easier to use. Most RCT</w:t>
      </w:r>
      <w:r w:rsidR="00635CC0">
        <w:rPr>
          <w:color w:val="000000" w:themeColor="text1"/>
        </w:rPr>
        <w:t>s</w:t>
      </w:r>
      <w:r w:rsidR="008A44FB" w:rsidRPr="00E41B4F">
        <w:rPr>
          <w:color w:val="000000" w:themeColor="text1"/>
        </w:rPr>
        <w:t xml:space="preserve"> of clean cookstove interventions have focused on improved technology that still </w:t>
      </w:r>
      <w:r w:rsidR="0000178C">
        <w:rPr>
          <w:color w:val="000000" w:themeColor="text1"/>
        </w:rPr>
        <w:t>uses</w:t>
      </w:r>
      <w:r w:rsidR="008A44FB" w:rsidRPr="00E41B4F">
        <w:rPr>
          <w:color w:val="000000" w:themeColor="text1"/>
        </w:rPr>
        <w:t xml:space="preserve"> wood-burning fuels</w:t>
      </w:r>
      <w:r w:rsidR="008A44FB">
        <w:rPr>
          <w:color w:val="000000" w:themeColor="text1"/>
        </w:rPr>
        <w:t xml:space="preserve"> </w:t>
      </w:r>
      <w:r w:rsidR="008A44FB" w:rsidRPr="00E41B4F">
        <w:rPr>
          <w:color w:val="000000" w:themeColor="text1"/>
        </w:rPr>
        <w:t>(Bensch and Peters, 2012; Romieu et al., 2009; Burwen and Levine, 2011; Hanna et al., 2016; McCracken et al., 2007; Smith-</w:t>
      </w:r>
      <w:r w:rsidR="008A44FB" w:rsidRPr="00E41B4F">
        <w:rPr>
          <w:color w:val="000000" w:themeColor="text1"/>
        </w:rPr>
        <w:lastRenderedPageBreak/>
        <w:t xml:space="preserve">Siversten et al., 2009). </w:t>
      </w:r>
      <w:r w:rsidR="005668D9">
        <w:rPr>
          <w:color w:val="000000" w:themeColor="text1"/>
        </w:rPr>
        <w:t xml:space="preserve">Only a few RCT studies have examined impacts of </w:t>
      </w:r>
      <w:r w:rsidR="005668D9" w:rsidRPr="00800D8B">
        <w:rPr>
          <w:color w:val="000000" w:themeColor="text1"/>
        </w:rPr>
        <w:t>access</w:t>
      </w:r>
      <w:r w:rsidR="005668D9">
        <w:rPr>
          <w:color w:val="000000" w:themeColor="text1"/>
        </w:rPr>
        <w:t>ing</w:t>
      </w:r>
      <w:r w:rsidR="005668D9" w:rsidRPr="00800D8B">
        <w:rPr>
          <w:color w:val="000000" w:themeColor="text1"/>
        </w:rPr>
        <w:t xml:space="preserve"> to clean</w:t>
      </w:r>
      <w:r w:rsidR="005668D9">
        <w:rPr>
          <w:color w:val="000000" w:themeColor="text1"/>
        </w:rPr>
        <w:t>er</w:t>
      </w:r>
      <w:r w:rsidR="005668D9" w:rsidRPr="00800D8B">
        <w:rPr>
          <w:color w:val="000000" w:themeColor="text1"/>
        </w:rPr>
        <w:t xml:space="preserve"> cooking technologie</w:t>
      </w:r>
      <w:r w:rsidR="005668D9">
        <w:rPr>
          <w:color w:val="000000" w:themeColor="text1"/>
        </w:rPr>
        <w:t xml:space="preserve">s, like a </w:t>
      </w:r>
      <w:r w:rsidR="005668D9" w:rsidRPr="005D2B53">
        <w:rPr>
          <w:rFonts w:cstheme="minorHAnsi"/>
          <w:color w:val="000000" w:themeColor="text1"/>
        </w:rPr>
        <w:t>forced-draft gasifier cookstove</w:t>
      </w:r>
      <w:r w:rsidR="005668D9">
        <w:rPr>
          <w:color w:val="000000" w:themeColor="text1"/>
        </w:rPr>
        <w:t xml:space="preserve">. For instance, a study from urban Rwanda that reports to evaluate a similar cooking technology, </w:t>
      </w:r>
      <w:r w:rsidR="005668D9" w:rsidRPr="006D57F5">
        <w:rPr>
          <w:color w:val="000000" w:themeColor="text1"/>
        </w:rPr>
        <w:t>biomass burning stove</w:t>
      </w:r>
      <w:r w:rsidR="005668D9">
        <w:rPr>
          <w:color w:val="000000" w:themeColor="text1"/>
        </w:rPr>
        <w:t xml:space="preserve"> the Mimi Moto (Jagger et al., 2019).</w:t>
      </w:r>
      <w:r w:rsidR="005668D9" w:rsidRPr="00E41B4F">
        <w:rPr>
          <w:color w:val="000000" w:themeColor="text1"/>
        </w:rPr>
        <w:t xml:space="preserve"> T</w:t>
      </w:r>
      <w:r w:rsidR="005668D9">
        <w:rPr>
          <w:color w:val="000000" w:themeColor="text1"/>
        </w:rPr>
        <w:t>herefore, t</w:t>
      </w:r>
      <w:r w:rsidR="005668D9" w:rsidRPr="00E41B4F">
        <w:rPr>
          <w:color w:val="000000" w:themeColor="text1"/>
        </w:rPr>
        <w:t>his</w:t>
      </w:r>
      <w:r w:rsidR="005668D9">
        <w:rPr>
          <w:color w:val="000000" w:themeColor="text1"/>
        </w:rPr>
        <w:t xml:space="preserve"> </w:t>
      </w:r>
      <w:r w:rsidR="008A44FB" w:rsidRPr="00E41B4F">
        <w:rPr>
          <w:color w:val="000000" w:themeColor="text1"/>
        </w:rPr>
        <w:t xml:space="preserve">impact evaluation would contribute significantly by exploring the impacts of more advanced technology that </w:t>
      </w:r>
      <w:r w:rsidR="008A44FB">
        <w:rPr>
          <w:color w:val="000000" w:themeColor="text1"/>
        </w:rPr>
        <w:t xml:space="preserve">can be a great solution to reduce HAP. </w:t>
      </w:r>
      <w:r w:rsidR="008A44FB" w:rsidRPr="004E5BB5">
        <w:rPr>
          <w:rFonts w:cstheme="minorHAnsi"/>
          <w:color w:val="000000" w:themeColor="text1"/>
        </w:rPr>
        <w:t xml:space="preserve">Moreover, this type of cookstove </w:t>
      </w:r>
      <w:r w:rsidR="00635CC0">
        <w:rPr>
          <w:rFonts w:cstheme="minorHAnsi"/>
          <w:color w:val="000000" w:themeColor="text1"/>
        </w:rPr>
        <w:t>could</w:t>
      </w:r>
      <w:r w:rsidR="008A44FB" w:rsidRPr="004E5BB5">
        <w:rPr>
          <w:rFonts w:cstheme="minorHAnsi"/>
          <w:color w:val="000000" w:themeColor="text1"/>
        </w:rPr>
        <w:t xml:space="preserve"> reduce the time-burden associated with cooking, as it reduces the time needed to collect fuel, takes less time to start and prepare food, and keeps cooking utensils cleaner than traditional solid fuels (reducing the time needed for cleaning).</w:t>
      </w:r>
      <w:r w:rsidR="008A44FB">
        <w:rPr>
          <w:rFonts w:cstheme="minorHAnsi"/>
          <w:color w:val="000000" w:themeColor="text1"/>
        </w:rPr>
        <w:t xml:space="preserve"> Its adaptability to Laotian cooking styles can facilitate a behavioral change to switch to this technology. </w:t>
      </w:r>
    </w:p>
    <w:p w14:paraId="54857E49" w14:textId="77777777" w:rsidR="00291F97" w:rsidRDefault="00291F97" w:rsidP="006F3770">
      <w:pPr>
        <w:pStyle w:val="Heading2"/>
      </w:pPr>
      <w:r>
        <w:t>Description of the interventions</w:t>
      </w:r>
    </w:p>
    <w:p w14:paraId="098D034E" w14:textId="69CCA983" w:rsidR="00A4750A" w:rsidRDefault="00107974" w:rsidP="00E65931">
      <w:pPr>
        <w:jc w:val="both"/>
        <w:rPr>
          <w:rFonts w:cstheme="minorHAnsi"/>
          <w:color w:val="000000" w:themeColor="text1"/>
        </w:rPr>
      </w:pPr>
      <w:r>
        <w:t>This innovative project</w:t>
      </w:r>
      <w:r w:rsidR="00AB0C71">
        <w:t>,</w:t>
      </w:r>
      <w:r>
        <w:t xml:space="preserve"> led by the Ministry of Energy and Mines and supported by the World Bank</w:t>
      </w:r>
      <w:r w:rsidR="00AB0C71">
        <w:t>,</w:t>
      </w:r>
      <w:r>
        <w:t xml:space="preserve"> will distribute </w:t>
      </w:r>
      <w:r w:rsidRPr="004E5BB5">
        <w:rPr>
          <w:color w:val="000000" w:themeColor="text1"/>
        </w:rPr>
        <w:t xml:space="preserve">50,000 </w:t>
      </w:r>
      <w:r>
        <w:rPr>
          <w:color w:val="000000" w:themeColor="text1"/>
        </w:rPr>
        <w:t>forced-draft gasifier cookstoves to</w:t>
      </w:r>
      <w:r w:rsidRPr="004E5BB5">
        <w:rPr>
          <w:color w:val="000000" w:themeColor="text1"/>
        </w:rPr>
        <w:t xml:space="preserve"> </w:t>
      </w:r>
      <w:r w:rsidR="001A51A8" w:rsidRPr="004E5BB5">
        <w:rPr>
          <w:color w:val="000000" w:themeColor="text1"/>
        </w:rPr>
        <w:t>urban households that are likely to continue using solid fuels to meet their cooking and heating needs</w:t>
      </w:r>
      <w:r>
        <w:rPr>
          <w:color w:val="000000" w:themeColor="text1"/>
        </w:rPr>
        <w:t>.</w:t>
      </w:r>
      <w:r>
        <w:t xml:space="preserve"> </w:t>
      </w:r>
      <w:r w:rsidR="00AE4AB8" w:rsidRPr="00DC0DD8">
        <w:rPr>
          <w:rFonts w:cstheme="minorHAnsi"/>
          <w:color w:val="000000" w:themeColor="text1"/>
        </w:rPr>
        <w:t>The main criteria for household identification are: (1)</w:t>
      </w:r>
      <w:r w:rsidR="00AE4AB8">
        <w:rPr>
          <w:rFonts w:cstheme="minorHAnsi"/>
          <w:color w:val="000000" w:themeColor="text1"/>
        </w:rPr>
        <w:t xml:space="preserve"> the</w:t>
      </w:r>
      <w:r w:rsidR="00AE4AB8" w:rsidRPr="00DC0DD8">
        <w:rPr>
          <w:rFonts w:cstheme="minorHAnsi"/>
          <w:color w:val="000000" w:themeColor="text1"/>
        </w:rPr>
        <w:t xml:space="preserve"> household must be willing to pay for the stove, (2) the household’</w:t>
      </w:r>
      <w:r w:rsidR="00AE4AB8">
        <w:rPr>
          <w:rFonts w:cstheme="minorHAnsi"/>
          <w:color w:val="000000" w:themeColor="text1"/>
        </w:rPr>
        <w:t>s</w:t>
      </w:r>
      <w:r w:rsidR="00AE4AB8" w:rsidRPr="00DC0DD8">
        <w:rPr>
          <w:rFonts w:cstheme="minorHAnsi"/>
          <w:color w:val="000000" w:themeColor="text1"/>
        </w:rPr>
        <w:t xml:space="preserve"> source of fuel has to be charcoal, (3) the household must commit to </w:t>
      </w:r>
      <w:r w:rsidR="00AE4AB8">
        <w:rPr>
          <w:rFonts w:cstheme="minorHAnsi"/>
          <w:color w:val="000000" w:themeColor="text1"/>
        </w:rPr>
        <w:t>using</w:t>
      </w:r>
      <w:r w:rsidR="00AE4AB8" w:rsidRPr="00DC0DD8">
        <w:rPr>
          <w:rFonts w:cstheme="minorHAnsi"/>
          <w:color w:val="000000" w:themeColor="text1"/>
        </w:rPr>
        <w:t xml:space="preserve"> the stove 80 percent of the time for cooking and heating, and (4) the household must agree to the rigorous monitoring during the project implementation period.</w:t>
      </w:r>
    </w:p>
    <w:p w14:paraId="58E5D5DC" w14:textId="1D0DBDCA" w:rsidR="00DF2836" w:rsidRPr="004E5BB5" w:rsidRDefault="00DF2836" w:rsidP="00DF2836">
      <w:pPr>
        <w:jc w:val="both"/>
        <w:rPr>
          <w:color w:val="000000" w:themeColor="text1"/>
        </w:rPr>
      </w:pPr>
      <w:r w:rsidRPr="004E5BB5">
        <w:rPr>
          <w:color w:val="000000" w:themeColor="text1"/>
        </w:rPr>
        <w:t>This</w:t>
      </w:r>
      <w:r>
        <w:rPr>
          <w:color w:val="000000" w:themeColor="text1"/>
        </w:rPr>
        <w:t xml:space="preserve"> clean cooking</w:t>
      </w:r>
      <w:r w:rsidRPr="004E5BB5">
        <w:rPr>
          <w:color w:val="000000" w:themeColor="text1"/>
        </w:rPr>
        <w:t xml:space="preserve"> technology uses pellets that gasify wood and other biomass, rather than burning it directly like in an open fire or</w:t>
      </w:r>
      <w:r>
        <w:rPr>
          <w:color w:val="000000" w:themeColor="text1"/>
        </w:rPr>
        <w:t xml:space="preserve"> in a</w:t>
      </w:r>
      <w:r w:rsidRPr="004E5BB5">
        <w:rPr>
          <w:color w:val="000000" w:themeColor="text1"/>
        </w:rPr>
        <w:t xml:space="preserve"> chimney.</w:t>
      </w:r>
      <w:r>
        <w:rPr>
          <w:color w:val="000000" w:themeColor="text1"/>
        </w:rPr>
        <w:t xml:space="preserve"> </w:t>
      </w:r>
      <w:r w:rsidRPr="004E5BB5">
        <w:rPr>
          <w:color w:val="000000" w:themeColor="text1"/>
        </w:rPr>
        <w:t>The extracted gasses burn much more cleanly than when burning traditional solid fuels.</w:t>
      </w:r>
      <w:r>
        <w:rPr>
          <w:color w:val="000000" w:themeColor="text1"/>
        </w:rPr>
        <w:t xml:space="preserve"> </w:t>
      </w:r>
      <w:r w:rsidRPr="00540DBD">
        <w:t xml:space="preserve">These types of super clean cookstoves decrease emissions by 99 percent, thereby emitting little or no greenhouse gasses, PM 2.5, black carbon, and CO. </w:t>
      </w:r>
      <w:r w:rsidRPr="004E5BB5">
        <w:rPr>
          <w:color w:val="000000" w:themeColor="text1"/>
        </w:rPr>
        <w:t xml:space="preserve">There is reason to believe that this type of technology could produce greater impacts than the less advanced types of clean cooking technologies that have been rigorously tested in household situations. On the one hand, this technology </w:t>
      </w:r>
      <w:r>
        <w:rPr>
          <w:color w:val="000000" w:themeColor="text1"/>
        </w:rPr>
        <w:t>burns cleaner fuels in addition to burning the fuel more efficiently, reducing emissions by 99 percent compared to traditional stoves, whereas previous evaluations have studied stoves that divert smoke from traditional fuels or enable them to burn more efficiently</w:t>
      </w:r>
      <w:r w:rsidRPr="004E5BB5">
        <w:rPr>
          <w:color w:val="000000" w:themeColor="text1"/>
        </w:rPr>
        <w:t>. On the other</w:t>
      </w:r>
      <w:r>
        <w:rPr>
          <w:color w:val="000000" w:themeColor="text1"/>
        </w:rPr>
        <w:t xml:space="preserve"> hand</w:t>
      </w:r>
      <w:r w:rsidRPr="004E5BB5">
        <w:rPr>
          <w:color w:val="000000" w:themeColor="text1"/>
        </w:rPr>
        <w:t xml:space="preserve">, the stoves are made from more resistant materials and designed to last for a long time. As such, they will likely not face the same issues in terms of </w:t>
      </w:r>
      <w:r>
        <w:rPr>
          <w:color w:val="000000" w:themeColor="text1"/>
        </w:rPr>
        <w:t xml:space="preserve">the </w:t>
      </w:r>
      <w:r w:rsidRPr="004E5BB5">
        <w:rPr>
          <w:color w:val="000000" w:themeColor="text1"/>
        </w:rPr>
        <w:t xml:space="preserve">need for maintenance and frequency of repairs as other types of technology that use more fragile materials like clay. </w:t>
      </w:r>
    </w:p>
    <w:p w14:paraId="3168AE51" w14:textId="6ABEB8C1" w:rsidR="003850B5" w:rsidRDefault="007D1E5D" w:rsidP="00261ACB">
      <w:pPr>
        <w:jc w:val="both"/>
      </w:pPr>
      <w:r>
        <w:t xml:space="preserve">The private sector implementing entity </w:t>
      </w:r>
      <w:r w:rsidR="00A87D2C">
        <w:t>was</w:t>
      </w:r>
      <w:r>
        <w:t xml:space="preserve"> contracted by the Ministry of Energy and Mines to sell </w:t>
      </w:r>
      <w:r w:rsidR="00FD4235">
        <w:t xml:space="preserve">the </w:t>
      </w:r>
      <w:r w:rsidR="00FD4235">
        <w:rPr>
          <w:color w:val="000000" w:themeColor="text1"/>
        </w:rPr>
        <w:t xml:space="preserve">forced-draft gasifier </w:t>
      </w:r>
      <w:r>
        <w:t>cookstoves that meet the project’s criteria to eligible households at a subsidized rate and provide after-sales services and ensure a pellet supply. The</w:t>
      </w:r>
      <w:r w:rsidRPr="00021991">
        <w:t xml:space="preserve"> </w:t>
      </w:r>
      <w:r>
        <w:t>implementing entity</w:t>
      </w:r>
      <w:r w:rsidR="009358CE">
        <w:t xml:space="preserve"> </w:t>
      </w:r>
      <w:r w:rsidR="00A87D2C">
        <w:t>planned</w:t>
      </w:r>
      <w:r w:rsidR="00265813">
        <w:t xml:space="preserve"> to </w:t>
      </w:r>
      <w:r w:rsidR="00F60FF2">
        <w:t xml:space="preserve">implement </w:t>
      </w:r>
      <w:r w:rsidR="00274175">
        <w:t xml:space="preserve">the stove distribution </w:t>
      </w:r>
      <w:r w:rsidR="00DF73BE">
        <w:t>in</w:t>
      </w:r>
      <w:r w:rsidR="00274175">
        <w:t xml:space="preserve"> two phases</w:t>
      </w:r>
      <w:r w:rsidR="00594151">
        <w:t>: Phase 1 (or Proof of Concept) to</w:t>
      </w:r>
      <w:r w:rsidR="00FF2402">
        <w:t xml:space="preserve"> distr</w:t>
      </w:r>
      <w:r w:rsidR="006215AC">
        <w:t>ibute 300 stoves to</w:t>
      </w:r>
      <w:r w:rsidR="001E7575">
        <w:t xml:space="preserve"> test the viability </w:t>
      </w:r>
      <w:r w:rsidR="000D0624">
        <w:t>of a local market for t</w:t>
      </w:r>
      <w:r w:rsidR="004449F7">
        <w:t>his clean cooking technology</w:t>
      </w:r>
      <w:r w:rsidR="000D0624">
        <w:t>,</w:t>
      </w:r>
      <w:r w:rsidR="004449F7">
        <w:t xml:space="preserve"> and</w:t>
      </w:r>
      <w:r w:rsidR="000D0624">
        <w:t xml:space="preserve"> Phase 2 (or </w:t>
      </w:r>
      <w:r w:rsidR="00DF73BE">
        <w:t>c</w:t>
      </w:r>
      <w:r w:rsidR="000D0624">
        <w:t xml:space="preserve">ommercial implementation) </w:t>
      </w:r>
      <w:r w:rsidR="00371171">
        <w:t xml:space="preserve">to deliver </w:t>
      </w:r>
      <w:r w:rsidR="001006A5">
        <w:t xml:space="preserve">the 50,000 cookstoves. </w:t>
      </w:r>
      <w:r w:rsidR="009C78BF">
        <w:t xml:space="preserve">The </w:t>
      </w:r>
      <w:r w:rsidR="006128BE">
        <w:t xml:space="preserve">impact evaluation will take place during the </w:t>
      </w:r>
      <w:r w:rsidR="009C78BF">
        <w:t xml:space="preserve">Proof of Concept </w:t>
      </w:r>
      <w:r w:rsidR="0072759B">
        <w:t>phase</w:t>
      </w:r>
      <w:r w:rsidR="009C78BF">
        <w:t>.</w:t>
      </w:r>
    </w:p>
    <w:p w14:paraId="09564731" w14:textId="3280B040" w:rsidR="00B31F07" w:rsidRDefault="002E41A0" w:rsidP="00261ACB">
      <w:pPr>
        <w:jc w:val="both"/>
      </w:pPr>
      <w:r>
        <w:t xml:space="preserve">The 300 stoves </w:t>
      </w:r>
      <w:r w:rsidR="0030756A">
        <w:t xml:space="preserve">during the </w:t>
      </w:r>
      <w:r w:rsidR="0030756A" w:rsidRPr="0030756A">
        <w:t>Proof of Concept phase</w:t>
      </w:r>
      <w:r w:rsidR="00A125D9">
        <w:t xml:space="preserve"> were distributed </w:t>
      </w:r>
      <w:r w:rsidR="009D1B96">
        <w:t xml:space="preserve">between </w:t>
      </w:r>
      <w:r w:rsidR="00CB475E">
        <w:t>May 17</w:t>
      </w:r>
      <w:r w:rsidR="00CB475E" w:rsidRPr="001B7188">
        <w:rPr>
          <w:vertAlign w:val="superscript"/>
        </w:rPr>
        <w:t>th</w:t>
      </w:r>
      <w:r w:rsidR="00CB475E">
        <w:t xml:space="preserve">, 2022 and </w:t>
      </w:r>
      <w:r w:rsidR="00FE2549">
        <w:t>June 2</w:t>
      </w:r>
      <w:r w:rsidR="002066AC">
        <w:t>7</w:t>
      </w:r>
      <w:r w:rsidR="00FE2549" w:rsidRPr="001B7188">
        <w:rPr>
          <w:vertAlign w:val="superscript"/>
        </w:rPr>
        <w:t>th</w:t>
      </w:r>
      <w:r w:rsidR="00FE2549">
        <w:t>, 2022</w:t>
      </w:r>
      <w:r w:rsidR="00A95408">
        <w:t xml:space="preserve"> through a marketing event or </w:t>
      </w:r>
      <w:r w:rsidR="00693A0C">
        <w:t>self-pickup</w:t>
      </w:r>
      <w:r w:rsidR="00044384">
        <w:t>.</w:t>
      </w:r>
      <w:r w:rsidR="009B6F04">
        <w:t xml:space="preserve"> </w:t>
      </w:r>
      <w:r w:rsidR="00807794">
        <w:t xml:space="preserve">The implementing entity </w:t>
      </w:r>
      <w:r w:rsidR="00356043">
        <w:t>conducted</w:t>
      </w:r>
      <w:r w:rsidR="00807794">
        <w:t xml:space="preserve"> </w:t>
      </w:r>
      <w:r w:rsidR="00693A0C">
        <w:t>the</w:t>
      </w:r>
      <w:r w:rsidR="00277EE6">
        <w:t xml:space="preserve"> marketing event to promote the stove and raise household awareness across seven districts</w:t>
      </w:r>
      <w:r w:rsidR="00AD26AF">
        <w:rPr>
          <w:rStyle w:val="FootnoteReference"/>
        </w:rPr>
        <w:footnoteReference w:id="1"/>
      </w:r>
      <w:r w:rsidR="00277EE6">
        <w:t xml:space="preserve"> in Vientiane Capital for 14 days</w:t>
      </w:r>
      <w:r w:rsidR="00A312FB">
        <w:t xml:space="preserve"> (2 days per district)</w:t>
      </w:r>
      <w:r w:rsidR="002C296D">
        <w:t xml:space="preserve"> and </w:t>
      </w:r>
      <w:r w:rsidR="00E86F03">
        <w:t>invite</w:t>
      </w:r>
      <w:r w:rsidR="00277EE6">
        <w:t xml:space="preserve"> households from the list given by the </w:t>
      </w:r>
      <w:r w:rsidR="004B66E8">
        <w:t>World Bank</w:t>
      </w:r>
      <w:r w:rsidR="00277EE6">
        <w:t xml:space="preserve"> team</w:t>
      </w:r>
      <w:r w:rsidR="003F7D0A">
        <w:t xml:space="preserve"> </w:t>
      </w:r>
      <w:r w:rsidR="00E86F03">
        <w:t>to attend the activities</w:t>
      </w:r>
      <w:r w:rsidR="00807794">
        <w:t>.</w:t>
      </w:r>
      <w:r w:rsidR="00E303B6">
        <w:t xml:space="preserve"> </w:t>
      </w:r>
      <w:r w:rsidR="00E3091B">
        <w:t xml:space="preserve">Prior to the events, </w:t>
      </w:r>
      <w:r w:rsidR="0086284C">
        <w:t>the implementing entity utilized a variety of approaches</w:t>
      </w:r>
      <w:r w:rsidR="00FB0ED0">
        <w:t xml:space="preserve">, including phone </w:t>
      </w:r>
      <w:r w:rsidR="00FB0ED0">
        <w:lastRenderedPageBreak/>
        <w:t>call</w:t>
      </w:r>
      <w:r w:rsidR="00D23CF3">
        <w:t>s</w:t>
      </w:r>
      <w:r w:rsidR="00FB0ED0">
        <w:t xml:space="preserve">, </w:t>
      </w:r>
      <w:r w:rsidR="007224E9">
        <w:t xml:space="preserve">WhatsApp messaging, </w:t>
      </w:r>
      <w:r w:rsidR="00AD678B">
        <w:t xml:space="preserve">flyers, mobilization with district and village heads, and efforts to contact households. </w:t>
      </w:r>
      <w:r w:rsidR="005371F9">
        <w:t>After</w:t>
      </w:r>
      <w:r w:rsidR="004A19F6">
        <w:t xml:space="preserve"> the marketing events, </w:t>
      </w:r>
      <w:r w:rsidR="008C47D5">
        <w:t>households</w:t>
      </w:r>
      <w:r w:rsidR="004A19F6">
        <w:t xml:space="preserve"> </w:t>
      </w:r>
      <w:r w:rsidR="005371F9">
        <w:t>still can contact</w:t>
      </w:r>
      <w:r w:rsidR="004105A0">
        <w:t xml:space="preserve"> the implementing entity at </w:t>
      </w:r>
      <w:r w:rsidR="00674797">
        <w:t xml:space="preserve">their </w:t>
      </w:r>
      <w:r w:rsidR="004105A0">
        <w:t xml:space="preserve">local </w:t>
      </w:r>
      <w:r w:rsidR="00674797">
        <w:t>distribution cent</w:t>
      </w:r>
      <w:r w:rsidR="00F75B53">
        <w:t>er</w:t>
      </w:r>
      <w:r w:rsidR="00DE5327">
        <w:t xml:space="preserve"> in Xaythany</w:t>
      </w:r>
      <w:r w:rsidR="00BC07B1">
        <w:t xml:space="preserve"> to </w:t>
      </w:r>
      <w:r w:rsidR="00242593">
        <w:t xml:space="preserve">express their interests in </w:t>
      </w:r>
      <w:r w:rsidR="00BC07B1">
        <w:t>obtain</w:t>
      </w:r>
      <w:r w:rsidR="00242593">
        <w:t>ing</w:t>
      </w:r>
      <w:r w:rsidR="00BC07B1">
        <w:t xml:space="preserve"> the stove. </w:t>
      </w:r>
      <w:r w:rsidR="00E3778B">
        <w:t xml:space="preserve">Figure </w:t>
      </w:r>
      <w:r w:rsidR="00F75B53">
        <w:t>1</w:t>
      </w:r>
      <w:r w:rsidR="00E3778B">
        <w:t xml:space="preserve"> shows the distribution of stoves and dates in each district.</w:t>
      </w:r>
    </w:p>
    <w:p w14:paraId="43EFFB41" w14:textId="273E71E0" w:rsidR="00E3778B" w:rsidRDefault="00E3778B" w:rsidP="00261ACB">
      <w:pPr>
        <w:jc w:val="both"/>
      </w:pPr>
      <w:r>
        <w:t xml:space="preserve">Figure </w:t>
      </w:r>
      <w:r w:rsidR="00F75B53">
        <w:t>1</w:t>
      </w:r>
      <w:r>
        <w:t>: Distribution of stoves across seven districts</w:t>
      </w:r>
      <w:r w:rsidR="007B577E">
        <w:t xml:space="preserve"> in Vientiane Capital</w:t>
      </w:r>
    </w:p>
    <w:tbl>
      <w:tblPr>
        <w:tblStyle w:val="TableGrid"/>
        <w:tblW w:w="0" w:type="auto"/>
        <w:tblLook w:val="04A0" w:firstRow="1" w:lastRow="0" w:firstColumn="1" w:lastColumn="0" w:noHBand="0" w:noVBand="1"/>
      </w:tblPr>
      <w:tblGrid>
        <w:gridCol w:w="1525"/>
        <w:gridCol w:w="1395"/>
        <w:gridCol w:w="1214"/>
        <w:gridCol w:w="900"/>
        <w:gridCol w:w="930"/>
        <w:gridCol w:w="1108"/>
        <w:gridCol w:w="1118"/>
        <w:gridCol w:w="1160"/>
      </w:tblGrid>
      <w:tr w:rsidR="008A11CC" w:rsidRPr="008A11CC" w14:paraId="0519FD3F" w14:textId="77777777" w:rsidTr="008A11CC">
        <w:trPr>
          <w:trHeight w:val="285"/>
        </w:trPr>
        <w:tc>
          <w:tcPr>
            <w:tcW w:w="1525" w:type="dxa"/>
            <w:noWrap/>
            <w:hideMark/>
          </w:tcPr>
          <w:p w14:paraId="2CDADFE2" w14:textId="77777777" w:rsidR="008A11CC" w:rsidRPr="001B7188" w:rsidRDefault="008A11CC" w:rsidP="008A11CC">
            <w:pPr>
              <w:jc w:val="both"/>
              <w:rPr>
                <w:b/>
                <w:bCs/>
                <w:sz w:val="18"/>
                <w:szCs w:val="18"/>
              </w:rPr>
            </w:pPr>
            <w:r w:rsidRPr="001B7188">
              <w:rPr>
                <w:b/>
                <w:bCs/>
                <w:sz w:val="18"/>
                <w:szCs w:val="18"/>
              </w:rPr>
              <w:t>District</w:t>
            </w:r>
          </w:p>
        </w:tc>
        <w:tc>
          <w:tcPr>
            <w:tcW w:w="2893" w:type="dxa"/>
            <w:hideMark/>
          </w:tcPr>
          <w:p w14:paraId="63CB9CAB" w14:textId="77777777" w:rsidR="008A11CC" w:rsidRPr="001B7188" w:rsidRDefault="008A11CC" w:rsidP="008A11CC">
            <w:pPr>
              <w:jc w:val="both"/>
              <w:rPr>
                <w:b/>
                <w:bCs/>
                <w:sz w:val="18"/>
                <w:szCs w:val="18"/>
              </w:rPr>
            </w:pPr>
            <w:r w:rsidRPr="001B7188">
              <w:rPr>
                <w:b/>
                <w:bCs/>
                <w:sz w:val="18"/>
                <w:szCs w:val="18"/>
              </w:rPr>
              <w:t xml:space="preserve">Chanthabouly </w:t>
            </w:r>
          </w:p>
        </w:tc>
        <w:tc>
          <w:tcPr>
            <w:tcW w:w="825" w:type="dxa"/>
            <w:hideMark/>
          </w:tcPr>
          <w:p w14:paraId="15463579" w14:textId="77777777" w:rsidR="008A11CC" w:rsidRPr="001B7188" w:rsidRDefault="008A11CC" w:rsidP="008A11CC">
            <w:pPr>
              <w:jc w:val="both"/>
              <w:rPr>
                <w:b/>
                <w:bCs/>
                <w:sz w:val="18"/>
                <w:szCs w:val="18"/>
              </w:rPr>
            </w:pPr>
            <w:r w:rsidRPr="001B7188">
              <w:rPr>
                <w:b/>
                <w:bCs/>
                <w:sz w:val="18"/>
                <w:szCs w:val="18"/>
              </w:rPr>
              <w:t>Sikhottabong</w:t>
            </w:r>
          </w:p>
        </w:tc>
        <w:tc>
          <w:tcPr>
            <w:tcW w:w="707" w:type="dxa"/>
            <w:hideMark/>
          </w:tcPr>
          <w:p w14:paraId="417E2545" w14:textId="77777777" w:rsidR="008A11CC" w:rsidRPr="001B7188" w:rsidRDefault="008A11CC" w:rsidP="008A11CC">
            <w:pPr>
              <w:jc w:val="both"/>
              <w:rPr>
                <w:b/>
                <w:bCs/>
                <w:sz w:val="18"/>
                <w:szCs w:val="18"/>
              </w:rPr>
            </w:pPr>
            <w:r w:rsidRPr="001B7188">
              <w:rPr>
                <w:b/>
                <w:bCs/>
                <w:sz w:val="18"/>
                <w:szCs w:val="18"/>
              </w:rPr>
              <w:t>Xaysetha</w:t>
            </w:r>
          </w:p>
        </w:tc>
        <w:tc>
          <w:tcPr>
            <w:tcW w:w="707" w:type="dxa"/>
            <w:hideMark/>
          </w:tcPr>
          <w:p w14:paraId="1F689864" w14:textId="77777777" w:rsidR="008A11CC" w:rsidRPr="001B7188" w:rsidRDefault="008A11CC" w:rsidP="008A11CC">
            <w:pPr>
              <w:jc w:val="both"/>
              <w:rPr>
                <w:b/>
                <w:bCs/>
                <w:sz w:val="18"/>
                <w:szCs w:val="18"/>
              </w:rPr>
            </w:pPr>
            <w:r w:rsidRPr="001B7188">
              <w:rPr>
                <w:b/>
                <w:bCs/>
                <w:sz w:val="18"/>
                <w:szCs w:val="18"/>
              </w:rPr>
              <w:t>Sisatanak</w:t>
            </w:r>
          </w:p>
        </w:tc>
        <w:tc>
          <w:tcPr>
            <w:tcW w:w="865" w:type="dxa"/>
            <w:hideMark/>
          </w:tcPr>
          <w:p w14:paraId="0AAB0362" w14:textId="77777777" w:rsidR="008A11CC" w:rsidRPr="001B7188" w:rsidRDefault="008A11CC" w:rsidP="008A11CC">
            <w:pPr>
              <w:jc w:val="both"/>
              <w:rPr>
                <w:b/>
                <w:bCs/>
                <w:sz w:val="18"/>
                <w:szCs w:val="18"/>
              </w:rPr>
            </w:pPr>
            <w:r w:rsidRPr="001B7188">
              <w:rPr>
                <w:b/>
                <w:bCs/>
                <w:sz w:val="18"/>
                <w:szCs w:val="18"/>
              </w:rPr>
              <w:t xml:space="preserve">Hadxayfong </w:t>
            </w:r>
          </w:p>
        </w:tc>
        <w:tc>
          <w:tcPr>
            <w:tcW w:w="914" w:type="dxa"/>
            <w:hideMark/>
          </w:tcPr>
          <w:p w14:paraId="5DAD6BEA" w14:textId="77777777" w:rsidR="008A11CC" w:rsidRPr="001B7188" w:rsidRDefault="008A11CC" w:rsidP="008A11CC">
            <w:pPr>
              <w:jc w:val="both"/>
              <w:rPr>
                <w:b/>
                <w:bCs/>
                <w:sz w:val="18"/>
                <w:szCs w:val="18"/>
              </w:rPr>
            </w:pPr>
            <w:r w:rsidRPr="001B7188">
              <w:rPr>
                <w:b/>
                <w:bCs/>
                <w:sz w:val="18"/>
                <w:szCs w:val="18"/>
              </w:rPr>
              <w:t xml:space="preserve">Naxaythong </w:t>
            </w:r>
          </w:p>
        </w:tc>
        <w:tc>
          <w:tcPr>
            <w:tcW w:w="914" w:type="dxa"/>
            <w:hideMark/>
          </w:tcPr>
          <w:p w14:paraId="6111DB61" w14:textId="77777777" w:rsidR="008A11CC" w:rsidRPr="001B7188" w:rsidRDefault="008A11CC" w:rsidP="008A11CC">
            <w:pPr>
              <w:jc w:val="both"/>
              <w:rPr>
                <w:b/>
                <w:bCs/>
                <w:sz w:val="18"/>
                <w:szCs w:val="18"/>
              </w:rPr>
            </w:pPr>
            <w:r w:rsidRPr="001B7188">
              <w:rPr>
                <w:b/>
                <w:bCs/>
                <w:sz w:val="18"/>
                <w:szCs w:val="18"/>
              </w:rPr>
              <w:t xml:space="preserve">Xaythany </w:t>
            </w:r>
          </w:p>
        </w:tc>
      </w:tr>
      <w:tr w:rsidR="008A11CC" w:rsidRPr="008A11CC" w14:paraId="5C4F6B47" w14:textId="77777777" w:rsidTr="008A11CC">
        <w:trPr>
          <w:trHeight w:val="285"/>
        </w:trPr>
        <w:tc>
          <w:tcPr>
            <w:tcW w:w="1525" w:type="dxa"/>
            <w:noWrap/>
            <w:hideMark/>
          </w:tcPr>
          <w:p w14:paraId="511507AB" w14:textId="77777777" w:rsidR="008A11CC" w:rsidRPr="001B7188" w:rsidRDefault="008A11CC" w:rsidP="008A11CC">
            <w:pPr>
              <w:jc w:val="both"/>
              <w:rPr>
                <w:sz w:val="18"/>
                <w:szCs w:val="18"/>
              </w:rPr>
            </w:pPr>
            <w:r w:rsidRPr="001B7188">
              <w:rPr>
                <w:sz w:val="18"/>
                <w:szCs w:val="18"/>
              </w:rPr>
              <w:t>Distribution date</w:t>
            </w:r>
          </w:p>
        </w:tc>
        <w:tc>
          <w:tcPr>
            <w:tcW w:w="2893" w:type="dxa"/>
            <w:hideMark/>
          </w:tcPr>
          <w:p w14:paraId="2ED4044A" w14:textId="77777777" w:rsidR="008A11CC" w:rsidRPr="001B7188" w:rsidRDefault="008A11CC" w:rsidP="001B7188">
            <w:pPr>
              <w:jc w:val="center"/>
              <w:rPr>
                <w:sz w:val="18"/>
                <w:szCs w:val="18"/>
              </w:rPr>
            </w:pPr>
            <w:r w:rsidRPr="001B7188">
              <w:rPr>
                <w:sz w:val="18"/>
                <w:szCs w:val="18"/>
              </w:rPr>
              <w:t>17.05.22</w:t>
            </w:r>
          </w:p>
        </w:tc>
        <w:tc>
          <w:tcPr>
            <w:tcW w:w="825" w:type="dxa"/>
            <w:hideMark/>
          </w:tcPr>
          <w:p w14:paraId="16B54435" w14:textId="77777777" w:rsidR="008A11CC" w:rsidRPr="001B7188" w:rsidRDefault="008A11CC" w:rsidP="001B7188">
            <w:pPr>
              <w:jc w:val="center"/>
              <w:rPr>
                <w:sz w:val="18"/>
                <w:szCs w:val="18"/>
              </w:rPr>
            </w:pPr>
            <w:r w:rsidRPr="001B7188">
              <w:rPr>
                <w:sz w:val="18"/>
                <w:szCs w:val="18"/>
              </w:rPr>
              <w:t>19.05.22</w:t>
            </w:r>
          </w:p>
        </w:tc>
        <w:tc>
          <w:tcPr>
            <w:tcW w:w="707" w:type="dxa"/>
            <w:hideMark/>
          </w:tcPr>
          <w:p w14:paraId="43065702" w14:textId="77777777" w:rsidR="008A11CC" w:rsidRPr="001B7188" w:rsidRDefault="008A11CC" w:rsidP="001B7188">
            <w:pPr>
              <w:jc w:val="center"/>
              <w:rPr>
                <w:sz w:val="18"/>
                <w:szCs w:val="18"/>
              </w:rPr>
            </w:pPr>
            <w:r w:rsidRPr="001B7188">
              <w:rPr>
                <w:sz w:val="18"/>
                <w:szCs w:val="18"/>
              </w:rPr>
              <w:t>22.05.22</w:t>
            </w:r>
          </w:p>
        </w:tc>
        <w:tc>
          <w:tcPr>
            <w:tcW w:w="707" w:type="dxa"/>
            <w:hideMark/>
          </w:tcPr>
          <w:p w14:paraId="6544B294" w14:textId="77777777" w:rsidR="008A11CC" w:rsidRPr="001B7188" w:rsidRDefault="008A11CC" w:rsidP="001B7188">
            <w:pPr>
              <w:jc w:val="center"/>
              <w:rPr>
                <w:sz w:val="18"/>
                <w:szCs w:val="18"/>
              </w:rPr>
            </w:pPr>
            <w:r w:rsidRPr="001B7188">
              <w:rPr>
                <w:sz w:val="18"/>
                <w:szCs w:val="18"/>
              </w:rPr>
              <w:t>23.05.22</w:t>
            </w:r>
          </w:p>
        </w:tc>
        <w:tc>
          <w:tcPr>
            <w:tcW w:w="865" w:type="dxa"/>
            <w:hideMark/>
          </w:tcPr>
          <w:p w14:paraId="1783C337" w14:textId="77777777" w:rsidR="008A11CC" w:rsidRPr="001B7188" w:rsidRDefault="008A11CC" w:rsidP="001B7188">
            <w:pPr>
              <w:jc w:val="center"/>
              <w:rPr>
                <w:sz w:val="18"/>
                <w:szCs w:val="18"/>
              </w:rPr>
            </w:pPr>
            <w:r w:rsidRPr="001B7188">
              <w:rPr>
                <w:sz w:val="18"/>
                <w:szCs w:val="18"/>
              </w:rPr>
              <w:t>24.05.22</w:t>
            </w:r>
          </w:p>
        </w:tc>
        <w:tc>
          <w:tcPr>
            <w:tcW w:w="914" w:type="dxa"/>
            <w:hideMark/>
          </w:tcPr>
          <w:p w14:paraId="34E4DA97" w14:textId="77777777" w:rsidR="008A11CC" w:rsidRPr="001B7188" w:rsidRDefault="008A11CC" w:rsidP="001B7188">
            <w:pPr>
              <w:jc w:val="center"/>
              <w:rPr>
                <w:sz w:val="18"/>
                <w:szCs w:val="18"/>
              </w:rPr>
            </w:pPr>
            <w:r w:rsidRPr="001B7188">
              <w:rPr>
                <w:sz w:val="18"/>
                <w:szCs w:val="18"/>
              </w:rPr>
              <w:t>25.05.22</w:t>
            </w:r>
          </w:p>
        </w:tc>
        <w:tc>
          <w:tcPr>
            <w:tcW w:w="914" w:type="dxa"/>
            <w:hideMark/>
          </w:tcPr>
          <w:p w14:paraId="4AA2A2E1" w14:textId="77777777" w:rsidR="008A11CC" w:rsidRPr="001B7188" w:rsidRDefault="008A11CC" w:rsidP="001B7188">
            <w:pPr>
              <w:jc w:val="center"/>
              <w:rPr>
                <w:sz w:val="18"/>
                <w:szCs w:val="18"/>
              </w:rPr>
            </w:pPr>
            <w:r w:rsidRPr="001B7188">
              <w:rPr>
                <w:sz w:val="18"/>
                <w:szCs w:val="18"/>
              </w:rPr>
              <w:t>21&amp;27.05.22</w:t>
            </w:r>
          </w:p>
        </w:tc>
      </w:tr>
      <w:tr w:rsidR="008A11CC" w:rsidRPr="008A11CC" w14:paraId="1A139A66" w14:textId="77777777" w:rsidTr="008A11CC">
        <w:trPr>
          <w:trHeight w:val="285"/>
        </w:trPr>
        <w:tc>
          <w:tcPr>
            <w:tcW w:w="1525" w:type="dxa"/>
            <w:hideMark/>
          </w:tcPr>
          <w:p w14:paraId="6DD35EF4" w14:textId="61F3A76E" w:rsidR="008A11CC" w:rsidRPr="001B7188" w:rsidRDefault="008A11CC" w:rsidP="008A11CC">
            <w:pPr>
              <w:jc w:val="both"/>
              <w:rPr>
                <w:sz w:val="18"/>
                <w:szCs w:val="18"/>
              </w:rPr>
            </w:pPr>
            <w:r w:rsidRPr="001B7188">
              <w:rPr>
                <w:sz w:val="18"/>
                <w:szCs w:val="18"/>
              </w:rPr>
              <w:t xml:space="preserve">Number of </w:t>
            </w:r>
            <w:r w:rsidRPr="008A11CC">
              <w:rPr>
                <w:sz w:val="18"/>
                <w:szCs w:val="18"/>
              </w:rPr>
              <w:t>stoves</w:t>
            </w:r>
            <w:r w:rsidRPr="001B7188">
              <w:rPr>
                <w:sz w:val="18"/>
                <w:szCs w:val="18"/>
              </w:rPr>
              <w:t xml:space="preserve"> distributed</w:t>
            </w:r>
          </w:p>
        </w:tc>
        <w:tc>
          <w:tcPr>
            <w:tcW w:w="2893" w:type="dxa"/>
            <w:hideMark/>
          </w:tcPr>
          <w:p w14:paraId="60EEA083" w14:textId="77777777" w:rsidR="008A11CC" w:rsidRPr="001B7188" w:rsidRDefault="008A11CC" w:rsidP="001B7188">
            <w:pPr>
              <w:jc w:val="center"/>
              <w:rPr>
                <w:sz w:val="18"/>
                <w:szCs w:val="18"/>
              </w:rPr>
            </w:pPr>
            <w:r w:rsidRPr="001B7188">
              <w:rPr>
                <w:sz w:val="18"/>
                <w:szCs w:val="18"/>
              </w:rPr>
              <w:t>32</w:t>
            </w:r>
          </w:p>
        </w:tc>
        <w:tc>
          <w:tcPr>
            <w:tcW w:w="825" w:type="dxa"/>
            <w:hideMark/>
          </w:tcPr>
          <w:p w14:paraId="3D90B4C1" w14:textId="77777777" w:rsidR="008A11CC" w:rsidRPr="001B7188" w:rsidRDefault="008A11CC" w:rsidP="001B7188">
            <w:pPr>
              <w:jc w:val="center"/>
              <w:rPr>
                <w:sz w:val="18"/>
                <w:szCs w:val="18"/>
              </w:rPr>
            </w:pPr>
            <w:r w:rsidRPr="001B7188">
              <w:rPr>
                <w:sz w:val="18"/>
                <w:szCs w:val="18"/>
              </w:rPr>
              <w:t>35</w:t>
            </w:r>
          </w:p>
        </w:tc>
        <w:tc>
          <w:tcPr>
            <w:tcW w:w="707" w:type="dxa"/>
            <w:noWrap/>
            <w:hideMark/>
          </w:tcPr>
          <w:p w14:paraId="737330EB" w14:textId="77777777" w:rsidR="008A11CC" w:rsidRPr="001B7188" w:rsidRDefault="008A11CC" w:rsidP="001B7188">
            <w:pPr>
              <w:jc w:val="center"/>
              <w:rPr>
                <w:sz w:val="18"/>
                <w:szCs w:val="18"/>
              </w:rPr>
            </w:pPr>
            <w:r w:rsidRPr="001B7188">
              <w:rPr>
                <w:sz w:val="18"/>
                <w:szCs w:val="18"/>
              </w:rPr>
              <w:t>49</w:t>
            </w:r>
          </w:p>
        </w:tc>
        <w:tc>
          <w:tcPr>
            <w:tcW w:w="707" w:type="dxa"/>
            <w:noWrap/>
            <w:hideMark/>
          </w:tcPr>
          <w:p w14:paraId="25289B4A" w14:textId="77777777" w:rsidR="008A11CC" w:rsidRPr="001B7188" w:rsidRDefault="008A11CC" w:rsidP="001B7188">
            <w:pPr>
              <w:jc w:val="center"/>
              <w:rPr>
                <w:sz w:val="18"/>
                <w:szCs w:val="18"/>
              </w:rPr>
            </w:pPr>
            <w:r w:rsidRPr="001B7188">
              <w:rPr>
                <w:sz w:val="18"/>
                <w:szCs w:val="18"/>
              </w:rPr>
              <w:t>21</w:t>
            </w:r>
          </w:p>
        </w:tc>
        <w:tc>
          <w:tcPr>
            <w:tcW w:w="865" w:type="dxa"/>
            <w:noWrap/>
            <w:hideMark/>
          </w:tcPr>
          <w:p w14:paraId="21DA195C" w14:textId="77777777" w:rsidR="008A11CC" w:rsidRPr="001B7188" w:rsidRDefault="008A11CC" w:rsidP="001B7188">
            <w:pPr>
              <w:jc w:val="center"/>
              <w:rPr>
                <w:sz w:val="18"/>
                <w:szCs w:val="18"/>
              </w:rPr>
            </w:pPr>
            <w:r w:rsidRPr="001B7188">
              <w:rPr>
                <w:sz w:val="18"/>
                <w:szCs w:val="18"/>
              </w:rPr>
              <w:t>30</w:t>
            </w:r>
          </w:p>
        </w:tc>
        <w:tc>
          <w:tcPr>
            <w:tcW w:w="914" w:type="dxa"/>
            <w:noWrap/>
            <w:hideMark/>
          </w:tcPr>
          <w:p w14:paraId="470BB018" w14:textId="77777777" w:rsidR="008A11CC" w:rsidRPr="001B7188" w:rsidRDefault="008A11CC" w:rsidP="001B7188">
            <w:pPr>
              <w:jc w:val="center"/>
              <w:rPr>
                <w:sz w:val="18"/>
                <w:szCs w:val="18"/>
              </w:rPr>
            </w:pPr>
            <w:r w:rsidRPr="001B7188">
              <w:rPr>
                <w:sz w:val="18"/>
                <w:szCs w:val="18"/>
              </w:rPr>
              <w:t>47</w:t>
            </w:r>
          </w:p>
        </w:tc>
        <w:tc>
          <w:tcPr>
            <w:tcW w:w="914" w:type="dxa"/>
            <w:noWrap/>
            <w:hideMark/>
          </w:tcPr>
          <w:p w14:paraId="266F621C" w14:textId="77777777" w:rsidR="008A11CC" w:rsidRPr="001B7188" w:rsidRDefault="008A11CC" w:rsidP="001B7188">
            <w:pPr>
              <w:jc w:val="center"/>
              <w:rPr>
                <w:sz w:val="18"/>
                <w:szCs w:val="18"/>
              </w:rPr>
            </w:pPr>
            <w:r w:rsidRPr="001B7188">
              <w:rPr>
                <w:sz w:val="18"/>
                <w:szCs w:val="18"/>
              </w:rPr>
              <w:t>86</w:t>
            </w:r>
          </w:p>
        </w:tc>
      </w:tr>
    </w:tbl>
    <w:p w14:paraId="392B5369" w14:textId="2547109A" w:rsidR="00B01658" w:rsidRDefault="00BE5B96" w:rsidP="001B7188">
      <w:pPr>
        <w:spacing w:before="120"/>
        <w:jc w:val="both"/>
        <w:rPr>
          <w:lang w:bidi="th-TH"/>
        </w:rPr>
      </w:pPr>
      <w:r>
        <w:t>The stove</w:t>
      </w:r>
      <w:r w:rsidR="0093616A">
        <w:t xml:space="preserve"> and pellets</w:t>
      </w:r>
      <w:r>
        <w:t xml:space="preserve"> </w:t>
      </w:r>
      <w:r w:rsidR="0093616A">
        <w:t>were</w:t>
      </w:r>
      <w:r>
        <w:t xml:space="preserve"> offered</w:t>
      </w:r>
      <w:r w:rsidR="0093616A">
        <w:t xml:space="preserve"> in</w:t>
      </w:r>
      <w:r w:rsidR="00924193">
        <w:t xml:space="preserve"> a</w:t>
      </w:r>
      <w:r w:rsidR="0093616A">
        <w:t xml:space="preserve"> subscription model</w:t>
      </w:r>
      <w:r w:rsidR="003F284F">
        <w:t>,</w:t>
      </w:r>
      <w:r w:rsidR="0093616A">
        <w:t xml:space="preserve"> where </w:t>
      </w:r>
      <w:r w:rsidR="00A550B3">
        <w:t>p</w:t>
      </w:r>
      <w:r w:rsidR="00E303B6">
        <w:t>articipating households ha</w:t>
      </w:r>
      <w:r w:rsidR="003F284F">
        <w:t xml:space="preserve">d </w:t>
      </w:r>
      <w:r w:rsidR="00A550B3">
        <w:t>to sign a</w:t>
      </w:r>
      <w:r w:rsidR="0071526E">
        <w:t xml:space="preserve">n </w:t>
      </w:r>
      <w:r w:rsidR="00E01681">
        <w:t>agreement</w:t>
      </w:r>
      <w:r w:rsidR="00EF3C2A">
        <w:t xml:space="preserve"> </w:t>
      </w:r>
      <w:r w:rsidR="00CC7526">
        <w:t xml:space="preserve">to </w:t>
      </w:r>
      <w:r w:rsidR="001631A8">
        <w:t>lease</w:t>
      </w:r>
      <w:r w:rsidR="00B110D2">
        <w:rPr>
          <w:lang w:bidi="th-TH"/>
        </w:rPr>
        <w:t xml:space="preserve"> the stove and</w:t>
      </w:r>
      <w:r w:rsidR="00877796">
        <w:rPr>
          <w:lang w:bidi="th-TH"/>
        </w:rPr>
        <w:t xml:space="preserve"> </w:t>
      </w:r>
      <w:r w:rsidR="00924193">
        <w:rPr>
          <w:lang w:bidi="th-TH"/>
        </w:rPr>
        <w:t>sign up for a</w:t>
      </w:r>
      <w:r w:rsidR="00B110D2">
        <w:rPr>
          <w:lang w:bidi="th-TH"/>
        </w:rPr>
        <w:t xml:space="preserve"> pellet</w:t>
      </w:r>
      <w:r w:rsidR="00877796">
        <w:rPr>
          <w:lang w:bidi="th-TH"/>
        </w:rPr>
        <w:t xml:space="preserve"> subscription</w:t>
      </w:r>
      <w:r w:rsidR="00B110D2">
        <w:rPr>
          <w:lang w:bidi="th-TH"/>
        </w:rPr>
        <w:t>.</w:t>
      </w:r>
      <w:r w:rsidR="0071526E" w:rsidRPr="0071526E">
        <w:rPr>
          <w:lang w:bidi="th-TH"/>
        </w:rPr>
        <w:t xml:space="preserve"> </w:t>
      </w:r>
      <w:r w:rsidR="0071526E">
        <w:rPr>
          <w:lang w:bidi="th-TH"/>
        </w:rPr>
        <w:t xml:space="preserve">This subscription package allows </w:t>
      </w:r>
      <w:r w:rsidR="00F41C84">
        <w:rPr>
          <w:lang w:bidi="th-TH"/>
        </w:rPr>
        <w:t xml:space="preserve">households </w:t>
      </w:r>
      <w:r w:rsidR="00792269">
        <w:rPr>
          <w:lang w:bidi="th-TH"/>
        </w:rPr>
        <w:t xml:space="preserve">to receive one stove and </w:t>
      </w:r>
      <w:r w:rsidR="003F284F">
        <w:rPr>
          <w:lang w:bidi="th-TH"/>
        </w:rPr>
        <w:t xml:space="preserve">an </w:t>
      </w:r>
      <w:r w:rsidR="00271F7A">
        <w:t xml:space="preserve">amount of pellets </w:t>
      </w:r>
      <w:r w:rsidR="00662234">
        <w:t>that</w:t>
      </w:r>
      <w:r w:rsidR="00271F7A">
        <w:t xml:space="preserve"> is suitable </w:t>
      </w:r>
      <w:r w:rsidR="00662234">
        <w:t>for one month's use</w:t>
      </w:r>
      <w:r w:rsidR="00271F7A">
        <w:rPr>
          <w:lang w:bidi="th-TH"/>
        </w:rPr>
        <w:t xml:space="preserve">. </w:t>
      </w:r>
      <w:r w:rsidR="0033105B">
        <w:rPr>
          <w:lang w:bidi="th-TH"/>
        </w:rPr>
        <w:t xml:space="preserve">A minimum monthly subscription is 60,000 LAK where </w:t>
      </w:r>
      <w:r w:rsidR="00A145CD">
        <w:rPr>
          <w:lang w:bidi="th-TH"/>
        </w:rPr>
        <w:t>household</w:t>
      </w:r>
      <w:r w:rsidR="00662234">
        <w:rPr>
          <w:lang w:bidi="th-TH"/>
        </w:rPr>
        <w:t>s</w:t>
      </w:r>
      <w:r w:rsidR="00A145CD">
        <w:rPr>
          <w:lang w:bidi="th-TH"/>
        </w:rPr>
        <w:t xml:space="preserve"> </w:t>
      </w:r>
      <w:r w:rsidR="007E45FC">
        <w:rPr>
          <w:lang w:bidi="th-TH"/>
        </w:rPr>
        <w:t xml:space="preserve">will receive </w:t>
      </w:r>
      <w:r w:rsidR="00DA0E90">
        <w:rPr>
          <w:lang w:bidi="th-TH"/>
        </w:rPr>
        <w:t>30kg of pellets</w:t>
      </w:r>
      <w:r w:rsidR="0009358D">
        <w:rPr>
          <w:lang w:bidi="th-TH"/>
        </w:rPr>
        <w:t xml:space="preserve"> in return</w:t>
      </w:r>
      <w:r w:rsidR="009B00E5">
        <w:rPr>
          <w:lang w:bidi="th-TH"/>
        </w:rPr>
        <w:t xml:space="preserve">; however, </w:t>
      </w:r>
      <w:r w:rsidR="0009358D">
        <w:rPr>
          <w:lang w:bidi="th-TH"/>
        </w:rPr>
        <w:t>they</w:t>
      </w:r>
      <w:r w:rsidR="00B01658">
        <w:rPr>
          <w:lang w:bidi="th-TH"/>
        </w:rPr>
        <w:t xml:space="preserve"> </w:t>
      </w:r>
      <w:r w:rsidR="00484B2D">
        <w:rPr>
          <w:lang w:bidi="th-TH"/>
        </w:rPr>
        <w:t>have an option to</w:t>
      </w:r>
      <w:r w:rsidR="00B01658">
        <w:rPr>
          <w:lang w:bidi="th-TH"/>
        </w:rPr>
        <w:t xml:space="preserve"> purchase additional pellets </w:t>
      </w:r>
      <w:r w:rsidR="00484B2D">
        <w:rPr>
          <w:lang w:bidi="th-TH"/>
        </w:rPr>
        <w:t>at</w:t>
      </w:r>
      <w:r w:rsidR="00A145CD">
        <w:rPr>
          <w:lang w:bidi="th-TH"/>
        </w:rPr>
        <w:t xml:space="preserve"> </w:t>
      </w:r>
      <w:r w:rsidR="00484B2D">
        <w:rPr>
          <w:lang w:bidi="th-TH"/>
        </w:rPr>
        <w:t>the</w:t>
      </w:r>
      <w:r w:rsidR="00A145CD">
        <w:rPr>
          <w:lang w:bidi="th-TH"/>
        </w:rPr>
        <w:t xml:space="preserve"> cost of</w:t>
      </w:r>
      <w:r w:rsidR="00FE0457">
        <w:rPr>
          <w:lang w:bidi="th-TH"/>
        </w:rPr>
        <w:t xml:space="preserve"> </w:t>
      </w:r>
      <w:r w:rsidR="00287F97">
        <w:rPr>
          <w:lang w:bidi="th-TH"/>
        </w:rPr>
        <w:t>30</w:t>
      </w:r>
      <w:r w:rsidR="00FE0457">
        <w:rPr>
          <w:lang w:bidi="th-TH"/>
        </w:rPr>
        <w:t>,000 LAK</w:t>
      </w:r>
      <w:r w:rsidR="00484B2D">
        <w:rPr>
          <w:lang w:bidi="th-TH"/>
        </w:rPr>
        <w:t xml:space="preserve"> per bag</w:t>
      </w:r>
      <w:r w:rsidR="00FE0457">
        <w:rPr>
          <w:lang w:bidi="th-TH"/>
        </w:rPr>
        <w:t xml:space="preserve"> </w:t>
      </w:r>
      <w:r w:rsidR="00B01658">
        <w:rPr>
          <w:lang w:bidi="th-TH"/>
        </w:rPr>
        <w:t>(2,000 LAK per kg)</w:t>
      </w:r>
      <w:r w:rsidR="0009358D">
        <w:rPr>
          <w:lang w:bidi="th-TH"/>
        </w:rPr>
        <w:t xml:space="preserve"> </w:t>
      </w:r>
      <w:r w:rsidR="00D5397C">
        <w:rPr>
          <w:lang w:bidi="th-TH"/>
        </w:rPr>
        <w:t xml:space="preserve">throughout the month </w:t>
      </w:r>
      <w:r w:rsidR="0009358D">
        <w:rPr>
          <w:lang w:bidi="th-TH"/>
        </w:rPr>
        <w:t>if needed</w:t>
      </w:r>
      <w:r w:rsidR="00FE0457">
        <w:rPr>
          <w:lang w:bidi="th-TH"/>
        </w:rPr>
        <w:t xml:space="preserve">. </w:t>
      </w:r>
      <w:r w:rsidR="00352FA6">
        <w:rPr>
          <w:lang w:bidi="th-TH"/>
        </w:rPr>
        <w:t xml:space="preserve">At the end of </w:t>
      </w:r>
      <w:r w:rsidR="006A10C4">
        <w:rPr>
          <w:lang w:bidi="th-TH"/>
        </w:rPr>
        <w:t>every</w:t>
      </w:r>
      <w:r w:rsidR="00352FA6">
        <w:rPr>
          <w:lang w:bidi="th-TH"/>
        </w:rPr>
        <w:t xml:space="preserve"> month, </w:t>
      </w:r>
      <w:r w:rsidR="00C86B05">
        <w:rPr>
          <w:lang w:bidi="th-TH"/>
        </w:rPr>
        <w:t xml:space="preserve">subscribers will return to the </w:t>
      </w:r>
      <w:r w:rsidR="00F57B98">
        <w:rPr>
          <w:lang w:bidi="th-TH"/>
        </w:rPr>
        <w:t xml:space="preserve">implementing entity’s pellet </w:t>
      </w:r>
      <w:r w:rsidR="00C86B05">
        <w:rPr>
          <w:lang w:bidi="th-TH"/>
        </w:rPr>
        <w:t>distribution cent</w:t>
      </w:r>
      <w:r w:rsidR="00F75B53">
        <w:rPr>
          <w:lang w:bidi="th-TH"/>
        </w:rPr>
        <w:t>er</w:t>
      </w:r>
      <w:r w:rsidR="00C86B05">
        <w:rPr>
          <w:lang w:bidi="th-TH"/>
        </w:rPr>
        <w:t xml:space="preserve"> </w:t>
      </w:r>
      <w:r w:rsidR="00F57B98">
        <w:rPr>
          <w:lang w:bidi="th-TH"/>
        </w:rPr>
        <w:t xml:space="preserve">in Xaythani district </w:t>
      </w:r>
      <w:r w:rsidR="00AB7AA1">
        <w:rPr>
          <w:lang w:bidi="th-TH"/>
        </w:rPr>
        <w:t xml:space="preserve">to </w:t>
      </w:r>
      <w:r w:rsidR="00587128">
        <w:rPr>
          <w:lang w:bidi="th-TH"/>
        </w:rPr>
        <w:t>pay for the pellet</w:t>
      </w:r>
      <w:r w:rsidR="00BB1255">
        <w:rPr>
          <w:lang w:bidi="th-TH"/>
        </w:rPr>
        <w:t>s</w:t>
      </w:r>
      <w:r w:rsidR="00587128">
        <w:rPr>
          <w:lang w:bidi="th-TH"/>
        </w:rPr>
        <w:t xml:space="preserve"> consumed </w:t>
      </w:r>
      <w:r w:rsidR="00A8143B">
        <w:rPr>
          <w:lang w:bidi="th-TH"/>
        </w:rPr>
        <w:t xml:space="preserve">together </w:t>
      </w:r>
      <w:r w:rsidR="004C78E2">
        <w:rPr>
          <w:lang w:bidi="th-TH"/>
        </w:rPr>
        <w:t xml:space="preserve">with </w:t>
      </w:r>
      <w:r w:rsidR="0031426A">
        <w:rPr>
          <w:lang w:bidi="th-TH"/>
        </w:rPr>
        <w:t xml:space="preserve">collect </w:t>
      </w:r>
      <w:r w:rsidR="00CD32B5">
        <w:rPr>
          <w:lang w:bidi="th-TH"/>
        </w:rPr>
        <w:t>pellets</w:t>
      </w:r>
      <w:r w:rsidR="006F72A1">
        <w:rPr>
          <w:lang w:bidi="th-TH"/>
        </w:rPr>
        <w:t xml:space="preserve"> for the following </w:t>
      </w:r>
      <w:r w:rsidR="00E469A2">
        <w:rPr>
          <w:lang w:bidi="th-TH"/>
        </w:rPr>
        <w:t>month</w:t>
      </w:r>
      <w:r w:rsidR="004C78E2">
        <w:rPr>
          <w:lang w:bidi="th-TH"/>
        </w:rPr>
        <w:t>.</w:t>
      </w:r>
      <w:r w:rsidR="00E469A2">
        <w:rPr>
          <w:lang w:bidi="th-TH"/>
        </w:rPr>
        <w:t xml:space="preserve"> </w:t>
      </w:r>
      <w:r w:rsidR="00E469A2">
        <w:t>If households do not use all the pellets they have purchased throughout the month, and have some remaining, they also have the option to purchase additional pellets separately.</w:t>
      </w:r>
      <w:r w:rsidR="00FD4A9C">
        <w:rPr>
          <w:lang w:bidi="th-TH"/>
        </w:rPr>
        <w:t xml:space="preserve"> </w:t>
      </w:r>
      <w:r w:rsidR="00C13049">
        <w:rPr>
          <w:lang w:bidi="th-TH"/>
        </w:rPr>
        <w:t>Households will</w:t>
      </w:r>
      <w:r w:rsidR="00C13049">
        <w:t xml:space="preserve"> have </w:t>
      </w:r>
      <w:r w:rsidR="00C5681F">
        <w:t>the</w:t>
      </w:r>
      <w:r w:rsidR="00C13049">
        <w:t xml:space="preserve"> option to renew the agreement </w:t>
      </w:r>
      <w:r w:rsidR="00A362B6">
        <w:t xml:space="preserve">after </w:t>
      </w:r>
      <w:r w:rsidR="00C5681F">
        <w:t>the</w:t>
      </w:r>
      <w:r w:rsidR="00C23C05">
        <w:t xml:space="preserve"> completion of </w:t>
      </w:r>
      <w:r w:rsidR="005660D8">
        <w:t>the</w:t>
      </w:r>
      <w:r w:rsidR="00C23C05">
        <w:t xml:space="preserve"> contract. </w:t>
      </w:r>
    </w:p>
    <w:p w14:paraId="209207FC" w14:textId="235EB2F3" w:rsidR="007A71E7" w:rsidRDefault="007D1E5D" w:rsidP="00CD5F7F">
      <w:pPr>
        <w:jc w:val="both"/>
        <w:rPr>
          <w:color w:val="000000" w:themeColor="text1"/>
        </w:rPr>
      </w:pPr>
      <w:r>
        <w:t>The Implementing Entity will provide up-front financing for the stoves and will recuperate their investment through the sale of Certified Emission Reductions (carbon finance mechanism).</w:t>
      </w:r>
      <w:r>
        <w:rPr>
          <w:color w:val="000000" w:themeColor="text1"/>
        </w:rPr>
        <w:t xml:space="preserve"> In parallel, the government of Laos is exploring the feasibility of fostering the development of local pellet production. </w:t>
      </w:r>
      <w:r w:rsidRPr="004E5BB5">
        <w:rPr>
          <w:color w:val="000000" w:themeColor="text1"/>
        </w:rPr>
        <w:t xml:space="preserve">Evidence in the literature suggests that ensuring a well-functioning market for both cookstove fuel such as pellets and for repair services is essential to ensuring that households may continue using the stoves. For example, Thurber et al. (2014) found that only 9% of households who had purchased clean cooking stoves were using them due to </w:t>
      </w:r>
      <w:r>
        <w:rPr>
          <w:color w:val="000000" w:themeColor="text1"/>
        </w:rPr>
        <w:t xml:space="preserve">a </w:t>
      </w:r>
      <w:r w:rsidRPr="004E5BB5">
        <w:rPr>
          <w:color w:val="000000" w:themeColor="text1"/>
        </w:rPr>
        <w:t>lack of fuel supply.</w:t>
      </w:r>
      <w:r w:rsidR="001429F1">
        <w:rPr>
          <w:color w:val="000000" w:themeColor="text1"/>
        </w:rPr>
        <w:t xml:space="preserve"> </w:t>
      </w:r>
      <w:r w:rsidR="007A71E7">
        <w:rPr>
          <w:color w:val="000000" w:themeColor="text1"/>
        </w:rPr>
        <w:t xml:space="preserve">The number of stoves to be distributed will create a large enough market to incentivize further private sector engagement in the domain and enable the private sector entity to reach economies of scale. </w:t>
      </w:r>
      <w:r w:rsidR="007A71E7" w:rsidRPr="004E5BB5">
        <w:rPr>
          <w:color w:val="000000" w:themeColor="text1"/>
        </w:rPr>
        <w:t xml:space="preserve">If proven effective, the program would </w:t>
      </w:r>
      <w:r w:rsidR="00856BB9">
        <w:rPr>
          <w:color w:val="000000" w:themeColor="text1"/>
        </w:rPr>
        <w:t>therefore</w:t>
      </w:r>
      <w:r w:rsidR="007A71E7" w:rsidRPr="004E5BB5">
        <w:rPr>
          <w:color w:val="000000" w:themeColor="text1"/>
        </w:rPr>
        <w:t xml:space="preserve"> be sustainable and scalable. </w:t>
      </w:r>
      <w:r w:rsidR="007A71E7">
        <w:rPr>
          <w:color w:val="000000" w:themeColor="text1"/>
        </w:rPr>
        <w:t xml:space="preserve">Moreover, the lessons learned from the impact evaluation will inform the government about potential tweaks to </w:t>
      </w:r>
      <w:r w:rsidR="00782D6E">
        <w:rPr>
          <w:color w:val="000000" w:themeColor="text1"/>
        </w:rPr>
        <w:t xml:space="preserve">the </w:t>
      </w:r>
      <w:r w:rsidR="007A71E7">
        <w:rPr>
          <w:color w:val="000000" w:themeColor="text1"/>
        </w:rPr>
        <w:t xml:space="preserve">program design that are needed to ensure </w:t>
      </w:r>
      <w:r w:rsidR="00782D6E">
        <w:rPr>
          <w:color w:val="000000" w:themeColor="text1"/>
        </w:rPr>
        <w:t xml:space="preserve">a </w:t>
      </w:r>
      <w:r w:rsidR="007A71E7">
        <w:rPr>
          <w:color w:val="000000" w:themeColor="text1"/>
        </w:rPr>
        <w:t>successful and inclusive scale up of the program.</w:t>
      </w:r>
    </w:p>
    <w:p w14:paraId="54857E4C" w14:textId="77777777" w:rsidR="00291F97" w:rsidRDefault="00291F97" w:rsidP="006F3770">
      <w:pPr>
        <w:pStyle w:val="Heading2"/>
      </w:pPr>
      <w:r>
        <w:t>Description of the sampling process</w:t>
      </w:r>
    </w:p>
    <w:p w14:paraId="5FBDF7BB" w14:textId="6455C065" w:rsidR="00687968" w:rsidRPr="00687968" w:rsidRDefault="00687968" w:rsidP="00687968">
      <w:pPr>
        <w:jc w:val="both"/>
        <w:rPr>
          <w:rFonts w:cstheme="minorHAnsi"/>
        </w:rPr>
      </w:pPr>
      <w:r w:rsidRPr="00687968">
        <w:rPr>
          <w:rFonts w:cstheme="minorHAnsi"/>
        </w:rPr>
        <w:t>The impact evaluation will use a randomized design in a subset of project villages to identify the impacts of the super clean cookstoves on the outcomes of interest (e.g. health, time use, household fuel expenditures, cooking practices, etc.). The original randomized design was planned in 2019 and was expected to be done at two levels: first at the village level and later at the household level. However, it was developed prior to the receipt of the implementing entity’s business plan</w:t>
      </w:r>
      <w:r w:rsidR="00316083">
        <w:rPr>
          <w:rFonts w:cstheme="minorHAnsi"/>
        </w:rPr>
        <w:t>.</w:t>
      </w:r>
      <w:r w:rsidRPr="00687968">
        <w:rPr>
          <w:rFonts w:cstheme="minorHAnsi"/>
        </w:rPr>
        <w:t xml:space="preserve"> </w:t>
      </w:r>
      <w:r w:rsidR="00316083">
        <w:rPr>
          <w:rFonts w:cstheme="minorHAnsi"/>
        </w:rPr>
        <w:t>S</w:t>
      </w:r>
      <w:r w:rsidRPr="00687968">
        <w:rPr>
          <w:rFonts w:cstheme="minorHAnsi"/>
        </w:rPr>
        <w:t>ome activities were completed in parallel to the contracting of the implementing entity in order to ensure that there would be no delays for the project implementation.</w:t>
      </w:r>
    </w:p>
    <w:p w14:paraId="3559442B" w14:textId="42E6200A" w:rsidR="00687968" w:rsidRDefault="00687968" w:rsidP="00687968">
      <w:pPr>
        <w:jc w:val="both"/>
        <w:rPr>
          <w:rFonts w:cstheme="minorHAnsi"/>
        </w:rPr>
      </w:pPr>
      <w:r w:rsidRPr="00687968">
        <w:rPr>
          <w:rFonts w:cstheme="minorHAnsi"/>
        </w:rPr>
        <w:t xml:space="preserve">A village level lucky draw was organized in the presence of ministry, district, and village-level officials to determine areas where the project would be rolled out first and areas where it would be rolled out later. </w:t>
      </w:r>
      <w:r w:rsidRPr="00687968">
        <w:rPr>
          <w:rFonts w:cstheme="minorHAnsi"/>
        </w:rPr>
        <w:lastRenderedPageBreak/>
        <w:t>A household listing, which runs like a market research survey, was also conducted in order to help form the sample frame for the baseline survey by identifying households who are interested in the stoves and assessing their willingness to pay. 3,447 households were interviewed, but they did not commit to purchasing a stove.</w:t>
      </w:r>
      <w:r w:rsidR="00403C50">
        <w:rPr>
          <w:rFonts w:cstheme="minorHAnsi"/>
        </w:rPr>
        <w:t xml:space="preserve"> </w:t>
      </w:r>
      <w:r w:rsidR="00403C50" w:rsidRPr="00403C50">
        <w:rPr>
          <w:rFonts w:cstheme="minorHAnsi"/>
        </w:rPr>
        <w:t>Th</w:t>
      </w:r>
      <w:r w:rsidR="00403C50">
        <w:rPr>
          <w:rFonts w:cstheme="minorHAnsi"/>
        </w:rPr>
        <w:t>is</w:t>
      </w:r>
      <w:r w:rsidR="00403C50" w:rsidRPr="00403C50">
        <w:rPr>
          <w:rFonts w:cstheme="minorHAnsi"/>
        </w:rPr>
        <w:t xml:space="preserve"> household listing </w:t>
      </w:r>
      <w:r w:rsidR="00403C50">
        <w:rPr>
          <w:rFonts w:cstheme="minorHAnsi"/>
        </w:rPr>
        <w:t>took</w:t>
      </w:r>
      <w:r w:rsidR="00403C50" w:rsidRPr="00403C50">
        <w:rPr>
          <w:rFonts w:cstheme="minorHAnsi"/>
        </w:rPr>
        <w:t xml:space="preserve"> place within 11 districts</w:t>
      </w:r>
      <w:r w:rsidR="00926AC1">
        <w:rPr>
          <w:rStyle w:val="FootnoteReference"/>
          <w:rFonts w:cstheme="minorHAnsi"/>
        </w:rPr>
        <w:footnoteReference w:id="2"/>
      </w:r>
      <w:r w:rsidR="00403C50" w:rsidRPr="00403C50">
        <w:rPr>
          <w:rFonts w:cstheme="minorHAnsi"/>
        </w:rPr>
        <w:t xml:space="preserve"> across 3 Lao PDR provinces: Vientiane Capital, Champasak and Savannakhet.</w:t>
      </w:r>
    </w:p>
    <w:p w14:paraId="14E68AAD" w14:textId="0303D086" w:rsidR="00427069" w:rsidRDefault="000A7F6A" w:rsidP="00687968">
      <w:pPr>
        <w:jc w:val="both"/>
        <w:rPr>
          <w:rFonts w:cstheme="minorHAnsi"/>
          <w:iCs/>
        </w:rPr>
      </w:pPr>
      <w:r>
        <w:rPr>
          <w:rFonts w:cstheme="minorHAnsi"/>
        </w:rPr>
        <w:t>The revised impact evaluation design took advantage of these activities that have already been completed while harmonizing the design with the implementing entity’s proposed work plan.</w:t>
      </w:r>
      <w:r w:rsidRPr="000A7F6A">
        <w:rPr>
          <w:rFonts w:cstheme="minorHAnsi"/>
        </w:rPr>
        <w:t xml:space="preserve"> </w:t>
      </w:r>
      <w:r w:rsidR="00FA61E4">
        <w:rPr>
          <w:rFonts w:cstheme="minorHAnsi"/>
        </w:rPr>
        <w:t xml:space="preserve">Since </w:t>
      </w:r>
      <w:r w:rsidR="00FA61E4" w:rsidRPr="00B24582">
        <w:rPr>
          <w:rFonts w:cstheme="minorHAnsi"/>
        </w:rPr>
        <w:t xml:space="preserve">the implementing entity </w:t>
      </w:r>
      <w:r w:rsidR="001205D5">
        <w:rPr>
          <w:rFonts w:cstheme="minorHAnsi"/>
        </w:rPr>
        <w:t>proposed</w:t>
      </w:r>
      <w:r w:rsidR="00FA61E4" w:rsidRPr="00B24582">
        <w:rPr>
          <w:rFonts w:cstheme="minorHAnsi"/>
        </w:rPr>
        <w:t xml:space="preserve"> to deploy a </w:t>
      </w:r>
      <w:r w:rsidR="00FA61E4" w:rsidRPr="00B24582">
        <w:rPr>
          <w:rFonts w:cstheme="minorHAnsi"/>
          <w:iCs/>
        </w:rPr>
        <w:t xml:space="preserve">limited number of stoves </w:t>
      </w:r>
      <w:r w:rsidR="00FA61E4">
        <w:rPr>
          <w:rFonts w:cstheme="minorHAnsi"/>
          <w:iCs/>
        </w:rPr>
        <w:t>only in Vientiane Capital</w:t>
      </w:r>
      <w:r w:rsidR="005267B7">
        <w:rPr>
          <w:rFonts w:cstheme="minorHAnsi"/>
          <w:iCs/>
        </w:rPr>
        <w:t xml:space="preserve"> during the proof of concept stage</w:t>
      </w:r>
      <w:r w:rsidR="00FA61E4" w:rsidRPr="00B24582">
        <w:rPr>
          <w:rFonts w:cstheme="minorHAnsi"/>
          <w:iCs/>
        </w:rPr>
        <w:t>,</w:t>
      </w:r>
      <w:r w:rsidR="00D963D9">
        <w:rPr>
          <w:rFonts w:cstheme="minorHAnsi"/>
          <w:iCs/>
        </w:rPr>
        <w:t xml:space="preserve"> </w:t>
      </w:r>
      <w:r w:rsidR="00B60434" w:rsidRPr="00B24582">
        <w:rPr>
          <w:rFonts w:cstheme="minorHAnsi"/>
          <w:iCs/>
        </w:rPr>
        <w:t>the impact evaluation can be done without relying on the earlier-later village design</w:t>
      </w:r>
      <w:r w:rsidR="00561B52">
        <w:rPr>
          <w:rFonts w:cstheme="minorHAnsi"/>
          <w:iCs/>
        </w:rPr>
        <w:t xml:space="preserve"> and t</w:t>
      </w:r>
      <w:r w:rsidR="00561B52">
        <w:rPr>
          <w:rFonts w:cstheme="minorHAnsi"/>
        </w:rPr>
        <w:t>he</w:t>
      </w:r>
      <w:r w:rsidR="00561B52" w:rsidRPr="0073314B">
        <w:rPr>
          <w:rFonts w:cstheme="minorHAnsi"/>
        </w:rPr>
        <w:t xml:space="preserve"> randomization </w:t>
      </w:r>
      <w:r w:rsidR="00561B52">
        <w:rPr>
          <w:rFonts w:cstheme="minorHAnsi"/>
        </w:rPr>
        <w:t>ca</w:t>
      </w:r>
      <w:r w:rsidR="002E7AAD">
        <w:rPr>
          <w:rFonts w:cstheme="minorHAnsi"/>
        </w:rPr>
        <w:t>n</w:t>
      </w:r>
      <w:r w:rsidR="00561B52">
        <w:rPr>
          <w:rFonts w:cstheme="minorHAnsi"/>
        </w:rPr>
        <w:t xml:space="preserve"> be</w:t>
      </w:r>
      <w:r w:rsidR="00561B52" w:rsidRPr="0073314B">
        <w:rPr>
          <w:rFonts w:cstheme="minorHAnsi"/>
        </w:rPr>
        <w:t xml:space="preserve"> done at the household level</w:t>
      </w:r>
      <w:r w:rsidR="00B60434" w:rsidRPr="00B24582">
        <w:rPr>
          <w:rFonts w:cstheme="minorHAnsi"/>
          <w:iCs/>
        </w:rPr>
        <w:t>.</w:t>
      </w:r>
      <w:r w:rsidR="004070D6">
        <w:rPr>
          <w:rFonts w:cstheme="minorHAnsi"/>
          <w:iCs/>
        </w:rPr>
        <w:t xml:space="preserve"> </w:t>
      </w:r>
    </w:p>
    <w:p w14:paraId="35AECB0E" w14:textId="446359A7" w:rsidR="00020222" w:rsidRPr="001B7188" w:rsidRDefault="0090342F" w:rsidP="00687968">
      <w:pPr>
        <w:jc w:val="both"/>
      </w:pPr>
      <w:r>
        <w:t>The sample was drawn from an existing list of households who resided in Vientiane Capital</w:t>
      </w:r>
      <w:r w:rsidR="00EA713B">
        <w:t xml:space="preserve"> (</w:t>
      </w:r>
      <w:r w:rsidR="00EA713B" w:rsidRPr="00AC5B37">
        <w:rPr>
          <w:rFonts w:cstheme="minorHAnsi"/>
        </w:rPr>
        <w:t xml:space="preserve">narrowed to </w:t>
      </w:r>
      <w:r w:rsidR="00EA713B">
        <w:t xml:space="preserve">7 districts </w:t>
      </w:r>
      <w:r w:rsidR="00184C1B">
        <w:t>from 11 districts</w:t>
      </w:r>
      <w:r w:rsidR="00EA713B">
        <w:t>)</w:t>
      </w:r>
      <w:r>
        <w:t>, were willing to share their contact information with the implementing entity</w:t>
      </w:r>
      <w:r w:rsidR="00D83056">
        <w:t>,</w:t>
      </w:r>
      <w:r>
        <w:t xml:space="preserve"> and who noted interest in the stove during the market research survey, and from a list of households obtained through a random walk within the project villages. </w:t>
      </w:r>
      <w:r w:rsidR="00343243">
        <w:t xml:space="preserve">The existing list of households </w:t>
      </w:r>
      <w:r w:rsidR="00595AC7">
        <w:t>was</w:t>
      </w:r>
      <w:r w:rsidR="00A51810">
        <w:t xml:space="preserve"> contacted by </w:t>
      </w:r>
      <w:r w:rsidR="00753D90">
        <w:t>tele</w:t>
      </w:r>
      <w:r w:rsidR="00A51810">
        <w:t xml:space="preserve">phone </w:t>
      </w:r>
      <w:r w:rsidR="00753D90">
        <w:t xml:space="preserve">given the </w:t>
      </w:r>
      <w:r w:rsidR="00B34F0F">
        <w:t>COVID-19 pandemic</w:t>
      </w:r>
      <w:r w:rsidR="00753D90">
        <w:t xml:space="preserve"> in Vientiane</w:t>
      </w:r>
      <w:r w:rsidR="00753D90" w:rsidRPr="00C47F7F">
        <w:t xml:space="preserve"> </w:t>
      </w:r>
      <w:r w:rsidR="003B743E">
        <w:t>at</w:t>
      </w:r>
      <w:r w:rsidR="00753D90">
        <w:t xml:space="preserve"> the </w:t>
      </w:r>
      <w:r w:rsidR="00AA6173">
        <w:t xml:space="preserve">beginning of </w:t>
      </w:r>
      <w:r w:rsidR="00123BB1">
        <w:t>202</w:t>
      </w:r>
      <w:r w:rsidR="00B34F0F">
        <w:t xml:space="preserve">2. </w:t>
      </w:r>
      <w:r w:rsidR="00EE7572">
        <w:t xml:space="preserve">However, given </w:t>
      </w:r>
      <w:r w:rsidR="003030F7">
        <w:t>the low response rate</w:t>
      </w:r>
      <w:r w:rsidR="00097145">
        <w:t xml:space="preserve"> on the phone survey</w:t>
      </w:r>
      <w:r w:rsidR="003030F7">
        <w:t xml:space="preserve"> and </w:t>
      </w:r>
      <w:r w:rsidR="00B756D1">
        <w:t>the</w:t>
      </w:r>
      <w:r w:rsidR="006A0E4A">
        <w:t xml:space="preserve"> fact that the</w:t>
      </w:r>
      <w:r w:rsidR="00B756D1">
        <w:t xml:space="preserve"> health </w:t>
      </w:r>
      <w:r w:rsidR="00B34F0F">
        <w:t>situation</w:t>
      </w:r>
      <w:r w:rsidR="003030F7">
        <w:t xml:space="preserve"> in Vientiane</w:t>
      </w:r>
      <w:r w:rsidR="003C2603">
        <w:t xml:space="preserve"> </w:t>
      </w:r>
      <w:r w:rsidR="006A0E4A">
        <w:t>had</w:t>
      </w:r>
      <w:r w:rsidR="00097145">
        <w:t xml:space="preserve"> </w:t>
      </w:r>
      <w:r w:rsidR="002D7C7A">
        <w:t xml:space="preserve">significantly </w:t>
      </w:r>
      <w:r w:rsidR="00097145">
        <w:t>improved</w:t>
      </w:r>
      <w:r w:rsidR="00D22AC2">
        <w:t xml:space="preserve"> </w:t>
      </w:r>
      <w:r w:rsidR="003B743E">
        <w:t>by</w:t>
      </w:r>
      <w:r w:rsidR="00D22AC2">
        <w:t xml:space="preserve"> March 2022</w:t>
      </w:r>
      <w:r w:rsidR="003C2603">
        <w:t>,</w:t>
      </w:r>
      <w:r w:rsidR="00B34F0F">
        <w:t xml:space="preserve"> </w:t>
      </w:r>
      <w:r w:rsidR="00015467">
        <w:t>t</w:t>
      </w:r>
      <w:r w:rsidR="00DB1342">
        <w:t xml:space="preserve">he </w:t>
      </w:r>
      <w:r>
        <w:t>random walk method was later added to ensure that at least 1,000 households could be reached. Households that cook with charcoal and who use at least 20 kilograms of charcoal per month for cooking were included in the sample.</w:t>
      </w:r>
      <w:r w:rsidR="00581771">
        <w:rPr>
          <w:rStyle w:val="FootnoteReference"/>
        </w:rPr>
        <w:footnoteReference w:id="3"/>
      </w:r>
      <w:r>
        <w:t xml:space="preserve"> After the completion of the baseline survey and the removal of unqualified households, a household lucky draw will be performed to divide the sample into 4 groups: 1) 311 treatment households; 2) 311 control households; 3) 163 reserve treatment households; and 4) 163 reserve control households. </w:t>
      </w:r>
      <w:r w:rsidR="00923E2A">
        <w:t xml:space="preserve">Since </w:t>
      </w:r>
      <w:r w:rsidR="00AB7BA0">
        <w:t xml:space="preserve">the implementing entity </w:t>
      </w:r>
      <w:r w:rsidR="008B3EF9">
        <w:t>intended</w:t>
      </w:r>
      <w:r w:rsidR="00AB7BA0">
        <w:t xml:space="preserve"> to </w:t>
      </w:r>
      <w:r w:rsidR="007B25A9">
        <w:t xml:space="preserve">distribute only 300 stoves </w:t>
      </w:r>
      <w:r w:rsidR="006D4DB0">
        <w:t xml:space="preserve">during the </w:t>
      </w:r>
      <w:r w:rsidR="006D4DB0">
        <w:rPr>
          <w:rFonts w:cstheme="minorHAnsi"/>
          <w:iCs/>
        </w:rPr>
        <w:t xml:space="preserve">proof of concept phase, </w:t>
      </w:r>
      <w:r w:rsidR="002F2CDE">
        <w:rPr>
          <w:rFonts w:cstheme="minorHAnsi"/>
          <w:iCs/>
        </w:rPr>
        <w:t>there was a need to</w:t>
      </w:r>
      <w:r w:rsidR="00173E72">
        <w:rPr>
          <w:rFonts w:cstheme="minorHAnsi"/>
          <w:iCs/>
        </w:rPr>
        <w:t xml:space="preserve"> divid</w:t>
      </w:r>
      <w:r w:rsidR="002F2CDE">
        <w:rPr>
          <w:rFonts w:cstheme="minorHAnsi"/>
          <w:iCs/>
        </w:rPr>
        <w:t>e</w:t>
      </w:r>
      <w:r w:rsidR="00173E72">
        <w:rPr>
          <w:rFonts w:cstheme="minorHAnsi"/>
          <w:iCs/>
        </w:rPr>
        <w:t xml:space="preserve"> </w:t>
      </w:r>
      <w:r w:rsidR="00A678B1">
        <w:rPr>
          <w:rFonts w:cstheme="minorHAnsi"/>
          <w:iCs/>
        </w:rPr>
        <w:t>the sample into initial and reserve groups</w:t>
      </w:r>
      <w:r w:rsidR="002F2CDE">
        <w:rPr>
          <w:rFonts w:cstheme="minorHAnsi"/>
          <w:iCs/>
        </w:rPr>
        <w:t xml:space="preserve"> where</w:t>
      </w:r>
      <w:r w:rsidR="00020222">
        <w:rPr>
          <w:rFonts w:cstheme="minorHAnsi"/>
          <w:iCs/>
        </w:rPr>
        <w:t xml:space="preserve"> the implementing entity </w:t>
      </w:r>
      <w:r w:rsidR="00F40908">
        <w:rPr>
          <w:rFonts w:cstheme="minorHAnsi"/>
          <w:iCs/>
        </w:rPr>
        <w:t>will approach the initial list of households before the reserve list of households.</w:t>
      </w:r>
      <w:r w:rsidR="008E1E15">
        <w:rPr>
          <w:rFonts w:cstheme="minorHAnsi"/>
          <w:iCs/>
        </w:rPr>
        <w:t xml:space="preserve"> The </w:t>
      </w:r>
      <w:r w:rsidR="008E1E15">
        <w:t>replacement</w:t>
      </w:r>
      <w:r w:rsidR="008E1E15" w:rsidRPr="008E1E15">
        <w:t xml:space="preserve"> </w:t>
      </w:r>
      <w:r w:rsidR="008E1E15">
        <w:t>households from the waitlist</w:t>
      </w:r>
      <w:r w:rsidR="008275BD">
        <w:t xml:space="preserve"> will be provided when some households </w:t>
      </w:r>
      <w:r w:rsidR="001527FF">
        <w:t>on</w:t>
      </w:r>
      <w:r w:rsidR="00E048F9">
        <w:t xml:space="preserve"> the initial list </w:t>
      </w:r>
      <w:r w:rsidR="008275BD">
        <w:t>refuse to sign up for the stove.</w:t>
      </w:r>
      <w:r w:rsidR="007C7C8D">
        <w:t xml:space="preserve"> </w:t>
      </w:r>
      <w:r w:rsidR="001E22A5">
        <w:t xml:space="preserve">The </w:t>
      </w:r>
      <w:r w:rsidR="00216ABB">
        <w:t>first list of the</w:t>
      </w:r>
      <w:r w:rsidR="00A43A2B">
        <w:t xml:space="preserve"> treatment </w:t>
      </w:r>
      <w:r w:rsidR="0008675B">
        <w:t xml:space="preserve">households </w:t>
      </w:r>
      <w:r w:rsidR="00F80091">
        <w:t xml:space="preserve">was </w:t>
      </w:r>
      <w:r w:rsidR="00E70B9B">
        <w:t>immediately shared</w:t>
      </w:r>
      <w:r w:rsidR="00F80091">
        <w:t xml:space="preserve"> </w:t>
      </w:r>
      <w:r w:rsidR="00E70B9B">
        <w:t xml:space="preserve">with the implementing entity once </w:t>
      </w:r>
      <w:r w:rsidR="00216ABB">
        <w:t xml:space="preserve">we reached </w:t>
      </w:r>
      <w:r w:rsidR="00A347A6">
        <w:t xml:space="preserve">the 300 targeted households. </w:t>
      </w:r>
      <w:r w:rsidR="008A4D41">
        <w:t xml:space="preserve">Nonetheless, </w:t>
      </w:r>
      <w:r w:rsidR="00AE6C1F">
        <w:t xml:space="preserve">because the implementing entity </w:t>
      </w:r>
      <w:r w:rsidR="005F407A">
        <w:t xml:space="preserve">planned to deploy the marketing events only </w:t>
      </w:r>
      <w:r w:rsidR="00AE6C1F">
        <w:t>2 days per district</w:t>
      </w:r>
      <w:r w:rsidR="005F407A">
        <w:t>,</w:t>
      </w:r>
      <w:r w:rsidR="00AE6C1F">
        <w:t xml:space="preserve"> </w:t>
      </w:r>
      <w:r w:rsidR="00310939">
        <w:t xml:space="preserve">we </w:t>
      </w:r>
      <w:r w:rsidR="00FD0622">
        <w:t>eventually</w:t>
      </w:r>
      <w:r w:rsidR="00310939">
        <w:t xml:space="preserve"> </w:t>
      </w:r>
      <w:r w:rsidR="00CA2D68">
        <w:t>provid</w:t>
      </w:r>
      <w:r w:rsidR="00FD0622">
        <w:t>ed</w:t>
      </w:r>
      <w:r w:rsidR="00CA2D68">
        <w:t xml:space="preserve"> the full list of households</w:t>
      </w:r>
      <w:r w:rsidR="005F407A">
        <w:t xml:space="preserve"> (</w:t>
      </w:r>
      <w:r w:rsidR="000A714A">
        <w:t xml:space="preserve">311 </w:t>
      </w:r>
      <w:r w:rsidR="005F407A">
        <w:t>treat</w:t>
      </w:r>
      <w:r w:rsidR="000A714A">
        <w:t>ment and 163 reserve treatment</w:t>
      </w:r>
      <w:r w:rsidR="00CA2D68">
        <w:t xml:space="preserve"> </w:t>
      </w:r>
      <w:r w:rsidR="000A714A">
        <w:t xml:space="preserve">households) </w:t>
      </w:r>
      <w:r w:rsidR="00484764">
        <w:t xml:space="preserve">to the implementing entity </w:t>
      </w:r>
      <w:r w:rsidR="00CA2D68">
        <w:t>in advance to facilitate the process</w:t>
      </w:r>
      <w:r w:rsidR="002E5F64">
        <w:t xml:space="preserve"> of stove distribution </w:t>
      </w:r>
      <w:r w:rsidR="00481C1C">
        <w:t xml:space="preserve">and increase a likelihood of stove adoption at the marketing events. </w:t>
      </w:r>
      <w:r w:rsidR="00DF2E4E">
        <w:t xml:space="preserve">Even though, we shared the full list of </w:t>
      </w:r>
      <w:r w:rsidR="00C51D16">
        <w:t>treatment households, w</w:t>
      </w:r>
      <w:r w:rsidR="00871438">
        <w:t xml:space="preserve">e </w:t>
      </w:r>
      <w:r w:rsidR="00932E4E">
        <w:t xml:space="preserve">explicitly informed the implementing entity to </w:t>
      </w:r>
      <w:r w:rsidR="002E7115">
        <w:t>ex</w:t>
      </w:r>
      <w:r w:rsidR="00085324">
        <w:t>haust</w:t>
      </w:r>
      <w:r w:rsidR="00B42C87">
        <w:t xml:space="preserve"> </w:t>
      </w:r>
      <w:r w:rsidR="00E6159D">
        <w:t>the</w:t>
      </w:r>
      <w:r w:rsidR="007D5AF1">
        <w:t xml:space="preserve"> </w:t>
      </w:r>
      <w:r w:rsidR="00DF2E4E">
        <w:t>initial list of households</w:t>
      </w:r>
      <w:r w:rsidR="002E7115">
        <w:t xml:space="preserve"> </w:t>
      </w:r>
      <w:r w:rsidR="00B42C87">
        <w:t xml:space="preserve">before </w:t>
      </w:r>
      <w:r w:rsidR="007D5AF1">
        <w:t>contacting the h</w:t>
      </w:r>
      <w:r w:rsidR="00C51D16">
        <w:t xml:space="preserve">ouseholds </w:t>
      </w:r>
      <w:r w:rsidR="00D72641">
        <w:t>on</w:t>
      </w:r>
      <w:r w:rsidR="00C51D16">
        <w:t xml:space="preserve"> the reserve list. </w:t>
      </w:r>
    </w:p>
    <w:p w14:paraId="19545C9D" w14:textId="2080A575" w:rsidR="0090342F" w:rsidRPr="001205D5" w:rsidRDefault="0090342F" w:rsidP="00687968">
      <w:pPr>
        <w:jc w:val="both"/>
        <w:rPr>
          <w:rFonts w:cstheme="minorHAnsi"/>
        </w:rPr>
      </w:pPr>
      <w:r>
        <w:t>To ensure equal representation of target groups, we stratified the sample into strata based on location and median charcoal consumption in their respective districts.</w:t>
      </w:r>
    </w:p>
    <w:p w14:paraId="0B59C0EE" w14:textId="21E55042" w:rsidR="000640DA" w:rsidRDefault="000640DA" w:rsidP="000640DA">
      <w:pPr>
        <w:pStyle w:val="Heading2"/>
      </w:pPr>
      <w:r>
        <w:t>Take-up rate</w:t>
      </w:r>
    </w:p>
    <w:p w14:paraId="27186718" w14:textId="175DF0BD" w:rsidR="009E77D5" w:rsidRDefault="000B4369" w:rsidP="000640DA">
      <w:pPr>
        <w:jc w:val="both"/>
      </w:pPr>
      <w:r w:rsidRPr="000B4369">
        <w:t>Overall, the interventions had an average take-up rate. 6</w:t>
      </w:r>
      <w:r w:rsidR="00FE00D4">
        <w:t>3</w:t>
      </w:r>
      <w:r w:rsidRPr="000B4369">
        <w:t>.</w:t>
      </w:r>
      <w:r w:rsidR="00FE00D4">
        <w:t>29</w:t>
      </w:r>
      <w:r w:rsidRPr="000B4369">
        <w:t xml:space="preserve">% of individuals assigned to the treatment group took up the stove. The IE provided a list of 474 treatment households to the implementing entity </w:t>
      </w:r>
      <w:r w:rsidRPr="000B4369">
        <w:lastRenderedPageBreak/>
        <w:t xml:space="preserve">for the stove distribution to the treatment households, while we reserved another list of 474 control households for comparison purposes. The implementation entity was able to distribute </w:t>
      </w:r>
      <w:r w:rsidR="002C4F1A">
        <w:t>all</w:t>
      </w:r>
      <w:r w:rsidRPr="000B4369">
        <w:t xml:space="preserve"> 300 available stoves for the PoC stove to the given list of the treatment households.</w:t>
      </w:r>
    </w:p>
    <w:tbl>
      <w:tblPr>
        <w:tblW w:w="9350" w:type="dxa"/>
        <w:tblCellMar>
          <w:left w:w="0" w:type="dxa"/>
          <w:right w:w="0" w:type="dxa"/>
        </w:tblCellMar>
        <w:tblLook w:val="0000" w:firstRow="0" w:lastRow="0" w:firstColumn="0" w:lastColumn="0" w:noHBand="0" w:noVBand="0"/>
      </w:tblPr>
      <w:tblGrid>
        <w:gridCol w:w="2357"/>
        <w:gridCol w:w="1910"/>
        <w:gridCol w:w="1758"/>
        <w:gridCol w:w="1620"/>
        <w:gridCol w:w="1705"/>
      </w:tblGrid>
      <w:tr w:rsidR="003F4E67" w:rsidRPr="00222F44" w14:paraId="282DA2AF" w14:textId="64B04BB8" w:rsidTr="001B7188">
        <w:trPr>
          <w:trHeight w:val="697"/>
        </w:trPr>
        <w:tc>
          <w:tcPr>
            <w:tcW w:w="2357"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0BAA02BF" w14:textId="781EB4FD" w:rsidR="003F4E67" w:rsidRPr="00222F44" w:rsidRDefault="003F4E67" w:rsidP="00D23597">
            <w:r>
              <w:rPr>
                <w:b/>
                <w:bCs/>
              </w:rPr>
              <w:t>Randomized group</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14381ED9" w14:textId="7C613132" w:rsidR="003F4E67" w:rsidRPr="00C13021" w:rsidRDefault="003F4E67" w:rsidP="00D23597">
            <w:pPr>
              <w:jc w:val="center"/>
              <w:rPr>
                <w:b/>
                <w:bCs/>
              </w:rPr>
            </w:pPr>
            <w:r w:rsidRPr="00C13021">
              <w:rPr>
                <w:b/>
                <w:bCs/>
              </w:rPr>
              <w:t>List assigned</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48042CEB" w14:textId="1C5790A2" w:rsidR="003F4E67" w:rsidRPr="00C13021" w:rsidRDefault="003F4E67" w:rsidP="00D23597">
            <w:pPr>
              <w:jc w:val="center"/>
              <w:rPr>
                <w:b/>
                <w:bCs/>
              </w:rPr>
            </w:pPr>
            <w:r w:rsidRPr="00C13021">
              <w:rPr>
                <w:b/>
                <w:bCs/>
              </w:rPr>
              <w:t>Take-up</w:t>
            </w:r>
            <w:r>
              <w:rPr>
                <w:b/>
                <w:bCs/>
              </w:rPr>
              <w:t xml:space="preserve"> during the PoC stage</w:t>
            </w:r>
          </w:p>
        </w:tc>
        <w:tc>
          <w:tcPr>
            <w:tcW w:w="1620" w:type="dxa"/>
            <w:tcBorders>
              <w:top w:val="single" w:sz="4" w:space="0" w:color="000000"/>
              <w:left w:val="single" w:sz="4" w:space="0" w:color="000000"/>
              <w:bottom w:val="single" w:sz="4" w:space="0" w:color="000000"/>
              <w:right w:val="single" w:sz="4" w:space="0" w:color="000000"/>
            </w:tcBorders>
          </w:tcPr>
          <w:p w14:paraId="146D3893" w14:textId="790E2DD8" w:rsidR="003F4E67" w:rsidRPr="00C13021" w:rsidRDefault="00EF3E98" w:rsidP="00D23597">
            <w:pPr>
              <w:jc w:val="center"/>
              <w:rPr>
                <w:b/>
                <w:bCs/>
              </w:rPr>
            </w:pPr>
            <w:r>
              <w:rPr>
                <w:b/>
                <w:bCs/>
              </w:rPr>
              <w:t>Initial list of households</w:t>
            </w:r>
          </w:p>
        </w:tc>
        <w:tc>
          <w:tcPr>
            <w:tcW w:w="1705" w:type="dxa"/>
            <w:tcBorders>
              <w:top w:val="single" w:sz="4" w:space="0" w:color="000000"/>
              <w:left w:val="single" w:sz="4" w:space="0" w:color="000000"/>
              <w:bottom w:val="single" w:sz="4" w:space="0" w:color="000000"/>
              <w:right w:val="single" w:sz="4" w:space="0" w:color="000000"/>
            </w:tcBorders>
          </w:tcPr>
          <w:p w14:paraId="5A55BAF8" w14:textId="52CEB3DC" w:rsidR="003F4E67" w:rsidRPr="00C13021" w:rsidRDefault="00EF3E98" w:rsidP="00D23597">
            <w:pPr>
              <w:jc w:val="center"/>
              <w:rPr>
                <w:b/>
                <w:bCs/>
              </w:rPr>
            </w:pPr>
            <w:r>
              <w:rPr>
                <w:b/>
                <w:bCs/>
              </w:rPr>
              <w:t>Reserve list of households</w:t>
            </w:r>
          </w:p>
        </w:tc>
      </w:tr>
      <w:tr w:rsidR="003F4E67" w:rsidRPr="00222F44" w14:paraId="3D7E25A8" w14:textId="5E073762" w:rsidTr="001B7188">
        <w:trPr>
          <w:trHeight w:val="232"/>
        </w:trPr>
        <w:tc>
          <w:tcPr>
            <w:tcW w:w="2357"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bottom"/>
          </w:tcPr>
          <w:p w14:paraId="79C6E325" w14:textId="01249C52" w:rsidR="003F4E67" w:rsidRPr="00222F44" w:rsidRDefault="003F4E67" w:rsidP="00D23597">
            <w:r>
              <w:rPr>
                <w:b/>
                <w:bCs/>
              </w:rPr>
              <w:t>Treatment households</w:t>
            </w:r>
          </w:p>
        </w:tc>
        <w:tc>
          <w:tcPr>
            <w:tcW w:w="1910"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center"/>
          </w:tcPr>
          <w:p w14:paraId="5E04FEE5" w14:textId="27C329C5" w:rsidR="003F4E67" w:rsidRPr="00222F44" w:rsidRDefault="003F4E67" w:rsidP="00D23597">
            <w:pPr>
              <w:jc w:val="center"/>
            </w:pPr>
            <w:r>
              <w:t>474</w:t>
            </w:r>
          </w:p>
        </w:tc>
        <w:tc>
          <w:tcPr>
            <w:tcW w:w="1758"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center"/>
          </w:tcPr>
          <w:p w14:paraId="00B38C29" w14:textId="09E92F2C" w:rsidR="003F4E67" w:rsidRPr="00222F44" w:rsidRDefault="003F4E67" w:rsidP="00D23597">
            <w:pPr>
              <w:jc w:val="center"/>
            </w:pPr>
            <w:r>
              <w:t>300</w:t>
            </w:r>
          </w:p>
        </w:tc>
        <w:tc>
          <w:tcPr>
            <w:tcW w:w="1620" w:type="dxa"/>
            <w:tcBorders>
              <w:top w:val="single" w:sz="4" w:space="0" w:color="000000"/>
              <w:left w:val="single" w:sz="4" w:space="0" w:color="000000"/>
              <w:bottom w:val="nil"/>
              <w:right w:val="single" w:sz="4" w:space="0" w:color="000000"/>
            </w:tcBorders>
          </w:tcPr>
          <w:p w14:paraId="29D0E073" w14:textId="29392358" w:rsidR="003F4E67" w:rsidDel="002C4F1A" w:rsidRDefault="0080373A" w:rsidP="00D23597">
            <w:pPr>
              <w:jc w:val="center"/>
            </w:pPr>
            <w:r>
              <w:t>228</w:t>
            </w:r>
          </w:p>
        </w:tc>
        <w:tc>
          <w:tcPr>
            <w:tcW w:w="1705" w:type="dxa"/>
            <w:tcBorders>
              <w:top w:val="single" w:sz="4" w:space="0" w:color="000000"/>
              <w:left w:val="single" w:sz="4" w:space="0" w:color="000000"/>
              <w:bottom w:val="nil"/>
              <w:right w:val="single" w:sz="4" w:space="0" w:color="000000"/>
            </w:tcBorders>
          </w:tcPr>
          <w:p w14:paraId="55E480D8" w14:textId="295246F9" w:rsidR="003F4E67" w:rsidDel="002C4F1A" w:rsidRDefault="0080373A" w:rsidP="00D23597">
            <w:pPr>
              <w:jc w:val="center"/>
            </w:pPr>
            <w:r>
              <w:t>72</w:t>
            </w:r>
          </w:p>
        </w:tc>
      </w:tr>
      <w:tr w:rsidR="003F4E67" w:rsidRPr="00222F44" w14:paraId="4D8286B7" w14:textId="61F01013" w:rsidTr="001B7188">
        <w:trPr>
          <w:trHeight w:val="232"/>
        </w:trPr>
        <w:tc>
          <w:tcPr>
            <w:tcW w:w="2357"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14:paraId="2B777EFD" w14:textId="77777777" w:rsidR="003F4E67" w:rsidRPr="00222F44" w:rsidRDefault="003F4E67" w:rsidP="00D23597">
            <w:r w:rsidRPr="00222F44">
              <w:t>%</w:t>
            </w:r>
          </w:p>
        </w:tc>
        <w:tc>
          <w:tcPr>
            <w:tcW w:w="191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224F8B66" w14:textId="433D3373" w:rsidR="003F4E67" w:rsidRPr="00222F44" w:rsidRDefault="003F4E67" w:rsidP="00D23597">
            <w:pPr>
              <w:jc w:val="center"/>
            </w:pPr>
            <w:r>
              <w:t>100</w:t>
            </w:r>
            <w:r w:rsidRPr="00222F44">
              <w:t>%</w:t>
            </w:r>
          </w:p>
        </w:tc>
        <w:tc>
          <w:tcPr>
            <w:tcW w:w="1758"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60A39993" w14:textId="51C35A6A" w:rsidR="003F4E67" w:rsidRPr="00222F44" w:rsidRDefault="003F4E67" w:rsidP="00D23597">
            <w:pPr>
              <w:jc w:val="center"/>
            </w:pPr>
            <w:r>
              <w:t>63.29</w:t>
            </w:r>
            <w:r w:rsidRPr="00222F44">
              <w:t>%</w:t>
            </w:r>
          </w:p>
        </w:tc>
        <w:tc>
          <w:tcPr>
            <w:tcW w:w="1620" w:type="dxa"/>
            <w:tcBorders>
              <w:top w:val="nil"/>
              <w:left w:val="single" w:sz="4" w:space="0" w:color="000000"/>
              <w:bottom w:val="single" w:sz="4" w:space="0" w:color="000000"/>
              <w:right w:val="single" w:sz="4" w:space="0" w:color="000000"/>
            </w:tcBorders>
          </w:tcPr>
          <w:p w14:paraId="0BC1352F" w14:textId="08ABBDCB" w:rsidR="003F4E67" w:rsidRPr="00BE64EE" w:rsidDel="00FE00D4" w:rsidRDefault="0091713F" w:rsidP="00D23597">
            <w:pPr>
              <w:jc w:val="center"/>
            </w:pPr>
            <w:r>
              <w:t>73.31%</w:t>
            </w:r>
          </w:p>
        </w:tc>
        <w:tc>
          <w:tcPr>
            <w:tcW w:w="1705" w:type="dxa"/>
            <w:tcBorders>
              <w:top w:val="nil"/>
              <w:left w:val="single" w:sz="4" w:space="0" w:color="000000"/>
              <w:bottom w:val="single" w:sz="4" w:space="0" w:color="000000"/>
              <w:right w:val="single" w:sz="4" w:space="0" w:color="000000"/>
            </w:tcBorders>
          </w:tcPr>
          <w:p w14:paraId="51A5843D" w14:textId="3AD40198" w:rsidR="003F4E67" w:rsidRPr="00BE64EE" w:rsidDel="00FE00D4" w:rsidRDefault="005D2225" w:rsidP="00D23597">
            <w:pPr>
              <w:jc w:val="center"/>
            </w:pPr>
            <w:r>
              <w:t>44.17%</w:t>
            </w:r>
          </w:p>
        </w:tc>
      </w:tr>
      <w:tr w:rsidR="005D2225" w:rsidRPr="00222F44" w14:paraId="15FD73F1" w14:textId="291D7D5E" w:rsidTr="001B7188">
        <w:trPr>
          <w:trHeight w:val="232"/>
        </w:trPr>
        <w:tc>
          <w:tcPr>
            <w:tcW w:w="2357"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bottom"/>
          </w:tcPr>
          <w:p w14:paraId="2376FB84" w14:textId="1F4A4404" w:rsidR="005D2225" w:rsidRPr="00222F44" w:rsidRDefault="005D2225" w:rsidP="005D2225">
            <w:r>
              <w:rPr>
                <w:b/>
                <w:bCs/>
              </w:rPr>
              <w:t>Control households</w:t>
            </w:r>
          </w:p>
        </w:tc>
        <w:tc>
          <w:tcPr>
            <w:tcW w:w="1910"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center"/>
          </w:tcPr>
          <w:p w14:paraId="269BB30C" w14:textId="2653AF55" w:rsidR="005D2225" w:rsidRPr="00222F44" w:rsidRDefault="005D2225" w:rsidP="005D2225">
            <w:pPr>
              <w:jc w:val="center"/>
            </w:pPr>
            <w:r>
              <w:t>474</w:t>
            </w:r>
          </w:p>
        </w:tc>
        <w:tc>
          <w:tcPr>
            <w:tcW w:w="1758"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center"/>
          </w:tcPr>
          <w:p w14:paraId="3E30A0C3" w14:textId="5293FD51" w:rsidR="005D2225" w:rsidRPr="00222F44" w:rsidRDefault="005D2225" w:rsidP="005D2225">
            <w:pPr>
              <w:jc w:val="center"/>
            </w:pPr>
            <w:r>
              <w:t>0</w:t>
            </w:r>
          </w:p>
        </w:tc>
        <w:tc>
          <w:tcPr>
            <w:tcW w:w="1620" w:type="dxa"/>
            <w:tcBorders>
              <w:top w:val="single" w:sz="4" w:space="0" w:color="000000"/>
              <w:left w:val="single" w:sz="4" w:space="0" w:color="000000"/>
              <w:bottom w:val="nil"/>
              <w:right w:val="single" w:sz="4" w:space="0" w:color="000000"/>
            </w:tcBorders>
            <w:vAlign w:val="center"/>
          </w:tcPr>
          <w:p w14:paraId="365B0697" w14:textId="0FFEC10D" w:rsidR="005D2225" w:rsidRDefault="005D2225" w:rsidP="005D2225">
            <w:pPr>
              <w:jc w:val="center"/>
            </w:pPr>
            <w:r>
              <w:t>0</w:t>
            </w:r>
          </w:p>
        </w:tc>
        <w:tc>
          <w:tcPr>
            <w:tcW w:w="1705" w:type="dxa"/>
            <w:tcBorders>
              <w:top w:val="single" w:sz="4" w:space="0" w:color="000000"/>
              <w:left w:val="single" w:sz="4" w:space="0" w:color="000000"/>
              <w:bottom w:val="nil"/>
              <w:right w:val="single" w:sz="4" w:space="0" w:color="000000"/>
            </w:tcBorders>
            <w:vAlign w:val="center"/>
          </w:tcPr>
          <w:p w14:paraId="6B5F5132" w14:textId="34C0499E" w:rsidR="005D2225" w:rsidRDefault="005D2225" w:rsidP="005D2225">
            <w:pPr>
              <w:jc w:val="center"/>
            </w:pPr>
            <w:r>
              <w:t>0</w:t>
            </w:r>
          </w:p>
        </w:tc>
      </w:tr>
      <w:tr w:rsidR="005D2225" w:rsidRPr="00222F44" w14:paraId="64A397A8" w14:textId="694FF99B" w:rsidTr="001B7188">
        <w:trPr>
          <w:trHeight w:val="232"/>
        </w:trPr>
        <w:tc>
          <w:tcPr>
            <w:tcW w:w="2357"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14:paraId="37559315" w14:textId="77777777" w:rsidR="005D2225" w:rsidRPr="00222F44" w:rsidRDefault="005D2225" w:rsidP="005D2225">
            <w:r w:rsidRPr="00222F44">
              <w:t>%</w:t>
            </w:r>
          </w:p>
        </w:tc>
        <w:tc>
          <w:tcPr>
            <w:tcW w:w="191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68F85EC0" w14:textId="70730A4F" w:rsidR="005D2225" w:rsidRPr="00222F44" w:rsidRDefault="005D2225" w:rsidP="005D2225">
            <w:pPr>
              <w:jc w:val="center"/>
            </w:pPr>
            <w:r>
              <w:t>100</w:t>
            </w:r>
            <w:r w:rsidRPr="00222F44">
              <w:t>%</w:t>
            </w:r>
          </w:p>
        </w:tc>
        <w:tc>
          <w:tcPr>
            <w:tcW w:w="1758"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1B57C897" w14:textId="07038A3A" w:rsidR="005D2225" w:rsidRPr="00222F44" w:rsidRDefault="005D2225" w:rsidP="005D2225">
            <w:pPr>
              <w:jc w:val="center"/>
            </w:pPr>
            <w:r>
              <w:t>0</w:t>
            </w:r>
            <w:r w:rsidRPr="00222F44">
              <w:t>%</w:t>
            </w:r>
          </w:p>
        </w:tc>
        <w:tc>
          <w:tcPr>
            <w:tcW w:w="1620" w:type="dxa"/>
            <w:tcBorders>
              <w:top w:val="nil"/>
              <w:left w:val="single" w:sz="4" w:space="0" w:color="000000"/>
              <w:bottom w:val="single" w:sz="4" w:space="0" w:color="000000"/>
              <w:right w:val="single" w:sz="4" w:space="0" w:color="000000"/>
            </w:tcBorders>
            <w:vAlign w:val="center"/>
          </w:tcPr>
          <w:p w14:paraId="28017D20" w14:textId="3B40C73F" w:rsidR="005D2225" w:rsidRDefault="005D2225" w:rsidP="005D2225">
            <w:pPr>
              <w:jc w:val="center"/>
            </w:pPr>
            <w:r>
              <w:t>0</w:t>
            </w:r>
            <w:r w:rsidRPr="00222F44">
              <w:t>%</w:t>
            </w:r>
          </w:p>
        </w:tc>
        <w:tc>
          <w:tcPr>
            <w:tcW w:w="1705" w:type="dxa"/>
            <w:tcBorders>
              <w:top w:val="nil"/>
              <w:left w:val="single" w:sz="4" w:space="0" w:color="000000"/>
              <w:bottom w:val="single" w:sz="4" w:space="0" w:color="000000"/>
              <w:right w:val="single" w:sz="4" w:space="0" w:color="000000"/>
            </w:tcBorders>
            <w:vAlign w:val="center"/>
          </w:tcPr>
          <w:p w14:paraId="3C278DF2" w14:textId="4FD514DB" w:rsidR="005D2225" w:rsidRDefault="005D2225" w:rsidP="005D2225">
            <w:pPr>
              <w:jc w:val="center"/>
            </w:pPr>
            <w:r>
              <w:t>0</w:t>
            </w:r>
            <w:r w:rsidRPr="00222F44">
              <w:t>%</w:t>
            </w:r>
          </w:p>
        </w:tc>
      </w:tr>
    </w:tbl>
    <w:p w14:paraId="6ED8B9B8" w14:textId="77777777" w:rsidR="000640DA" w:rsidRPr="006F09D4" w:rsidRDefault="000640DA" w:rsidP="006F09D4">
      <w:pPr>
        <w:jc w:val="both"/>
        <w:rPr>
          <w:rFonts w:cstheme="minorHAnsi"/>
          <w:iCs/>
        </w:rPr>
      </w:pPr>
    </w:p>
    <w:p w14:paraId="54857E8E" w14:textId="77777777" w:rsidR="00291F97" w:rsidRDefault="00291F97" w:rsidP="006F3770">
      <w:pPr>
        <w:pStyle w:val="Heading2"/>
      </w:pPr>
      <w:r w:rsidRPr="00291F97">
        <w:t>Description of the data sources</w:t>
      </w:r>
    </w:p>
    <w:p w14:paraId="667A4998" w14:textId="41F358F5" w:rsidR="0029307F" w:rsidRDefault="00295F2F" w:rsidP="0029307F">
      <w:pPr>
        <w:jc w:val="both"/>
      </w:pPr>
      <w:r>
        <w:t>The analysis will be conducted using two rounds of survey data. The baseline survey was conducted between</w:t>
      </w:r>
      <w:r w:rsidR="008A1B1D">
        <w:t xml:space="preserve"> January</w:t>
      </w:r>
      <w:r w:rsidR="009E0424">
        <w:t>, 14</w:t>
      </w:r>
      <w:r w:rsidR="009E0424" w:rsidRPr="001B7188">
        <w:rPr>
          <w:vertAlign w:val="superscript"/>
        </w:rPr>
        <w:t>th</w:t>
      </w:r>
      <w:r>
        <w:t xml:space="preserve"> 2022 and </w:t>
      </w:r>
      <w:r w:rsidR="00B66E22">
        <w:t>April</w:t>
      </w:r>
      <w:r w:rsidR="00D11E78">
        <w:t>, 20</w:t>
      </w:r>
      <w:r w:rsidR="00D11E78" w:rsidRPr="001B7188">
        <w:rPr>
          <w:vertAlign w:val="superscript"/>
        </w:rPr>
        <w:t>th</w:t>
      </w:r>
      <w:r w:rsidR="00B66E22">
        <w:t xml:space="preserve"> </w:t>
      </w:r>
      <w:r>
        <w:t xml:space="preserve">2022. </w:t>
      </w:r>
      <w:r w:rsidR="00D357FE">
        <w:t>The</w:t>
      </w:r>
      <w:r w:rsidR="00340E80">
        <w:t xml:space="preserve"> </w:t>
      </w:r>
      <w:r w:rsidR="00B2012F">
        <w:t>survey was</w:t>
      </w:r>
      <w:r w:rsidR="0083067C">
        <w:t xml:space="preserve"> implemented in </w:t>
      </w:r>
      <w:r w:rsidR="00B45E5B">
        <w:t xml:space="preserve">two </w:t>
      </w:r>
      <w:r w:rsidR="00CB485E">
        <w:t>ways</w:t>
      </w:r>
      <w:r w:rsidR="00B45E5B">
        <w:t xml:space="preserve">: </w:t>
      </w:r>
      <w:r w:rsidR="00B74474">
        <w:t>tele</w:t>
      </w:r>
      <w:r w:rsidR="001E2DE7">
        <w:t xml:space="preserve">phone survey and </w:t>
      </w:r>
      <w:r w:rsidR="006F15B5">
        <w:t xml:space="preserve">an </w:t>
      </w:r>
      <w:r w:rsidR="001E2DE7">
        <w:t xml:space="preserve">in-person survey. </w:t>
      </w:r>
      <w:r w:rsidR="00EB79A9">
        <w:t xml:space="preserve">The phone </w:t>
      </w:r>
      <w:r w:rsidR="00CB08BE">
        <w:t>survey</w:t>
      </w:r>
      <w:r w:rsidR="00EB79A9">
        <w:t xml:space="preserve"> started </w:t>
      </w:r>
      <w:r w:rsidR="00766F70">
        <w:t>on</w:t>
      </w:r>
      <w:r w:rsidR="00EB79A9">
        <w:t xml:space="preserve"> January</w:t>
      </w:r>
      <w:r w:rsidR="001139E8">
        <w:t xml:space="preserve"> 14</w:t>
      </w:r>
      <w:r w:rsidR="001139E8" w:rsidRPr="001B7188">
        <w:rPr>
          <w:vertAlign w:val="superscript"/>
        </w:rPr>
        <w:t>th</w:t>
      </w:r>
      <w:r w:rsidR="00AB03FB">
        <w:t>, 2022,</w:t>
      </w:r>
      <w:r w:rsidR="008640DC">
        <w:t xml:space="preserve"> </w:t>
      </w:r>
      <w:r w:rsidR="00547D0A">
        <w:t xml:space="preserve">while the face-to-face </w:t>
      </w:r>
      <w:r w:rsidR="00CB08BE">
        <w:t>survey</w:t>
      </w:r>
      <w:r w:rsidR="001139E8">
        <w:t xml:space="preserve"> </w:t>
      </w:r>
      <w:r w:rsidR="00D061D2">
        <w:t xml:space="preserve">began </w:t>
      </w:r>
      <w:r w:rsidR="00F77F02">
        <w:t xml:space="preserve">on </w:t>
      </w:r>
      <w:r w:rsidR="00D061D2">
        <w:t>February</w:t>
      </w:r>
      <w:r w:rsidR="001139E8">
        <w:t xml:space="preserve"> 4</w:t>
      </w:r>
      <w:r w:rsidR="001139E8" w:rsidRPr="001B7188">
        <w:rPr>
          <w:vertAlign w:val="superscript"/>
        </w:rPr>
        <w:t>th</w:t>
      </w:r>
      <w:r w:rsidR="001139E8">
        <w:t>, 2022.</w:t>
      </w:r>
      <w:r w:rsidR="00234FB2">
        <w:t xml:space="preserve"> </w:t>
      </w:r>
      <w:r w:rsidR="005740A8">
        <w:t xml:space="preserve">The </w:t>
      </w:r>
      <w:r w:rsidR="00263CA3">
        <w:t xml:space="preserve">private data collection firm </w:t>
      </w:r>
      <w:r w:rsidR="001E2E73">
        <w:t xml:space="preserve">initially </w:t>
      </w:r>
      <w:r w:rsidR="00263CA3">
        <w:t xml:space="preserve">conducted the telephone </w:t>
      </w:r>
      <w:r w:rsidR="00CB08BE">
        <w:t>interview</w:t>
      </w:r>
      <w:r w:rsidR="00263CA3">
        <w:t xml:space="preserve"> with</w:t>
      </w:r>
      <w:r w:rsidR="00AE4BB3">
        <w:t xml:space="preserve"> eligible</w:t>
      </w:r>
      <w:r w:rsidR="008D78AD">
        <w:t xml:space="preserve"> households from the </w:t>
      </w:r>
      <w:r w:rsidR="00AE07F8">
        <w:t>existing list</w:t>
      </w:r>
      <w:r w:rsidR="007479CD">
        <w:t xml:space="preserve"> of </w:t>
      </w:r>
      <w:r w:rsidR="001E2E73">
        <w:t xml:space="preserve">market research survey </w:t>
      </w:r>
      <w:r w:rsidR="007479CD">
        <w:t>households</w:t>
      </w:r>
      <w:r w:rsidR="00362D84">
        <w:t>.</w:t>
      </w:r>
      <w:r w:rsidR="00CB08BE">
        <w:t xml:space="preserve"> Nevertheless, </w:t>
      </w:r>
      <w:r w:rsidR="00B01A8E">
        <w:rPr>
          <w:rFonts w:eastAsia="Times New Roman" w:cstheme="minorHAnsi"/>
          <w:color w:val="000000"/>
          <w:lang w:bidi="th-TH"/>
        </w:rPr>
        <w:t>due to challenges in reaching households by phone,</w:t>
      </w:r>
      <w:r w:rsidR="00F60A7A">
        <w:rPr>
          <w:rFonts w:eastAsia="Times New Roman" w:cstheme="minorHAnsi"/>
          <w:color w:val="000000"/>
          <w:lang w:bidi="th-TH"/>
        </w:rPr>
        <w:t xml:space="preserve"> </w:t>
      </w:r>
      <w:r w:rsidR="00B01A8E">
        <w:rPr>
          <w:rFonts w:eastAsia="Times New Roman" w:cstheme="minorHAnsi"/>
          <w:color w:val="000000"/>
          <w:lang w:bidi="th-TH"/>
        </w:rPr>
        <w:t xml:space="preserve">the </w:t>
      </w:r>
      <w:r w:rsidR="00B01A8E">
        <w:t xml:space="preserve">face-to-face interview </w:t>
      </w:r>
      <w:r w:rsidR="00F60A7A">
        <w:t>using</w:t>
      </w:r>
      <w:r w:rsidR="005C1A4F">
        <w:t xml:space="preserve"> a random walk method </w:t>
      </w:r>
      <w:r w:rsidR="00F96391">
        <w:t xml:space="preserve">within the project villages </w:t>
      </w:r>
      <w:r w:rsidR="00B01A8E">
        <w:t>was later performed</w:t>
      </w:r>
      <w:r w:rsidR="00850F76">
        <w:t xml:space="preserve"> </w:t>
      </w:r>
      <w:r w:rsidR="00B01A8E">
        <w:t>in order to reach the target number of households (at least 1,000 households).</w:t>
      </w:r>
      <w:r w:rsidR="00C464A9">
        <w:t xml:space="preserve"> </w:t>
      </w:r>
      <w:r w:rsidR="00973914">
        <w:t>1,017 households were contacted and interviewed</w:t>
      </w:r>
      <w:r w:rsidR="00E24623">
        <w:t xml:space="preserve">: </w:t>
      </w:r>
      <w:r w:rsidR="0066198E">
        <w:t>459</w:t>
      </w:r>
      <w:r w:rsidR="00E24623">
        <w:t xml:space="preserve"> </w:t>
      </w:r>
      <w:r w:rsidR="00005552">
        <w:t xml:space="preserve">households from </w:t>
      </w:r>
      <w:r w:rsidR="006F15B5">
        <w:t xml:space="preserve">the </w:t>
      </w:r>
      <w:r w:rsidR="00005552">
        <w:t xml:space="preserve">telephone survey and </w:t>
      </w:r>
      <w:r w:rsidR="0066198E">
        <w:t>558</w:t>
      </w:r>
      <w:r w:rsidR="00005552">
        <w:t xml:space="preserve"> households from </w:t>
      </w:r>
      <w:r w:rsidR="006F15B5">
        <w:t xml:space="preserve">the </w:t>
      </w:r>
      <w:r w:rsidR="00005552">
        <w:t xml:space="preserve">face-to-face survey. </w:t>
      </w:r>
      <w:r w:rsidR="00F60A7A">
        <w:t xml:space="preserve">Targeted households were interviewed </w:t>
      </w:r>
      <w:r w:rsidR="001525AA">
        <w:t xml:space="preserve">using </w:t>
      </w:r>
      <w:r w:rsidR="00F60A7A">
        <w:t xml:space="preserve">either one of these methods. </w:t>
      </w:r>
      <w:r w:rsidR="00035FF3">
        <w:t xml:space="preserve">However, </w:t>
      </w:r>
      <w:r w:rsidR="000B26D9">
        <w:t xml:space="preserve">only </w:t>
      </w:r>
      <w:r w:rsidR="00035FF3" w:rsidRPr="00035FF3">
        <w:t xml:space="preserve">948 households were eligible </w:t>
      </w:r>
      <w:r w:rsidR="000B26D9">
        <w:t>to</w:t>
      </w:r>
      <w:r w:rsidR="007978D2">
        <w:t xml:space="preserve"> </w:t>
      </w:r>
      <w:r w:rsidR="001525AA">
        <w:t xml:space="preserve">meet </w:t>
      </w:r>
      <w:r w:rsidR="007978D2">
        <w:t xml:space="preserve">the project’s </w:t>
      </w:r>
      <w:r w:rsidR="00825083">
        <w:t>requirement</w:t>
      </w:r>
      <w:r w:rsidR="007978D2">
        <w:t xml:space="preserve"> to</w:t>
      </w:r>
      <w:r w:rsidR="000B26D9">
        <w:t xml:space="preserve"> form baseline treatment and control groups. </w:t>
      </w:r>
      <w:r>
        <w:t xml:space="preserve">The baseline survey </w:t>
      </w:r>
      <w:r w:rsidR="0029307F">
        <w:t xml:space="preserve">in both formats </w:t>
      </w:r>
      <w:r>
        <w:t>lasted approximately 30–60 minutes and included questions on household characteristics, cooking practices, fuel consumption, intra-household bargaining, and health outcomes.</w:t>
      </w:r>
      <w:r w:rsidR="0029307F" w:rsidRPr="0029307F">
        <w:t xml:space="preserve"> </w:t>
      </w:r>
    </w:p>
    <w:tbl>
      <w:tblPr>
        <w:tblW w:w="9176" w:type="dxa"/>
        <w:tblCellMar>
          <w:left w:w="0" w:type="dxa"/>
          <w:right w:w="0" w:type="dxa"/>
        </w:tblCellMar>
        <w:tblLook w:val="0000" w:firstRow="0" w:lastRow="0" w:firstColumn="0" w:lastColumn="0" w:noHBand="0" w:noVBand="0"/>
      </w:tblPr>
      <w:tblGrid>
        <w:gridCol w:w="3415"/>
        <w:gridCol w:w="2880"/>
        <w:gridCol w:w="2881"/>
      </w:tblGrid>
      <w:tr w:rsidR="00376745" w:rsidRPr="00222F44" w14:paraId="1DD3BEBF" w14:textId="77777777" w:rsidTr="001A10B9">
        <w:trPr>
          <w:trHeight w:val="697"/>
        </w:trPr>
        <w:tc>
          <w:tcPr>
            <w:tcW w:w="3415"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181EFF2F" w14:textId="77777777" w:rsidR="00376745" w:rsidRPr="00222F44" w:rsidRDefault="00376745" w:rsidP="001A10B9">
            <w:r>
              <w:rPr>
                <w:b/>
                <w:bCs/>
              </w:rPr>
              <w:t>Randomized group</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7830781A" w14:textId="6DE66B8C" w:rsidR="00376745" w:rsidRPr="00C13021" w:rsidRDefault="00376745" w:rsidP="001A10B9">
            <w:pPr>
              <w:jc w:val="center"/>
              <w:rPr>
                <w:b/>
                <w:bCs/>
              </w:rPr>
            </w:pPr>
            <w:r>
              <w:rPr>
                <w:b/>
                <w:bCs/>
              </w:rPr>
              <w:t>Telephone interview</w:t>
            </w:r>
          </w:p>
        </w:tc>
        <w:tc>
          <w:tcPr>
            <w:tcW w:w="2881"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767C68F7" w14:textId="025F0C83" w:rsidR="00376745" w:rsidRPr="00C13021" w:rsidRDefault="00376745" w:rsidP="001A10B9">
            <w:pPr>
              <w:jc w:val="center"/>
              <w:rPr>
                <w:b/>
                <w:bCs/>
              </w:rPr>
            </w:pPr>
            <w:r>
              <w:rPr>
                <w:b/>
                <w:bCs/>
              </w:rPr>
              <w:t>Face-to-face interview</w:t>
            </w:r>
          </w:p>
        </w:tc>
      </w:tr>
      <w:tr w:rsidR="00376745" w:rsidRPr="00222F44" w14:paraId="03633515" w14:textId="77777777" w:rsidTr="001A10B9">
        <w:trPr>
          <w:trHeight w:val="232"/>
        </w:trPr>
        <w:tc>
          <w:tcPr>
            <w:tcW w:w="3415"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bottom"/>
          </w:tcPr>
          <w:p w14:paraId="5F497855" w14:textId="77777777" w:rsidR="00376745" w:rsidRPr="00222F44" w:rsidRDefault="00376745" w:rsidP="001A10B9">
            <w:r>
              <w:rPr>
                <w:b/>
                <w:bCs/>
              </w:rPr>
              <w:t>Treatment households</w:t>
            </w:r>
          </w:p>
        </w:tc>
        <w:tc>
          <w:tcPr>
            <w:tcW w:w="2880"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center"/>
          </w:tcPr>
          <w:p w14:paraId="209A31A4" w14:textId="33790CA4" w:rsidR="00376745" w:rsidRPr="00222F44" w:rsidRDefault="00376745" w:rsidP="001A10B9">
            <w:pPr>
              <w:jc w:val="center"/>
            </w:pPr>
            <w:r>
              <w:t>2</w:t>
            </w:r>
            <w:r w:rsidR="008B2DEF">
              <w:t>08</w:t>
            </w:r>
          </w:p>
        </w:tc>
        <w:tc>
          <w:tcPr>
            <w:tcW w:w="2881"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center"/>
          </w:tcPr>
          <w:p w14:paraId="566F3579" w14:textId="033C84B9" w:rsidR="00376745" w:rsidRPr="00222F44" w:rsidRDefault="00376745" w:rsidP="001A10B9">
            <w:pPr>
              <w:jc w:val="center"/>
            </w:pPr>
            <w:r>
              <w:t>2</w:t>
            </w:r>
            <w:r w:rsidR="008B2DEF">
              <w:t>66</w:t>
            </w:r>
          </w:p>
        </w:tc>
      </w:tr>
      <w:tr w:rsidR="00376745" w:rsidRPr="00222F44" w14:paraId="46985E3D" w14:textId="77777777" w:rsidTr="001A10B9">
        <w:trPr>
          <w:trHeight w:val="232"/>
        </w:trPr>
        <w:tc>
          <w:tcPr>
            <w:tcW w:w="3415"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14:paraId="0FF81D1B" w14:textId="77777777" w:rsidR="00376745" w:rsidRPr="00222F44" w:rsidRDefault="00376745" w:rsidP="001A10B9">
            <w:r w:rsidRPr="00222F44">
              <w:t>%</w:t>
            </w:r>
          </w:p>
        </w:tc>
        <w:tc>
          <w:tcPr>
            <w:tcW w:w="288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3C814A4F" w14:textId="276B2294" w:rsidR="00376745" w:rsidRPr="00222F44" w:rsidRDefault="00E04DAE" w:rsidP="001A10B9">
            <w:pPr>
              <w:jc w:val="center"/>
            </w:pPr>
            <w:r>
              <w:t>5</w:t>
            </w:r>
            <w:r w:rsidR="00122931">
              <w:t>2</w:t>
            </w:r>
            <w:r>
              <w:t>.</w:t>
            </w:r>
            <w:r w:rsidR="00122931">
              <w:t>66</w:t>
            </w:r>
            <w:r w:rsidR="00376745" w:rsidRPr="00222F44">
              <w:t>%</w:t>
            </w:r>
          </w:p>
        </w:tc>
        <w:tc>
          <w:tcPr>
            <w:tcW w:w="2881"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470C86B3" w14:textId="58FC1352" w:rsidR="00376745" w:rsidRPr="00222F44" w:rsidRDefault="00122931" w:rsidP="001A10B9">
            <w:pPr>
              <w:jc w:val="center"/>
            </w:pPr>
            <w:r>
              <w:t>48.1</w:t>
            </w:r>
            <w:r w:rsidR="00376745" w:rsidRPr="00222F44">
              <w:t>%</w:t>
            </w:r>
          </w:p>
        </w:tc>
      </w:tr>
      <w:tr w:rsidR="00376745" w:rsidRPr="00222F44" w14:paraId="544BAB8B" w14:textId="77777777" w:rsidTr="001A10B9">
        <w:trPr>
          <w:trHeight w:val="232"/>
        </w:trPr>
        <w:tc>
          <w:tcPr>
            <w:tcW w:w="3415"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bottom"/>
          </w:tcPr>
          <w:p w14:paraId="5E642280" w14:textId="77777777" w:rsidR="00376745" w:rsidRPr="00222F44" w:rsidRDefault="00376745" w:rsidP="001A10B9">
            <w:r>
              <w:rPr>
                <w:b/>
                <w:bCs/>
              </w:rPr>
              <w:t>Control households</w:t>
            </w:r>
          </w:p>
        </w:tc>
        <w:tc>
          <w:tcPr>
            <w:tcW w:w="2880"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center"/>
          </w:tcPr>
          <w:p w14:paraId="428C6842" w14:textId="034E5F0E" w:rsidR="00376745" w:rsidRPr="00222F44" w:rsidRDefault="008B2DEF" w:rsidP="001A10B9">
            <w:pPr>
              <w:jc w:val="center"/>
            </w:pPr>
            <w:r>
              <w:t>187</w:t>
            </w:r>
          </w:p>
        </w:tc>
        <w:tc>
          <w:tcPr>
            <w:tcW w:w="2881" w:type="dxa"/>
            <w:tcBorders>
              <w:top w:val="single" w:sz="4" w:space="0" w:color="000000"/>
              <w:left w:val="single" w:sz="4" w:space="0" w:color="000000"/>
              <w:bottom w:val="nil"/>
              <w:right w:val="single" w:sz="4" w:space="0" w:color="000000"/>
            </w:tcBorders>
            <w:shd w:val="clear" w:color="auto" w:fill="auto"/>
            <w:tcMar>
              <w:top w:w="20" w:type="dxa"/>
              <w:left w:w="20" w:type="dxa"/>
              <w:bottom w:w="0" w:type="dxa"/>
              <w:right w:w="20" w:type="dxa"/>
            </w:tcMar>
            <w:vAlign w:val="center"/>
          </w:tcPr>
          <w:p w14:paraId="1F888B10" w14:textId="05875F2E" w:rsidR="00376745" w:rsidRPr="00222F44" w:rsidRDefault="00376745" w:rsidP="001A10B9">
            <w:pPr>
              <w:jc w:val="center"/>
            </w:pPr>
            <w:r>
              <w:t>2</w:t>
            </w:r>
            <w:r w:rsidR="008B2DEF">
              <w:t>87</w:t>
            </w:r>
          </w:p>
        </w:tc>
      </w:tr>
      <w:tr w:rsidR="00376745" w:rsidRPr="00222F44" w14:paraId="220F5EB0" w14:textId="77777777" w:rsidTr="001A10B9">
        <w:trPr>
          <w:trHeight w:val="232"/>
        </w:trPr>
        <w:tc>
          <w:tcPr>
            <w:tcW w:w="3415"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14:paraId="7600DF51" w14:textId="77777777" w:rsidR="00376745" w:rsidRPr="00222F44" w:rsidRDefault="00376745" w:rsidP="001A10B9">
            <w:r w:rsidRPr="00222F44">
              <w:t>%</w:t>
            </w:r>
          </w:p>
        </w:tc>
        <w:tc>
          <w:tcPr>
            <w:tcW w:w="288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1A840EE1" w14:textId="29885D7A" w:rsidR="00376745" w:rsidRPr="00222F44" w:rsidRDefault="00122931" w:rsidP="001A10B9">
            <w:pPr>
              <w:jc w:val="center"/>
            </w:pPr>
            <w:r>
              <w:t>47.34</w:t>
            </w:r>
            <w:r w:rsidR="00376745" w:rsidRPr="00222F44">
              <w:t>%</w:t>
            </w:r>
          </w:p>
        </w:tc>
        <w:tc>
          <w:tcPr>
            <w:tcW w:w="2881"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center"/>
          </w:tcPr>
          <w:p w14:paraId="573B894E" w14:textId="2CBB6C30" w:rsidR="00376745" w:rsidRPr="00222F44" w:rsidRDefault="00122931" w:rsidP="001A10B9">
            <w:pPr>
              <w:jc w:val="center"/>
            </w:pPr>
            <w:r>
              <w:t>51.9</w:t>
            </w:r>
            <w:r w:rsidR="00376745" w:rsidRPr="00222F44">
              <w:t>%</w:t>
            </w:r>
          </w:p>
        </w:tc>
      </w:tr>
    </w:tbl>
    <w:p w14:paraId="33E0EF6E" w14:textId="7C662814" w:rsidR="00295F2F" w:rsidRDefault="00295F2F" w:rsidP="00295F2F">
      <w:pPr>
        <w:jc w:val="both"/>
      </w:pPr>
    </w:p>
    <w:p w14:paraId="4FC80D6B" w14:textId="752B6F48" w:rsidR="00295F2F" w:rsidRDefault="00295F2F" w:rsidP="00295F2F">
      <w:pPr>
        <w:jc w:val="both"/>
      </w:pPr>
      <w:r>
        <w:t xml:space="preserve">The endline survey is expected to take place </w:t>
      </w:r>
      <w:r w:rsidR="009D4EFE">
        <w:t>in November</w:t>
      </w:r>
      <w:r w:rsidR="00557DA7">
        <w:t xml:space="preserve"> to December</w:t>
      </w:r>
      <w:r>
        <w:t xml:space="preserve"> 2022 (approximately </w:t>
      </w:r>
      <w:r w:rsidR="004F7B33">
        <w:t>5</w:t>
      </w:r>
      <w:r>
        <w:t xml:space="preserve"> months after t</w:t>
      </w:r>
      <w:r w:rsidR="004F7B33">
        <w:t>reatment households received stoves</w:t>
      </w:r>
      <w:r>
        <w:t xml:space="preserve">). It </w:t>
      </w:r>
      <w:r w:rsidR="0045700D">
        <w:t xml:space="preserve">is </w:t>
      </w:r>
      <w:r>
        <w:t>expect</w:t>
      </w:r>
      <w:r w:rsidR="0045700D">
        <w:t>ed</w:t>
      </w:r>
      <w:r>
        <w:t xml:space="preserve"> to last approximately 60 minutes</w:t>
      </w:r>
      <w:r w:rsidR="0045700D">
        <w:t xml:space="preserve"> and will</w:t>
      </w:r>
      <w:r>
        <w:t xml:space="preserve"> cover indicators on a wide range of outcomes, including household characteristics, cooking practices, fuel consumption, intra-household bargaining, and health outcomes. </w:t>
      </w:r>
    </w:p>
    <w:p w14:paraId="54857E90" w14:textId="77777777" w:rsidR="00291F97" w:rsidRDefault="00411E6A" w:rsidP="006F3770">
      <w:pPr>
        <w:pStyle w:val="Heading2"/>
      </w:pPr>
      <w:r w:rsidRPr="00815693">
        <w:lastRenderedPageBreak/>
        <w:t>Power</w:t>
      </w:r>
      <w:r w:rsidR="00291F97" w:rsidRPr="00815693">
        <w:t xml:space="preserve"> calculations</w:t>
      </w:r>
    </w:p>
    <w:p w14:paraId="737C2A1E" w14:textId="39412B7D" w:rsidR="00E21F12" w:rsidRDefault="00E21F12" w:rsidP="003B3A0A">
      <w:pPr>
        <w:jc w:val="both"/>
      </w:pPr>
      <w:r w:rsidRPr="00E21F12">
        <w:t>We conducted the power calculations to detect the impacts of the stoves on various primary outcomes of interest: overall health status, having eye irritation, having headache, quantity of charcoal used, expenditures of charcoal used, overall time spent on cooking time and related activities, time spent on cooking using the means and standard deviations from the baseline survey data, our sample size, and a 62% take up rate. The below table shows the minimum effect size that we could detect with 80%.</w:t>
      </w:r>
    </w:p>
    <w:tbl>
      <w:tblPr>
        <w:tblW w:w="9203" w:type="dxa"/>
        <w:tblLook w:val="04A0" w:firstRow="1" w:lastRow="0" w:firstColumn="1" w:lastColumn="0" w:noHBand="0" w:noVBand="1"/>
      </w:tblPr>
      <w:tblGrid>
        <w:gridCol w:w="4315"/>
        <w:gridCol w:w="2790"/>
        <w:gridCol w:w="2098"/>
      </w:tblGrid>
      <w:tr w:rsidR="00B3438D" w:rsidRPr="00A26177" w14:paraId="6935FD94" w14:textId="77777777" w:rsidTr="00021EFB">
        <w:trPr>
          <w:trHeight w:val="586"/>
        </w:trPr>
        <w:tc>
          <w:tcPr>
            <w:tcW w:w="4315" w:type="dxa"/>
            <w:tcBorders>
              <w:top w:val="single" w:sz="4" w:space="0" w:color="auto"/>
              <w:left w:val="single" w:sz="4" w:space="0" w:color="auto"/>
              <w:bottom w:val="single" w:sz="4" w:space="0" w:color="auto"/>
              <w:right w:val="single" w:sz="4" w:space="0" w:color="auto"/>
            </w:tcBorders>
            <w:shd w:val="clear" w:color="auto" w:fill="auto"/>
            <w:vAlign w:val="bottom"/>
          </w:tcPr>
          <w:p w14:paraId="78A4D282" w14:textId="1896C650" w:rsidR="00B3438D" w:rsidRPr="00264280" w:rsidRDefault="00B3438D" w:rsidP="00264280">
            <w:pPr>
              <w:spacing w:after="0" w:line="240" w:lineRule="auto"/>
              <w:rPr>
                <w:rFonts w:ascii="Calibri" w:eastAsia="Times New Roman" w:hAnsi="Calibri" w:cs="Times New Roman"/>
                <w:b/>
                <w:bCs/>
                <w:color w:val="000000"/>
              </w:rPr>
            </w:pPr>
            <w:r w:rsidRPr="00264280">
              <w:rPr>
                <w:rFonts w:ascii="Calibri" w:eastAsia="Times New Roman" w:hAnsi="Calibri" w:cs="Times New Roman"/>
                <w:b/>
                <w:bCs/>
                <w:color w:val="000000"/>
              </w:rPr>
              <w:t>Variable</w:t>
            </w:r>
            <w:r w:rsidR="00DA63F6">
              <w:rPr>
                <w:rFonts w:ascii="Calibri" w:eastAsia="Times New Roman" w:hAnsi="Calibri" w:cs="Times New Roman"/>
                <w:b/>
                <w:bCs/>
                <w:color w:val="000000"/>
              </w:rPr>
              <w:t>s</w:t>
            </w:r>
          </w:p>
        </w:tc>
        <w:tc>
          <w:tcPr>
            <w:tcW w:w="2790" w:type="dxa"/>
            <w:tcBorders>
              <w:top w:val="single" w:sz="4" w:space="0" w:color="auto"/>
              <w:left w:val="nil"/>
              <w:bottom w:val="single" w:sz="4" w:space="0" w:color="auto"/>
              <w:right w:val="single" w:sz="4" w:space="0" w:color="auto"/>
            </w:tcBorders>
            <w:shd w:val="clear" w:color="auto" w:fill="auto"/>
            <w:vAlign w:val="bottom"/>
          </w:tcPr>
          <w:p w14:paraId="662CBE62" w14:textId="3CC30CA4" w:rsidR="00B3438D" w:rsidRPr="00264280" w:rsidRDefault="00264280" w:rsidP="00264280">
            <w:pPr>
              <w:spacing w:after="0" w:line="240" w:lineRule="auto"/>
              <w:rPr>
                <w:rFonts w:ascii="Calibri" w:eastAsia="Times New Roman" w:hAnsi="Calibri" w:cs="Times New Roman"/>
                <w:b/>
                <w:bCs/>
                <w:color w:val="000000"/>
              </w:rPr>
            </w:pPr>
            <w:r w:rsidRPr="00264280">
              <w:rPr>
                <w:rFonts w:ascii="Calibri" w:eastAsia="Times New Roman" w:hAnsi="Calibri" w:cs="Times New Roman"/>
                <w:b/>
                <w:bCs/>
                <w:color w:val="000000"/>
              </w:rPr>
              <w:t>Impact</w:t>
            </w:r>
            <w:r w:rsidR="00B3438D" w:rsidRPr="00264280">
              <w:rPr>
                <w:rFonts w:ascii="Calibri" w:eastAsia="Times New Roman" w:hAnsi="Calibri" w:cs="Times New Roman"/>
                <w:b/>
                <w:bCs/>
                <w:color w:val="000000"/>
              </w:rPr>
              <w:t xml:space="preserve"> detected with </w:t>
            </w:r>
            <w:r w:rsidRPr="00264280">
              <w:rPr>
                <w:rFonts w:ascii="Calibri" w:eastAsia="Times New Roman" w:hAnsi="Calibri" w:cs="Times New Roman"/>
                <w:b/>
                <w:bCs/>
                <w:color w:val="000000"/>
              </w:rPr>
              <w:t>6</w:t>
            </w:r>
            <w:r w:rsidR="00BD722B">
              <w:rPr>
                <w:rFonts w:ascii="Calibri" w:eastAsia="Times New Roman" w:hAnsi="Calibri" w:cs="Times New Roman"/>
                <w:b/>
                <w:bCs/>
                <w:color w:val="000000"/>
              </w:rPr>
              <w:t>3</w:t>
            </w:r>
            <w:r w:rsidR="00B3438D" w:rsidRPr="00264280">
              <w:rPr>
                <w:rFonts w:ascii="Calibri" w:eastAsia="Times New Roman" w:hAnsi="Calibri" w:cs="Times New Roman"/>
                <w:b/>
                <w:bCs/>
                <w:color w:val="000000"/>
              </w:rPr>
              <w:t>% take up</w:t>
            </w:r>
          </w:p>
        </w:tc>
        <w:tc>
          <w:tcPr>
            <w:tcW w:w="2098" w:type="dxa"/>
            <w:tcBorders>
              <w:top w:val="single" w:sz="4" w:space="0" w:color="auto"/>
              <w:left w:val="nil"/>
              <w:bottom w:val="single" w:sz="4" w:space="0" w:color="auto"/>
              <w:right w:val="single" w:sz="4" w:space="0" w:color="auto"/>
            </w:tcBorders>
            <w:shd w:val="clear" w:color="auto" w:fill="auto"/>
            <w:vAlign w:val="bottom"/>
          </w:tcPr>
          <w:p w14:paraId="11F7C464" w14:textId="77777777" w:rsidR="00B3438D" w:rsidRPr="00264280" w:rsidRDefault="00B3438D" w:rsidP="00264280">
            <w:pPr>
              <w:spacing w:after="0" w:line="240" w:lineRule="auto"/>
              <w:rPr>
                <w:rFonts w:ascii="Calibri" w:eastAsia="Times New Roman" w:hAnsi="Calibri" w:cs="Times New Roman"/>
                <w:b/>
                <w:bCs/>
                <w:color w:val="000000"/>
              </w:rPr>
            </w:pPr>
            <w:r w:rsidRPr="00264280">
              <w:rPr>
                <w:rFonts w:ascii="Calibri" w:eastAsia="Times New Roman" w:hAnsi="Calibri" w:cs="Times New Roman"/>
                <w:b/>
                <w:bCs/>
                <w:color w:val="000000"/>
              </w:rPr>
              <w:t>Power</w:t>
            </w:r>
          </w:p>
        </w:tc>
      </w:tr>
      <w:tr w:rsidR="0042237E" w:rsidRPr="00A26177" w14:paraId="3FDE6D41" w14:textId="77777777" w:rsidTr="001B7188">
        <w:trPr>
          <w:trHeight w:val="170"/>
        </w:trPr>
        <w:tc>
          <w:tcPr>
            <w:tcW w:w="9203"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ACAC46E" w14:textId="3CD36F69" w:rsidR="0042237E" w:rsidRPr="001B7188" w:rsidRDefault="0042237E" w:rsidP="00264280">
            <w:pPr>
              <w:spacing w:after="0" w:line="240" w:lineRule="auto"/>
              <w:rPr>
                <w:rFonts w:ascii="Calibri" w:eastAsia="Times New Roman" w:hAnsi="Calibri" w:cs="Times New Roman"/>
                <w:i/>
                <w:iCs/>
                <w:color w:val="000000"/>
              </w:rPr>
            </w:pPr>
            <w:r w:rsidRPr="001B7188">
              <w:rPr>
                <w:rFonts w:ascii="Calibri" w:eastAsia="Times New Roman" w:hAnsi="Calibri" w:cs="Times New Roman"/>
                <w:i/>
                <w:iCs/>
                <w:color w:val="000000"/>
              </w:rPr>
              <w:t>Health</w:t>
            </w:r>
          </w:p>
        </w:tc>
      </w:tr>
      <w:tr w:rsidR="0042237E" w:rsidRPr="00A26177" w14:paraId="65B2A10F" w14:textId="77777777" w:rsidTr="00021EFB">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75C6E377" w14:textId="30D83482" w:rsidR="0042237E" w:rsidRDefault="0042237E" w:rsidP="00302781">
            <w:pPr>
              <w:spacing w:after="0" w:line="240" w:lineRule="auto"/>
              <w:rPr>
                <w:rFonts w:ascii="Calibri" w:hAnsi="Calibri" w:cs="Calibri"/>
                <w:color w:val="000000"/>
              </w:rPr>
            </w:pPr>
            <w:r>
              <w:t>Symptoms subscale of the SGRQ</w:t>
            </w:r>
          </w:p>
        </w:tc>
        <w:tc>
          <w:tcPr>
            <w:tcW w:w="2790" w:type="dxa"/>
            <w:tcBorders>
              <w:top w:val="nil"/>
              <w:left w:val="nil"/>
              <w:bottom w:val="single" w:sz="4" w:space="0" w:color="auto"/>
              <w:right w:val="single" w:sz="4" w:space="0" w:color="auto"/>
            </w:tcBorders>
            <w:shd w:val="clear" w:color="auto" w:fill="auto"/>
            <w:noWrap/>
            <w:vAlign w:val="bottom"/>
          </w:tcPr>
          <w:p w14:paraId="6A114144" w14:textId="203B80B0" w:rsidR="0042237E" w:rsidRDefault="00415BC6" w:rsidP="00302781">
            <w:pPr>
              <w:spacing w:after="0" w:line="240" w:lineRule="auto"/>
              <w:jc w:val="right"/>
              <w:rPr>
                <w:rFonts w:ascii="Calibri" w:hAnsi="Calibri" w:cs="Calibri"/>
                <w:color w:val="000000"/>
              </w:rPr>
            </w:pPr>
            <w:r>
              <w:rPr>
                <w:rFonts w:ascii="Calibri" w:hAnsi="Calibri" w:cs="Calibri"/>
                <w:color w:val="000000"/>
              </w:rPr>
              <w:t>-</w:t>
            </w:r>
            <w:r w:rsidRPr="00415BC6">
              <w:rPr>
                <w:rFonts w:ascii="Calibri" w:hAnsi="Calibri" w:cs="Calibri"/>
                <w:color w:val="000000"/>
              </w:rPr>
              <w:t>4</w:t>
            </w:r>
            <w:r w:rsidR="005F54E6">
              <w:rPr>
                <w:rFonts w:ascii="Calibri" w:hAnsi="Calibri" w:cs="Calibri"/>
                <w:color w:val="000000"/>
              </w:rPr>
              <w:t>2.6</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3301C36B" w14:textId="6DAD5D7F" w:rsidR="0042237E" w:rsidRPr="00E56AF5" w:rsidRDefault="001D394E" w:rsidP="00302781">
            <w:pPr>
              <w:spacing w:after="0" w:line="240" w:lineRule="auto"/>
              <w:jc w:val="right"/>
            </w:pPr>
            <w:r w:rsidRPr="00E56AF5">
              <w:t>80%</w:t>
            </w:r>
          </w:p>
        </w:tc>
      </w:tr>
      <w:tr w:rsidR="00B971B5" w:rsidRPr="00A26177" w14:paraId="49168AA8" w14:textId="77777777" w:rsidTr="00021EFB">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5554991" w14:textId="7A67DDFB" w:rsidR="00B971B5" w:rsidRDefault="00B971B5" w:rsidP="00B971B5">
            <w:pPr>
              <w:spacing w:after="0" w:line="240" w:lineRule="auto"/>
              <w:rPr>
                <w:rFonts w:ascii="Calibri" w:hAnsi="Calibri" w:cs="Calibri"/>
                <w:color w:val="000000"/>
              </w:rPr>
            </w:pPr>
            <w:r>
              <w:t>Activities subscale of the SGRQ</w:t>
            </w:r>
          </w:p>
        </w:tc>
        <w:tc>
          <w:tcPr>
            <w:tcW w:w="2790" w:type="dxa"/>
            <w:tcBorders>
              <w:top w:val="nil"/>
              <w:left w:val="nil"/>
              <w:bottom w:val="single" w:sz="4" w:space="0" w:color="auto"/>
              <w:right w:val="single" w:sz="4" w:space="0" w:color="auto"/>
            </w:tcBorders>
            <w:shd w:val="clear" w:color="auto" w:fill="auto"/>
            <w:noWrap/>
            <w:vAlign w:val="bottom"/>
          </w:tcPr>
          <w:p w14:paraId="23F41F96" w14:textId="76356CE2" w:rsidR="00B971B5" w:rsidRDefault="008660C6" w:rsidP="00B971B5">
            <w:pPr>
              <w:spacing w:after="0" w:line="240" w:lineRule="auto"/>
              <w:jc w:val="right"/>
              <w:rPr>
                <w:rFonts w:ascii="Calibri" w:hAnsi="Calibri" w:cs="Calibri"/>
                <w:color w:val="000000"/>
              </w:rPr>
            </w:pPr>
            <w:r>
              <w:rPr>
                <w:rFonts w:ascii="Calibri" w:hAnsi="Calibri" w:cs="Calibri"/>
                <w:color w:val="000000"/>
              </w:rPr>
              <w:t>-</w:t>
            </w:r>
            <w:r w:rsidRPr="008660C6">
              <w:rPr>
                <w:rFonts w:ascii="Calibri" w:hAnsi="Calibri" w:cs="Calibri"/>
                <w:color w:val="000000"/>
              </w:rPr>
              <w:t>3</w:t>
            </w:r>
            <w:r w:rsidR="005F54E6">
              <w:rPr>
                <w:rFonts w:ascii="Calibri" w:hAnsi="Calibri" w:cs="Calibri"/>
                <w:color w:val="000000"/>
              </w:rPr>
              <w:t>1.7</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676C8426" w14:textId="7C1C9D83" w:rsidR="00B971B5" w:rsidRPr="00E56AF5" w:rsidRDefault="00B971B5" w:rsidP="00B971B5">
            <w:pPr>
              <w:spacing w:after="0" w:line="240" w:lineRule="auto"/>
              <w:jc w:val="right"/>
            </w:pPr>
            <w:r w:rsidRPr="00E56AF5">
              <w:t>80%</w:t>
            </w:r>
          </w:p>
        </w:tc>
      </w:tr>
      <w:tr w:rsidR="00B971B5" w:rsidRPr="00A26177" w14:paraId="62838FA8" w14:textId="77777777" w:rsidTr="00021EFB">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769C8AEB" w14:textId="6D54A10D" w:rsidR="00B971B5" w:rsidRDefault="00B971B5" w:rsidP="00B971B5">
            <w:pPr>
              <w:spacing w:after="0" w:line="240" w:lineRule="auto"/>
            </w:pPr>
            <w:r>
              <w:t>Impact subscale of the SGRQ</w:t>
            </w:r>
          </w:p>
        </w:tc>
        <w:tc>
          <w:tcPr>
            <w:tcW w:w="2790" w:type="dxa"/>
            <w:tcBorders>
              <w:top w:val="nil"/>
              <w:left w:val="nil"/>
              <w:bottom w:val="single" w:sz="4" w:space="0" w:color="auto"/>
              <w:right w:val="single" w:sz="4" w:space="0" w:color="auto"/>
            </w:tcBorders>
            <w:shd w:val="clear" w:color="auto" w:fill="auto"/>
            <w:noWrap/>
            <w:vAlign w:val="bottom"/>
          </w:tcPr>
          <w:p w14:paraId="6E8A5DFE" w14:textId="0A15B627" w:rsidR="00B971B5" w:rsidRDefault="00330827" w:rsidP="00B971B5">
            <w:pPr>
              <w:spacing w:after="0" w:line="240" w:lineRule="auto"/>
              <w:jc w:val="right"/>
              <w:rPr>
                <w:rFonts w:ascii="Calibri" w:hAnsi="Calibri" w:cs="Calibri"/>
                <w:color w:val="000000"/>
              </w:rPr>
            </w:pPr>
            <w:r>
              <w:rPr>
                <w:rFonts w:ascii="Calibri" w:hAnsi="Calibri" w:cs="Calibri"/>
                <w:color w:val="000000"/>
              </w:rPr>
              <w:t>-</w:t>
            </w:r>
            <w:r w:rsidRPr="00330827">
              <w:rPr>
                <w:rFonts w:ascii="Calibri" w:hAnsi="Calibri" w:cs="Calibri"/>
                <w:color w:val="000000"/>
              </w:rPr>
              <w:t>42</w:t>
            </w:r>
            <w:r>
              <w:rPr>
                <w:rFonts w:ascii="Calibri" w:hAnsi="Calibri" w:cs="Calibri"/>
                <w:color w:val="000000"/>
              </w:rPr>
              <w:t>.</w:t>
            </w:r>
            <w:r w:rsidRPr="00330827">
              <w:rPr>
                <w:rFonts w:ascii="Calibri" w:hAnsi="Calibri" w:cs="Calibri"/>
                <w:color w:val="000000"/>
              </w:rPr>
              <w:t>2</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4D44C698" w14:textId="353CE053" w:rsidR="00B971B5" w:rsidRPr="00E56AF5" w:rsidRDefault="00FE6E41" w:rsidP="00B971B5">
            <w:pPr>
              <w:spacing w:after="0" w:line="240" w:lineRule="auto"/>
              <w:jc w:val="right"/>
            </w:pPr>
            <w:r w:rsidRPr="00E56AF5">
              <w:t>80%</w:t>
            </w:r>
          </w:p>
        </w:tc>
      </w:tr>
      <w:tr w:rsidR="00B971B5" w:rsidRPr="00A26177" w14:paraId="1CD67B9F" w14:textId="77777777" w:rsidTr="00021EFB">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63F077C4" w14:textId="331CAED0" w:rsidR="00B971B5" w:rsidRDefault="00B971B5" w:rsidP="00B971B5">
            <w:pPr>
              <w:spacing w:after="0" w:line="240" w:lineRule="auto"/>
              <w:rPr>
                <w:rFonts w:ascii="Calibri" w:hAnsi="Calibri" w:cs="Calibri"/>
                <w:color w:val="000000"/>
              </w:rPr>
            </w:pPr>
            <w:r>
              <w:rPr>
                <w:rFonts w:ascii="Calibri" w:hAnsi="Calibri" w:cs="Calibri"/>
                <w:color w:val="000000"/>
              </w:rPr>
              <w:t>Overall health status</w:t>
            </w:r>
          </w:p>
        </w:tc>
        <w:tc>
          <w:tcPr>
            <w:tcW w:w="2790" w:type="dxa"/>
            <w:tcBorders>
              <w:top w:val="nil"/>
              <w:left w:val="nil"/>
              <w:bottom w:val="single" w:sz="4" w:space="0" w:color="auto"/>
              <w:right w:val="single" w:sz="4" w:space="0" w:color="auto"/>
            </w:tcBorders>
            <w:shd w:val="clear" w:color="auto" w:fill="auto"/>
            <w:noWrap/>
            <w:vAlign w:val="bottom"/>
          </w:tcPr>
          <w:p w14:paraId="1B2F9011" w14:textId="21C8D5A2" w:rsidR="00B971B5" w:rsidRDefault="00005C9B" w:rsidP="00B971B5">
            <w:pPr>
              <w:spacing w:after="0" w:line="240" w:lineRule="auto"/>
              <w:jc w:val="right"/>
              <w:rPr>
                <w:rFonts w:ascii="Calibri" w:hAnsi="Calibri" w:cs="Calibri"/>
                <w:color w:val="000000"/>
              </w:rPr>
            </w:pPr>
            <w:r w:rsidRPr="00005C9B">
              <w:rPr>
                <w:rFonts w:ascii="Calibri" w:hAnsi="Calibri" w:cs="Calibri"/>
                <w:color w:val="000000"/>
              </w:rPr>
              <w:t>8</w:t>
            </w:r>
            <w:r w:rsidR="001E6B0A">
              <w:rPr>
                <w:rFonts w:ascii="Calibri" w:hAnsi="Calibri" w:cs="Calibri"/>
                <w:color w:val="000000"/>
              </w:rPr>
              <w:t>.2</w:t>
            </w:r>
            <w:r w:rsidR="00F207C3">
              <w:rPr>
                <w:rFonts w:ascii="Calibri" w:hAnsi="Calibri" w:cs="Calibri"/>
                <w:color w:val="000000"/>
              </w:rPr>
              <w:t>%</w:t>
            </w:r>
            <w:r w:rsidRPr="00005C9B" w:rsidDel="00BD722B">
              <w:rPr>
                <w:rFonts w:ascii="Calibri" w:hAnsi="Calibri" w:cs="Calibri"/>
                <w:color w:val="000000"/>
              </w:rPr>
              <w:t xml:space="preserve"> </w:t>
            </w:r>
          </w:p>
        </w:tc>
        <w:tc>
          <w:tcPr>
            <w:tcW w:w="2098" w:type="dxa"/>
            <w:tcBorders>
              <w:top w:val="nil"/>
              <w:left w:val="nil"/>
              <w:bottom w:val="single" w:sz="4" w:space="0" w:color="auto"/>
              <w:right w:val="single" w:sz="4" w:space="0" w:color="auto"/>
            </w:tcBorders>
            <w:shd w:val="clear" w:color="auto" w:fill="auto"/>
            <w:noWrap/>
          </w:tcPr>
          <w:p w14:paraId="0AB6AB4E" w14:textId="23B2E601" w:rsidR="00B971B5" w:rsidRDefault="00B971B5" w:rsidP="00B971B5">
            <w:pPr>
              <w:spacing w:after="0" w:line="240" w:lineRule="auto"/>
              <w:jc w:val="right"/>
              <w:rPr>
                <w:rFonts w:ascii="Calibri" w:eastAsia="Times New Roman" w:hAnsi="Calibri" w:cs="Times New Roman"/>
                <w:color w:val="000000"/>
              </w:rPr>
            </w:pPr>
            <w:r w:rsidRPr="00E56AF5">
              <w:t>80%</w:t>
            </w:r>
          </w:p>
        </w:tc>
      </w:tr>
      <w:tr w:rsidR="00B971B5" w:rsidRPr="00A26177" w14:paraId="3FC8E6F5" w14:textId="77777777" w:rsidTr="00021EFB">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6B5143A6" w14:textId="212E7F38" w:rsidR="00B971B5" w:rsidRDefault="00B971B5" w:rsidP="00B971B5">
            <w:pPr>
              <w:spacing w:after="0" w:line="240" w:lineRule="auto"/>
              <w:rPr>
                <w:rFonts w:ascii="Calibri" w:hAnsi="Calibri" w:cs="Calibri"/>
                <w:color w:val="000000"/>
              </w:rPr>
            </w:pPr>
            <w:r>
              <w:rPr>
                <w:rFonts w:ascii="Calibri" w:hAnsi="Calibri" w:cs="Calibri"/>
                <w:color w:val="000000"/>
              </w:rPr>
              <w:t>Eye Irritation</w:t>
            </w:r>
          </w:p>
        </w:tc>
        <w:tc>
          <w:tcPr>
            <w:tcW w:w="2790" w:type="dxa"/>
            <w:tcBorders>
              <w:top w:val="nil"/>
              <w:left w:val="nil"/>
              <w:bottom w:val="single" w:sz="4" w:space="0" w:color="auto"/>
              <w:right w:val="single" w:sz="4" w:space="0" w:color="auto"/>
            </w:tcBorders>
            <w:shd w:val="clear" w:color="auto" w:fill="auto"/>
            <w:noWrap/>
            <w:vAlign w:val="bottom"/>
          </w:tcPr>
          <w:p w14:paraId="279D1CAF" w14:textId="30B86A77" w:rsidR="00B971B5" w:rsidRDefault="00621A08" w:rsidP="00B971B5">
            <w:pPr>
              <w:spacing w:after="0" w:line="240" w:lineRule="auto"/>
              <w:jc w:val="right"/>
              <w:rPr>
                <w:rFonts w:ascii="Calibri" w:hAnsi="Calibri" w:cs="Calibri"/>
                <w:color w:val="000000"/>
              </w:rPr>
            </w:pPr>
            <w:r>
              <w:rPr>
                <w:rFonts w:ascii="Calibri" w:hAnsi="Calibri" w:cs="Calibri"/>
                <w:color w:val="000000"/>
              </w:rPr>
              <w:t>-</w:t>
            </w:r>
            <w:r w:rsidRPr="00621A08">
              <w:rPr>
                <w:rFonts w:ascii="Calibri" w:hAnsi="Calibri" w:cs="Calibri"/>
                <w:color w:val="000000"/>
              </w:rPr>
              <w:t>45</w:t>
            </w:r>
            <w:r>
              <w:rPr>
                <w:rFonts w:ascii="Calibri" w:hAnsi="Calibri" w:cs="Calibri"/>
                <w:color w:val="000000"/>
              </w:rPr>
              <w:t>.6%</w:t>
            </w:r>
          </w:p>
        </w:tc>
        <w:tc>
          <w:tcPr>
            <w:tcW w:w="2098" w:type="dxa"/>
            <w:tcBorders>
              <w:top w:val="nil"/>
              <w:left w:val="nil"/>
              <w:bottom w:val="single" w:sz="4" w:space="0" w:color="auto"/>
              <w:right w:val="single" w:sz="4" w:space="0" w:color="auto"/>
            </w:tcBorders>
            <w:shd w:val="clear" w:color="auto" w:fill="auto"/>
            <w:noWrap/>
          </w:tcPr>
          <w:p w14:paraId="51623645" w14:textId="3827DD92" w:rsidR="00B971B5" w:rsidRDefault="00B971B5" w:rsidP="00B971B5">
            <w:pPr>
              <w:spacing w:after="0" w:line="240" w:lineRule="auto"/>
              <w:jc w:val="right"/>
              <w:rPr>
                <w:rFonts w:ascii="Calibri" w:eastAsia="Times New Roman" w:hAnsi="Calibri" w:cs="Times New Roman"/>
                <w:color w:val="000000"/>
              </w:rPr>
            </w:pPr>
            <w:r w:rsidRPr="00E56AF5">
              <w:t>80%</w:t>
            </w:r>
          </w:p>
        </w:tc>
      </w:tr>
      <w:tr w:rsidR="00B971B5" w:rsidRPr="00A26177" w14:paraId="5F329F8D" w14:textId="77777777" w:rsidTr="00021EFB">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19512271" w14:textId="6C6BFA0F" w:rsidR="00B971B5" w:rsidRDefault="00B971B5" w:rsidP="00B971B5">
            <w:pPr>
              <w:spacing w:after="0" w:line="240" w:lineRule="auto"/>
              <w:rPr>
                <w:rFonts w:ascii="Calibri" w:hAnsi="Calibri" w:cs="Calibri"/>
                <w:color w:val="000000"/>
              </w:rPr>
            </w:pPr>
            <w:r>
              <w:rPr>
                <w:rFonts w:ascii="Calibri" w:hAnsi="Calibri" w:cs="Calibri"/>
                <w:color w:val="000000"/>
              </w:rPr>
              <w:t>Headache</w:t>
            </w:r>
          </w:p>
        </w:tc>
        <w:tc>
          <w:tcPr>
            <w:tcW w:w="2790" w:type="dxa"/>
            <w:tcBorders>
              <w:top w:val="nil"/>
              <w:left w:val="nil"/>
              <w:bottom w:val="single" w:sz="4" w:space="0" w:color="auto"/>
              <w:right w:val="single" w:sz="4" w:space="0" w:color="auto"/>
            </w:tcBorders>
            <w:shd w:val="clear" w:color="auto" w:fill="auto"/>
            <w:noWrap/>
            <w:vAlign w:val="bottom"/>
          </w:tcPr>
          <w:p w14:paraId="58A30FEF" w14:textId="2DD91D11" w:rsidR="00B971B5" w:rsidRDefault="00AA611E" w:rsidP="00B971B5">
            <w:pPr>
              <w:spacing w:after="0" w:line="240" w:lineRule="auto"/>
              <w:jc w:val="right"/>
              <w:rPr>
                <w:rFonts w:ascii="Calibri" w:hAnsi="Calibri" w:cs="Calibri"/>
                <w:color w:val="000000"/>
              </w:rPr>
            </w:pPr>
            <w:r>
              <w:rPr>
                <w:rFonts w:ascii="Calibri" w:hAnsi="Calibri" w:cs="Calibri"/>
                <w:color w:val="000000"/>
              </w:rPr>
              <w:t>-</w:t>
            </w:r>
            <w:r w:rsidRPr="00AA611E">
              <w:rPr>
                <w:rFonts w:ascii="Calibri" w:hAnsi="Calibri" w:cs="Calibri"/>
                <w:color w:val="000000"/>
              </w:rPr>
              <w:t>40</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02A71739" w14:textId="115785EF" w:rsidR="00B971B5" w:rsidRDefault="00B971B5" w:rsidP="00B971B5">
            <w:pPr>
              <w:spacing w:after="0" w:line="240" w:lineRule="auto"/>
              <w:jc w:val="right"/>
              <w:rPr>
                <w:rFonts w:ascii="Calibri" w:eastAsia="Times New Roman" w:hAnsi="Calibri" w:cs="Times New Roman"/>
                <w:color w:val="000000"/>
              </w:rPr>
            </w:pPr>
            <w:r w:rsidRPr="00E56AF5">
              <w:t>80%</w:t>
            </w:r>
          </w:p>
        </w:tc>
      </w:tr>
      <w:tr w:rsidR="00FE6E41" w:rsidRPr="00A26177" w14:paraId="3C24A565" w14:textId="77777777" w:rsidTr="00A065D7">
        <w:trPr>
          <w:trHeight w:val="293"/>
        </w:trPr>
        <w:tc>
          <w:tcPr>
            <w:tcW w:w="9203" w:type="dxa"/>
            <w:gridSpan w:val="3"/>
            <w:tcBorders>
              <w:top w:val="nil"/>
              <w:left w:val="single" w:sz="4" w:space="0" w:color="auto"/>
              <w:bottom w:val="single" w:sz="4" w:space="0" w:color="auto"/>
              <w:right w:val="single" w:sz="4" w:space="0" w:color="auto"/>
            </w:tcBorders>
            <w:shd w:val="clear" w:color="auto" w:fill="auto"/>
            <w:noWrap/>
            <w:vAlign w:val="bottom"/>
          </w:tcPr>
          <w:p w14:paraId="309E18A8" w14:textId="09C3B9A7" w:rsidR="00FE6E41" w:rsidRPr="001B7188" w:rsidRDefault="00FE6E41" w:rsidP="001B7188">
            <w:pPr>
              <w:spacing w:after="0" w:line="240" w:lineRule="auto"/>
              <w:rPr>
                <w:i/>
                <w:iCs/>
              </w:rPr>
            </w:pPr>
            <w:r w:rsidRPr="001B7188">
              <w:rPr>
                <w:rFonts w:ascii="Calibri" w:hAnsi="Calibri" w:cs="Calibri"/>
                <w:i/>
                <w:iCs/>
                <w:color w:val="000000"/>
              </w:rPr>
              <w:t>Time spent on cooking and cooking-related activities</w:t>
            </w:r>
          </w:p>
        </w:tc>
      </w:tr>
      <w:tr w:rsidR="003320A0" w:rsidRPr="00A26177" w14:paraId="2A397DF1" w14:textId="77777777" w:rsidTr="0092243A">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5F653A2" w14:textId="086A6C69" w:rsidR="003320A0" w:rsidRDefault="003320A0" w:rsidP="003320A0">
            <w:pPr>
              <w:spacing w:after="0" w:line="240" w:lineRule="auto"/>
              <w:rPr>
                <w:rFonts w:ascii="Calibri" w:hAnsi="Calibri" w:cs="Calibri"/>
                <w:color w:val="000000"/>
              </w:rPr>
            </w:pPr>
            <w:r>
              <w:t>Total time all household members</w:t>
            </w:r>
          </w:p>
        </w:tc>
        <w:tc>
          <w:tcPr>
            <w:tcW w:w="2790" w:type="dxa"/>
            <w:tcBorders>
              <w:top w:val="nil"/>
              <w:left w:val="nil"/>
              <w:bottom w:val="single" w:sz="4" w:space="0" w:color="auto"/>
              <w:right w:val="single" w:sz="4" w:space="0" w:color="auto"/>
            </w:tcBorders>
            <w:shd w:val="clear" w:color="auto" w:fill="auto"/>
            <w:noWrap/>
            <w:vAlign w:val="bottom"/>
          </w:tcPr>
          <w:p w14:paraId="65F3630A" w14:textId="330F4944" w:rsidR="003320A0" w:rsidRDefault="002445A1" w:rsidP="003320A0">
            <w:pPr>
              <w:spacing w:after="0" w:line="240" w:lineRule="auto"/>
              <w:jc w:val="right"/>
              <w:rPr>
                <w:rFonts w:ascii="Calibri" w:hAnsi="Calibri" w:cs="Calibri"/>
                <w:color w:val="000000"/>
              </w:rPr>
            </w:pPr>
            <w:r>
              <w:rPr>
                <w:rFonts w:ascii="Calibri" w:hAnsi="Calibri" w:cs="Calibri"/>
                <w:color w:val="000000"/>
              </w:rPr>
              <w:t>-</w:t>
            </w:r>
            <w:r w:rsidR="00002C13" w:rsidRPr="00002C13">
              <w:rPr>
                <w:rFonts w:ascii="Calibri" w:hAnsi="Calibri" w:cs="Calibri"/>
                <w:color w:val="000000"/>
              </w:rPr>
              <w:t>18</w:t>
            </w:r>
            <w:r w:rsidR="00C7527A">
              <w:rPr>
                <w:rFonts w:ascii="Calibri" w:hAnsi="Calibri" w:cs="Calibri"/>
                <w:color w:val="000000"/>
              </w:rPr>
              <w:t>.</w:t>
            </w:r>
            <w:r w:rsidR="00002C13" w:rsidRPr="00002C13">
              <w:rPr>
                <w:rFonts w:ascii="Calibri" w:hAnsi="Calibri" w:cs="Calibri"/>
                <w:color w:val="000000"/>
              </w:rPr>
              <w:t>6</w:t>
            </w:r>
            <w:r w:rsidR="00C7527A">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vAlign w:val="bottom"/>
          </w:tcPr>
          <w:p w14:paraId="452B53C5" w14:textId="5C62D7E7" w:rsidR="003320A0" w:rsidRDefault="002445A1" w:rsidP="003320A0">
            <w:pPr>
              <w:spacing w:after="0" w:line="240" w:lineRule="auto"/>
              <w:jc w:val="right"/>
              <w:rPr>
                <w:rFonts w:ascii="Calibri" w:eastAsia="Times New Roman" w:hAnsi="Calibri" w:cs="Times New Roman"/>
                <w:color w:val="000000"/>
              </w:rPr>
            </w:pPr>
            <w:r w:rsidRPr="00E56AF5">
              <w:t>80%</w:t>
            </w:r>
          </w:p>
        </w:tc>
      </w:tr>
      <w:tr w:rsidR="002445A1" w:rsidRPr="00A26177" w14:paraId="09CA2BEC" w14:textId="77777777" w:rsidTr="0092243A">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4666821C" w14:textId="36253C50" w:rsidR="002445A1" w:rsidRDefault="002445A1" w:rsidP="003320A0">
            <w:pPr>
              <w:spacing w:after="0" w:line="240" w:lineRule="auto"/>
              <w:rPr>
                <w:rFonts w:ascii="Calibri" w:hAnsi="Calibri" w:cs="Calibri"/>
                <w:color w:val="000000"/>
              </w:rPr>
            </w:pPr>
            <w:r>
              <w:t>Total time spent preparing meals yesterday</w:t>
            </w:r>
          </w:p>
        </w:tc>
        <w:tc>
          <w:tcPr>
            <w:tcW w:w="2790" w:type="dxa"/>
            <w:tcBorders>
              <w:top w:val="nil"/>
              <w:left w:val="nil"/>
              <w:bottom w:val="single" w:sz="4" w:space="0" w:color="auto"/>
              <w:right w:val="single" w:sz="4" w:space="0" w:color="auto"/>
            </w:tcBorders>
            <w:shd w:val="clear" w:color="auto" w:fill="auto"/>
            <w:noWrap/>
            <w:vAlign w:val="bottom"/>
          </w:tcPr>
          <w:p w14:paraId="659A4BB4" w14:textId="421B1421" w:rsidR="002445A1" w:rsidRDefault="00763214" w:rsidP="003320A0">
            <w:pPr>
              <w:spacing w:after="0" w:line="240" w:lineRule="auto"/>
              <w:jc w:val="right"/>
              <w:rPr>
                <w:rFonts w:ascii="Calibri" w:hAnsi="Calibri" w:cs="Calibri"/>
                <w:color w:val="000000"/>
              </w:rPr>
            </w:pPr>
            <w:r>
              <w:rPr>
                <w:rFonts w:ascii="Calibri" w:hAnsi="Calibri" w:cs="Calibri"/>
                <w:color w:val="000000"/>
              </w:rPr>
              <w:t>-</w:t>
            </w:r>
            <w:r w:rsidRPr="00763214">
              <w:rPr>
                <w:rFonts w:ascii="Calibri" w:hAnsi="Calibri" w:cs="Calibri"/>
                <w:color w:val="000000"/>
              </w:rPr>
              <w:t>21</w:t>
            </w:r>
            <w:r w:rsidR="00E13164">
              <w:rPr>
                <w:rFonts w:ascii="Calibri" w:hAnsi="Calibri" w:cs="Calibri"/>
                <w:color w:val="000000"/>
              </w:rPr>
              <w:t>.2</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vAlign w:val="bottom"/>
          </w:tcPr>
          <w:p w14:paraId="6B5728EE" w14:textId="32513005" w:rsidR="002445A1" w:rsidRDefault="002445A1" w:rsidP="003320A0">
            <w:pPr>
              <w:spacing w:after="0" w:line="240" w:lineRule="auto"/>
              <w:jc w:val="right"/>
              <w:rPr>
                <w:rFonts w:ascii="Calibri" w:eastAsia="Times New Roman" w:hAnsi="Calibri" w:cs="Times New Roman"/>
                <w:color w:val="000000"/>
              </w:rPr>
            </w:pPr>
            <w:r w:rsidRPr="00E56AF5">
              <w:t>80%</w:t>
            </w:r>
          </w:p>
        </w:tc>
      </w:tr>
      <w:tr w:rsidR="00023B8D" w:rsidRPr="00A26177" w14:paraId="7525A048"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7AFD959E" w14:textId="612618EF" w:rsidR="00023B8D" w:rsidRDefault="00023B8D" w:rsidP="00023B8D">
            <w:pPr>
              <w:spacing w:after="0" w:line="240" w:lineRule="auto"/>
            </w:pPr>
            <w:r>
              <w:t xml:space="preserve">Time primary cook spent cooking in past 7 days </w:t>
            </w:r>
          </w:p>
        </w:tc>
        <w:tc>
          <w:tcPr>
            <w:tcW w:w="2790" w:type="dxa"/>
            <w:tcBorders>
              <w:top w:val="nil"/>
              <w:left w:val="nil"/>
              <w:bottom w:val="single" w:sz="4" w:space="0" w:color="auto"/>
              <w:right w:val="single" w:sz="4" w:space="0" w:color="auto"/>
            </w:tcBorders>
            <w:shd w:val="clear" w:color="auto" w:fill="auto"/>
            <w:noWrap/>
            <w:vAlign w:val="bottom"/>
          </w:tcPr>
          <w:p w14:paraId="6D61B6EC" w14:textId="6B7B8711" w:rsidR="00023B8D" w:rsidRDefault="00023B8D" w:rsidP="00023B8D">
            <w:pPr>
              <w:spacing w:after="0" w:line="240" w:lineRule="auto"/>
              <w:jc w:val="right"/>
              <w:rPr>
                <w:rFonts w:ascii="Calibri" w:hAnsi="Calibri" w:cs="Calibri"/>
                <w:color w:val="000000"/>
              </w:rPr>
            </w:pPr>
            <w:r>
              <w:rPr>
                <w:rFonts w:ascii="Calibri" w:hAnsi="Calibri" w:cs="Calibri"/>
                <w:color w:val="000000"/>
              </w:rPr>
              <w:t>-</w:t>
            </w:r>
            <w:r w:rsidRPr="00F511CA">
              <w:rPr>
                <w:rFonts w:ascii="Calibri" w:hAnsi="Calibri" w:cs="Calibri"/>
                <w:color w:val="000000"/>
              </w:rPr>
              <w:t>20</w:t>
            </w:r>
            <w:r>
              <w:rPr>
                <w:rFonts w:ascii="Calibri" w:hAnsi="Calibri" w:cs="Calibri"/>
                <w:color w:val="000000"/>
              </w:rPr>
              <w:t>.</w:t>
            </w:r>
            <w:r w:rsidRPr="00F511CA">
              <w:rPr>
                <w:rFonts w:ascii="Calibri" w:hAnsi="Calibri" w:cs="Calibri"/>
                <w:color w:val="000000"/>
              </w:rPr>
              <w:t>3</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58B3648F" w14:textId="379B0967" w:rsidR="00023B8D" w:rsidRPr="00E56AF5" w:rsidRDefault="00023B8D" w:rsidP="00023B8D">
            <w:pPr>
              <w:spacing w:after="0" w:line="240" w:lineRule="auto"/>
              <w:jc w:val="right"/>
            </w:pPr>
            <w:r w:rsidRPr="00593787">
              <w:t>80%</w:t>
            </w:r>
          </w:p>
        </w:tc>
      </w:tr>
      <w:tr w:rsidR="00023B8D" w:rsidRPr="00A26177" w14:paraId="48D3EAC2"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1E8C1716" w14:textId="3D1B268B" w:rsidR="00023B8D" w:rsidRDefault="00023B8D" w:rsidP="00023B8D">
            <w:pPr>
              <w:spacing w:after="0" w:line="240" w:lineRule="auto"/>
            </w:pPr>
            <w:r>
              <w:t>Time all household members spent cooking in past 7 days</w:t>
            </w:r>
          </w:p>
        </w:tc>
        <w:tc>
          <w:tcPr>
            <w:tcW w:w="2790" w:type="dxa"/>
            <w:tcBorders>
              <w:top w:val="nil"/>
              <w:left w:val="nil"/>
              <w:bottom w:val="single" w:sz="4" w:space="0" w:color="auto"/>
              <w:right w:val="single" w:sz="4" w:space="0" w:color="auto"/>
            </w:tcBorders>
            <w:shd w:val="clear" w:color="auto" w:fill="auto"/>
            <w:noWrap/>
            <w:vAlign w:val="bottom"/>
          </w:tcPr>
          <w:p w14:paraId="7F5E736A" w14:textId="011BE3E1" w:rsidR="00023B8D" w:rsidRPr="00F511CA" w:rsidRDefault="00023B8D" w:rsidP="00023B8D">
            <w:pPr>
              <w:spacing w:after="0" w:line="240" w:lineRule="auto"/>
              <w:jc w:val="right"/>
              <w:rPr>
                <w:rFonts w:ascii="Calibri" w:hAnsi="Calibri" w:cs="Calibri"/>
                <w:color w:val="000000"/>
              </w:rPr>
            </w:pPr>
            <w:r>
              <w:rPr>
                <w:rFonts w:ascii="Calibri" w:hAnsi="Calibri" w:cs="Calibri"/>
                <w:color w:val="000000"/>
              </w:rPr>
              <w:t>-</w:t>
            </w:r>
            <w:r w:rsidRPr="0093393C">
              <w:rPr>
                <w:rFonts w:ascii="Calibri" w:hAnsi="Calibri" w:cs="Calibri"/>
                <w:color w:val="000000"/>
              </w:rPr>
              <w:t>21</w:t>
            </w:r>
            <w:r>
              <w:rPr>
                <w:rFonts w:ascii="Calibri" w:hAnsi="Calibri" w:cs="Calibri"/>
                <w:color w:val="000000"/>
              </w:rPr>
              <w:t>.</w:t>
            </w:r>
            <w:r w:rsidRPr="0093393C">
              <w:rPr>
                <w:rFonts w:ascii="Calibri" w:hAnsi="Calibri" w:cs="Calibri"/>
                <w:color w:val="000000"/>
              </w:rPr>
              <w:t>7</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657EB433" w14:textId="51C481D1" w:rsidR="00023B8D" w:rsidRPr="00E56AF5" w:rsidRDefault="00023B8D" w:rsidP="00023B8D">
            <w:pPr>
              <w:spacing w:after="0" w:line="240" w:lineRule="auto"/>
              <w:jc w:val="right"/>
            </w:pPr>
            <w:r w:rsidRPr="00593787">
              <w:t>80%</w:t>
            </w:r>
          </w:p>
        </w:tc>
      </w:tr>
      <w:tr w:rsidR="00023B8D" w:rsidRPr="00A26177" w14:paraId="37D29636"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141BAAA" w14:textId="668081E4" w:rsidR="00023B8D" w:rsidRDefault="00023B8D" w:rsidP="00023B8D">
            <w:pPr>
              <w:spacing w:after="0" w:line="240" w:lineRule="auto"/>
            </w:pPr>
            <w:r>
              <w:t>Time primary cook spent washing dishes in past 7 days</w:t>
            </w:r>
          </w:p>
        </w:tc>
        <w:tc>
          <w:tcPr>
            <w:tcW w:w="2790" w:type="dxa"/>
            <w:tcBorders>
              <w:top w:val="nil"/>
              <w:left w:val="nil"/>
              <w:bottom w:val="single" w:sz="4" w:space="0" w:color="auto"/>
              <w:right w:val="single" w:sz="4" w:space="0" w:color="auto"/>
            </w:tcBorders>
            <w:shd w:val="clear" w:color="auto" w:fill="auto"/>
            <w:noWrap/>
            <w:vAlign w:val="bottom"/>
          </w:tcPr>
          <w:p w14:paraId="41A2CD78" w14:textId="545CF033" w:rsidR="00023B8D" w:rsidRDefault="00023B8D" w:rsidP="00023B8D">
            <w:pPr>
              <w:spacing w:after="0" w:line="240" w:lineRule="auto"/>
              <w:jc w:val="right"/>
              <w:rPr>
                <w:rFonts w:ascii="Calibri" w:hAnsi="Calibri" w:cs="Calibri"/>
                <w:color w:val="000000"/>
              </w:rPr>
            </w:pPr>
            <w:r>
              <w:rPr>
                <w:rFonts w:ascii="Calibri" w:hAnsi="Calibri" w:cs="Calibri"/>
                <w:color w:val="000000"/>
              </w:rPr>
              <w:t>-</w:t>
            </w:r>
            <w:r w:rsidRPr="00BB0B3D">
              <w:rPr>
                <w:rFonts w:ascii="Calibri" w:hAnsi="Calibri" w:cs="Calibri"/>
                <w:color w:val="000000"/>
              </w:rPr>
              <w:t>34</w:t>
            </w:r>
            <w:r>
              <w:rPr>
                <w:rFonts w:ascii="Calibri" w:hAnsi="Calibri" w:cs="Calibri"/>
                <w:color w:val="000000"/>
              </w:rPr>
              <w:t>.8%</w:t>
            </w:r>
          </w:p>
        </w:tc>
        <w:tc>
          <w:tcPr>
            <w:tcW w:w="2098" w:type="dxa"/>
            <w:tcBorders>
              <w:top w:val="nil"/>
              <w:left w:val="nil"/>
              <w:bottom w:val="single" w:sz="4" w:space="0" w:color="auto"/>
              <w:right w:val="single" w:sz="4" w:space="0" w:color="auto"/>
            </w:tcBorders>
            <w:shd w:val="clear" w:color="auto" w:fill="auto"/>
            <w:noWrap/>
          </w:tcPr>
          <w:p w14:paraId="1DB159E6" w14:textId="7AB5211D" w:rsidR="00023B8D" w:rsidRPr="00E56AF5" w:rsidRDefault="00023B8D" w:rsidP="00023B8D">
            <w:pPr>
              <w:spacing w:after="0" w:line="240" w:lineRule="auto"/>
              <w:jc w:val="right"/>
            </w:pPr>
            <w:r w:rsidRPr="00593787">
              <w:t>80%</w:t>
            </w:r>
          </w:p>
        </w:tc>
      </w:tr>
      <w:tr w:rsidR="00023B8D" w:rsidRPr="00A26177" w14:paraId="69FA7E76"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CE16860" w14:textId="5EA93798" w:rsidR="00023B8D" w:rsidRDefault="00023B8D" w:rsidP="00023B8D">
            <w:pPr>
              <w:spacing w:after="0" w:line="240" w:lineRule="auto"/>
            </w:pPr>
            <w:r>
              <w:t>Time all household members spent washing dishes in past 7 days</w:t>
            </w:r>
          </w:p>
        </w:tc>
        <w:tc>
          <w:tcPr>
            <w:tcW w:w="2790" w:type="dxa"/>
            <w:tcBorders>
              <w:top w:val="nil"/>
              <w:left w:val="nil"/>
              <w:bottom w:val="single" w:sz="4" w:space="0" w:color="auto"/>
              <w:right w:val="single" w:sz="4" w:space="0" w:color="auto"/>
            </w:tcBorders>
            <w:shd w:val="clear" w:color="auto" w:fill="auto"/>
            <w:noWrap/>
            <w:vAlign w:val="bottom"/>
          </w:tcPr>
          <w:p w14:paraId="2E6E0577" w14:textId="28DC380F" w:rsidR="00023B8D" w:rsidRDefault="00023B8D" w:rsidP="00023B8D">
            <w:pPr>
              <w:spacing w:after="0" w:line="240" w:lineRule="auto"/>
              <w:jc w:val="right"/>
              <w:rPr>
                <w:rFonts w:ascii="Calibri" w:hAnsi="Calibri" w:cs="Calibri"/>
                <w:color w:val="000000"/>
              </w:rPr>
            </w:pPr>
            <w:r>
              <w:rPr>
                <w:rFonts w:ascii="Calibri" w:hAnsi="Calibri" w:cs="Calibri"/>
                <w:color w:val="000000"/>
              </w:rPr>
              <w:t>-</w:t>
            </w:r>
            <w:r w:rsidRPr="00D50BE6">
              <w:rPr>
                <w:rFonts w:ascii="Calibri" w:hAnsi="Calibri" w:cs="Calibri"/>
                <w:color w:val="000000"/>
              </w:rPr>
              <w:t>31</w:t>
            </w:r>
            <w:r>
              <w:rPr>
                <w:rFonts w:ascii="Calibri" w:hAnsi="Calibri" w:cs="Calibri"/>
                <w:color w:val="000000"/>
              </w:rPr>
              <w:t>.</w:t>
            </w:r>
            <w:r w:rsidRPr="00D50BE6">
              <w:rPr>
                <w:rFonts w:ascii="Calibri" w:hAnsi="Calibri" w:cs="Calibri"/>
                <w:color w:val="000000"/>
              </w:rPr>
              <w:t>6</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4DD470DC" w14:textId="11C44ED9" w:rsidR="00023B8D" w:rsidRPr="00E56AF5" w:rsidRDefault="00023B8D" w:rsidP="00023B8D">
            <w:pPr>
              <w:spacing w:after="0" w:line="240" w:lineRule="auto"/>
              <w:jc w:val="right"/>
            </w:pPr>
            <w:r w:rsidRPr="00593787">
              <w:t>80%</w:t>
            </w:r>
          </w:p>
        </w:tc>
      </w:tr>
      <w:tr w:rsidR="00023B8D" w:rsidRPr="00A26177" w14:paraId="407A0230"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35461A8" w14:textId="733E473F" w:rsidR="00023B8D" w:rsidRDefault="00023B8D" w:rsidP="00023B8D">
            <w:pPr>
              <w:spacing w:after="0" w:line="240" w:lineRule="auto"/>
            </w:pPr>
            <w:r>
              <w:t>Time primary cook spent cleaning the kitchen in past 7 days</w:t>
            </w:r>
          </w:p>
        </w:tc>
        <w:tc>
          <w:tcPr>
            <w:tcW w:w="2790" w:type="dxa"/>
            <w:tcBorders>
              <w:top w:val="nil"/>
              <w:left w:val="nil"/>
              <w:bottom w:val="single" w:sz="4" w:space="0" w:color="auto"/>
              <w:right w:val="single" w:sz="4" w:space="0" w:color="auto"/>
            </w:tcBorders>
            <w:shd w:val="clear" w:color="auto" w:fill="auto"/>
            <w:noWrap/>
            <w:vAlign w:val="bottom"/>
          </w:tcPr>
          <w:p w14:paraId="47332C6B" w14:textId="6E5E6BF5" w:rsidR="00023B8D" w:rsidRDefault="00023B8D" w:rsidP="00023B8D">
            <w:pPr>
              <w:spacing w:after="0" w:line="240" w:lineRule="auto"/>
              <w:jc w:val="right"/>
              <w:rPr>
                <w:rFonts w:ascii="Calibri" w:hAnsi="Calibri" w:cs="Calibri"/>
                <w:color w:val="000000"/>
              </w:rPr>
            </w:pPr>
            <w:r>
              <w:rPr>
                <w:rFonts w:ascii="Calibri" w:hAnsi="Calibri" w:cs="Calibri"/>
                <w:color w:val="000000"/>
              </w:rPr>
              <w:t>-</w:t>
            </w:r>
            <w:r w:rsidRPr="0010353A">
              <w:rPr>
                <w:rFonts w:ascii="Calibri" w:hAnsi="Calibri" w:cs="Calibri"/>
                <w:color w:val="000000"/>
              </w:rPr>
              <w:t>33</w:t>
            </w:r>
            <w:r>
              <w:rPr>
                <w:rFonts w:ascii="Calibri" w:hAnsi="Calibri" w:cs="Calibri"/>
                <w:color w:val="000000"/>
              </w:rPr>
              <w:t>.</w:t>
            </w:r>
            <w:r w:rsidRPr="0010353A">
              <w:rPr>
                <w:rFonts w:ascii="Calibri" w:hAnsi="Calibri" w:cs="Calibri"/>
                <w:color w:val="000000"/>
              </w:rPr>
              <w:t>3</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113BDC2A" w14:textId="3311914E" w:rsidR="00023B8D" w:rsidRPr="00E56AF5" w:rsidRDefault="00023B8D" w:rsidP="00023B8D">
            <w:pPr>
              <w:spacing w:after="0" w:line="240" w:lineRule="auto"/>
              <w:jc w:val="right"/>
            </w:pPr>
            <w:r w:rsidRPr="00593787">
              <w:t>80%</w:t>
            </w:r>
          </w:p>
        </w:tc>
      </w:tr>
      <w:tr w:rsidR="00023B8D" w:rsidRPr="00A26177" w14:paraId="4EB5D346"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66112F7D" w14:textId="57A0C7EC" w:rsidR="00023B8D" w:rsidRDefault="00023B8D" w:rsidP="00023B8D">
            <w:pPr>
              <w:spacing w:after="0" w:line="240" w:lineRule="auto"/>
            </w:pPr>
            <w:r>
              <w:t>Time all household members spent cleaning the kitchen in past 7 days</w:t>
            </w:r>
          </w:p>
        </w:tc>
        <w:tc>
          <w:tcPr>
            <w:tcW w:w="2790" w:type="dxa"/>
            <w:tcBorders>
              <w:top w:val="nil"/>
              <w:left w:val="nil"/>
              <w:bottom w:val="single" w:sz="4" w:space="0" w:color="auto"/>
              <w:right w:val="single" w:sz="4" w:space="0" w:color="auto"/>
            </w:tcBorders>
            <w:shd w:val="clear" w:color="auto" w:fill="auto"/>
            <w:noWrap/>
            <w:vAlign w:val="bottom"/>
          </w:tcPr>
          <w:p w14:paraId="3C57BCB5" w14:textId="1AC267D3" w:rsidR="00023B8D" w:rsidRDefault="00023B8D" w:rsidP="00023B8D">
            <w:pPr>
              <w:spacing w:after="0" w:line="240" w:lineRule="auto"/>
              <w:jc w:val="right"/>
              <w:rPr>
                <w:rFonts w:ascii="Calibri" w:hAnsi="Calibri" w:cs="Calibri"/>
                <w:color w:val="000000"/>
              </w:rPr>
            </w:pPr>
            <w:r>
              <w:rPr>
                <w:rFonts w:ascii="Calibri" w:hAnsi="Calibri" w:cs="Calibri"/>
                <w:color w:val="000000"/>
              </w:rPr>
              <w:t>-</w:t>
            </w:r>
            <w:r w:rsidRPr="00684B7F">
              <w:rPr>
                <w:rFonts w:ascii="Calibri" w:hAnsi="Calibri" w:cs="Calibri"/>
                <w:color w:val="000000"/>
              </w:rPr>
              <w:t>32</w:t>
            </w:r>
            <w:r>
              <w:rPr>
                <w:rFonts w:ascii="Calibri" w:hAnsi="Calibri" w:cs="Calibri"/>
                <w:color w:val="000000"/>
              </w:rPr>
              <w:t>.</w:t>
            </w:r>
            <w:r w:rsidRPr="00684B7F">
              <w:rPr>
                <w:rFonts w:ascii="Calibri" w:hAnsi="Calibri" w:cs="Calibri"/>
                <w:color w:val="000000"/>
              </w:rPr>
              <w:t>1</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0CEF2D9F" w14:textId="44003933" w:rsidR="00023B8D" w:rsidRPr="00E56AF5" w:rsidRDefault="00023B8D" w:rsidP="00023B8D">
            <w:pPr>
              <w:spacing w:after="0" w:line="240" w:lineRule="auto"/>
              <w:jc w:val="right"/>
            </w:pPr>
            <w:r w:rsidRPr="00593787">
              <w:t>80%</w:t>
            </w:r>
          </w:p>
        </w:tc>
      </w:tr>
      <w:tr w:rsidR="00023B8D" w:rsidRPr="00A26177" w14:paraId="29B14495"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1DD18EEB" w14:textId="53F995F7" w:rsidR="00023B8D" w:rsidRDefault="00023B8D" w:rsidP="00023B8D">
            <w:pPr>
              <w:spacing w:after="0" w:line="240" w:lineRule="auto"/>
            </w:pPr>
            <w:r>
              <w:t>Time all household members spent gathering fuel in the past 7 days</w:t>
            </w:r>
          </w:p>
        </w:tc>
        <w:tc>
          <w:tcPr>
            <w:tcW w:w="2790" w:type="dxa"/>
            <w:tcBorders>
              <w:top w:val="nil"/>
              <w:left w:val="nil"/>
              <w:bottom w:val="single" w:sz="4" w:space="0" w:color="auto"/>
              <w:right w:val="single" w:sz="4" w:space="0" w:color="auto"/>
            </w:tcBorders>
            <w:shd w:val="clear" w:color="auto" w:fill="auto"/>
            <w:noWrap/>
            <w:vAlign w:val="bottom"/>
          </w:tcPr>
          <w:p w14:paraId="0B64A185" w14:textId="4882A64A" w:rsidR="00023B8D" w:rsidRDefault="00023B8D" w:rsidP="00023B8D">
            <w:pPr>
              <w:spacing w:after="0" w:line="240" w:lineRule="auto"/>
              <w:jc w:val="right"/>
              <w:rPr>
                <w:rFonts w:ascii="Calibri" w:hAnsi="Calibri" w:cs="Calibri"/>
                <w:color w:val="000000"/>
              </w:rPr>
            </w:pPr>
            <w:r>
              <w:rPr>
                <w:rFonts w:ascii="Calibri" w:hAnsi="Calibri" w:cs="Calibri"/>
                <w:color w:val="000000"/>
              </w:rPr>
              <w:t>-</w:t>
            </w:r>
            <w:r w:rsidRPr="00710C6D">
              <w:rPr>
                <w:rFonts w:ascii="Calibri" w:hAnsi="Calibri" w:cs="Calibri"/>
                <w:color w:val="000000"/>
              </w:rPr>
              <w:t>75</w:t>
            </w:r>
            <w:r>
              <w:rPr>
                <w:rFonts w:ascii="Calibri" w:hAnsi="Calibri" w:cs="Calibri"/>
                <w:color w:val="000000"/>
              </w:rPr>
              <w:t>.</w:t>
            </w:r>
            <w:r w:rsidRPr="00710C6D">
              <w:rPr>
                <w:rFonts w:ascii="Calibri" w:hAnsi="Calibri" w:cs="Calibri"/>
                <w:color w:val="000000"/>
              </w:rPr>
              <w:t>8</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2E951E1F" w14:textId="579F2787" w:rsidR="00023B8D" w:rsidRPr="00E56AF5" w:rsidRDefault="00023B8D" w:rsidP="00023B8D">
            <w:pPr>
              <w:spacing w:after="0" w:line="240" w:lineRule="auto"/>
              <w:jc w:val="right"/>
            </w:pPr>
            <w:r w:rsidRPr="00593787">
              <w:t>80%</w:t>
            </w:r>
          </w:p>
        </w:tc>
      </w:tr>
      <w:tr w:rsidR="00023B8D" w:rsidRPr="00A26177" w14:paraId="4D4B8E28"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70E91B60" w14:textId="7E273475" w:rsidR="00023B8D" w:rsidRDefault="00023B8D" w:rsidP="00023B8D">
            <w:pPr>
              <w:spacing w:after="0" w:line="240" w:lineRule="auto"/>
            </w:pPr>
            <w:r>
              <w:t>Time primary cook spent cooking for sale over the past 7 days</w:t>
            </w:r>
          </w:p>
        </w:tc>
        <w:tc>
          <w:tcPr>
            <w:tcW w:w="2790" w:type="dxa"/>
            <w:tcBorders>
              <w:top w:val="nil"/>
              <w:left w:val="nil"/>
              <w:bottom w:val="single" w:sz="4" w:space="0" w:color="auto"/>
              <w:right w:val="single" w:sz="4" w:space="0" w:color="auto"/>
            </w:tcBorders>
            <w:shd w:val="clear" w:color="auto" w:fill="auto"/>
            <w:noWrap/>
            <w:vAlign w:val="bottom"/>
          </w:tcPr>
          <w:p w14:paraId="39CC1C59" w14:textId="5CDC9550" w:rsidR="00023B8D" w:rsidRDefault="00023B8D" w:rsidP="00023B8D">
            <w:pPr>
              <w:spacing w:after="0" w:line="240" w:lineRule="auto"/>
              <w:jc w:val="right"/>
              <w:rPr>
                <w:rFonts w:ascii="Calibri" w:hAnsi="Calibri" w:cs="Calibri"/>
                <w:color w:val="000000"/>
              </w:rPr>
            </w:pPr>
            <w:r>
              <w:rPr>
                <w:rFonts w:ascii="Calibri" w:hAnsi="Calibri" w:cs="Calibri"/>
                <w:color w:val="000000"/>
              </w:rPr>
              <w:t>-</w:t>
            </w:r>
            <w:r w:rsidRPr="001829BA">
              <w:rPr>
                <w:rFonts w:ascii="Calibri" w:hAnsi="Calibri" w:cs="Calibri"/>
                <w:color w:val="000000"/>
              </w:rPr>
              <w:t>61</w:t>
            </w:r>
            <w:r>
              <w:rPr>
                <w:rFonts w:ascii="Calibri" w:hAnsi="Calibri" w:cs="Calibri"/>
                <w:color w:val="000000"/>
              </w:rPr>
              <w:t>.</w:t>
            </w:r>
            <w:r w:rsidRPr="001829BA">
              <w:rPr>
                <w:rFonts w:ascii="Calibri" w:hAnsi="Calibri" w:cs="Calibri"/>
                <w:color w:val="000000"/>
              </w:rPr>
              <w:t>1</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66686084" w14:textId="0FBC4342" w:rsidR="00023B8D" w:rsidRPr="00E56AF5" w:rsidRDefault="00023B8D" w:rsidP="00023B8D">
            <w:pPr>
              <w:spacing w:after="0" w:line="240" w:lineRule="auto"/>
              <w:jc w:val="right"/>
            </w:pPr>
            <w:r w:rsidRPr="00593787">
              <w:t>80%</w:t>
            </w:r>
          </w:p>
        </w:tc>
      </w:tr>
      <w:tr w:rsidR="00023B8D" w:rsidRPr="00A26177" w14:paraId="1BF45D4A"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76C7569F" w14:textId="0A1BFD5E" w:rsidR="00023B8D" w:rsidRDefault="00023B8D" w:rsidP="00023B8D">
            <w:pPr>
              <w:spacing w:after="0" w:line="240" w:lineRule="auto"/>
            </w:pPr>
            <w:r>
              <w:t>Time all other household members spent cooking for sale over the past 7 days</w:t>
            </w:r>
          </w:p>
        </w:tc>
        <w:tc>
          <w:tcPr>
            <w:tcW w:w="2790" w:type="dxa"/>
            <w:tcBorders>
              <w:top w:val="nil"/>
              <w:left w:val="nil"/>
              <w:bottom w:val="single" w:sz="4" w:space="0" w:color="auto"/>
              <w:right w:val="single" w:sz="4" w:space="0" w:color="auto"/>
            </w:tcBorders>
            <w:shd w:val="clear" w:color="auto" w:fill="auto"/>
            <w:noWrap/>
            <w:vAlign w:val="bottom"/>
          </w:tcPr>
          <w:p w14:paraId="585319AE" w14:textId="03FED02F" w:rsidR="00023B8D" w:rsidRDefault="00023B8D" w:rsidP="00023B8D">
            <w:pPr>
              <w:spacing w:after="0" w:line="240" w:lineRule="auto"/>
              <w:jc w:val="right"/>
              <w:rPr>
                <w:rFonts w:ascii="Calibri" w:hAnsi="Calibri" w:cs="Calibri"/>
                <w:color w:val="000000"/>
              </w:rPr>
            </w:pPr>
            <w:r>
              <w:rPr>
                <w:rFonts w:ascii="Calibri" w:hAnsi="Calibri" w:cs="Calibri"/>
                <w:color w:val="000000"/>
              </w:rPr>
              <w:t>-</w:t>
            </w:r>
            <w:r w:rsidRPr="0038108D">
              <w:rPr>
                <w:rFonts w:ascii="Calibri" w:hAnsi="Calibri" w:cs="Calibri"/>
                <w:color w:val="000000"/>
              </w:rPr>
              <w:t>124</w:t>
            </w:r>
            <w:r>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tcPr>
          <w:p w14:paraId="070D153C" w14:textId="446CECF4" w:rsidR="00023B8D" w:rsidRPr="00E56AF5" w:rsidRDefault="00023B8D" w:rsidP="00023B8D">
            <w:pPr>
              <w:spacing w:after="0" w:line="240" w:lineRule="auto"/>
              <w:jc w:val="right"/>
            </w:pPr>
            <w:r w:rsidRPr="00593787">
              <w:t>80%</w:t>
            </w:r>
          </w:p>
        </w:tc>
      </w:tr>
      <w:tr w:rsidR="00023B8D" w:rsidRPr="00A26177" w14:paraId="22B1C5B1" w14:textId="77777777" w:rsidTr="001B7188">
        <w:trPr>
          <w:trHeight w:val="359"/>
        </w:trPr>
        <w:tc>
          <w:tcPr>
            <w:tcW w:w="9203" w:type="dxa"/>
            <w:gridSpan w:val="3"/>
            <w:tcBorders>
              <w:top w:val="nil"/>
              <w:left w:val="single" w:sz="4" w:space="0" w:color="auto"/>
              <w:bottom w:val="single" w:sz="4" w:space="0" w:color="auto"/>
              <w:right w:val="single" w:sz="4" w:space="0" w:color="auto"/>
            </w:tcBorders>
            <w:shd w:val="clear" w:color="auto" w:fill="auto"/>
            <w:noWrap/>
            <w:vAlign w:val="bottom"/>
          </w:tcPr>
          <w:p w14:paraId="6FBC37B3" w14:textId="1598A66F" w:rsidR="00023B8D" w:rsidRPr="001B7188" w:rsidRDefault="00023B8D" w:rsidP="001B7188">
            <w:pPr>
              <w:spacing w:after="0" w:line="240" w:lineRule="auto"/>
              <w:rPr>
                <w:rFonts w:ascii="Calibri" w:eastAsia="Times New Roman" w:hAnsi="Calibri" w:cs="Times New Roman"/>
                <w:i/>
                <w:iCs/>
                <w:color w:val="000000"/>
              </w:rPr>
            </w:pPr>
            <w:r w:rsidRPr="001B7188">
              <w:rPr>
                <w:rFonts w:ascii="Calibri" w:hAnsi="Calibri" w:cs="Calibri"/>
                <w:i/>
                <w:iCs/>
                <w:color w:val="000000"/>
              </w:rPr>
              <w:t xml:space="preserve">Use of charcoal </w:t>
            </w:r>
          </w:p>
        </w:tc>
      </w:tr>
      <w:tr w:rsidR="003320A0" w:rsidRPr="00A26177" w14:paraId="7A03D200"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18F9CDED" w14:textId="558B6FE5" w:rsidR="003320A0" w:rsidRDefault="00826F59" w:rsidP="003320A0">
            <w:pPr>
              <w:spacing w:after="0" w:line="240" w:lineRule="auto"/>
              <w:rPr>
                <w:rFonts w:ascii="Calibri" w:hAnsi="Calibri" w:cs="Calibri"/>
                <w:color w:val="000000"/>
              </w:rPr>
            </w:pPr>
            <w:r>
              <w:t xml:space="preserve">Number of kg of charcoal used in the past month </w:t>
            </w:r>
          </w:p>
        </w:tc>
        <w:tc>
          <w:tcPr>
            <w:tcW w:w="2790" w:type="dxa"/>
            <w:tcBorders>
              <w:top w:val="nil"/>
              <w:left w:val="nil"/>
              <w:bottom w:val="single" w:sz="4" w:space="0" w:color="auto"/>
              <w:right w:val="single" w:sz="4" w:space="0" w:color="auto"/>
            </w:tcBorders>
            <w:shd w:val="clear" w:color="auto" w:fill="auto"/>
            <w:noWrap/>
            <w:vAlign w:val="bottom"/>
          </w:tcPr>
          <w:p w14:paraId="425DC089" w14:textId="615086CC" w:rsidR="003320A0" w:rsidRDefault="00023B8D" w:rsidP="003320A0">
            <w:pPr>
              <w:spacing w:after="0" w:line="240" w:lineRule="auto"/>
              <w:jc w:val="right"/>
              <w:rPr>
                <w:rFonts w:ascii="Calibri" w:hAnsi="Calibri" w:cs="Calibri"/>
                <w:color w:val="000000"/>
              </w:rPr>
            </w:pPr>
            <w:r>
              <w:rPr>
                <w:rFonts w:ascii="Calibri" w:hAnsi="Calibri" w:cs="Calibri"/>
                <w:color w:val="000000"/>
              </w:rPr>
              <w:t>-</w:t>
            </w:r>
            <w:r w:rsidRPr="00023B8D">
              <w:rPr>
                <w:rFonts w:ascii="Calibri" w:hAnsi="Calibri" w:cs="Calibri"/>
                <w:color w:val="000000"/>
              </w:rPr>
              <w:t>31</w:t>
            </w:r>
            <w:r>
              <w:rPr>
                <w:rFonts w:ascii="Calibri" w:hAnsi="Calibri" w:cs="Calibri"/>
                <w:color w:val="000000"/>
              </w:rPr>
              <w:t>.</w:t>
            </w:r>
            <w:r w:rsidRPr="00023B8D">
              <w:rPr>
                <w:rFonts w:ascii="Calibri" w:hAnsi="Calibri" w:cs="Calibri"/>
                <w:color w:val="000000"/>
              </w:rPr>
              <w:t>3</w:t>
            </w:r>
            <w:r>
              <w:rPr>
                <w:rFonts w:ascii="Calibri" w:hAnsi="Calibri" w:cs="Calibri"/>
                <w:color w:val="000000"/>
              </w:rPr>
              <w:t>%</w:t>
            </w:r>
            <w:r w:rsidRPr="00023B8D" w:rsidDel="003320A0">
              <w:rPr>
                <w:rFonts w:ascii="Calibri" w:hAnsi="Calibri" w:cs="Calibri"/>
                <w:color w:val="000000"/>
              </w:rPr>
              <w:t xml:space="preserve"> </w:t>
            </w:r>
          </w:p>
        </w:tc>
        <w:tc>
          <w:tcPr>
            <w:tcW w:w="2098" w:type="dxa"/>
            <w:tcBorders>
              <w:top w:val="nil"/>
              <w:left w:val="nil"/>
              <w:bottom w:val="single" w:sz="4" w:space="0" w:color="auto"/>
              <w:right w:val="single" w:sz="4" w:space="0" w:color="auto"/>
            </w:tcBorders>
            <w:shd w:val="clear" w:color="auto" w:fill="auto"/>
            <w:noWrap/>
            <w:vAlign w:val="bottom"/>
          </w:tcPr>
          <w:p w14:paraId="21B00D88" w14:textId="69501B72" w:rsidR="003320A0" w:rsidRDefault="00023B8D" w:rsidP="003320A0">
            <w:pPr>
              <w:spacing w:after="0" w:line="240" w:lineRule="auto"/>
              <w:jc w:val="right"/>
              <w:rPr>
                <w:rFonts w:ascii="Calibri" w:eastAsia="Times New Roman" w:hAnsi="Calibri" w:cs="Times New Roman"/>
                <w:color w:val="000000"/>
              </w:rPr>
            </w:pPr>
            <w:r w:rsidRPr="00E56AF5">
              <w:t>80%</w:t>
            </w:r>
          </w:p>
        </w:tc>
      </w:tr>
      <w:tr w:rsidR="003320A0" w:rsidRPr="00A26177" w14:paraId="44F90A88" w14:textId="77777777" w:rsidTr="00021EFB">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74DFB05" w14:textId="4139CE5D" w:rsidR="003320A0" w:rsidRPr="00A26177" w:rsidRDefault="00FC64D7" w:rsidP="003320A0">
            <w:pPr>
              <w:spacing w:after="0" w:line="240" w:lineRule="auto"/>
              <w:rPr>
                <w:rFonts w:ascii="Calibri" w:eastAsia="Times New Roman" w:hAnsi="Calibri" w:cs="Times New Roman"/>
                <w:color w:val="000000"/>
              </w:rPr>
            </w:pPr>
            <w:r>
              <w:t xml:space="preserve">Cost of charcoal consumption in past month </w:t>
            </w:r>
          </w:p>
        </w:tc>
        <w:tc>
          <w:tcPr>
            <w:tcW w:w="2790" w:type="dxa"/>
            <w:tcBorders>
              <w:top w:val="nil"/>
              <w:left w:val="nil"/>
              <w:bottom w:val="single" w:sz="4" w:space="0" w:color="auto"/>
              <w:right w:val="single" w:sz="4" w:space="0" w:color="auto"/>
            </w:tcBorders>
            <w:shd w:val="clear" w:color="auto" w:fill="auto"/>
            <w:noWrap/>
            <w:vAlign w:val="bottom"/>
          </w:tcPr>
          <w:p w14:paraId="65A3CA01" w14:textId="61AE997A" w:rsidR="003320A0" w:rsidRPr="00A26177" w:rsidRDefault="0010419E" w:rsidP="003320A0">
            <w:pPr>
              <w:spacing w:after="0" w:line="240" w:lineRule="auto"/>
              <w:jc w:val="right"/>
              <w:rPr>
                <w:rFonts w:ascii="Calibri" w:eastAsia="Times New Roman" w:hAnsi="Calibri" w:cs="Times New Roman"/>
                <w:color w:val="000000"/>
              </w:rPr>
            </w:pPr>
            <w:r>
              <w:rPr>
                <w:rFonts w:ascii="Calibri" w:hAnsi="Calibri" w:cs="Calibri"/>
                <w:color w:val="000000"/>
              </w:rPr>
              <w:t>-</w:t>
            </w:r>
            <w:r w:rsidR="009660D8">
              <w:t xml:space="preserve"> </w:t>
            </w:r>
            <w:r w:rsidR="009660D8" w:rsidRPr="009660D8">
              <w:rPr>
                <w:rFonts w:ascii="Calibri" w:hAnsi="Calibri" w:cs="Calibri"/>
                <w:color w:val="000000"/>
              </w:rPr>
              <w:t>37</w:t>
            </w:r>
            <w:r w:rsidR="009660D8">
              <w:rPr>
                <w:rFonts w:ascii="Calibri" w:hAnsi="Calibri" w:cs="Calibri"/>
                <w:color w:val="000000"/>
              </w:rPr>
              <w:t>.</w:t>
            </w:r>
            <w:r w:rsidR="009660D8" w:rsidRPr="009660D8">
              <w:rPr>
                <w:rFonts w:ascii="Calibri" w:hAnsi="Calibri" w:cs="Calibri"/>
                <w:color w:val="000000"/>
              </w:rPr>
              <w:t>4</w:t>
            </w:r>
            <w:r w:rsidR="009660D8">
              <w:rPr>
                <w:rFonts w:ascii="Calibri" w:hAnsi="Calibri" w:cs="Calibri"/>
                <w:color w:val="000000"/>
              </w:rPr>
              <w:t>%</w:t>
            </w:r>
          </w:p>
        </w:tc>
        <w:tc>
          <w:tcPr>
            <w:tcW w:w="2098" w:type="dxa"/>
            <w:tcBorders>
              <w:top w:val="nil"/>
              <w:left w:val="nil"/>
              <w:bottom w:val="single" w:sz="4" w:space="0" w:color="auto"/>
              <w:right w:val="single" w:sz="4" w:space="0" w:color="auto"/>
            </w:tcBorders>
            <w:shd w:val="clear" w:color="auto" w:fill="auto"/>
            <w:noWrap/>
            <w:vAlign w:val="bottom"/>
          </w:tcPr>
          <w:p w14:paraId="4CDC92D0" w14:textId="599B1677" w:rsidR="003320A0" w:rsidRPr="00A26177" w:rsidRDefault="005125ED" w:rsidP="003320A0">
            <w:pPr>
              <w:spacing w:after="0" w:line="240" w:lineRule="auto"/>
              <w:jc w:val="right"/>
              <w:rPr>
                <w:rFonts w:ascii="Calibri" w:eastAsia="Times New Roman" w:hAnsi="Calibri" w:cs="Times New Roman"/>
                <w:color w:val="000000"/>
              </w:rPr>
            </w:pPr>
            <w:r w:rsidRPr="00E56AF5">
              <w:t>80%</w:t>
            </w:r>
          </w:p>
        </w:tc>
      </w:tr>
      <w:tr w:rsidR="003320A0" w:rsidRPr="00A26177" w14:paraId="5C49DE97" w14:textId="77777777" w:rsidTr="001B7188">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2115DC80" w14:textId="2DB9A91A" w:rsidR="003320A0" w:rsidRPr="00A26177" w:rsidRDefault="008866DE" w:rsidP="003320A0">
            <w:pPr>
              <w:spacing w:after="0" w:line="240" w:lineRule="auto"/>
              <w:rPr>
                <w:rFonts w:ascii="Calibri" w:eastAsia="Times New Roman" w:hAnsi="Calibri" w:cs="Times New Roman"/>
                <w:color w:val="000000"/>
              </w:rPr>
            </w:pPr>
            <w:r>
              <w:t xml:space="preserve">Charcoal stove is primary stove </w:t>
            </w:r>
          </w:p>
        </w:tc>
        <w:tc>
          <w:tcPr>
            <w:tcW w:w="2790" w:type="dxa"/>
            <w:tcBorders>
              <w:top w:val="nil"/>
              <w:left w:val="nil"/>
              <w:bottom w:val="single" w:sz="4" w:space="0" w:color="auto"/>
              <w:right w:val="single" w:sz="4" w:space="0" w:color="auto"/>
            </w:tcBorders>
            <w:shd w:val="clear" w:color="auto" w:fill="auto"/>
            <w:noWrap/>
            <w:vAlign w:val="bottom"/>
          </w:tcPr>
          <w:p w14:paraId="5EB8CCDA" w14:textId="46991B11" w:rsidR="003320A0" w:rsidRPr="00A26177" w:rsidRDefault="00B13AF8" w:rsidP="003320A0">
            <w:pPr>
              <w:spacing w:after="0" w:line="240" w:lineRule="auto"/>
              <w:jc w:val="right"/>
              <w:rPr>
                <w:rFonts w:ascii="Calibri" w:eastAsia="Times New Roman" w:hAnsi="Calibri" w:cs="Times New Roman"/>
                <w:color w:val="000000"/>
              </w:rPr>
            </w:pPr>
            <w:r>
              <w:rPr>
                <w:rFonts w:ascii="Calibri" w:hAnsi="Calibri" w:cs="Calibri"/>
                <w:color w:val="000000"/>
              </w:rPr>
              <w:t>-</w:t>
            </w:r>
            <w:r w:rsidR="00C41A7B">
              <w:t xml:space="preserve"> </w:t>
            </w:r>
            <w:r w:rsidR="00C41A7B" w:rsidRPr="00C41A7B">
              <w:rPr>
                <w:rFonts w:ascii="Calibri" w:hAnsi="Calibri" w:cs="Calibri"/>
                <w:color w:val="000000"/>
              </w:rPr>
              <w:t>13</w:t>
            </w:r>
            <w:r w:rsidR="00C41A7B">
              <w:rPr>
                <w:rFonts w:ascii="Calibri" w:hAnsi="Calibri" w:cs="Calibri"/>
                <w:color w:val="000000"/>
              </w:rPr>
              <w:t>.4</w:t>
            </w:r>
            <w:r>
              <w:rPr>
                <w:rFonts w:ascii="Calibri" w:hAnsi="Calibri" w:cs="Calibri"/>
                <w:color w:val="000000"/>
              </w:rPr>
              <w:t>%</w:t>
            </w:r>
            <w:r w:rsidR="009440C7" w:rsidRPr="009440C7" w:rsidDel="003320A0">
              <w:rPr>
                <w:rFonts w:ascii="Calibri" w:hAnsi="Calibri" w:cs="Calibri"/>
                <w:color w:val="000000"/>
              </w:rPr>
              <w:t xml:space="preserve"> </w:t>
            </w:r>
          </w:p>
        </w:tc>
        <w:tc>
          <w:tcPr>
            <w:tcW w:w="2098" w:type="dxa"/>
            <w:tcBorders>
              <w:top w:val="nil"/>
              <w:left w:val="nil"/>
              <w:bottom w:val="single" w:sz="4" w:space="0" w:color="auto"/>
              <w:right w:val="single" w:sz="4" w:space="0" w:color="auto"/>
            </w:tcBorders>
            <w:shd w:val="clear" w:color="auto" w:fill="auto"/>
            <w:noWrap/>
          </w:tcPr>
          <w:p w14:paraId="3E65A3CE" w14:textId="577E0EA3" w:rsidR="003320A0" w:rsidRPr="00A26177" w:rsidRDefault="005125ED" w:rsidP="003320A0">
            <w:pPr>
              <w:spacing w:after="0" w:line="240" w:lineRule="auto"/>
              <w:jc w:val="right"/>
              <w:rPr>
                <w:rFonts w:ascii="Calibri" w:eastAsia="Times New Roman" w:hAnsi="Calibri" w:cs="Times New Roman"/>
                <w:color w:val="000000"/>
              </w:rPr>
            </w:pPr>
            <w:r w:rsidRPr="00E56AF5">
              <w:t>80%</w:t>
            </w:r>
          </w:p>
        </w:tc>
      </w:tr>
      <w:tr w:rsidR="003320A0" w:rsidRPr="00A26177" w14:paraId="5CDDE217" w14:textId="77777777" w:rsidTr="0092243A">
        <w:trPr>
          <w:trHeight w:val="293"/>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1EE6787E" w14:textId="3524B814" w:rsidR="003320A0" w:rsidRDefault="005125ED" w:rsidP="003320A0">
            <w:pPr>
              <w:spacing w:after="0" w:line="240" w:lineRule="auto"/>
              <w:rPr>
                <w:rFonts w:ascii="Calibri" w:hAnsi="Calibri" w:cs="Calibri"/>
                <w:color w:val="000000"/>
              </w:rPr>
            </w:pPr>
            <w:r>
              <w:t>Charcoal stove is used daily</w:t>
            </w:r>
          </w:p>
        </w:tc>
        <w:tc>
          <w:tcPr>
            <w:tcW w:w="2790" w:type="dxa"/>
            <w:tcBorders>
              <w:top w:val="nil"/>
              <w:left w:val="nil"/>
              <w:bottom w:val="single" w:sz="4" w:space="0" w:color="auto"/>
              <w:right w:val="single" w:sz="4" w:space="0" w:color="auto"/>
            </w:tcBorders>
            <w:shd w:val="clear" w:color="auto" w:fill="auto"/>
            <w:noWrap/>
            <w:vAlign w:val="bottom"/>
          </w:tcPr>
          <w:p w14:paraId="0AA92BE7" w14:textId="06C6080A" w:rsidR="003320A0" w:rsidRDefault="00861934" w:rsidP="003320A0">
            <w:pPr>
              <w:spacing w:after="0" w:line="240" w:lineRule="auto"/>
              <w:jc w:val="right"/>
              <w:rPr>
                <w:rFonts w:ascii="Calibri" w:hAnsi="Calibri" w:cs="Calibri"/>
                <w:color w:val="000000"/>
              </w:rPr>
            </w:pPr>
            <w:r>
              <w:rPr>
                <w:rFonts w:ascii="Calibri" w:hAnsi="Calibri" w:cs="Calibri"/>
                <w:color w:val="000000"/>
              </w:rPr>
              <w:t>-</w:t>
            </w:r>
            <w:r w:rsidRPr="00861934">
              <w:rPr>
                <w:rFonts w:ascii="Calibri" w:hAnsi="Calibri" w:cs="Calibri"/>
                <w:color w:val="000000"/>
              </w:rPr>
              <w:t>10</w:t>
            </w:r>
            <w:r>
              <w:rPr>
                <w:rFonts w:ascii="Calibri" w:hAnsi="Calibri" w:cs="Calibri"/>
                <w:color w:val="000000"/>
              </w:rPr>
              <w:t>.1%</w:t>
            </w:r>
          </w:p>
        </w:tc>
        <w:tc>
          <w:tcPr>
            <w:tcW w:w="2098" w:type="dxa"/>
            <w:tcBorders>
              <w:top w:val="nil"/>
              <w:left w:val="nil"/>
              <w:bottom w:val="single" w:sz="4" w:space="0" w:color="auto"/>
              <w:right w:val="single" w:sz="4" w:space="0" w:color="auto"/>
            </w:tcBorders>
            <w:shd w:val="clear" w:color="auto" w:fill="auto"/>
            <w:noWrap/>
          </w:tcPr>
          <w:p w14:paraId="17060441" w14:textId="297D177A" w:rsidR="003320A0" w:rsidRDefault="005125ED" w:rsidP="003320A0">
            <w:pPr>
              <w:spacing w:after="0" w:line="240" w:lineRule="auto"/>
              <w:jc w:val="right"/>
            </w:pPr>
            <w:r w:rsidRPr="00E56AF5">
              <w:t>80%</w:t>
            </w:r>
          </w:p>
        </w:tc>
      </w:tr>
    </w:tbl>
    <w:p w14:paraId="3452D6CF" w14:textId="39D1B2F2" w:rsidR="000702AF" w:rsidRDefault="00B3438D" w:rsidP="000702AF">
      <w:pPr>
        <w:jc w:val="both"/>
      </w:pPr>
      <w:r>
        <w:t xml:space="preserve"> </w:t>
      </w:r>
    </w:p>
    <w:p w14:paraId="54857EC5" w14:textId="77777777" w:rsidR="00951B72" w:rsidRDefault="004A0FB5" w:rsidP="006F3770">
      <w:pPr>
        <w:pStyle w:val="Heading1"/>
      </w:pPr>
      <w:r>
        <w:lastRenderedPageBreak/>
        <w:t>H</w:t>
      </w:r>
      <w:r w:rsidR="00291F97">
        <w:t xml:space="preserve">ypotheses </w:t>
      </w:r>
      <w:r>
        <w:t>and variable definitions</w:t>
      </w:r>
    </w:p>
    <w:p w14:paraId="54857EC6" w14:textId="77777777" w:rsidR="00D557F0" w:rsidRDefault="00D557F0" w:rsidP="00D557F0">
      <w:pPr>
        <w:pStyle w:val="Heading2"/>
      </w:pPr>
      <w:r>
        <w:t>Groups of hypotheses:</w:t>
      </w:r>
    </w:p>
    <w:p w14:paraId="00C9C3A8" w14:textId="1FE6E53D" w:rsidR="008F6DF3" w:rsidRDefault="008F6DF3" w:rsidP="008F6DF3">
      <w:r>
        <w:t xml:space="preserve">A: Impact of </w:t>
      </w:r>
      <w:r w:rsidR="002E02C0">
        <w:t xml:space="preserve">the </w:t>
      </w:r>
      <w:r w:rsidR="002E02C0" w:rsidRPr="00EC02B3">
        <w:t>adoption of clean cooking technologies</w:t>
      </w:r>
      <w:r w:rsidR="002E02C0">
        <w:t xml:space="preserve"> </w:t>
      </w:r>
      <w:r>
        <w:t>on primary outcomes</w:t>
      </w:r>
    </w:p>
    <w:p w14:paraId="5763C657" w14:textId="0DE62C10" w:rsidR="008F6DF3" w:rsidRDefault="008F6DF3" w:rsidP="008F6DF3">
      <w:r>
        <w:t xml:space="preserve">B: Impact of </w:t>
      </w:r>
      <w:r w:rsidR="002E02C0">
        <w:t xml:space="preserve">the </w:t>
      </w:r>
      <w:r w:rsidR="002E02C0" w:rsidRPr="00EC02B3">
        <w:t>adoption of clean cooking technologies</w:t>
      </w:r>
      <w:r w:rsidR="002E02C0">
        <w:t xml:space="preserve"> </w:t>
      </w:r>
      <w:r>
        <w:t>on secondary outcomes</w:t>
      </w:r>
    </w:p>
    <w:p w14:paraId="29BCEE4B" w14:textId="77777777" w:rsidR="008F6DF3" w:rsidRDefault="008F6DF3" w:rsidP="008F6DF3">
      <w:r>
        <w:t>C: Process and Mechanisms</w:t>
      </w:r>
    </w:p>
    <w:p w14:paraId="54857ECB" w14:textId="6261EE5C" w:rsidR="00D557F0" w:rsidRDefault="008F6DF3" w:rsidP="004A0FB5">
      <w:r>
        <w:t>D: Heterogeneity of impacts</w:t>
      </w:r>
    </w:p>
    <w:p w14:paraId="54857ECC" w14:textId="375292A7" w:rsidR="00D557F0" w:rsidRDefault="00D557F0" w:rsidP="00D557F0">
      <w:pPr>
        <w:pStyle w:val="Heading2"/>
      </w:pPr>
      <w:r>
        <w:t xml:space="preserve">Group A: </w:t>
      </w:r>
      <w:r w:rsidR="005900EC">
        <w:t>The i</w:t>
      </w:r>
      <w:r w:rsidR="007D2291">
        <w:t xml:space="preserve">mpact </w:t>
      </w:r>
      <w:r w:rsidR="002C6B28" w:rsidRPr="00EC02B3">
        <w:t>of clean cooking technologies</w:t>
      </w:r>
      <w:r w:rsidR="007D2291">
        <w:t xml:space="preserve"> on primary outcomes</w:t>
      </w:r>
    </w:p>
    <w:p w14:paraId="54857ECD" w14:textId="75D0D6DF" w:rsidR="00A471EB" w:rsidRDefault="00676A6A" w:rsidP="007D2291">
      <w:pPr>
        <w:pStyle w:val="Heading3"/>
      </w:pPr>
      <w:r>
        <w:t>Hypothesis</w:t>
      </w:r>
      <w:r w:rsidR="00D41862">
        <w:t xml:space="preserve"> A1</w:t>
      </w:r>
      <w:r>
        <w:t xml:space="preserve">: </w:t>
      </w:r>
      <w:r w:rsidR="00725654">
        <w:t>Clean cookstoves improve the health of the primary cook</w:t>
      </w:r>
      <w:r w:rsidR="005900EC" w:rsidRPr="005900EC">
        <w:t>.</w:t>
      </w:r>
    </w:p>
    <w:p w14:paraId="4FA444BC" w14:textId="7A8CAA9C" w:rsidR="00254EA0" w:rsidRDefault="00254EA0" w:rsidP="008A5218">
      <w:pPr>
        <w:jc w:val="both"/>
      </w:pPr>
      <w:r>
        <w:t xml:space="preserve">The primary outcome variable for testing this hypothesis will be the </w:t>
      </w:r>
      <w:r w:rsidR="001259F4">
        <w:t>primary cook’s overall score on the Saint George’s Respiratory Questionnaire (SGRQ)</w:t>
      </w:r>
      <w:r w:rsidR="00027A86">
        <w:t xml:space="preserve">, calculated according to the </w:t>
      </w:r>
      <w:r w:rsidR="00E66BC5">
        <w:t xml:space="preserve">instructions in the </w:t>
      </w:r>
      <w:hyperlink r:id="rId8" w:history="1">
        <w:r w:rsidR="00E66BC5" w:rsidRPr="00E66BC5">
          <w:rPr>
            <w:rStyle w:val="Hyperlink"/>
          </w:rPr>
          <w:t>SGRQ Manual</w:t>
        </w:r>
        <w:r w:rsidR="001259F4" w:rsidRPr="00E66BC5">
          <w:rPr>
            <w:rStyle w:val="Hyperlink"/>
          </w:rPr>
          <w:t>.</w:t>
        </w:r>
      </w:hyperlink>
      <w:r w:rsidR="001259F4">
        <w:t xml:space="preserve"> </w:t>
      </w:r>
      <w:r w:rsidR="00161E3A">
        <w:t>We will also test this outcome by exploring impacts on each of the following indicators separately and on a standardized z-score measure aggregating the following indicators</w:t>
      </w:r>
      <w:r w:rsidR="002108DF">
        <w:rPr>
          <w:rStyle w:val="FootnoteReference"/>
        </w:rPr>
        <w:footnoteReference w:id="4"/>
      </w:r>
      <w:r w:rsidR="00161E3A">
        <w:t xml:space="preserve">: </w:t>
      </w:r>
    </w:p>
    <w:p w14:paraId="1305D189" w14:textId="77777777" w:rsidR="004844DF" w:rsidRDefault="004844DF" w:rsidP="00B634B7">
      <w:pPr>
        <w:pStyle w:val="ListParagraph"/>
        <w:numPr>
          <w:ilvl w:val="0"/>
          <w:numId w:val="29"/>
        </w:numPr>
        <w:jc w:val="both"/>
      </w:pPr>
      <w:r>
        <w:t>Symptoms subscale of the SGRQ, calculated as described in the manual</w:t>
      </w:r>
    </w:p>
    <w:p w14:paraId="573D5B86" w14:textId="77777777" w:rsidR="004844DF" w:rsidRDefault="004844DF" w:rsidP="00B634B7">
      <w:pPr>
        <w:pStyle w:val="ListParagraph"/>
        <w:numPr>
          <w:ilvl w:val="0"/>
          <w:numId w:val="29"/>
        </w:numPr>
        <w:jc w:val="both"/>
      </w:pPr>
      <w:r>
        <w:t>Activities subscale of the SGRQ, calculated as described in the manual</w:t>
      </w:r>
    </w:p>
    <w:p w14:paraId="0A1203CF" w14:textId="7604458D" w:rsidR="004844DF" w:rsidRDefault="004844DF" w:rsidP="004844DF">
      <w:pPr>
        <w:pStyle w:val="ListParagraph"/>
        <w:numPr>
          <w:ilvl w:val="0"/>
          <w:numId w:val="29"/>
        </w:numPr>
        <w:jc w:val="both"/>
      </w:pPr>
      <w:r>
        <w:t>Impact subscale of the SGRQ, calculated as described in the manual</w:t>
      </w:r>
    </w:p>
    <w:p w14:paraId="76DE6999" w14:textId="56E1A627" w:rsidR="002F186B" w:rsidRDefault="00E9433F" w:rsidP="00B634B7">
      <w:pPr>
        <w:pStyle w:val="ListParagraph"/>
        <w:numPr>
          <w:ilvl w:val="0"/>
          <w:numId w:val="29"/>
        </w:numPr>
        <w:jc w:val="both"/>
      </w:pPr>
      <w:r>
        <w:t>O</w:t>
      </w:r>
      <w:r w:rsidRPr="00E9433F">
        <w:t>verview of health status</w:t>
      </w:r>
      <w:r w:rsidR="00B634B7">
        <w:t xml:space="preserve"> experienced by </w:t>
      </w:r>
      <w:r w:rsidR="003C6C5F">
        <w:t xml:space="preserve">the </w:t>
      </w:r>
      <w:r w:rsidR="00B634B7">
        <w:t>primary cook</w:t>
      </w:r>
      <w:r w:rsidR="005C10F8">
        <w:t xml:space="preserve"> (</w:t>
      </w:r>
      <w:r w:rsidR="006F0F58">
        <w:t>HM1</w:t>
      </w:r>
      <w:r w:rsidR="00054EB6">
        <w:t>)</w:t>
      </w:r>
    </w:p>
    <w:p w14:paraId="37156269" w14:textId="13FEC281" w:rsidR="00054EB6" w:rsidRDefault="005A0A14" w:rsidP="00D42328">
      <w:pPr>
        <w:pStyle w:val="ListParagraph"/>
        <w:numPr>
          <w:ilvl w:val="0"/>
          <w:numId w:val="2"/>
        </w:numPr>
      </w:pPr>
      <w:r w:rsidRPr="005A0A14">
        <w:t>Eye Irritation</w:t>
      </w:r>
      <w:r w:rsidR="00B634B7">
        <w:t xml:space="preserve"> experienced by </w:t>
      </w:r>
      <w:r w:rsidR="003C6C5F">
        <w:t xml:space="preserve">the </w:t>
      </w:r>
      <w:r w:rsidR="00B634B7">
        <w:t>primary cook</w:t>
      </w:r>
      <w:r>
        <w:t xml:space="preserve"> (</w:t>
      </w:r>
      <w:r w:rsidRPr="005A0A14">
        <w:t>HM2</w:t>
      </w:r>
      <w:r w:rsidR="00A16A20">
        <w:t>_1</w:t>
      </w:r>
      <w:r>
        <w:t>)</w:t>
      </w:r>
    </w:p>
    <w:p w14:paraId="54857ED7" w14:textId="402F729E" w:rsidR="00E733E3" w:rsidRDefault="005A0A14" w:rsidP="000F6EE5">
      <w:pPr>
        <w:pStyle w:val="ListParagraph"/>
        <w:numPr>
          <w:ilvl w:val="0"/>
          <w:numId w:val="2"/>
        </w:numPr>
      </w:pPr>
      <w:r w:rsidRPr="005A0A14">
        <w:t>Headache</w:t>
      </w:r>
      <w:r w:rsidR="00B634B7">
        <w:t xml:space="preserve"> experienced by </w:t>
      </w:r>
      <w:r w:rsidR="003C6C5F">
        <w:t xml:space="preserve">the </w:t>
      </w:r>
      <w:r w:rsidR="00B634B7">
        <w:t>primary cook</w:t>
      </w:r>
      <w:r w:rsidR="002112B6">
        <w:t xml:space="preserve"> (</w:t>
      </w:r>
      <w:r w:rsidR="002112B6" w:rsidRPr="002112B6">
        <w:t>HM2</w:t>
      </w:r>
      <w:r w:rsidR="00A16A20">
        <w:t>_2</w:t>
      </w:r>
      <w:r w:rsidR="002112B6">
        <w:t>)</w:t>
      </w:r>
    </w:p>
    <w:p w14:paraId="0CFF9671" w14:textId="77777777" w:rsidR="00A16A20" w:rsidRDefault="00A16A20" w:rsidP="007D2291">
      <w:pPr>
        <w:pStyle w:val="Heading3"/>
      </w:pPr>
    </w:p>
    <w:p w14:paraId="76BEA5B4" w14:textId="0D1D7DD6" w:rsidR="00A16A20" w:rsidRDefault="00A16A20" w:rsidP="00A16A20">
      <w:pPr>
        <w:pStyle w:val="Heading3"/>
      </w:pPr>
      <w:r w:rsidRPr="007D2291">
        <w:t>Hypothesis A</w:t>
      </w:r>
      <w:r>
        <w:t>2</w:t>
      </w:r>
      <w:r w:rsidRPr="007D2291">
        <w:t>:</w:t>
      </w:r>
      <w:r>
        <w:t xml:space="preserve"> </w:t>
      </w:r>
      <w:r w:rsidR="00964D3A">
        <w:t>Clean cookstoves reduce the time spent on cooking and cooking-related domestic work</w:t>
      </w:r>
      <w:r>
        <w:t>.</w:t>
      </w:r>
    </w:p>
    <w:p w14:paraId="0899F2B9" w14:textId="2C0B2290" w:rsidR="0062264A" w:rsidRDefault="0062264A" w:rsidP="00A16A20">
      <w:pPr>
        <w:jc w:val="both"/>
      </w:pPr>
      <w:r>
        <w:t xml:space="preserve">The two primary outcome variables for testing this hypothesis will be: </w:t>
      </w:r>
    </w:p>
    <w:p w14:paraId="3A6D781F" w14:textId="6B57BE76" w:rsidR="0062264A" w:rsidRDefault="000E3FBB" w:rsidP="0062264A">
      <w:pPr>
        <w:pStyle w:val="ListParagraph"/>
        <w:numPr>
          <w:ilvl w:val="0"/>
          <w:numId w:val="37"/>
        </w:numPr>
        <w:jc w:val="both"/>
      </w:pPr>
      <w:r>
        <w:t>Total time the primary cook spend</w:t>
      </w:r>
      <w:r w:rsidR="008C4616">
        <w:t>s</w:t>
      </w:r>
      <w:r>
        <w:t xml:space="preserve"> on cooking</w:t>
      </w:r>
      <w:r w:rsidR="004E7AF5">
        <w:t xml:space="preserve"> for the household</w:t>
      </w:r>
      <w:r>
        <w:t xml:space="preserve">, washing dishes, </w:t>
      </w:r>
      <w:r w:rsidR="008C4616">
        <w:t xml:space="preserve">and </w:t>
      </w:r>
      <w:r>
        <w:t>cleaning the kitchen</w:t>
      </w:r>
      <w:r w:rsidR="00A62ACB">
        <w:t>, and gathering fuel</w:t>
      </w:r>
      <w:r>
        <w:t xml:space="preserve"> in the past 7 days (</w:t>
      </w:r>
      <w:r w:rsidR="004E7AF5">
        <w:t xml:space="preserve">sum of </w:t>
      </w:r>
      <w:r w:rsidR="0058106E">
        <w:t>CP4_1, CP4_3, CP</w:t>
      </w:r>
      <w:r w:rsidR="007A509F">
        <w:t>4_5, CP4_7, CP4_9, CP4_11</w:t>
      </w:r>
      <w:r w:rsidR="00A62ACB">
        <w:t>, CP2_13</w:t>
      </w:r>
      <w:r w:rsidR="007A509F">
        <w:t>)</w:t>
      </w:r>
    </w:p>
    <w:p w14:paraId="562DDD9F" w14:textId="6D339B62" w:rsidR="00193D7C" w:rsidRDefault="00193D7C" w:rsidP="001B7188">
      <w:pPr>
        <w:pStyle w:val="ListParagraph"/>
        <w:numPr>
          <w:ilvl w:val="0"/>
          <w:numId w:val="37"/>
        </w:numPr>
        <w:jc w:val="both"/>
      </w:pPr>
      <w:r>
        <w:t>Total time spent preparing meals yesterday (sum of CP3_4)</w:t>
      </w:r>
    </w:p>
    <w:p w14:paraId="2AB7AB00" w14:textId="080E3B0E" w:rsidR="00045359" w:rsidRDefault="00045359" w:rsidP="00045359">
      <w:pPr>
        <w:pStyle w:val="Heading3"/>
      </w:pPr>
      <w:r w:rsidRPr="00C82CAE">
        <w:t xml:space="preserve">Hypothesis </w:t>
      </w:r>
      <w:r>
        <w:t>A</w:t>
      </w:r>
      <w:r w:rsidR="00D10DBC">
        <w:t>3</w:t>
      </w:r>
      <w:r w:rsidRPr="00C82CAE">
        <w:t>:</w:t>
      </w:r>
      <w:r>
        <w:rPr>
          <w:b/>
        </w:rPr>
        <w:t xml:space="preserve"> </w:t>
      </w:r>
      <w:r>
        <w:t>C</w:t>
      </w:r>
      <w:r w:rsidRPr="00B4610C">
        <w:t xml:space="preserve">lean cooking technologies reduce </w:t>
      </w:r>
      <w:r>
        <w:t xml:space="preserve">use of charcoal </w:t>
      </w:r>
    </w:p>
    <w:p w14:paraId="6327F92D" w14:textId="77777777" w:rsidR="00045359" w:rsidRDefault="00045359" w:rsidP="00045359">
      <w:pPr>
        <w:pStyle w:val="ListParagraph"/>
        <w:ind w:left="0"/>
      </w:pPr>
      <w:r>
        <w:t>The primary outcome for this hypothesis will be the number of kg of charcoal used in the past month (CP2_4_2+CP2_4_3).</w:t>
      </w:r>
    </w:p>
    <w:p w14:paraId="0F8F1133" w14:textId="77777777" w:rsidR="00045359" w:rsidRDefault="00045359" w:rsidP="00045359">
      <w:pPr>
        <w:pStyle w:val="ListParagraph"/>
        <w:ind w:left="0"/>
      </w:pPr>
    </w:p>
    <w:p w14:paraId="7E938539" w14:textId="77777777" w:rsidR="00045359" w:rsidRDefault="00045359" w:rsidP="00045359">
      <w:pPr>
        <w:pStyle w:val="ListParagraph"/>
        <w:ind w:left="0"/>
      </w:pPr>
      <w:r>
        <w:t xml:space="preserve">Due to noise in the primary outcome variable, we will also test three additional indicators: </w:t>
      </w:r>
    </w:p>
    <w:p w14:paraId="7C6AE8A5" w14:textId="77777777" w:rsidR="00045359" w:rsidRDefault="00045359" w:rsidP="00045359">
      <w:pPr>
        <w:pStyle w:val="ListParagraph"/>
        <w:numPr>
          <w:ilvl w:val="0"/>
          <w:numId w:val="40"/>
        </w:numPr>
      </w:pPr>
      <w:r>
        <w:t>Cost of charcoal consumption in past month (CP2_6_2+CP2_6_3)</w:t>
      </w:r>
    </w:p>
    <w:p w14:paraId="2C6BF568" w14:textId="77777777" w:rsidR="00045359" w:rsidRDefault="00045359" w:rsidP="00045359">
      <w:pPr>
        <w:pStyle w:val="ListParagraph"/>
        <w:numPr>
          <w:ilvl w:val="0"/>
          <w:numId w:val="40"/>
        </w:numPr>
      </w:pPr>
      <w:r>
        <w:t>Charcoal stove is primary stove (dummy variable taking the value of 1 if CP1_2=2 or 3)</w:t>
      </w:r>
    </w:p>
    <w:p w14:paraId="44B26D2C" w14:textId="77777777" w:rsidR="00045359" w:rsidRDefault="00045359" w:rsidP="00045359">
      <w:pPr>
        <w:pStyle w:val="ListParagraph"/>
        <w:numPr>
          <w:ilvl w:val="0"/>
          <w:numId w:val="40"/>
        </w:numPr>
      </w:pPr>
      <w:r>
        <w:t>Charcoal stove is used daily (dummy variable taking the value of 1 if CP1_8=1)</w:t>
      </w:r>
    </w:p>
    <w:p w14:paraId="53F37076" w14:textId="77777777" w:rsidR="00420DA1" w:rsidRDefault="00420DA1" w:rsidP="001B7188">
      <w:pPr>
        <w:pStyle w:val="ListParagraph"/>
        <w:ind w:left="360"/>
      </w:pPr>
    </w:p>
    <w:p w14:paraId="54857EE7" w14:textId="37F9E6EC" w:rsidR="008E3288" w:rsidRDefault="006B3451" w:rsidP="00185606">
      <w:pPr>
        <w:pStyle w:val="Heading2"/>
      </w:pPr>
      <w:r>
        <w:lastRenderedPageBreak/>
        <w:t xml:space="preserve">Group B: </w:t>
      </w:r>
      <w:r w:rsidR="00820401">
        <w:t>The i</w:t>
      </w:r>
      <w:r>
        <w:t xml:space="preserve">mpact of </w:t>
      </w:r>
      <w:r w:rsidR="003A5D02">
        <w:t xml:space="preserve">the </w:t>
      </w:r>
      <w:r w:rsidR="003A5D02" w:rsidRPr="00EC02B3">
        <w:t>adoption of clean cooking technologies</w:t>
      </w:r>
      <w:r w:rsidR="003A5D02">
        <w:t xml:space="preserve"> </w:t>
      </w:r>
      <w:r>
        <w:t>on secondary outcomes</w:t>
      </w:r>
    </w:p>
    <w:p w14:paraId="7780D920" w14:textId="09764993" w:rsidR="00A42D2A" w:rsidRDefault="00777157" w:rsidP="00777157">
      <w:pPr>
        <w:pStyle w:val="Heading3"/>
      </w:pPr>
      <w:r>
        <w:t>Hypothesis B1:</w:t>
      </w:r>
      <w:r w:rsidR="008E3288">
        <w:t xml:space="preserve"> </w:t>
      </w:r>
      <w:r w:rsidR="00A42D2A">
        <w:t xml:space="preserve">Clean cooking technologies improve the health of </w:t>
      </w:r>
      <w:r w:rsidR="00163C8F">
        <w:t>household members</w:t>
      </w:r>
    </w:p>
    <w:p w14:paraId="19F14EA4" w14:textId="5EE5571F" w:rsidR="005C0CD9" w:rsidRDefault="005A421E" w:rsidP="005C0CD9">
      <w:r>
        <w:t>This hypothesis will be tested using the following indicators</w:t>
      </w:r>
      <w:r w:rsidR="003A28F2">
        <w:t xml:space="preserve">: </w:t>
      </w:r>
    </w:p>
    <w:p w14:paraId="03687B46" w14:textId="0778CD74" w:rsidR="003A28F2" w:rsidRDefault="003A28F2" w:rsidP="003A28F2">
      <w:pPr>
        <w:pStyle w:val="ListParagraph"/>
        <w:numPr>
          <w:ilvl w:val="0"/>
          <w:numId w:val="39"/>
        </w:numPr>
      </w:pPr>
      <w:r>
        <w:t>Incidence of eye irritation among household members</w:t>
      </w:r>
      <w:r w:rsidR="00551B08">
        <w:t xml:space="preserve"> (HO6)</w:t>
      </w:r>
    </w:p>
    <w:p w14:paraId="281A924B" w14:textId="1E634355" w:rsidR="008D256E" w:rsidRDefault="003A28F2" w:rsidP="00CB788D">
      <w:pPr>
        <w:pStyle w:val="ListParagraph"/>
        <w:numPr>
          <w:ilvl w:val="0"/>
          <w:numId w:val="39"/>
        </w:numPr>
      </w:pPr>
      <w:r>
        <w:t>Incidence of headaches among household members</w:t>
      </w:r>
      <w:r w:rsidR="00551B08">
        <w:t xml:space="preserve"> (HO7)</w:t>
      </w:r>
    </w:p>
    <w:p w14:paraId="28019096" w14:textId="76CF8564" w:rsidR="003A28F2" w:rsidRDefault="003A28F2" w:rsidP="003A28F2">
      <w:pPr>
        <w:pStyle w:val="ListParagraph"/>
        <w:numPr>
          <w:ilvl w:val="0"/>
          <w:numId w:val="39"/>
        </w:numPr>
      </w:pPr>
      <w:r>
        <w:t>Incidence of chest troubles among household members</w:t>
      </w:r>
      <w:r w:rsidR="00551B08">
        <w:t xml:space="preserve"> (HO8)</w:t>
      </w:r>
    </w:p>
    <w:p w14:paraId="684A5414" w14:textId="51DB633D" w:rsidR="00035B4A" w:rsidRDefault="00035B4A" w:rsidP="00CB788D">
      <w:r>
        <w:t>These regressions will be run on a long-form of the dataset that has one line per household member.</w:t>
      </w:r>
      <w:r>
        <w:rPr>
          <w:rStyle w:val="FootnoteReference"/>
        </w:rPr>
        <w:footnoteReference w:id="5"/>
      </w:r>
      <w:r>
        <w:t xml:space="preserve"> The primary cook will not be included in these regressions, as the primary cook’s health is assessed in Hypothesis A1. Standard errors will be clustered at the household level. </w:t>
      </w:r>
    </w:p>
    <w:p w14:paraId="54857F57" w14:textId="54142EF8" w:rsidR="00034D1F" w:rsidRDefault="00034D1F" w:rsidP="00034D1F">
      <w:pPr>
        <w:pStyle w:val="Heading3"/>
      </w:pPr>
      <w:r>
        <w:t>Hypothesis B</w:t>
      </w:r>
      <w:r w:rsidR="00052E94">
        <w:t>2</w:t>
      </w:r>
      <w:r>
        <w:t xml:space="preserve">: </w:t>
      </w:r>
      <w:r w:rsidR="006149D1">
        <w:t>C</w:t>
      </w:r>
      <w:r w:rsidR="008F5315" w:rsidRPr="00EC02B3">
        <w:t>lean cooking technologies</w:t>
      </w:r>
      <w:r w:rsidR="008F5315">
        <w:t xml:space="preserve"> </w:t>
      </w:r>
      <w:r>
        <w:t xml:space="preserve">may </w:t>
      </w:r>
      <w:r w:rsidR="007D1D7B">
        <w:t>change</w:t>
      </w:r>
      <w:r w:rsidR="008F5315">
        <w:t xml:space="preserve"> the primary cook’s </w:t>
      </w:r>
      <w:r w:rsidR="007D1D7B">
        <w:t xml:space="preserve">general </w:t>
      </w:r>
      <w:r w:rsidR="008F5315">
        <w:t>l</w:t>
      </w:r>
      <w:r w:rsidR="008F5315" w:rsidRPr="008F5315">
        <w:t xml:space="preserve">ife </w:t>
      </w:r>
      <w:r w:rsidR="008F5315">
        <w:t>s</w:t>
      </w:r>
      <w:r w:rsidR="008F5315" w:rsidRPr="008F5315">
        <w:t>atisfaction</w:t>
      </w:r>
      <w:r>
        <w:t xml:space="preserve">. </w:t>
      </w:r>
    </w:p>
    <w:p w14:paraId="54857F59" w14:textId="3775DE54" w:rsidR="00034D1F" w:rsidRDefault="00155888" w:rsidP="00034D1F">
      <w:pPr>
        <w:pStyle w:val="ListParagraph"/>
        <w:numPr>
          <w:ilvl w:val="0"/>
          <w:numId w:val="5"/>
        </w:numPr>
      </w:pPr>
      <w:r>
        <w:t>Overall life satisfaction (</w:t>
      </w:r>
      <w:r w:rsidR="00EC1F3D">
        <w:t>UW1)</w:t>
      </w:r>
    </w:p>
    <w:p w14:paraId="6D18CAD7" w14:textId="543A4D93" w:rsidR="00EC1F3D" w:rsidRDefault="00EC1F3D" w:rsidP="00034D1F">
      <w:pPr>
        <w:pStyle w:val="ListParagraph"/>
        <w:numPr>
          <w:ilvl w:val="0"/>
          <w:numId w:val="5"/>
        </w:numPr>
      </w:pPr>
      <w:r>
        <w:t>Expected life satisfaction</w:t>
      </w:r>
      <w:r w:rsidR="007C6D65">
        <w:t xml:space="preserve"> in the next one year</w:t>
      </w:r>
      <w:r w:rsidR="00534484">
        <w:t xml:space="preserve"> (UW2)</w:t>
      </w:r>
    </w:p>
    <w:p w14:paraId="058E7936" w14:textId="1FD912F0" w:rsidR="00C36960" w:rsidRDefault="00C36960" w:rsidP="00C36960">
      <w:pPr>
        <w:pStyle w:val="Heading3"/>
      </w:pPr>
      <w:r w:rsidRPr="007D2291">
        <w:t xml:space="preserve">Hypothesis </w:t>
      </w:r>
      <w:r>
        <w:t>B</w:t>
      </w:r>
      <w:r w:rsidR="00324C92">
        <w:t>3</w:t>
      </w:r>
      <w:r w:rsidRPr="007D2291">
        <w:t>:</w:t>
      </w:r>
      <w:r>
        <w:t xml:space="preserve"> C</w:t>
      </w:r>
      <w:r w:rsidRPr="00D0470D">
        <w:t>lean cooking technologies</w:t>
      </w:r>
      <w:r>
        <w:t xml:space="preserve"> lead to cost savings for the household</w:t>
      </w:r>
      <w:r w:rsidRPr="00D0470D">
        <w:t xml:space="preserve"> </w:t>
      </w:r>
    </w:p>
    <w:p w14:paraId="45CCB2FB" w14:textId="77777777" w:rsidR="00C36960" w:rsidRPr="00060D36" w:rsidRDefault="00C36960" w:rsidP="00C36960">
      <w:pPr>
        <w:jc w:val="both"/>
      </w:pPr>
      <w:r>
        <w:t xml:space="preserve">This hypothesis will be tested using the following indicators: </w:t>
      </w:r>
    </w:p>
    <w:p w14:paraId="58FB2105" w14:textId="77777777" w:rsidR="00C36960" w:rsidRPr="00B51882" w:rsidRDefault="00C36960" w:rsidP="00C36960">
      <w:pPr>
        <w:pStyle w:val="ListParagraph"/>
        <w:numPr>
          <w:ilvl w:val="0"/>
          <w:numId w:val="2"/>
        </w:numPr>
      </w:pPr>
      <w:r w:rsidRPr="00B51882">
        <w:t>Total cost of fuel consumed in the past month</w:t>
      </w:r>
      <w:r w:rsidRPr="00202225">
        <w:t xml:space="preserve"> (CP2_6_2+CP2_6_3+CP2_11+CP2_18_CP2_12)</w:t>
      </w:r>
    </w:p>
    <w:p w14:paraId="352EB4DA" w14:textId="77777777" w:rsidR="00C36960" w:rsidRPr="00B51882" w:rsidRDefault="00C36960" w:rsidP="00C36960">
      <w:pPr>
        <w:pStyle w:val="ListParagraph"/>
        <w:numPr>
          <w:ilvl w:val="0"/>
          <w:numId w:val="2"/>
        </w:numPr>
      </w:pPr>
      <w:r w:rsidRPr="00B51882">
        <w:t>Total cost of stove repairs and replacements over the past 6 months</w:t>
      </w:r>
    </w:p>
    <w:p w14:paraId="54857F67" w14:textId="0FDA64B8" w:rsidR="00B0385D" w:rsidRDefault="00B0385D" w:rsidP="00B0385D">
      <w:pPr>
        <w:pStyle w:val="Heading2"/>
      </w:pPr>
      <w:r>
        <w:t xml:space="preserve">Hypothesis group </w:t>
      </w:r>
      <w:r w:rsidR="003D5C60">
        <w:t>C</w:t>
      </w:r>
      <w:r>
        <w:t xml:space="preserve">: </w:t>
      </w:r>
      <w:r w:rsidR="007B4BDF">
        <w:t>Testing the theory</w:t>
      </w:r>
      <w:r>
        <w:t xml:space="preserve"> of change</w:t>
      </w:r>
    </w:p>
    <w:p w14:paraId="64489CEF" w14:textId="1DA0EF4F" w:rsidR="000B003D" w:rsidRDefault="000B003D" w:rsidP="00FB4EFF">
      <w:pPr>
        <w:jc w:val="both"/>
      </w:pPr>
      <w:r>
        <w:t xml:space="preserve">The impacts of </w:t>
      </w:r>
      <w:r w:rsidR="00E148AE">
        <w:t xml:space="preserve">the stoves may only be realized under certain conditions. First, impacts may only be detected if households adopt and use the stove. </w:t>
      </w:r>
      <w:r w:rsidR="00787D2C">
        <w:t xml:space="preserve">Second, impacts of the stoves may be minimal if they primarily replace other types of clean cooking technology or if households continue to use dirtier cooking fuels </w:t>
      </w:r>
      <w:r w:rsidR="00921A6B">
        <w:t>alongside</w:t>
      </w:r>
      <w:r w:rsidR="00787D2C">
        <w:t xml:space="preserve"> the new technology. </w:t>
      </w:r>
      <w:r w:rsidR="00AE6791">
        <w:t xml:space="preserve">Third, the impacts of the stoves may only be realized if households are using the stoves with the appropriate fuel. </w:t>
      </w:r>
    </w:p>
    <w:p w14:paraId="42097DEB" w14:textId="769D56BB" w:rsidR="005814FF" w:rsidRDefault="005814FF" w:rsidP="001B7188">
      <w:pPr>
        <w:pStyle w:val="Heading3"/>
      </w:pPr>
      <w:r>
        <w:t>Hypothesis C1: Households in the treatment group adopt and use the stove</w:t>
      </w:r>
    </w:p>
    <w:p w14:paraId="0D153DFF" w14:textId="391E67B7" w:rsidR="005814FF" w:rsidRDefault="0060382A" w:rsidP="00FB4EFF">
      <w:pPr>
        <w:jc w:val="both"/>
      </w:pPr>
      <w:r>
        <w:t xml:space="preserve">This hypothesis will be tested through </w:t>
      </w:r>
      <w:r w:rsidR="007D34F6">
        <w:t xml:space="preserve">descriptive statistics on </w:t>
      </w:r>
      <w:r>
        <w:t xml:space="preserve">the following indicators: </w:t>
      </w:r>
    </w:p>
    <w:p w14:paraId="1707ECF7" w14:textId="1402DA68" w:rsidR="0060382A" w:rsidRDefault="0060382A" w:rsidP="0060382A">
      <w:pPr>
        <w:pStyle w:val="ListParagraph"/>
        <w:numPr>
          <w:ilvl w:val="0"/>
          <w:numId w:val="41"/>
        </w:numPr>
        <w:jc w:val="both"/>
      </w:pPr>
      <w:r>
        <w:t>Administrative data from the implementing entity on households that adopt the stove</w:t>
      </w:r>
    </w:p>
    <w:p w14:paraId="4C817E67" w14:textId="62394E4B" w:rsidR="0060382A" w:rsidRDefault="0060382A" w:rsidP="0060382A">
      <w:pPr>
        <w:pStyle w:val="ListParagraph"/>
        <w:numPr>
          <w:ilvl w:val="0"/>
          <w:numId w:val="41"/>
        </w:numPr>
        <w:jc w:val="both"/>
      </w:pPr>
      <w:r>
        <w:t>Administrative data from the implementing entity on the amount of pellet purchases</w:t>
      </w:r>
    </w:p>
    <w:p w14:paraId="4B7D6F55" w14:textId="4F3C7875" w:rsidR="0060382A" w:rsidRDefault="0060382A" w:rsidP="0060382A">
      <w:pPr>
        <w:pStyle w:val="ListParagraph"/>
        <w:numPr>
          <w:ilvl w:val="0"/>
          <w:numId w:val="41"/>
        </w:numPr>
        <w:jc w:val="both"/>
      </w:pPr>
      <w:r>
        <w:t>Self-reported data on whether the household has ever had the stove (SE1)</w:t>
      </w:r>
    </w:p>
    <w:p w14:paraId="5DE60043" w14:textId="04B4C3C8" w:rsidR="0018032C" w:rsidRDefault="0018032C" w:rsidP="0060382A">
      <w:pPr>
        <w:pStyle w:val="ListParagraph"/>
        <w:numPr>
          <w:ilvl w:val="0"/>
          <w:numId w:val="41"/>
        </w:numPr>
        <w:jc w:val="both"/>
      </w:pPr>
      <w:r>
        <w:t>Self-reported data on whether the household still has the stove in their household (SE3)</w:t>
      </w:r>
    </w:p>
    <w:p w14:paraId="25C779FE" w14:textId="49F9EFB3" w:rsidR="0018032C" w:rsidRDefault="007D34F6" w:rsidP="0060382A">
      <w:pPr>
        <w:pStyle w:val="ListParagraph"/>
        <w:numPr>
          <w:ilvl w:val="0"/>
          <w:numId w:val="41"/>
        </w:numPr>
        <w:jc w:val="both"/>
      </w:pPr>
      <w:r>
        <w:t>Frequency with which the household uses the stove (SE7)</w:t>
      </w:r>
    </w:p>
    <w:p w14:paraId="146D7095" w14:textId="0B3F3273" w:rsidR="00251290" w:rsidRDefault="00251290" w:rsidP="001B7188">
      <w:pPr>
        <w:pStyle w:val="ListParagraph"/>
        <w:numPr>
          <w:ilvl w:val="0"/>
          <w:numId w:val="41"/>
        </w:numPr>
        <w:jc w:val="both"/>
      </w:pPr>
      <w:r>
        <w:t>The primary stove used for cooking is the CSI stove (dummy taking the value of 1 if CP1_</w:t>
      </w:r>
      <w:r w:rsidR="00EE4287">
        <w:t>2</w:t>
      </w:r>
      <w:r>
        <w:t>=</w:t>
      </w:r>
      <w:r w:rsidR="00EE4287">
        <w:t>10</w:t>
      </w:r>
      <w:r>
        <w:t>)</w:t>
      </w:r>
    </w:p>
    <w:p w14:paraId="0166D832" w14:textId="0EC23669" w:rsidR="005814FF" w:rsidRDefault="005814FF" w:rsidP="001B7188">
      <w:pPr>
        <w:pStyle w:val="Heading3"/>
      </w:pPr>
      <w:r>
        <w:lastRenderedPageBreak/>
        <w:t xml:space="preserve">Hypothesis C2: </w:t>
      </w:r>
      <w:r w:rsidR="00DF137F">
        <w:t>Households use the new stove as an alternative to dirtier technologies</w:t>
      </w:r>
    </w:p>
    <w:p w14:paraId="6CD0052F" w14:textId="20C7D240" w:rsidR="00DB77C8" w:rsidRPr="00DB77C8" w:rsidRDefault="00DB77C8" w:rsidP="00DB77C8">
      <w:r>
        <w:t xml:space="preserve">This hypothesis will be tested by running regressions to test the impact of treatment assignment on the following indicators: </w:t>
      </w:r>
    </w:p>
    <w:p w14:paraId="4BAE1E41" w14:textId="3C5D88B8" w:rsidR="00DF137F" w:rsidRDefault="00D27BDB" w:rsidP="00D27BDB">
      <w:pPr>
        <w:pStyle w:val="ListParagraph"/>
        <w:numPr>
          <w:ilvl w:val="0"/>
          <w:numId w:val="43"/>
        </w:numPr>
        <w:jc w:val="both"/>
      </w:pPr>
      <w:r>
        <w:t>Household uses charcoal</w:t>
      </w:r>
    </w:p>
    <w:p w14:paraId="551B3C95" w14:textId="63DE81D2" w:rsidR="00D27BDB" w:rsidRDefault="00D27BDB" w:rsidP="00A820FB">
      <w:pPr>
        <w:pStyle w:val="ListParagraph"/>
        <w:numPr>
          <w:ilvl w:val="0"/>
          <w:numId w:val="43"/>
        </w:numPr>
        <w:jc w:val="both"/>
      </w:pPr>
      <w:r>
        <w:t>Household uses firewood</w:t>
      </w:r>
      <w:r w:rsidR="00A820FB">
        <w:t>,</w:t>
      </w:r>
      <w:r w:rsidR="008B4098">
        <w:t xml:space="preserve"> </w:t>
      </w:r>
      <w:r w:rsidR="007A042A">
        <w:t>crop residues, twigs or leaves</w:t>
      </w:r>
    </w:p>
    <w:p w14:paraId="37FFA446" w14:textId="6A79AF4C" w:rsidR="007A042A" w:rsidRDefault="002C45AB" w:rsidP="00D27BDB">
      <w:pPr>
        <w:pStyle w:val="ListParagraph"/>
        <w:numPr>
          <w:ilvl w:val="0"/>
          <w:numId w:val="43"/>
        </w:numPr>
        <w:jc w:val="both"/>
      </w:pPr>
      <w:r>
        <w:t>Total expenditures on charcoal, firewood, crop residues, twigs, or leaves</w:t>
      </w:r>
    </w:p>
    <w:p w14:paraId="5946D53E" w14:textId="0F2338A1" w:rsidR="002C45AB" w:rsidRDefault="00A85E08" w:rsidP="001B7188">
      <w:pPr>
        <w:pStyle w:val="ListParagraph"/>
        <w:numPr>
          <w:ilvl w:val="0"/>
          <w:numId w:val="43"/>
        </w:numPr>
        <w:jc w:val="both"/>
      </w:pPr>
      <w:r>
        <w:t>Primary stove uses charcoal or firewood</w:t>
      </w:r>
      <w:r w:rsidR="00D9076E">
        <w:t xml:space="preserve"> (CP1_2=1,2,3)</w:t>
      </w:r>
    </w:p>
    <w:p w14:paraId="273C7571" w14:textId="5B31273E" w:rsidR="00DF137F" w:rsidRDefault="00DF137F" w:rsidP="009040CC">
      <w:pPr>
        <w:pStyle w:val="Heading3"/>
      </w:pPr>
      <w:r>
        <w:t>Hypothesis C3: Households use the appropriate type of fuel in the stove</w:t>
      </w:r>
    </w:p>
    <w:p w14:paraId="0DD94163" w14:textId="41D83194" w:rsidR="001C7113" w:rsidRDefault="009E1518" w:rsidP="009E1518">
      <w:r>
        <w:t xml:space="preserve">This hypothesis will be tested </w:t>
      </w:r>
      <w:r w:rsidR="001C7113">
        <w:t xml:space="preserve">using </w:t>
      </w:r>
      <w:r w:rsidR="00651061">
        <w:t xml:space="preserve">descriptive statistics of </w:t>
      </w:r>
      <w:r w:rsidR="001C7113">
        <w:t>the following indicator</w:t>
      </w:r>
      <w:r w:rsidR="00651061">
        <w:t xml:space="preserve"> for treatment households</w:t>
      </w:r>
      <w:r w:rsidR="001C7113">
        <w:t xml:space="preserve">: </w:t>
      </w:r>
    </w:p>
    <w:p w14:paraId="07BB4FE4" w14:textId="4EDC1BE3" w:rsidR="009E1518" w:rsidRPr="009E1518" w:rsidRDefault="00831DEE" w:rsidP="001B7188">
      <w:pPr>
        <w:pStyle w:val="ListParagraph"/>
        <w:numPr>
          <w:ilvl w:val="0"/>
          <w:numId w:val="42"/>
        </w:numPr>
      </w:pPr>
      <w:r>
        <w:t>Household has not used fuels other than CSI pellets with the stove (</w:t>
      </w:r>
      <w:r w:rsidR="009E1518">
        <w:t>SE8b</w:t>
      </w:r>
      <w:r>
        <w:t>=2)</w:t>
      </w:r>
    </w:p>
    <w:p w14:paraId="6A397629" w14:textId="7A89F87D" w:rsidR="009D7A57" w:rsidRDefault="009D7A57" w:rsidP="009D7A57">
      <w:pPr>
        <w:pStyle w:val="Heading2"/>
      </w:pPr>
      <w:r>
        <w:t xml:space="preserve">Hypothesis group D: </w:t>
      </w:r>
      <w:r w:rsidR="00E223C0">
        <w:t>C</w:t>
      </w:r>
      <w:r w:rsidR="00DD0A91">
        <w:t>lean cook</w:t>
      </w:r>
      <w:r w:rsidR="00A739B1">
        <w:t>stove</w:t>
      </w:r>
      <w:r w:rsidR="00E223C0">
        <w:t>s</w:t>
      </w:r>
      <w:r>
        <w:t xml:space="preserve"> will have different effects on different types of </w:t>
      </w:r>
      <w:r w:rsidR="00DD0A91">
        <w:t>households</w:t>
      </w:r>
      <w:r>
        <w:t xml:space="preserve">. </w:t>
      </w:r>
    </w:p>
    <w:p w14:paraId="3976F90F" w14:textId="649A7F98" w:rsidR="009D7A57" w:rsidRPr="00B0385D" w:rsidRDefault="009D7A57" w:rsidP="009D7A57">
      <w:pPr>
        <w:jc w:val="both"/>
      </w:pPr>
      <w:r>
        <w:t>For each of the hypotheses D</w:t>
      </w:r>
      <w:r w:rsidR="00E223C0">
        <w:t>1</w:t>
      </w:r>
      <w:r>
        <w:t>-D</w:t>
      </w:r>
      <w:r w:rsidR="00CC43F8">
        <w:t>3</w:t>
      </w:r>
      <w:r>
        <w:t xml:space="preserve"> mentioned below, we will test the heterogeneous effects of the </w:t>
      </w:r>
      <w:r w:rsidR="00712A03">
        <w:t>treatment</w:t>
      </w:r>
      <w:r>
        <w:t xml:space="preserve"> on the primary </w:t>
      </w:r>
      <w:r w:rsidR="00473A2A">
        <w:t xml:space="preserve">and secondary </w:t>
      </w:r>
      <w:r>
        <w:t xml:space="preserve">outcomes specified in hypothesis group A </w:t>
      </w:r>
      <w:r w:rsidR="00473A2A">
        <w:t xml:space="preserve">and group B </w:t>
      </w:r>
      <w:r>
        <w:t xml:space="preserve">above. </w:t>
      </w:r>
    </w:p>
    <w:p w14:paraId="614ACAA2" w14:textId="35D42A1E" w:rsidR="00F445A0" w:rsidRDefault="009D7A57" w:rsidP="009D7A57">
      <w:pPr>
        <w:pStyle w:val="Heading3"/>
      </w:pPr>
      <w:r>
        <w:t xml:space="preserve">Hypothesis D1: </w:t>
      </w:r>
      <w:r w:rsidR="006D5264">
        <w:t>Impacts of clean cookstoves</w:t>
      </w:r>
      <w:r w:rsidR="00D03AC4">
        <w:t xml:space="preserve"> will be stronger for those who used more charcoal at baseline</w:t>
      </w:r>
    </w:p>
    <w:p w14:paraId="5931DC2C" w14:textId="764163D1" w:rsidR="00D03AC4" w:rsidRPr="005668D9" w:rsidRDefault="006078A2" w:rsidP="001B7188">
      <w:r>
        <w:t xml:space="preserve">To test this hypothesis, we will interact the treatment variable with </w:t>
      </w:r>
      <w:r w:rsidR="006D5264">
        <w:t>a continuous variable for the number of kg of charcoal used at baseline</w:t>
      </w:r>
      <w:r>
        <w:t xml:space="preserve">. </w:t>
      </w:r>
    </w:p>
    <w:p w14:paraId="5D7ACB8B" w14:textId="4AAEE6BA" w:rsidR="001A3244" w:rsidRDefault="009D7A57" w:rsidP="009D7A57">
      <w:pPr>
        <w:pStyle w:val="Heading3"/>
      </w:pPr>
      <w:r>
        <w:t xml:space="preserve">Hypothesis D2: </w:t>
      </w:r>
      <w:r w:rsidR="00E50503">
        <w:t>Impacts of clean cookstoves will be stronger for those whose charcoal stoves were inside at baseline</w:t>
      </w:r>
    </w:p>
    <w:p w14:paraId="372FA087" w14:textId="37AA1D1E" w:rsidR="00E50503" w:rsidRDefault="00E50503" w:rsidP="00E50503">
      <w:r>
        <w:t xml:space="preserve">To test this hypothesis, we will interact the treatment variable with a dummy variable that takes the value of 1 if </w:t>
      </w:r>
      <w:r w:rsidR="005B4772">
        <w:t>CP1_</w:t>
      </w:r>
      <w:r w:rsidR="002D4314">
        <w:t>4_2=1,2 OR if CP1_4_3=1,2</w:t>
      </w:r>
      <w:r>
        <w:t xml:space="preserve"> </w:t>
      </w:r>
      <w:r w:rsidR="00853537">
        <w:t xml:space="preserve">at baseline. </w:t>
      </w:r>
      <w:r w:rsidR="00056973">
        <w:t>We expect that hypotheses A1 and B</w:t>
      </w:r>
      <w:r w:rsidR="001F401C">
        <w:t xml:space="preserve">1 may be most sensitive to baseline location of charcoal stoves. </w:t>
      </w:r>
    </w:p>
    <w:p w14:paraId="666608E9" w14:textId="6CADCD7D" w:rsidR="000F2C85" w:rsidRDefault="00947969" w:rsidP="001B7188">
      <w:pPr>
        <w:pStyle w:val="Heading3"/>
      </w:pPr>
      <w:r>
        <w:t xml:space="preserve">Hypothesis D3: </w:t>
      </w:r>
      <w:r w:rsidR="008D2176">
        <w:t>Impacts of clean cookstoves will be stronger for those who spend more time cooking at baseline</w:t>
      </w:r>
    </w:p>
    <w:p w14:paraId="41E06C81" w14:textId="108D7F64" w:rsidR="008D2176" w:rsidRDefault="008D2176" w:rsidP="00E50503">
      <w:r>
        <w:t>T</w:t>
      </w:r>
      <w:r w:rsidR="003275AF">
        <w:t>he primary way we will test this hypothesis is interacting the treatment variable with a continuous variable</w:t>
      </w:r>
      <w:r w:rsidR="00D25BDB">
        <w:t xml:space="preserve"> measuring the time the primary cook spent cooking at baseline (</w:t>
      </w:r>
      <w:r w:rsidR="0094381F">
        <w:t xml:space="preserve">CP4_1). </w:t>
      </w:r>
      <w:r w:rsidR="00197B3C">
        <w:t>We may also explore interacting the treatment variable with a continuous variable measuring the total time that the primary cook and all other household members spent on cooking, cleaning the kitchen, and washing dishes at baseline</w:t>
      </w:r>
      <w:r w:rsidR="00503B46">
        <w:t xml:space="preserve"> (CP4_1+CP4_3+CP4_5+CP4_7+CP4_9+CP4_11)</w:t>
      </w:r>
    </w:p>
    <w:p w14:paraId="54857FCC" w14:textId="77777777" w:rsidR="004A0FB5" w:rsidRDefault="004A0FB5" w:rsidP="004A0FB5">
      <w:pPr>
        <w:pStyle w:val="Heading1"/>
      </w:pPr>
      <w:r>
        <w:t>Methodology</w:t>
      </w:r>
    </w:p>
    <w:p w14:paraId="0DE1532F" w14:textId="3649C13A" w:rsidR="00B12ED7" w:rsidRDefault="004A0FB5" w:rsidP="003A446F">
      <w:pPr>
        <w:pStyle w:val="Heading2"/>
      </w:pPr>
      <w:r>
        <w:t>Identifying the treatment effect</w:t>
      </w:r>
    </w:p>
    <w:p w14:paraId="7FDAF55B" w14:textId="2833C135" w:rsidR="00B61F27" w:rsidRDefault="00EB0021" w:rsidP="00FD2DDA">
      <w:pPr>
        <w:jc w:val="both"/>
      </w:pPr>
      <w:r>
        <w:t xml:space="preserve">For the variables for which we have baseline values, </w:t>
      </w:r>
      <w:r w:rsidR="00072861">
        <w:t>w</w:t>
      </w:r>
      <w:r w:rsidR="00CC7685">
        <w:t xml:space="preserve">e will </w:t>
      </w:r>
      <w:r w:rsidR="00574DD4">
        <w:t xml:space="preserve">also </w:t>
      </w:r>
      <w:r w:rsidR="00CC7685">
        <w:t xml:space="preserve">calculate the intent to treat effect </w:t>
      </w:r>
      <w:r w:rsidR="00882BAA">
        <w:t xml:space="preserve">to estimate </w:t>
      </w:r>
      <w:r w:rsidR="00882BAA" w:rsidRPr="00882BAA">
        <w:t xml:space="preserve">the program </w:t>
      </w:r>
      <w:r w:rsidR="003D274D">
        <w:t xml:space="preserve">impact </w:t>
      </w:r>
      <w:r w:rsidR="00882BAA" w:rsidRPr="00882BAA">
        <w:t>on those assigned to treatment</w:t>
      </w:r>
      <w:r w:rsidR="00131F10">
        <w:t xml:space="preserve"> </w:t>
      </w:r>
      <w:r w:rsidR="00CC7685">
        <w:t>using the following ANCOVA estimation:</w:t>
      </w:r>
    </w:p>
    <w:p w14:paraId="1BA4BDC2" w14:textId="4D94DB89" w:rsidR="00CC7685" w:rsidRPr="00582393" w:rsidRDefault="00DD19EE" w:rsidP="00CC7685">
      <w:pPr>
        <w:rPr>
          <w:position w:val="-10"/>
          <w:lang w:val="es-ES"/>
        </w:rPr>
      </w:pP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i</m:t>
            </m:r>
            <m:r>
              <w:rPr>
                <w:rFonts w:ascii="Cambria Math" w:hAnsi="Cambria Math"/>
                <w:sz w:val="28"/>
                <w:szCs w:val="28"/>
                <w:lang w:val="es-ES"/>
              </w:rPr>
              <m:t>,</m:t>
            </m:r>
            <m:r>
              <w:rPr>
                <w:rFonts w:ascii="Cambria Math" w:hAnsi="Cambria Math"/>
                <w:sz w:val="28"/>
                <w:szCs w:val="28"/>
              </w:rPr>
              <m:t>t</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lang w:val="es-ES"/>
              </w:rPr>
              <m:t>0</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T</m:t>
            </m:r>
          </m:sub>
        </m:sSub>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iTREAT</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lang w:val="es-ES"/>
              </w:rPr>
              <m:t>1</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i</m:t>
            </m:r>
            <m:r>
              <w:rPr>
                <w:rFonts w:ascii="Cambria Math" w:hAnsi="Cambria Math"/>
                <w:sz w:val="28"/>
                <w:szCs w:val="28"/>
                <w:lang w:val="es-ES"/>
              </w:rPr>
              <m:t>,</m:t>
            </m:r>
            <m:r>
              <w:rPr>
                <w:rFonts w:ascii="Cambria Math" w:hAnsi="Cambria Math"/>
                <w:sz w:val="28"/>
                <w:szCs w:val="28"/>
              </w:rPr>
              <m:t>t</m:t>
            </m:r>
            <m:r>
              <w:rPr>
                <w:rFonts w:ascii="Cambria Math" w:hAnsi="Cambria Math"/>
                <w:sz w:val="28"/>
                <w:szCs w:val="28"/>
                <w:lang w:val="es-ES"/>
              </w:rPr>
              <m:t>=0</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lang w:val="es-ES"/>
              </w:rPr>
              <m:t>2</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m:t>
            </m:r>
            <m:r>
              <w:rPr>
                <w:rFonts w:ascii="Cambria Math" w:hAnsi="Cambria Math"/>
                <w:sz w:val="28"/>
                <w:szCs w:val="28"/>
                <w:lang w:val="es-ES"/>
              </w:rPr>
              <m:t>,</m:t>
            </m:r>
            <m:r>
              <w:rPr>
                <w:rFonts w:ascii="Cambria Math" w:hAnsi="Cambria Math"/>
                <w:sz w:val="28"/>
                <w:szCs w:val="28"/>
              </w:rPr>
              <m:t>t</m:t>
            </m:r>
            <m:r>
              <w:rPr>
                <w:rFonts w:ascii="Cambria Math" w:hAnsi="Cambria Math"/>
                <w:sz w:val="28"/>
                <w:szCs w:val="28"/>
                <w:lang w:val="es-ES"/>
              </w:rPr>
              <m:t>=0</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it</m:t>
            </m:r>
          </m:sub>
        </m:sSub>
      </m:oMath>
      <w:r w:rsidR="00B61F27" w:rsidRPr="00582393">
        <w:rPr>
          <w:position w:val="-10"/>
          <w:lang w:val="es-ES"/>
        </w:rPr>
        <w:t xml:space="preserve"> </w:t>
      </w:r>
      <w:r w:rsidR="00F64B6C" w:rsidRPr="00582393">
        <w:rPr>
          <w:position w:val="-10"/>
          <w:lang w:val="es-ES"/>
        </w:rPr>
        <w:t xml:space="preserve"> </w:t>
      </w:r>
      <w:r w:rsidR="002B0FED" w:rsidRPr="00582393">
        <w:rPr>
          <w:position w:val="-10"/>
          <w:lang w:val="es-ES"/>
        </w:rPr>
        <w:t>(E</w:t>
      </w:r>
      <w:r w:rsidR="00B42882" w:rsidRPr="00582393">
        <w:rPr>
          <w:position w:val="-10"/>
          <w:lang w:val="es-ES"/>
        </w:rPr>
        <w:t>1</w:t>
      </w:r>
      <w:r w:rsidR="002B0FED" w:rsidRPr="00582393">
        <w:rPr>
          <w:position w:val="-10"/>
          <w:lang w:val="es-ES"/>
        </w:rPr>
        <w:t>)</w:t>
      </w:r>
    </w:p>
    <w:p w14:paraId="0B893BE6" w14:textId="0EFF1D6C" w:rsidR="00E92269" w:rsidRDefault="00DD19EE" w:rsidP="00E92269">
      <m:oMath>
        <m:sSub>
          <m:sSubPr>
            <m:ctrlPr>
              <w:rPr>
                <w:rFonts w:ascii="Cambria Math" w:hAnsi="Cambria Math"/>
                <w:i/>
              </w:rPr>
            </m:ctrlPr>
          </m:sSubPr>
          <m:e>
            <m:r>
              <w:rPr>
                <w:rFonts w:ascii="Cambria Math" w:hAnsi="Cambria Math"/>
              </w:rPr>
              <m:t>Y</m:t>
            </m:r>
          </m:e>
          <m:sub>
            <m:r>
              <w:rPr>
                <w:rFonts w:ascii="Cambria Math" w:hAnsi="Cambria Math"/>
              </w:rPr>
              <m:t>i,t</m:t>
            </m:r>
          </m:sub>
        </m:sSub>
      </m:oMath>
      <w:r w:rsidR="00E92269">
        <w:t xml:space="preserve"> is the outcome variable measured post-treatment. </w:t>
      </w:r>
    </w:p>
    <w:p w14:paraId="2ACB94DD" w14:textId="12E73F2B" w:rsidR="00E92269" w:rsidRDefault="00DD19EE" w:rsidP="00E92269">
      <m:oMath>
        <m:sSub>
          <m:sSubPr>
            <m:ctrlPr>
              <w:rPr>
                <w:rFonts w:ascii="Cambria Math" w:hAnsi="Cambria Math"/>
                <w:i/>
              </w:rPr>
            </m:ctrlPr>
          </m:sSubPr>
          <m:e>
            <m:r>
              <w:rPr>
                <w:rFonts w:ascii="Cambria Math" w:hAnsi="Cambria Math"/>
              </w:rPr>
              <m:t>T</m:t>
            </m:r>
          </m:e>
          <m:sub>
            <m:r>
              <w:rPr>
                <w:rFonts w:ascii="Cambria Math" w:hAnsi="Cambria Math"/>
              </w:rPr>
              <m:t>iTREAT</m:t>
            </m:r>
          </m:sub>
        </m:sSub>
      </m:oMath>
      <w:r w:rsidR="00232EC1">
        <w:rPr>
          <w:rFonts w:eastAsiaTheme="minorEastAsia"/>
        </w:rPr>
        <w:t xml:space="preserve"> is </w:t>
      </w:r>
      <w:r w:rsidR="00320BB6">
        <w:t xml:space="preserve">an indicator </w:t>
      </w:r>
      <w:r w:rsidR="00131F10">
        <w:t>that equals 1 if the household was in the treatment group</w:t>
      </w:r>
      <w:r w:rsidR="00E92269">
        <w:t xml:space="preserve">. </w:t>
      </w:r>
    </w:p>
    <w:p w14:paraId="5F1A9F80" w14:textId="0A55B76E" w:rsidR="00E92269" w:rsidRDefault="00DD19EE" w:rsidP="00E92269">
      <m:oMath>
        <m:sSub>
          <m:sSubPr>
            <m:ctrlPr>
              <w:rPr>
                <w:rFonts w:ascii="Cambria Math" w:hAnsi="Cambria Math"/>
                <w:i/>
              </w:rPr>
            </m:ctrlPr>
          </m:sSubPr>
          <m:e>
            <m:r>
              <w:rPr>
                <w:rFonts w:ascii="Cambria Math" w:hAnsi="Cambria Math"/>
              </w:rPr>
              <m:t>β</m:t>
            </m:r>
          </m:e>
          <m:sub>
            <m:r>
              <w:rPr>
                <w:rFonts w:ascii="Cambria Math" w:hAnsi="Cambria Math"/>
              </w:rPr>
              <m:t>T</m:t>
            </m:r>
          </m:sub>
        </m:sSub>
        <m:r>
          <m:rPr>
            <m:sty m:val="p"/>
          </m:rPr>
          <w:rPr>
            <w:rFonts w:ascii="Cambria Math" w:hAnsi="Cambria Math"/>
          </w:rPr>
          <m:t xml:space="preserve"> </m:t>
        </m:r>
      </m:oMath>
      <w:r w:rsidR="00E92269">
        <w:t xml:space="preserve">will measure the intent-to-treat effect of being assigned to the </w:t>
      </w:r>
      <w:r w:rsidR="00F64B6C">
        <w:t xml:space="preserve">treatment </w:t>
      </w:r>
      <w:r w:rsidR="00E92269">
        <w:t xml:space="preserve">group compared to the control group. </w:t>
      </w:r>
    </w:p>
    <w:p w14:paraId="1B65DAB4" w14:textId="77777777" w:rsidR="00E92269" w:rsidRDefault="00E92269" w:rsidP="00E92269">
      <w:r w:rsidRPr="00C57835">
        <w:rPr>
          <w:position w:val="-10"/>
        </w:rPr>
        <w:object w:dxaOrig="460" w:dyaOrig="300" w14:anchorId="3BA1F1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4.25pt" o:ole="">
            <v:imagedata r:id="rId9" o:title=""/>
          </v:shape>
          <o:OLEObject Type="Embed" ProgID="Equation.3" ShapeID="_x0000_i1025" DrawAspect="Content" ObjectID="_1736751320" r:id="rId10"/>
        </w:object>
      </w:r>
      <w:r>
        <w:t xml:space="preserve"> is the baseline value of the outcome variable</w:t>
      </w:r>
    </w:p>
    <w:p w14:paraId="2D83DFC4" w14:textId="77777777" w:rsidR="00E92269" w:rsidRDefault="00E92269" w:rsidP="00E92269">
      <w:r w:rsidRPr="00C57835">
        <w:rPr>
          <w:position w:val="-10"/>
        </w:rPr>
        <w:object w:dxaOrig="520" w:dyaOrig="300" w14:anchorId="4EB2DB15">
          <v:shape id="_x0000_i1026" type="#_x0000_t75" style="width:29.25pt;height:14.25pt" o:ole="">
            <v:imagedata r:id="rId11" o:title=""/>
          </v:shape>
          <o:OLEObject Type="Embed" ProgID="Equation.3" ShapeID="_x0000_i1026" DrawAspect="Content" ObjectID="_1736751321" r:id="rId12"/>
        </w:object>
      </w:r>
      <w:r>
        <w:t xml:space="preserve"> is a dummy variable for the final stratification variable</w:t>
      </w:r>
    </w:p>
    <w:p w14:paraId="34526C0D" w14:textId="6818EFBF" w:rsidR="002B0FED" w:rsidRDefault="00E92269" w:rsidP="00CC7685">
      <w:r w:rsidRPr="008C5F92">
        <w:rPr>
          <w:position w:val="-8"/>
        </w:rPr>
        <w:object w:dxaOrig="200" w:dyaOrig="280" w14:anchorId="3E8B92BD">
          <v:shape id="_x0000_i1027" type="#_x0000_t75" style="width:15pt;height:15pt" o:ole="">
            <v:imagedata r:id="rId13" o:title=""/>
          </v:shape>
          <o:OLEObject Type="Embed" ProgID="Equation.3" ShapeID="_x0000_i1027" DrawAspect="Content" ObjectID="_1736751322" r:id="rId14"/>
        </w:object>
      </w:r>
      <w:r>
        <w:t xml:space="preserve"> is the error term </w:t>
      </w:r>
    </w:p>
    <w:p w14:paraId="54857FD8" w14:textId="6FF74B0E" w:rsidR="002D0D8F" w:rsidRPr="00FD76A7" w:rsidRDefault="002D0D8F" w:rsidP="004A0FB5">
      <w:r>
        <w:t>For the outcomes for which we do not have baseline values</w:t>
      </w:r>
      <w:r w:rsidR="008301D3">
        <w:t>, we will calculate the intent</w:t>
      </w:r>
      <w:r>
        <w:t xml:space="preserve"> to treat effect using the following regression:</w:t>
      </w:r>
      <w:r w:rsidR="006017FE">
        <w:rPr>
          <w:position w:val="-10"/>
        </w:rPr>
        <w:tab/>
      </w:r>
    </w:p>
    <w:p w14:paraId="37AB5A04" w14:textId="3B712ED7" w:rsidR="00733BAF" w:rsidRPr="00582393" w:rsidRDefault="00DD19EE" w:rsidP="004A0FB5">
      <w:pPr>
        <w:rPr>
          <w:lang w:val="es-ES"/>
        </w:rPr>
      </w:pP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i</m:t>
            </m:r>
            <m:r>
              <w:rPr>
                <w:rFonts w:ascii="Cambria Math" w:hAnsi="Cambria Math"/>
                <w:sz w:val="28"/>
                <w:szCs w:val="28"/>
                <w:lang w:val="es-ES"/>
              </w:rPr>
              <m:t>,</m:t>
            </m:r>
            <m:r>
              <w:rPr>
                <w:rFonts w:ascii="Cambria Math" w:hAnsi="Cambria Math"/>
                <w:sz w:val="28"/>
                <w:szCs w:val="28"/>
              </w:rPr>
              <m:t>t</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lang w:val="es-ES"/>
              </w:rPr>
              <m:t>0</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T</m:t>
            </m:r>
          </m:sub>
        </m:sSub>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iTREAT</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lang w:val="es-ES"/>
              </w:rPr>
              <m:t>2</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m:t>
            </m:r>
            <m:r>
              <w:rPr>
                <w:rFonts w:ascii="Cambria Math" w:hAnsi="Cambria Math"/>
                <w:sz w:val="28"/>
                <w:szCs w:val="28"/>
                <w:lang w:val="es-ES"/>
              </w:rPr>
              <m:t>,</m:t>
            </m:r>
            <m:r>
              <w:rPr>
                <w:rFonts w:ascii="Cambria Math" w:hAnsi="Cambria Math"/>
                <w:sz w:val="28"/>
                <w:szCs w:val="28"/>
              </w:rPr>
              <m:t>t</m:t>
            </m:r>
            <m:r>
              <w:rPr>
                <w:rFonts w:ascii="Cambria Math" w:hAnsi="Cambria Math"/>
                <w:sz w:val="28"/>
                <w:szCs w:val="28"/>
                <w:lang w:val="es-ES"/>
              </w:rPr>
              <m:t>=0</m:t>
            </m:r>
          </m:sub>
        </m:sSub>
        <m:r>
          <w:rPr>
            <w:rFonts w:ascii="Cambria Math" w:hAnsi="Cambria Math"/>
            <w:sz w:val="28"/>
            <w:szCs w:val="28"/>
            <w:lang w:val="es-ES"/>
          </w:rPr>
          <m:t>+</m:t>
        </m:r>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it</m:t>
            </m:r>
          </m:sub>
        </m:sSub>
      </m:oMath>
      <w:r w:rsidR="003A75DC" w:rsidRPr="00582393">
        <w:rPr>
          <w:rFonts w:eastAsiaTheme="minorEastAsia"/>
          <w:sz w:val="28"/>
          <w:szCs w:val="28"/>
          <w:lang w:val="es-ES"/>
        </w:rPr>
        <w:t xml:space="preserve"> </w:t>
      </w:r>
      <w:r w:rsidR="003A75DC" w:rsidRPr="00582393">
        <w:rPr>
          <w:position w:val="-10"/>
          <w:lang w:val="es-ES"/>
        </w:rPr>
        <w:t>(E</w:t>
      </w:r>
      <w:r w:rsidR="00B42882" w:rsidRPr="00582393">
        <w:rPr>
          <w:position w:val="-10"/>
          <w:lang w:val="es-ES"/>
        </w:rPr>
        <w:t>2</w:t>
      </w:r>
      <w:r w:rsidR="003A75DC" w:rsidRPr="00582393">
        <w:rPr>
          <w:position w:val="-10"/>
          <w:lang w:val="es-ES"/>
        </w:rPr>
        <w:t>)</w:t>
      </w:r>
    </w:p>
    <w:p w14:paraId="54857FD9" w14:textId="77777777" w:rsidR="002D0D8F" w:rsidRDefault="002D0D8F" w:rsidP="004A0FB5">
      <w:r>
        <w:t xml:space="preserve">The interpretations of the variables are the same as for the previous equation. </w:t>
      </w:r>
    </w:p>
    <w:p w14:paraId="78D274FA" w14:textId="77777777" w:rsidR="005406B9" w:rsidRDefault="002D0D8F" w:rsidP="003A446F">
      <w:pPr>
        <w:jc w:val="both"/>
      </w:pPr>
      <w:r>
        <w:t xml:space="preserve">For both equations, Huber White standard errors will be used. </w:t>
      </w:r>
    </w:p>
    <w:p w14:paraId="258E320E" w14:textId="2E445B4C" w:rsidR="00131F10" w:rsidRPr="00F1777F" w:rsidRDefault="008301D3" w:rsidP="003A446F">
      <w:pPr>
        <w:jc w:val="both"/>
      </w:pPr>
      <w:r>
        <w:t xml:space="preserve">In addition to calculating the intent to treat effect, we will also estimate the treatment on the treated effect by instrumenting the </w:t>
      </w:r>
      <w:r w:rsidR="00E33A90">
        <w:t>stove ad</w:t>
      </w:r>
      <w:r w:rsidR="005406B9">
        <w:t>o</w:t>
      </w:r>
      <w:r w:rsidR="00E33A90">
        <w:t xml:space="preserve">ption </w:t>
      </w:r>
      <w:r>
        <w:t xml:space="preserve">with the random assignment to the treatment group. </w:t>
      </w:r>
      <w:r w:rsidR="00DC5136">
        <w:t xml:space="preserve">This estimate will enable us to control for </w:t>
      </w:r>
      <w:r w:rsidR="00970E2F">
        <w:t>non-compliance</w:t>
      </w:r>
      <w:r w:rsidR="00DC5136">
        <w:t xml:space="preserve"> with treatment assignment. </w:t>
      </w:r>
      <w:r w:rsidR="002A44A0">
        <w:t xml:space="preserve">At the time of writing the pre-analysis plan, we expect to use the administrative data on whether or not the household received the stove as the </w:t>
      </w:r>
      <w:r w:rsidR="00F25DD5">
        <w:t>primary indicator of compliance. However, depending on the descriptive analysis about take-up conducted in Hypothesis C</w:t>
      </w:r>
      <w:r w:rsidR="00D95C2D">
        <w:t>1, the team may also test alternative indicator</w:t>
      </w:r>
      <w:r w:rsidR="00F36D3E">
        <w:t>(s)</w:t>
      </w:r>
      <w:r w:rsidR="00D95C2D">
        <w:t xml:space="preserve"> of stove adoption that my be more appropriate given stove usage</w:t>
      </w:r>
      <w:r w:rsidR="0065113D">
        <w:t xml:space="preserve"> around the time of the endline survey</w:t>
      </w:r>
      <w:r w:rsidR="00D95C2D">
        <w:t xml:space="preserve">. </w:t>
      </w:r>
    </w:p>
    <w:p w14:paraId="54857FDC" w14:textId="77777777" w:rsidR="004A0FB5" w:rsidRDefault="004A0FB5" w:rsidP="004A0FB5">
      <w:pPr>
        <w:pStyle w:val="Heading2"/>
      </w:pPr>
      <w:r>
        <w:t>Dealing with multiple outcomes</w:t>
      </w:r>
    </w:p>
    <w:p w14:paraId="54857FDD" w14:textId="77777777" w:rsidR="00AE0961" w:rsidRDefault="0024450D" w:rsidP="004A0FB5">
      <w:r>
        <w:t xml:space="preserve">There are two challenges when working with a large number of outcome variables. First, the volume of outcome variables can make it more difficult to interpret results. Second, </w:t>
      </w:r>
      <w:r w:rsidR="006A18B2">
        <w:t xml:space="preserve">analysis of multiple outcomes can increase the risk of type 1 error if the significance tests are not adjusted appropriately. </w:t>
      </w:r>
    </w:p>
    <w:p w14:paraId="54857FDE" w14:textId="77777777" w:rsidR="00AE0961" w:rsidRDefault="00AE0961" w:rsidP="004A0FB5">
      <w:r>
        <w:t>To deal with these risks, we will employ the following strategies:</w:t>
      </w:r>
    </w:p>
    <w:p w14:paraId="54857FDF" w14:textId="793D9872" w:rsidR="00897BBA" w:rsidRDefault="00B366D9" w:rsidP="00B366D9">
      <w:pPr>
        <w:pStyle w:val="ListParagraph"/>
        <w:numPr>
          <w:ilvl w:val="0"/>
          <w:numId w:val="26"/>
        </w:numPr>
      </w:pPr>
      <w:r>
        <w:t>We have clearly identified a set of primary outcomes in hypothesis group A</w:t>
      </w:r>
      <w:r w:rsidR="00A232CF">
        <w:t xml:space="preserve"> and limited the number of outcome variables for each hypothesis tested</w:t>
      </w:r>
      <w:r>
        <w:t xml:space="preserve">. </w:t>
      </w:r>
    </w:p>
    <w:p w14:paraId="54857FE0" w14:textId="77777777" w:rsidR="00B366D9" w:rsidRDefault="00B366D9" w:rsidP="00897BBA">
      <w:pPr>
        <w:pStyle w:val="ListParagraph"/>
      </w:pPr>
    </w:p>
    <w:p w14:paraId="54857FE1" w14:textId="0F07478E" w:rsidR="00897BBA" w:rsidRDefault="00A232CF" w:rsidP="00897BBA">
      <w:pPr>
        <w:pStyle w:val="ListParagraph"/>
        <w:numPr>
          <w:ilvl w:val="0"/>
          <w:numId w:val="26"/>
        </w:numPr>
      </w:pPr>
      <w:r>
        <w:t>For hypotheses with multiple outcomes of interest tested, w</w:t>
      </w:r>
      <w:r w:rsidR="00B366D9">
        <w:t>e will follow the methodology of Kling, Katz and Liebman (2007) to test</w:t>
      </w:r>
      <w:r w:rsidR="00897BBA">
        <w:t xml:space="preserve"> the significance of</w:t>
      </w:r>
      <w:r w:rsidR="00B366D9">
        <w:t xml:space="preserve"> families of outcomes</w:t>
      </w:r>
      <w:r w:rsidR="00897BBA">
        <w:t xml:space="preserve"> in a single aggregate. </w:t>
      </w:r>
      <w:r w:rsidR="007F1F3D">
        <w:t>To calculate z-score indices</w:t>
      </w:r>
      <w:r w:rsidR="00C47BB1">
        <w:t xml:space="preserve"> for families of outcomes, we will</w:t>
      </w:r>
      <w:r w:rsidR="00897BBA">
        <w:t xml:space="preserve">: </w:t>
      </w:r>
    </w:p>
    <w:p w14:paraId="54857FE2" w14:textId="77777777" w:rsidR="00897BBA" w:rsidRDefault="00897BBA" w:rsidP="00897BBA">
      <w:pPr>
        <w:pStyle w:val="ListParagraph"/>
      </w:pPr>
    </w:p>
    <w:p w14:paraId="54857FE3" w14:textId="77777777" w:rsidR="00897BBA" w:rsidRDefault="00897BBA" w:rsidP="00897BBA">
      <w:pPr>
        <w:pStyle w:val="ListParagraph"/>
      </w:pPr>
      <w:r>
        <w:t xml:space="preserve">1) Convert all outcomes so that the sign of all of the variables in a family goes in the same direction </w:t>
      </w:r>
    </w:p>
    <w:p w14:paraId="54857FE4" w14:textId="77777777" w:rsidR="00897BBA" w:rsidRDefault="00897BBA" w:rsidP="00897BBA">
      <w:pPr>
        <w:pStyle w:val="ListParagraph"/>
      </w:pPr>
    </w:p>
    <w:p w14:paraId="54857FE5" w14:textId="77777777" w:rsidR="00897BBA" w:rsidRDefault="00897BBA" w:rsidP="00897BBA">
      <w:pPr>
        <w:pStyle w:val="ListParagraph"/>
      </w:pPr>
      <w:r>
        <w:t xml:space="preserve">2) Calculate the z-score of each variable by subtracting the control group mean and dividing by the control group standard deviation </w:t>
      </w:r>
    </w:p>
    <w:p w14:paraId="54857FE6" w14:textId="77777777" w:rsidR="00897BBA" w:rsidRDefault="00897BBA" w:rsidP="00897BBA">
      <w:pPr>
        <w:pStyle w:val="ListParagraph"/>
      </w:pPr>
    </w:p>
    <w:p w14:paraId="54857FE7" w14:textId="77777777" w:rsidR="00897BBA" w:rsidRDefault="00897BBA" w:rsidP="00897BBA">
      <w:pPr>
        <w:pStyle w:val="ListParagraph"/>
      </w:pPr>
      <w:r>
        <w:t>3) Take an average of the z-scores in the family</w:t>
      </w:r>
    </w:p>
    <w:p w14:paraId="54857FE8" w14:textId="77777777" w:rsidR="00897BBA" w:rsidRDefault="00897BBA" w:rsidP="00897BBA">
      <w:pPr>
        <w:pStyle w:val="ListParagraph"/>
      </w:pPr>
    </w:p>
    <w:p w14:paraId="54857FEC" w14:textId="77777777" w:rsidR="00AE4335" w:rsidRDefault="00AE4335" w:rsidP="00AE4335">
      <w:pPr>
        <w:pStyle w:val="Heading2"/>
      </w:pPr>
      <w:r>
        <w:t>Addressing missing data and questions with limited variation</w:t>
      </w:r>
    </w:p>
    <w:p w14:paraId="54857FEE" w14:textId="77777777" w:rsidR="00AE4335" w:rsidRDefault="00AE4335" w:rsidP="00AE4335">
      <w:pPr>
        <w:pStyle w:val="Heading3"/>
      </w:pPr>
      <w:r>
        <w:t>Survey attrition</w:t>
      </w:r>
    </w:p>
    <w:p w14:paraId="54857FEF" w14:textId="77777777" w:rsidR="008F510F" w:rsidRDefault="008F510F" w:rsidP="001B7EB3">
      <w:pPr>
        <w:jc w:val="both"/>
      </w:pPr>
      <w:r>
        <w:t>If A</w:t>
      </w:r>
      <w:r>
        <w:rPr>
          <w:vertAlign w:val="subscript"/>
        </w:rPr>
        <w:t>i</w:t>
      </w:r>
      <w:r>
        <w:t xml:space="preserve"> represents whether individual i attrits from the study because the individual cannot be found or refuses to participate, we will estimate the following equation to test whether survey attrition is related to treatment status:</w:t>
      </w:r>
    </w:p>
    <w:p w14:paraId="54857FF0" w14:textId="77777777" w:rsidR="00EB74FC" w:rsidRDefault="00EB74FC" w:rsidP="00AE4335">
      <w:r w:rsidRPr="00851612">
        <w:rPr>
          <w:position w:val="-8"/>
        </w:rPr>
        <w:object w:dxaOrig="2200" w:dyaOrig="280" w14:anchorId="54858005">
          <v:shape id="_x0000_i1028" type="#_x0000_t75" style="width:108.75pt;height:15pt" o:ole="">
            <v:imagedata r:id="rId15" o:title=""/>
          </v:shape>
          <o:OLEObject Type="Embed" ProgID="Equation.3" ShapeID="_x0000_i1028" DrawAspect="Content" ObjectID="_1736751323" r:id="rId16"/>
        </w:object>
      </w:r>
    </w:p>
    <w:p w14:paraId="54857FF1" w14:textId="0B19CDC8" w:rsidR="007A48FE" w:rsidRDefault="00EB74FC" w:rsidP="001B7EB3">
      <w:pPr>
        <w:jc w:val="both"/>
      </w:pPr>
      <w:r>
        <w:t>where C is a vector of control variables used during the stratification (</w:t>
      </w:r>
      <w:r w:rsidR="006E0396">
        <w:t>district</w:t>
      </w:r>
      <w:r>
        <w:t xml:space="preserve"> and being above/below the median </w:t>
      </w:r>
      <w:r w:rsidR="00C44E7A">
        <w:t>charcoal consumption of their district</w:t>
      </w:r>
      <w:r>
        <w:t>)</w:t>
      </w:r>
      <w:r w:rsidR="007A48FE">
        <w:t xml:space="preserve">. </w:t>
      </w:r>
    </w:p>
    <w:p w14:paraId="54857FF2" w14:textId="77777777" w:rsidR="00C164B4" w:rsidRDefault="007A48FE" w:rsidP="001B7EB3">
      <w:pPr>
        <w:jc w:val="both"/>
      </w:pPr>
      <w:r>
        <w:t xml:space="preserve">If treatment status does not affect survey attrition at the 5% significance level, then we will not adjust the estimates for attrition. </w:t>
      </w:r>
    </w:p>
    <w:p w14:paraId="54857FF3" w14:textId="77777777" w:rsidR="00AE4335" w:rsidRPr="008F510F" w:rsidRDefault="00C164B4" w:rsidP="001B7EB3">
      <w:pPr>
        <w:jc w:val="both"/>
      </w:pPr>
      <w:r>
        <w:t xml:space="preserve">If treatment status does have a statistically significant effect on survey attrition, we will test the robustness of our results using Lee bounds (Lee 2008). </w:t>
      </w:r>
    </w:p>
    <w:p w14:paraId="54857FF6" w14:textId="77777777" w:rsidR="003B7323" w:rsidRDefault="00AE4335" w:rsidP="00AE4335">
      <w:pPr>
        <w:pStyle w:val="Heading3"/>
      </w:pPr>
      <w:r>
        <w:t>Outliers</w:t>
      </w:r>
    </w:p>
    <w:p w14:paraId="54857FF7" w14:textId="12134E2A" w:rsidR="003B7323" w:rsidRDefault="00CB53A2" w:rsidP="001B7EB3">
      <w:pPr>
        <w:jc w:val="both"/>
      </w:pPr>
      <w:r>
        <w:t>W</w:t>
      </w:r>
      <w:r w:rsidR="006B698A">
        <w:t xml:space="preserve">e will test for the sensitivity of our results on </w:t>
      </w:r>
      <w:r w:rsidR="00F16F32">
        <w:t>fuel consumptions</w:t>
      </w:r>
      <w:r w:rsidR="006B698A">
        <w:t xml:space="preserve"> and </w:t>
      </w:r>
      <w:r w:rsidR="00F16F32">
        <w:t>expenditures</w:t>
      </w:r>
      <w:r w:rsidR="006B698A">
        <w:t xml:space="preserve"> to outliers by estimating windsorized versions of these variables</w:t>
      </w:r>
      <w:r w:rsidR="00DB149C">
        <w:t xml:space="preserve"> at the 99</w:t>
      </w:r>
      <w:r w:rsidR="00DB149C" w:rsidRPr="00DB149C">
        <w:rPr>
          <w:vertAlign w:val="superscript"/>
        </w:rPr>
        <w:t>th</w:t>
      </w:r>
      <w:r w:rsidR="00DB149C">
        <w:t xml:space="preserve"> percentile</w:t>
      </w:r>
      <w:r w:rsidR="006B698A">
        <w:t xml:space="preserve">. </w:t>
      </w:r>
    </w:p>
    <w:p w14:paraId="09EB623E" w14:textId="77777777" w:rsidR="00B94E15" w:rsidRDefault="00B94E15" w:rsidP="00B94E15">
      <w:pPr>
        <w:pStyle w:val="Heading2"/>
      </w:pPr>
      <w:r>
        <w:t>Inflation</w:t>
      </w:r>
    </w:p>
    <w:p w14:paraId="13F6118C" w14:textId="767C5C4B" w:rsidR="009E0D64" w:rsidRDefault="00B94E15" w:rsidP="001B7EB3">
      <w:pPr>
        <w:jc w:val="both"/>
      </w:pPr>
      <w:r>
        <w:t>Since the</w:t>
      </w:r>
      <w:r w:rsidR="00FE7962">
        <w:t xml:space="preserve"> rate of</w:t>
      </w:r>
      <w:r>
        <w:t xml:space="preserve"> inflation in Lao PDR in </w:t>
      </w:r>
      <w:r w:rsidR="00FE7962">
        <w:t xml:space="preserve">2022 </w:t>
      </w:r>
      <w:r w:rsidR="008D6933">
        <w:t xml:space="preserve">is </w:t>
      </w:r>
      <w:r w:rsidR="00B15AD1">
        <w:t>running rampant</w:t>
      </w:r>
      <w:r>
        <w:t xml:space="preserve">, we will convert the nominal values to real values using the consumer price index published by </w:t>
      </w:r>
      <w:r w:rsidR="00584F22">
        <w:t xml:space="preserve">Bank of </w:t>
      </w:r>
      <w:r w:rsidR="00AA2826">
        <w:t>the Lao PDR</w:t>
      </w:r>
      <w:r>
        <w:t xml:space="preserve">. </w:t>
      </w:r>
    </w:p>
    <w:p w14:paraId="08718DD1" w14:textId="517EAC49" w:rsidR="00ED39E6" w:rsidRDefault="00ED39E6" w:rsidP="00B42882">
      <w:pPr>
        <w:pStyle w:val="Heading1"/>
      </w:pPr>
      <w:r w:rsidRPr="00ED39E6">
        <w:t>References</w:t>
      </w:r>
      <w:r>
        <w:t xml:space="preserve"> </w:t>
      </w:r>
    </w:p>
    <w:p w14:paraId="075A3770" w14:textId="77777777" w:rsidR="00ED39E6" w:rsidRDefault="00ED39E6" w:rsidP="00ED39E6">
      <w:pPr>
        <w:jc w:val="both"/>
      </w:pPr>
      <w:r>
        <w:t>Bensch, G., and J. Peters. 2012. “A Recipe for Success? Randomized Free Distribution of Improved Cooking Stoves in Senegal.” Ruhr Economic Paper 325</w:t>
      </w:r>
    </w:p>
    <w:p w14:paraId="2B0D731E" w14:textId="77777777" w:rsidR="00ED39E6" w:rsidRDefault="00ED39E6" w:rsidP="00ED39E6">
      <w:pPr>
        <w:jc w:val="both"/>
      </w:pPr>
      <w:r>
        <w:t>Burwen, J., and D.I. Levine. 2012. “A Rapid Assessment Randomized-Controlled Trial of Improved Cookstoves in Rural Ghana.” Energy of Sustainable Development 16 (3): 328–38.</w:t>
      </w:r>
    </w:p>
    <w:p w14:paraId="3E061EEA" w14:textId="77777777" w:rsidR="00ED39E6" w:rsidRDefault="00ED39E6" w:rsidP="00ED39E6">
      <w:pPr>
        <w:jc w:val="both"/>
      </w:pPr>
      <w:r>
        <w:t>Christiaensen, L., and R. Heltberg. 2012. Greening China's Rural Energy: New Insights on the Potential of Smallholder Biogas, WPS6102. Washington, D.C.: The World Bank.</w:t>
      </w:r>
    </w:p>
    <w:p w14:paraId="0BDCC8C2" w14:textId="77777777" w:rsidR="00ED39E6" w:rsidRDefault="00ED39E6" w:rsidP="00ED39E6">
      <w:pPr>
        <w:jc w:val="both"/>
      </w:pPr>
      <w:r>
        <w:t>Djédjé, M., A. Ingwe, P. Wanyohi, V. Brinkmann, and J. Kithinji. 2009. Survey on Impacts of the Stove Project in Transmara, Western and Central Cluster of Kenya: Final Report. Nairobi, Kenya: GTZ.</w:t>
      </w:r>
    </w:p>
    <w:p w14:paraId="300E7479" w14:textId="77777777" w:rsidR="00ED39E6" w:rsidRDefault="00ED39E6" w:rsidP="00ED39E6">
      <w:pPr>
        <w:jc w:val="both"/>
      </w:pPr>
      <w:r>
        <w:t>Habermehl, H. 2007. Economic Evaluation of the Improved Household Cooking Stove Dissemination Programme in Uganda. Eschborn: GTZ.</w:t>
      </w:r>
    </w:p>
    <w:p w14:paraId="35971010" w14:textId="77777777" w:rsidR="00ED39E6" w:rsidRDefault="00ED39E6" w:rsidP="00ED39E6">
      <w:pPr>
        <w:jc w:val="both"/>
      </w:pPr>
      <w:r>
        <w:t xml:space="preserve">Hanna, R., E. Duflo, and M. Greenstone. 2016. “Up in Smoke: The Influence of Household Behavior on the Long-Run Impact of Improved Cooking Stoves.” American Economic Journal: Economic Policy. 8(1): 80-114. </w:t>
      </w:r>
    </w:p>
    <w:p w14:paraId="7F5001F0" w14:textId="77777777" w:rsidR="00ED39E6" w:rsidRDefault="00ED39E6" w:rsidP="00ED39E6">
      <w:pPr>
        <w:jc w:val="both"/>
      </w:pPr>
      <w:r>
        <w:lastRenderedPageBreak/>
        <w:t xml:space="preserve">Malla, M. B., N. Bruce, E. Bates, and E. Rehfuess. 2011. "Applying global cost-benefit analysis methods to indoor air pollution mitigation interventions in Nepal, Kenya and Sudan: Insights and challenges." Energy Policy 39 (12):7518-7529. </w:t>
      </w:r>
    </w:p>
    <w:p w14:paraId="3B674302" w14:textId="77777777" w:rsidR="00ED39E6" w:rsidRPr="00AC1F50" w:rsidRDefault="00ED39E6" w:rsidP="00ED39E6">
      <w:pPr>
        <w:jc w:val="both"/>
        <w:rPr>
          <w:lang w:val="es-ES"/>
        </w:rPr>
      </w:pPr>
      <w:r>
        <w:t xml:space="preserve">McCracken, J.P., K.R. Smith, A. Diaz, M.A. Mittleman, and J. Schwartz. 2007. “Chimney Stove Intervention to Reduce Long-term Wood Smoke Exposure Lowers Blood Pressure among Guatemalan Women.” </w:t>
      </w:r>
      <w:r w:rsidRPr="00AC1F50">
        <w:rPr>
          <w:lang w:val="es-ES"/>
        </w:rPr>
        <w:t>Environmental Health Perspectives 115 (7): 996–1001.</w:t>
      </w:r>
    </w:p>
    <w:p w14:paraId="03827015" w14:textId="77777777" w:rsidR="00ED39E6" w:rsidRDefault="00ED39E6" w:rsidP="00ED39E6">
      <w:pPr>
        <w:jc w:val="both"/>
      </w:pPr>
      <w:r w:rsidRPr="00AC1F50">
        <w:rPr>
          <w:lang w:val="es-ES"/>
        </w:rPr>
        <w:t xml:space="preserve">Romieu, I., H. Riojas-Rodríguez, A.T. Marrón-Mares, A. Schilmann, R. Perez-Padilla, and O. Masera. </w:t>
      </w:r>
      <w:r>
        <w:t>2009. “Improved Biomass Stove Intervention in Rural Mexico: Impact on the Respiratory Health of Women.” American Journal of Respiratory Critical Care Medicine 180 (7): 649–56.</w:t>
      </w:r>
    </w:p>
    <w:p w14:paraId="4040CB29" w14:textId="3E128CA0" w:rsidR="00ED39E6" w:rsidRPr="00AE2C1A" w:rsidRDefault="00ED39E6" w:rsidP="00ED39E6">
      <w:pPr>
        <w:jc w:val="both"/>
      </w:pPr>
      <w:r>
        <w:t>Smith-Sivertsen, T., E. Diaz, D. Pope, R.T. Lie, A. Diaz, J.P. McCracken, P. Bakke. 2009. “Effect of Reducing Indoor Air Pollution on Women’s Respiratory Symptoms and Lung Function: RESPIRE Guatemala Randomized Trial.” American Journal of Epidemiology 170 (2): 211–20.</w:t>
      </w:r>
    </w:p>
    <w:sectPr w:rsidR="00ED39E6" w:rsidRPr="00AE2C1A" w:rsidSect="00E02B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60669" w14:textId="77777777" w:rsidR="00DD19EE" w:rsidRDefault="00DD19EE" w:rsidP="00A503BF">
      <w:pPr>
        <w:spacing w:after="0" w:line="240" w:lineRule="auto"/>
      </w:pPr>
      <w:r>
        <w:separator/>
      </w:r>
    </w:p>
  </w:endnote>
  <w:endnote w:type="continuationSeparator" w:id="0">
    <w:p w14:paraId="04999169" w14:textId="77777777" w:rsidR="00DD19EE" w:rsidRDefault="00DD19EE" w:rsidP="00A50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57B56" w14:textId="77777777" w:rsidR="00DD19EE" w:rsidRDefault="00DD19EE" w:rsidP="00A503BF">
      <w:pPr>
        <w:spacing w:after="0" w:line="240" w:lineRule="auto"/>
      </w:pPr>
      <w:r>
        <w:separator/>
      </w:r>
    </w:p>
  </w:footnote>
  <w:footnote w:type="continuationSeparator" w:id="0">
    <w:p w14:paraId="1B50C240" w14:textId="77777777" w:rsidR="00DD19EE" w:rsidRDefault="00DD19EE" w:rsidP="00A503BF">
      <w:pPr>
        <w:spacing w:after="0" w:line="240" w:lineRule="auto"/>
      </w:pPr>
      <w:r>
        <w:continuationSeparator/>
      </w:r>
    </w:p>
  </w:footnote>
  <w:footnote w:id="1">
    <w:p w14:paraId="16D73380" w14:textId="5AF001E3" w:rsidR="00AD26AF" w:rsidRDefault="00AD26AF">
      <w:pPr>
        <w:pStyle w:val="FootnoteText"/>
      </w:pPr>
      <w:r>
        <w:rPr>
          <w:rStyle w:val="FootnoteReference"/>
        </w:rPr>
        <w:footnoteRef/>
      </w:r>
      <w:r>
        <w:t xml:space="preserve"> </w:t>
      </w:r>
      <w:r w:rsidRPr="00AD26AF">
        <w:t>Sikhottabong, Chanthabouly, Xaysettha, Sisattanak, Naxaithong, Hadxaifong, and Xaythany</w:t>
      </w:r>
      <w:r w:rsidR="00903F45">
        <w:t xml:space="preserve"> district</w:t>
      </w:r>
      <w:r w:rsidR="007D07B1">
        <w:t>s</w:t>
      </w:r>
    </w:p>
  </w:footnote>
  <w:footnote w:id="2">
    <w:p w14:paraId="1167EFA9" w14:textId="4F5DBC5F" w:rsidR="00926AC1" w:rsidRDefault="00926AC1" w:rsidP="00462CD0">
      <w:pPr>
        <w:pStyle w:val="FootnoteText"/>
      </w:pPr>
      <w:r>
        <w:rPr>
          <w:rStyle w:val="FootnoteReference"/>
        </w:rPr>
        <w:footnoteRef/>
      </w:r>
      <w:r w:rsidR="00462CD0">
        <w:t xml:space="preserve">7 districts in </w:t>
      </w:r>
      <w:r w:rsidR="007A11D0">
        <w:t xml:space="preserve">Vientiane: Sikhottabong, Chanthabouly, Xaysettha, Sisattanak, Naxaithong, Xaythany, </w:t>
      </w:r>
      <w:r w:rsidR="00462CD0">
        <w:t xml:space="preserve">and </w:t>
      </w:r>
      <w:r w:rsidR="007A11D0">
        <w:t>Hadxaifong</w:t>
      </w:r>
      <w:r w:rsidR="00462CD0">
        <w:t xml:space="preserve">. 2 districts in Champasak: Pakse and Champasak. </w:t>
      </w:r>
      <w:r w:rsidR="00794436">
        <w:t>2 districts in S</w:t>
      </w:r>
      <w:r w:rsidR="00462CD0">
        <w:t>avannakhet</w:t>
      </w:r>
      <w:r w:rsidR="00794436">
        <w:t xml:space="preserve">: </w:t>
      </w:r>
      <w:r w:rsidR="00462CD0">
        <w:t>Kaysone Phomvihane</w:t>
      </w:r>
      <w:r w:rsidR="00794436">
        <w:t xml:space="preserve"> and </w:t>
      </w:r>
      <w:r w:rsidR="00462CD0">
        <w:t>Outhoumphone</w:t>
      </w:r>
      <w:r w:rsidR="00794436">
        <w:t>.</w:t>
      </w:r>
    </w:p>
  </w:footnote>
  <w:footnote w:id="3">
    <w:p w14:paraId="639138C2" w14:textId="5976D2EF" w:rsidR="00581771" w:rsidRDefault="00581771">
      <w:pPr>
        <w:pStyle w:val="FootnoteText"/>
      </w:pPr>
      <w:r>
        <w:rPr>
          <w:rStyle w:val="FootnoteReference"/>
        </w:rPr>
        <w:footnoteRef/>
      </w:r>
      <w:r>
        <w:t xml:space="preserve"> This is a project requirement due to the expected generation of Certified Emissions Reductions</w:t>
      </w:r>
    </w:p>
  </w:footnote>
  <w:footnote w:id="4">
    <w:p w14:paraId="017A0E7F" w14:textId="4E5A8E73" w:rsidR="002108DF" w:rsidRDefault="002108DF">
      <w:pPr>
        <w:pStyle w:val="FootnoteText"/>
      </w:pPr>
      <w:r>
        <w:rPr>
          <w:rStyle w:val="FootnoteReference"/>
        </w:rPr>
        <w:footnoteRef/>
      </w:r>
      <w:r>
        <w:t xml:space="preserve"> The aggregated z-score will not include the overall SGRQ score, as</w:t>
      </w:r>
      <w:r w:rsidR="001038C3">
        <w:t xml:space="preserve"> it includes the 3 sub-scales that make up the overall score. </w:t>
      </w:r>
    </w:p>
  </w:footnote>
  <w:footnote w:id="5">
    <w:p w14:paraId="687B0003" w14:textId="679E9BB0" w:rsidR="00035B4A" w:rsidRDefault="00035B4A">
      <w:pPr>
        <w:pStyle w:val="FootnoteText"/>
      </w:pPr>
      <w:r>
        <w:rPr>
          <w:rStyle w:val="FootnoteReference"/>
        </w:rPr>
        <w:footnoteRef/>
      </w:r>
      <w:r>
        <w:t xml:space="preserve"> We do not expect the treatment to change the number of people who live in the household, and household size is balanced across treatment and control at baseline. If the treatment is shown to change the number of people who live in the household, we may adjust the specification to avoid bias.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C639F"/>
    <w:multiLevelType w:val="hybridMultilevel"/>
    <w:tmpl w:val="32204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F15ED"/>
    <w:multiLevelType w:val="hybridMultilevel"/>
    <w:tmpl w:val="8DA81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15243"/>
    <w:multiLevelType w:val="hybridMultilevel"/>
    <w:tmpl w:val="1E644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A7E93"/>
    <w:multiLevelType w:val="hybridMultilevel"/>
    <w:tmpl w:val="4A527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B2786"/>
    <w:multiLevelType w:val="hybridMultilevel"/>
    <w:tmpl w:val="D45091D6"/>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B5F1E"/>
    <w:multiLevelType w:val="hybridMultilevel"/>
    <w:tmpl w:val="BA5043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66777B"/>
    <w:multiLevelType w:val="hybridMultilevel"/>
    <w:tmpl w:val="D8B2E5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7D0FF6"/>
    <w:multiLevelType w:val="hybridMultilevel"/>
    <w:tmpl w:val="04382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FE57A3"/>
    <w:multiLevelType w:val="hybridMultilevel"/>
    <w:tmpl w:val="B260B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5B1D2B"/>
    <w:multiLevelType w:val="hybridMultilevel"/>
    <w:tmpl w:val="5E94B1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DB4394B"/>
    <w:multiLevelType w:val="hybridMultilevel"/>
    <w:tmpl w:val="37DEBB90"/>
    <w:lvl w:ilvl="0" w:tplc="4FFE2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E21384"/>
    <w:multiLevelType w:val="hybridMultilevel"/>
    <w:tmpl w:val="A75AB7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402AA9"/>
    <w:multiLevelType w:val="hybridMultilevel"/>
    <w:tmpl w:val="BF048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D87984"/>
    <w:multiLevelType w:val="hybridMultilevel"/>
    <w:tmpl w:val="32A20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1A60E6"/>
    <w:multiLevelType w:val="hybridMultilevel"/>
    <w:tmpl w:val="6A7EF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41FBA"/>
    <w:multiLevelType w:val="hybridMultilevel"/>
    <w:tmpl w:val="82A679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7C5D84"/>
    <w:multiLevelType w:val="hybridMultilevel"/>
    <w:tmpl w:val="B5FC2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F66BCF"/>
    <w:multiLevelType w:val="hybridMultilevel"/>
    <w:tmpl w:val="7718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B504C"/>
    <w:multiLevelType w:val="hybridMultilevel"/>
    <w:tmpl w:val="6B38E5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642497"/>
    <w:multiLevelType w:val="hybridMultilevel"/>
    <w:tmpl w:val="BEFA3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865C28"/>
    <w:multiLevelType w:val="hybridMultilevel"/>
    <w:tmpl w:val="4C4C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596AAF"/>
    <w:multiLevelType w:val="hybridMultilevel"/>
    <w:tmpl w:val="3356D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035D98"/>
    <w:multiLevelType w:val="hybridMultilevel"/>
    <w:tmpl w:val="CB9486C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0C3EB6"/>
    <w:multiLevelType w:val="hybridMultilevel"/>
    <w:tmpl w:val="1CF42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84B16FB"/>
    <w:multiLevelType w:val="hybridMultilevel"/>
    <w:tmpl w:val="87765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6F7CBB"/>
    <w:multiLevelType w:val="hybridMultilevel"/>
    <w:tmpl w:val="D1A2D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A624B7"/>
    <w:multiLevelType w:val="hybridMultilevel"/>
    <w:tmpl w:val="71E85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915FCB"/>
    <w:multiLevelType w:val="hybridMultilevel"/>
    <w:tmpl w:val="461AD0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937256"/>
    <w:multiLevelType w:val="hybridMultilevel"/>
    <w:tmpl w:val="57A83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BD68BC"/>
    <w:multiLevelType w:val="hybridMultilevel"/>
    <w:tmpl w:val="8AAC4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AD4FBF"/>
    <w:multiLevelType w:val="hybridMultilevel"/>
    <w:tmpl w:val="3938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0410E3"/>
    <w:multiLevelType w:val="hybridMultilevel"/>
    <w:tmpl w:val="1FB4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342AB5"/>
    <w:multiLevelType w:val="multilevel"/>
    <w:tmpl w:val="7F58E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9F77142"/>
    <w:multiLevelType w:val="hybridMultilevel"/>
    <w:tmpl w:val="8550B3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3B1F3C"/>
    <w:multiLevelType w:val="hybridMultilevel"/>
    <w:tmpl w:val="10563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787D38"/>
    <w:multiLevelType w:val="hybridMultilevel"/>
    <w:tmpl w:val="AA90C6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F2248DE"/>
    <w:multiLevelType w:val="hybridMultilevel"/>
    <w:tmpl w:val="5D784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3D6852"/>
    <w:multiLevelType w:val="hybridMultilevel"/>
    <w:tmpl w:val="DF0E9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674A8A"/>
    <w:multiLevelType w:val="hybridMultilevel"/>
    <w:tmpl w:val="C4405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72635F"/>
    <w:multiLevelType w:val="hybridMultilevel"/>
    <w:tmpl w:val="C520D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4B7B47"/>
    <w:multiLevelType w:val="hybridMultilevel"/>
    <w:tmpl w:val="43080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6C6EEB"/>
    <w:multiLevelType w:val="hybridMultilevel"/>
    <w:tmpl w:val="EE4E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4A0162"/>
    <w:multiLevelType w:val="hybridMultilevel"/>
    <w:tmpl w:val="61BA7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D04ECA"/>
    <w:multiLevelType w:val="hybridMultilevel"/>
    <w:tmpl w:val="C4B62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3"/>
  </w:num>
  <w:num w:numId="3">
    <w:abstractNumId w:val="18"/>
  </w:num>
  <w:num w:numId="4">
    <w:abstractNumId w:val="16"/>
  </w:num>
  <w:num w:numId="5">
    <w:abstractNumId w:val="23"/>
  </w:num>
  <w:num w:numId="6">
    <w:abstractNumId w:val="13"/>
  </w:num>
  <w:num w:numId="7">
    <w:abstractNumId w:val="31"/>
  </w:num>
  <w:num w:numId="8">
    <w:abstractNumId w:val="28"/>
  </w:num>
  <w:num w:numId="9">
    <w:abstractNumId w:val="5"/>
  </w:num>
  <w:num w:numId="10">
    <w:abstractNumId w:val="26"/>
  </w:num>
  <w:num w:numId="11">
    <w:abstractNumId w:val="39"/>
  </w:num>
  <w:num w:numId="12">
    <w:abstractNumId w:val="36"/>
  </w:num>
  <w:num w:numId="13">
    <w:abstractNumId w:val="25"/>
  </w:num>
  <w:num w:numId="14">
    <w:abstractNumId w:val="0"/>
  </w:num>
  <w:num w:numId="15">
    <w:abstractNumId w:val="8"/>
  </w:num>
  <w:num w:numId="16">
    <w:abstractNumId w:val="7"/>
  </w:num>
  <w:num w:numId="17">
    <w:abstractNumId w:val="21"/>
  </w:num>
  <w:num w:numId="18">
    <w:abstractNumId w:val="38"/>
  </w:num>
  <w:num w:numId="19">
    <w:abstractNumId w:val="19"/>
  </w:num>
  <w:num w:numId="20">
    <w:abstractNumId w:val="12"/>
  </w:num>
  <w:num w:numId="21">
    <w:abstractNumId w:val="34"/>
  </w:num>
  <w:num w:numId="22">
    <w:abstractNumId w:val="43"/>
  </w:num>
  <w:num w:numId="23">
    <w:abstractNumId w:val="40"/>
  </w:num>
  <w:num w:numId="24">
    <w:abstractNumId w:val="2"/>
  </w:num>
  <w:num w:numId="25">
    <w:abstractNumId w:val="1"/>
  </w:num>
  <w:num w:numId="26">
    <w:abstractNumId w:val="4"/>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9"/>
  </w:num>
  <w:num w:numId="30">
    <w:abstractNumId w:val="22"/>
  </w:num>
  <w:num w:numId="31">
    <w:abstractNumId w:val="9"/>
  </w:num>
  <w:num w:numId="32">
    <w:abstractNumId w:val="27"/>
  </w:num>
  <w:num w:numId="33">
    <w:abstractNumId w:val="11"/>
  </w:num>
  <w:num w:numId="34">
    <w:abstractNumId w:val="10"/>
  </w:num>
  <w:num w:numId="35">
    <w:abstractNumId w:val="42"/>
  </w:num>
  <w:num w:numId="36">
    <w:abstractNumId w:val="32"/>
  </w:num>
  <w:num w:numId="37">
    <w:abstractNumId w:val="41"/>
  </w:num>
  <w:num w:numId="38">
    <w:abstractNumId w:val="3"/>
  </w:num>
  <w:num w:numId="39">
    <w:abstractNumId w:val="37"/>
  </w:num>
  <w:num w:numId="40">
    <w:abstractNumId w:val="17"/>
  </w:num>
  <w:num w:numId="41">
    <w:abstractNumId w:val="14"/>
  </w:num>
  <w:num w:numId="42">
    <w:abstractNumId w:val="30"/>
  </w:num>
  <w:num w:numId="43">
    <w:abstractNumId w:val="20"/>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B72"/>
    <w:rsid w:val="0000178C"/>
    <w:rsid w:val="00002C13"/>
    <w:rsid w:val="00003795"/>
    <w:rsid w:val="000041BB"/>
    <w:rsid w:val="000044BE"/>
    <w:rsid w:val="0000489E"/>
    <w:rsid w:val="00005385"/>
    <w:rsid w:val="00005552"/>
    <w:rsid w:val="00005C9B"/>
    <w:rsid w:val="00006532"/>
    <w:rsid w:val="0001150D"/>
    <w:rsid w:val="00012164"/>
    <w:rsid w:val="00012F85"/>
    <w:rsid w:val="0001459F"/>
    <w:rsid w:val="00015467"/>
    <w:rsid w:val="00020039"/>
    <w:rsid w:val="00020222"/>
    <w:rsid w:val="000207E0"/>
    <w:rsid w:val="00021991"/>
    <w:rsid w:val="00021E46"/>
    <w:rsid w:val="00021EFB"/>
    <w:rsid w:val="00023B8D"/>
    <w:rsid w:val="000254A9"/>
    <w:rsid w:val="0002705A"/>
    <w:rsid w:val="00027225"/>
    <w:rsid w:val="00027816"/>
    <w:rsid w:val="00027A86"/>
    <w:rsid w:val="00034D1F"/>
    <w:rsid w:val="00035B4A"/>
    <w:rsid w:val="00035C2C"/>
    <w:rsid w:val="00035FF3"/>
    <w:rsid w:val="00036530"/>
    <w:rsid w:val="00037A46"/>
    <w:rsid w:val="000406B8"/>
    <w:rsid w:val="000412E3"/>
    <w:rsid w:val="000417DE"/>
    <w:rsid w:val="000425C3"/>
    <w:rsid w:val="00044384"/>
    <w:rsid w:val="00045359"/>
    <w:rsid w:val="000457AE"/>
    <w:rsid w:val="0004584F"/>
    <w:rsid w:val="000463A6"/>
    <w:rsid w:val="00046CD1"/>
    <w:rsid w:val="00050944"/>
    <w:rsid w:val="00050EAA"/>
    <w:rsid w:val="00051333"/>
    <w:rsid w:val="00052E94"/>
    <w:rsid w:val="000549CD"/>
    <w:rsid w:val="00054EB6"/>
    <w:rsid w:val="000564E7"/>
    <w:rsid w:val="00056973"/>
    <w:rsid w:val="00056CC7"/>
    <w:rsid w:val="00057DE8"/>
    <w:rsid w:val="00060D36"/>
    <w:rsid w:val="00061B63"/>
    <w:rsid w:val="00061D6E"/>
    <w:rsid w:val="000621AB"/>
    <w:rsid w:val="00062F1E"/>
    <w:rsid w:val="000635F0"/>
    <w:rsid w:val="00063798"/>
    <w:rsid w:val="00063A67"/>
    <w:rsid w:val="000640DA"/>
    <w:rsid w:val="00064860"/>
    <w:rsid w:val="000702AF"/>
    <w:rsid w:val="00072728"/>
    <w:rsid w:val="00072861"/>
    <w:rsid w:val="00074C3B"/>
    <w:rsid w:val="00074E82"/>
    <w:rsid w:val="00075C43"/>
    <w:rsid w:val="0007657F"/>
    <w:rsid w:val="00076760"/>
    <w:rsid w:val="000776A0"/>
    <w:rsid w:val="00080040"/>
    <w:rsid w:val="00081909"/>
    <w:rsid w:val="00083BA8"/>
    <w:rsid w:val="000845B8"/>
    <w:rsid w:val="00085324"/>
    <w:rsid w:val="00085BB9"/>
    <w:rsid w:val="00085CF7"/>
    <w:rsid w:val="00085D66"/>
    <w:rsid w:val="0008675B"/>
    <w:rsid w:val="000874F5"/>
    <w:rsid w:val="00087A9D"/>
    <w:rsid w:val="00091550"/>
    <w:rsid w:val="00091E9F"/>
    <w:rsid w:val="0009273B"/>
    <w:rsid w:val="00092CEA"/>
    <w:rsid w:val="0009358D"/>
    <w:rsid w:val="00095B37"/>
    <w:rsid w:val="00095F30"/>
    <w:rsid w:val="0009673D"/>
    <w:rsid w:val="00096BF6"/>
    <w:rsid w:val="00097145"/>
    <w:rsid w:val="00097663"/>
    <w:rsid w:val="000A052A"/>
    <w:rsid w:val="000A0F72"/>
    <w:rsid w:val="000A2488"/>
    <w:rsid w:val="000A37FD"/>
    <w:rsid w:val="000A39D0"/>
    <w:rsid w:val="000A50C6"/>
    <w:rsid w:val="000A5183"/>
    <w:rsid w:val="000A6809"/>
    <w:rsid w:val="000A714A"/>
    <w:rsid w:val="000A746B"/>
    <w:rsid w:val="000A7BEB"/>
    <w:rsid w:val="000A7EEA"/>
    <w:rsid w:val="000A7F6A"/>
    <w:rsid w:val="000B003D"/>
    <w:rsid w:val="000B013B"/>
    <w:rsid w:val="000B09BB"/>
    <w:rsid w:val="000B0E96"/>
    <w:rsid w:val="000B1C0A"/>
    <w:rsid w:val="000B26D9"/>
    <w:rsid w:val="000B280C"/>
    <w:rsid w:val="000B2D24"/>
    <w:rsid w:val="000B3885"/>
    <w:rsid w:val="000B4293"/>
    <w:rsid w:val="000B4369"/>
    <w:rsid w:val="000B46BF"/>
    <w:rsid w:val="000B5429"/>
    <w:rsid w:val="000B6EAE"/>
    <w:rsid w:val="000B756B"/>
    <w:rsid w:val="000B7E03"/>
    <w:rsid w:val="000C00C8"/>
    <w:rsid w:val="000C1504"/>
    <w:rsid w:val="000C19EE"/>
    <w:rsid w:val="000C1C2C"/>
    <w:rsid w:val="000C2796"/>
    <w:rsid w:val="000C55B4"/>
    <w:rsid w:val="000C5AC5"/>
    <w:rsid w:val="000C6155"/>
    <w:rsid w:val="000D0094"/>
    <w:rsid w:val="000D0624"/>
    <w:rsid w:val="000D1199"/>
    <w:rsid w:val="000D127A"/>
    <w:rsid w:val="000D1A04"/>
    <w:rsid w:val="000D22B1"/>
    <w:rsid w:val="000D2AF7"/>
    <w:rsid w:val="000D386C"/>
    <w:rsid w:val="000D4A9E"/>
    <w:rsid w:val="000D59E4"/>
    <w:rsid w:val="000D6069"/>
    <w:rsid w:val="000D7356"/>
    <w:rsid w:val="000D7377"/>
    <w:rsid w:val="000D757A"/>
    <w:rsid w:val="000E0589"/>
    <w:rsid w:val="000E24CA"/>
    <w:rsid w:val="000E37A0"/>
    <w:rsid w:val="000E3FBB"/>
    <w:rsid w:val="000E4330"/>
    <w:rsid w:val="000E45B3"/>
    <w:rsid w:val="000E60DF"/>
    <w:rsid w:val="000E6499"/>
    <w:rsid w:val="000E6E41"/>
    <w:rsid w:val="000E74A0"/>
    <w:rsid w:val="000E78D8"/>
    <w:rsid w:val="000E7C5A"/>
    <w:rsid w:val="000F08E1"/>
    <w:rsid w:val="000F293E"/>
    <w:rsid w:val="000F2C85"/>
    <w:rsid w:val="000F5B22"/>
    <w:rsid w:val="000F6EE5"/>
    <w:rsid w:val="0010045D"/>
    <w:rsid w:val="001006A5"/>
    <w:rsid w:val="00101A77"/>
    <w:rsid w:val="0010353A"/>
    <w:rsid w:val="001038C3"/>
    <w:rsid w:val="001040AB"/>
    <w:rsid w:val="0010419E"/>
    <w:rsid w:val="00107363"/>
    <w:rsid w:val="00107974"/>
    <w:rsid w:val="00107BEF"/>
    <w:rsid w:val="00107E56"/>
    <w:rsid w:val="0011109E"/>
    <w:rsid w:val="001116D5"/>
    <w:rsid w:val="001139E8"/>
    <w:rsid w:val="00113FA2"/>
    <w:rsid w:val="00114A3A"/>
    <w:rsid w:val="00116616"/>
    <w:rsid w:val="00116EAE"/>
    <w:rsid w:val="001205D5"/>
    <w:rsid w:val="00121791"/>
    <w:rsid w:val="00121D63"/>
    <w:rsid w:val="00122931"/>
    <w:rsid w:val="00122DE6"/>
    <w:rsid w:val="00123B9B"/>
    <w:rsid w:val="00123BB1"/>
    <w:rsid w:val="001259A1"/>
    <w:rsid w:val="001259F4"/>
    <w:rsid w:val="00125CB1"/>
    <w:rsid w:val="00130A6D"/>
    <w:rsid w:val="00130EF7"/>
    <w:rsid w:val="00131576"/>
    <w:rsid w:val="00131C6C"/>
    <w:rsid w:val="00131F10"/>
    <w:rsid w:val="001321FB"/>
    <w:rsid w:val="0013312F"/>
    <w:rsid w:val="001352E3"/>
    <w:rsid w:val="00135F3D"/>
    <w:rsid w:val="001361AA"/>
    <w:rsid w:val="00137D76"/>
    <w:rsid w:val="00140323"/>
    <w:rsid w:val="00140F76"/>
    <w:rsid w:val="00141835"/>
    <w:rsid w:val="00142296"/>
    <w:rsid w:val="001429F1"/>
    <w:rsid w:val="00142FBF"/>
    <w:rsid w:val="001452D2"/>
    <w:rsid w:val="001475A0"/>
    <w:rsid w:val="001511B5"/>
    <w:rsid w:val="00151409"/>
    <w:rsid w:val="00151CE9"/>
    <w:rsid w:val="00151F2E"/>
    <w:rsid w:val="00152036"/>
    <w:rsid w:val="001525AA"/>
    <w:rsid w:val="001527FF"/>
    <w:rsid w:val="001538EE"/>
    <w:rsid w:val="00154726"/>
    <w:rsid w:val="0015523A"/>
    <w:rsid w:val="00155888"/>
    <w:rsid w:val="001561B1"/>
    <w:rsid w:val="00161ADE"/>
    <w:rsid w:val="00161E3A"/>
    <w:rsid w:val="00162FC4"/>
    <w:rsid w:val="001631A8"/>
    <w:rsid w:val="00163B4C"/>
    <w:rsid w:val="00163C8F"/>
    <w:rsid w:val="00165CD5"/>
    <w:rsid w:val="001665CF"/>
    <w:rsid w:val="00166AC3"/>
    <w:rsid w:val="001677FB"/>
    <w:rsid w:val="00167EEB"/>
    <w:rsid w:val="0017225B"/>
    <w:rsid w:val="001724BC"/>
    <w:rsid w:val="00173E72"/>
    <w:rsid w:val="001740C0"/>
    <w:rsid w:val="00174A79"/>
    <w:rsid w:val="0017500E"/>
    <w:rsid w:val="00175ECA"/>
    <w:rsid w:val="00177461"/>
    <w:rsid w:val="00177829"/>
    <w:rsid w:val="0018032C"/>
    <w:rsid w:val="001824CB"/>
    <w:rsid w:val="001829BA"/>
    <w:rsid w:val="0018475D"/>
    <w:rsid w:val="00184C1B"/>
    <w:rsid w:val="00185606"/>
    <w:rsid w:val="00185B92"/>
    <w:rsid w:val="0018706D"/>
    <w:rsid w:val="00187673"/>
    <w:rsid w:val="00187DA7"/>
    <w:rsid w:val="00187FA3"/>
    <w:rsid w:val="00190502"/>
    <w:rsid w:val="00193D7C"/>
    <w:rsid w:val="0019722C"/>
    <w:rsid w:val="00197B3C"/>
    <w:rsid w:val="001A0F0F"/>
    <w:rsid w:val="001A129C"/>
    <w:rsid w:val="001A2321"/>
    <w:rsid w:val="001A24F1"/>
    <w:rsid w:val="001A2950"/>
    <w:rsid w:val="001A2BE9"/>
    <w:rsid w:val="001A3244"/>
    <w:rsid w:val="001A46D2"/>
    <w:rsid w:val="001A4D25"/>
    <w:rsid w:val="001A51A8"/>
    <w:rsid w:val="001A7960"/>
    <w:rsid w:val="001B0F43"/>
    <w:rsid w:val="001B15AA"/>
    <w:rsid w:val="001B2849"/>
    <w:rsid w:val="001B2CD2"/>
    <w:rsid w:val="001B3025"/>
    <w:rsid w:val="001B3795"/>
    <w:rsid w:val="001B3F55"/>
    <w:rsid w:val="001B4933"/>
    <w:rsid w:val="001B53A8"/>
    <w:rsid w:val="001B53AF"/>
    <w:rsid w:val="001B5EAB"/>
    <w:rsid w:val="001B7188"/>
    <w:rsid w:val="001B7EB3"/>
    <w:rsid w:val="001C1209"/>
    <w:rsid w:val="001C2815"/>
    <w:rsid w:val="001C2E7D"/>
    <w:rsid w:val="001C372F"/>
    <w:rsid w:val="001C563F"/>
    <w:rsid w:val="001C7113"/>
    <w:rsid w:val="001D014A"/>
    <w:rsid w:val="001D1FF7"/>
    <w:rsid w:val="001D2AAC"/>
    <w:rsid w:val="001D3003"/>
    <w:rsid w:val="001D3529"/>
    <w:rsid w:val="001D394E"/>
    <w:rsid w:val="001D4246"/>
    <w:rsid w:val="001D42FF"/>
    <w:rsid w:val="001D54D6"/>
    <w:rsid w:val="001D607F"/>
    <w:rsid w:val="001D71BD"/>
    <w:rsid w:val="001E078E"/>
    <w:rsid w:val="001E15AF"/>
    <w:rsid w:val="001E22A5"/>
    <w:rsid w:val="001E2583"/>
    <w:rsid w:val="001E2DE7"/>
    <w:rsid w:val="001E2E73"/>
    <w:rsid w:val="001E34C0"/>
    <w:rsid w:val="001E42B0"/>
    <w:rsid w:val="001E42CA"/>
    <w:rsid w:val="001E4606"/>
    <w:rsid w:val="001E4FC3"/>
    <w:rsid w:val="001E6323"/>
    <w:rsid w:val="001E677D"/>
    <w:rsid w:val="001E6B0A"/>
    <w:rsid w:val="001E729E"/>
    <w:rsid w:val="001E7575"/>
    <w:rsid w:val="001E7B68"/>
    <w:rsid w:val="001F00FF"/>
    <w:rsid w:val="001F3535"/>
    <w:rsid w:val="001F401C"/>
    <w:rsid w:val="001F495D"/>
    <w:rsid w:val="001F594F"/>
    <w:rsid w:val="001F5BBB"/>
    <w:rsid w:val="00200BE1"/>
    <w:rsid w:val="0020170F"/>
    <w:rsid w:val="00202A36"/>
    <w:rsid w:val="00203B19"/>
    <w:rsid w:val="002066AC"/>
    <w:rsid w:val="00207666"/>
    <w:rsid w:val="00210532"/>
    <w:rsid w:val="002108DF"/>
    <w:rsid w:val="002111F5"/>
    <w:rsid w:val="002112B6"/>
    <w:rsid w:val="002118BD"/>
    <w:rsid w:val="00212681"/>
    <w:rsid w:val="00213D43"/>
    <w:rsid w:val="002142C7"/>
    <w:rsid w:val="00216ABB"/>
    <w:rsid w:val="00216E6B"/>
    <w:rsid w:val="002200E3"/>
    <w:rsid w:val="00222CA6"/>
    <w:rsid w:val="00222F44"/>
    <w:rsid w:val="00224B27"/>
    <w:rsid w:val="002260EC"/>
    <w:rsid w:val="0023016F"/>
    <w:rsid w:val="002301B5"/>
    <w:rsid w:val="00232EC1"/>
    <w:rsid w:val="00233690"/>
    <w:rsid w:val="0023374F"/>
    <w:rsid w:val="002344EC"/>
    <w:rsid w:val="00234503"/>
    <w:rsid w:val="00234BFB"/>
    <w:rsid w:val="00234FB2"/>
    <w:rsid w:val="002371C6"/>
    <w:rsid w:val="00237229"/>
    <w:rsid w:val="002405D8"/>
    <w:rsid w:val="0024186D"/>
    <w:rsid w:val="002422C4"/>
    <w:rsid w:val="00242593"/>
    <w:rsid w:val="00243B15"/>
    <w:rsid w:val="0024450D"/>
    <w:rsid w:val="002445A1"/>
    <w:rsid w:val="00245E10"/>
    <w:rsid w:val="002473E2"/>
    <w:rsid w:val="00250759"/>
    <w:rsid w:val="00251290"/>
    <w:rsid w:val="00251949"/>
    <w:rsid w:val="0025239C"/>
    <w:rsid w:val="00253EDB"/>
    <w:rsid w:val="00254EA0"/>
    <w:rsid w:val="002556E3"/>
    <w:rsid w:val="0025582A"/>
    <w:rsid w:val="00255F03"/>
    <w:rsid w:val="00256EC7"/>
    <w:rsid w:val="00256F4C"/>
    <w:rsid w:val="002617A1"/>
    <w:rsid w:val="00261ACB"/>
    <w:rsid w:val="00262D0F"/>
    <w:rsid w:val="00263A5E"/>
    <w:rsid w:val="00263A92"/>
    <w:rsid w:val="00263CA3"/>
    <w:rsid w:val="00264280"/>
    <w:rsid w:val="00264499"/>
    <w:rsid w:val="00265813"/>
    <w:rsid w:val="002659F2"/>
    <w:rsid w:val="00267677"/>
    <w:rsid w:val="00271F7A"/>
    <w:rsid w:val="00272565"/>
    <w:rsid w:val="00272AE0"/>
    <w:rsid w:val="00272F15"/>
    <w:rsid w:val="002734F9"/>
    <w:rsid w:val="00273D59"/>
    <w:rsid w:val="00274175"/>
    <w:rsid w:val="00275392"/>
    <w:rsid w:val="0027555A"/>
    <w:rsid w:val="00275D43"/>
    <w:rsid w:val="00276AA2"/>
    <w:rsid w:val="00276C0E"/>
    <w:rsid w:val="00277EE6"/>
    <w:rsid w:val="00281006"/>
    <w:rsid w:val="002813CE"/>
    <w:rsid w:val="00282507"/>
    <w:rsid w:val="00284DD4"/>
    <w:rsid w:val="002851E4"/>
    <w:rsid w:val="00286791"/>
    <w:rsid w:val="00287F97"/>
    <w:rsid w:val="00291F97"/>
    <w:rsid w:val="00292199"/>
    <w:rsid w:val="00292546"/>
    <w:rsid w:val="00292EFD"/>
    <w:rsid w:val="0029307F"/>
    <w:rsid w:val="0029364E"/>
    <w:rsid w:val="00293FDE"/>
    <w:rsid w:val="00295ED8"/>
    <w:rsid w:val="00295F2F"/>
    <w:rsid w:val="00297297"/>
    <w:rsid w:val="002976C0"/>
    <w:rsid w:val="00297BF6"/>
    <w:rsid w:val="002A02A1"/>
    <w:rsid w:val="002A1016"/>
    <w:rsid w:val="002A168D"/>
    <w:rsid w:val="002A38FC"/>
    <w:rsid w:val="002A3C64"/>
    <w:rsid w:val="002A3D88"/>
    <w:rsid w:val="002A44A0"/>
    <w:rsid w:val="002A767A"/>
    <w:rsid w:val="002A7E00"/>
    <w:rsid w:val="002B0FED"/>
    <w:rsid w:val="002B1053"/>
    <w:rsid w:val="002B1979"/>
    <w:rsid w:val="002B20F1"/>
    <w:rsid w:val="002B2288"/>
    <w:rsid w:val="002B50B6"/>
    <w:rsid w:val="002B5AA8"/>
    <w:rsid w:val="002B6A6D"/>
    <w:rsid w:val="002B753A"/>
    <w:rsid w:val="002C0ACA"/>
    <w:rsid w:val="002C122B"/>
    <w:rsid w:val="002C1C6E"/>
    <w:rsid w:val="002C240F"/>
    <w:rsid w:val="002C28B3"/>
    <w:rsid w:val="002C296D"/>
    <w:rsid w:val="002C2AA6"/>
    <w:rsid w:val="002C2CBB"/>
    <w:rsid w:val="002C38B1"/>
    <w:rsid w:val="002C3ADB"/>
    <w:rsid w:val="002C44AA"/>
    <w:rsid w:val="002C45AB"/>
    <w:rsid w:val="002C46BE"/>
    <w:rsid w:val="002C47DC"/>
    <w:rsid w:val="002C493C"/>
    <w:rsid w:val="002C4A39"/>
    <w:rsid w:val="002C4B53"/>
    <w:rsid w:val="002C4F1A"/>
    <w:rsid w:val="002C5E7E"/>
    <w:rsid w:val="002C6B28"/>
    <w:rsid w:val="002C7880"/>
    <w:rsid w:val="002D0D8F"/>
    <w:rsid w:val="002D0EC2"/>
    <w:rsid w:val="002D270D"/>
    <w:rsid w:val="002D403E"/>
    <w:rsid w:val="002D4314"/>
    <w:rsid w:val="002D4656"/>
    <w:rsid w:val="002D5AA8"/>
    <w:rsid w:val="002D7C7A"/>
    <w:rsid w:val="002E02C0"/>
    <w:rsid w:val="002E0EBB"/>
    <w:rsid w:val="002E2049"/>
    <w:rsid w:val="002E20B2"/>
    <w:rsid w:val="002E2733"/>
    <w:rsid w:val="002E28A7"/>
    <w:rsid w:val="002E3015"/>
    <w:rsid w:val="002E31C9"/>
    <w:rsid w:val="002E3202"/>
    <w:rsid w:val="002E3EF5"/>
    <w:rsid w:val="002E41A0"/>
    <w:rsid w:val="002E4ED5"/>
    <w:rsid w:val="002E5AC2"/>
    <w:rsid w:val="002E5F64"/>
    <w:rsid w:val="002E6510"/>
    <w:rsid w:val="002E6708"/>
    <w:rsid w:val="002E7115"/>
    <w:rsid w:val="002E7AAD"/>
    <w:rsid w:val="002F02DA"/>
    <w:rsid w:val="002F186B"/>
    <w:rsid w:val="002F1DB2"/>
    <w:rsid w:val="002F2CDE"/>
    <w:rsid w:val="002F3518"/>
    <w:rsid w:val="002F41AE"/>
    <w:rsid w:val="002F4488"/>
    <w:rsid w:val="002F5019"/>
    <w:rsid w:val="002F5200"/>
    <w:rsid w:val="002F5D9F"/>
    <w:rsid w:val="002F6436"/>
    <w:rsid w:val="002F707D"/>
    <w:rsid w:val="002F72D3"/>
    <w:rsid w:val="00301F64"/>
    <w:rsid w:val="00302781"/>
    <w:rsid w:val="003030F7"/>
    <w:rsid w:val="003042D5"/>
    <w:rsid w:val="0030465F"/>
    <w:rsid w:val="0030478B"/>
    <w:rsid w:val="00305556"/>
    <w:rsid w:val="00307409"/>
    <w:rsid w:val="0030756A"/>
    <w:rsid w:val="00307EB0"/>
    <w:rsid w:val="00310939"/>
    <w:rsid w:val="00310B41"/>
    <w:rsid w:val="0031243B"/>
    <w:rsid w:val="0031333C"/>
    <w:rsid w:val="00313A04"/>
    <w:rsid w:val="0031426A"/>
    <w:rsid w:val="00314EF9"/>
    <w:rsid w:val="00314FE2"/>
    <w:rsid w:val="003150D5"/>
    <w:rsid w:val="00316083"/>
    <w:rsid w:val="00317CB4"/>
    <w:rsid w:val="00320401"/>
    <w:rsid w:val="00320861"/>
    <w:rsid w:val="00320BB6"/>
    <w:rsid w:val="00320EE5"/>
    <w:rsid w:val="00322062"/>
    <w:rsid w:val="00323561"/>
    <w:rsid w:val="003237B8"/>
    <w:rsid w:val="0032404B"/>
    <w:rsid w:val="00324379"/>
    <w:rsid w:val="003247BE"/>
    <w:rsid w:val="00324BAC"/>
    <w:rsid w:val="00324C92"/>
    <w:rsid w:val="003264E9"/>
    <w:rsid w:val="00326946"/>
    <w:rsid w:val="003275AF"/>
    <w:rsid w:val="00330827"/>
    <w:rsid w:val="00330A75"/>
    <w:rsid w:val="0033105B"/>
    <w:rsid w:val="00331F10"/>
    <w:rsid w:val="003320A0"/>
    <w:rsid w:val="00332B77"/>
    <w:rsid w:val="00333BCF"/>
    <w:rsid w:val="00336207"/>
    <w:rsid w:val="00336EF8"/>
    <w:rsid w:val="00337F38"/>
    <w:rsid w:val="00340E80"/>
    <w:rsid w:val="0034129A"/>
    <w:rsid w:val="00343243"/>
    <w:rsid w:val="00343313"/>
    <w:rsid w:val="00345110"/>
    <w:rsid w:val="00346510"/>
    <w:rsid w:val="00347C5B"/>
    <w:rsid w:val="00352913"/>
    <w:rsid w:val="00352FA6"/>
    <w:rsid w:val="0035315B"/>
    <w:rsid w:val="003534EB"/>
    <w:rsid w:val="003542DD"/>
    <w:rsid w:val="00356043"/>
    <w:rsid w:val="00356280"/>
    <w:rsid w:val="00357BAC"/>
    <w:rsid w:val="003626DA"/>
    <w:rsid w:val="00362D84"/>
    <w:rsid w:val="00362E74"/>
    <w:rsid w:val="00363C0D"/>
    <w:rsid w:val="00364553"/>
    <w:rsid w:val="00364AD9"/>
    <w:rsid w:val="00365B20"/>
    <w:rsid w:val="00365BAD"/>
    <w:rsid w:val="00366EC2"/>
    <w:rsid w:val="00371171"/>
    <w:rsid w:val="00371BD4"/>
    <w:rsid w:val="00372385"/>
    <w:rsid w:val="003739E2"/>
    <w:rsid w:val="003750A3"/>
    <w:rsid w:val="0037603F"/>
    <w:rsid w:val="00376745"/>
    <w:rsid w:val="00376751"/>
    <w:rsid w:val="00376F04"/>
    <w:rsid w:val="00377C7B"/>
    <w:rsid w:val="00380192"/>
    <w:rsid w:val="0038108D"/>
    <w:rsid w:val="003816C8"/>
    <w:rsid w:val="00381D96"/>
    <w:rsid w:val="00382E36"/>
    <w:rsid w:val="003850B5"/>
    <w:rsid w:val="0038760C"/>
    <w:rsid w:val="00391393"/>
    <w:rsid w:val="00391826"/>
    <w:rsid w:val="00391D77"/>
    <w:rsid w:val="00392A76"/>
    <w:rsid w:val="00392B16"/>
    <w:rsid w:val="003971B4"/>
    <w:rsid w:val="003977F6"/>
    <w:rsid w:val="00397BFB"/>
    <w:rsid w:val="00397CA1"/>
    <w:rsid w:val="003A1AB9"/>
    <w:rsid w:val="003A1DFD"/>
    <w:rsid w:val="003A28F2"/>
    <w:rsid w:val="003A446F"/>
    <w:rsid w:val="003A522F"/>
    <w:rsid w:val="003A5D02"/>
    <w:rsid w:val="003A7529"/>
    <w:rsid w:val="003A75DC"/>
    <w:rsid w:val="003A7928"/>
    <w:rsid w:val="003B10AD"/>
    <w:rsid w:val="003B2DC6"/>
    <w:rsid w:val="003B3A0A"/>
    <w:rsid w:val="003B3A56"/>
    <w:rsid w:val="003B415A"/>
    <w:rsid w:val="003B49B6"/>
    <w:rsid w:val="003B561C"/>
    <w:rsid w:val="003B6023"/>
    <w:rsid w:val="003B71F6"/>
    <w:rsid w:val="003B7323"/>
    <w:rsid w:val="003B743E"/>
    <w:rsid w:val="003C0B23"/>
    <w:rsid w:val="003C19A3"/>
    <w:rsid w:val="003C1CF8"/>
    <w:rsid w:val="003C2603"/>
    <w:rsid w:val="003C4E41"/>
    <w:rsid w:val="003C6775"/>
    <w:rsid w:val="003C6C5F"/>
    <w:rsid w:val="003C74CA"/>
    <w:rsid w:val="003D18DF"/>
    <w:rsid w:val="003D274D"/>
    <w:rsid w:val="003D2E89"/>
    <w:rsid w:val="003D3F75"/>
    <w:rsid w:val="003D4B12"/>
    <w:rsid w:val="003D5B53"/>
    <w:rsid w:val="003D5C60"/>
    <w:rsid w:val="003D6407"/>
    <w:rsid w:val="003D6897"/>
    <w:rsid w:val="003D72D7"/>
    <w:rsid w:val="003D77D7"/>
    <w:rsid w:val="003E32FC"/>
    <w:rsid w:val="003E3642"/>
    <w:rsid w:val="003E42A6"/>
    <w:rsid w:val="003E5C97"/>
    <w:rsid w:val="003E5CA3"/>
    <w:rsid w:val="003F01C6"/>
    <w:rsid w:val="003F0E1A"/>
    <w:rsid w:val="003F0EBE"/>
    <w:rsid w:val="003F11B8"/>
    <w:rsid w:val="003F150E"/>
    <w:rsid w:val="003F2136"/>
    <w:rsid w:val="003F23D6"/>
    <w:rsid w:val="003F284F"/>
    <w:rsid w:val="003F2DAB"/>
    <w:rsid w:val="003F3F94"/>
    <w:rsid w:val="003F4E67"/>
    <w:rsid w:val="003F5998"/>
    <w:rsid w:val="003F6A3A"/>
    <w:rsid w:val="003F74B8"/>
    <w:rsid w:val="003F7D0A"/>
    <w:rsid w:val="003F7D4A"/>
    <w:rsid w:val="004004CA"/>
    <w:rsid w:val="004008DC"/>
    <w:rsid w:val="00401BC9"/>
    <w:rsid w:val="00401C7A"/>
    <w:rsid w:val="0040309F"/>
    <w:rsid w:val="00403C50"/>
    <w:rsid w:val="00404EEE"/>
    <w:rsid w:val="0040562E"/>
    <w:rsid w:val="00405FB0"/>
    <w:rsid w:val="00406926"/>
    <w:rsid w:val="00406BDC"/>
    <w:rsid w:val="00406EBA"/>
    <w:rsid w:val="004070D6"/>
    <w:rsid w:val="004105A0"/>
    <w:rsid w:val="00411494"/>
    <w:rsid w:val="00411607"/>
    <w:rsid w:val="00411BE4"/>
    <w:rsid w:val="00411E6A"/>
    <w:rsid w:val="004128F2"/>
    <w:rsid w:val="00412E84"/>
    <w:rsid w:val="004131D1"/>
    <w:rsid w:val="00415B57"/>
    <w:rsid w:val="00415BC6"/>
    <w:rsid w:val="0041767C"/>
    <w:rsid w:val="00420DA1"/>
    <w:rsid w:val="00420F10"/>
    <w:rsid w:val="004211B2"/>
    <w:rsid w:val="004211D7"/>
    <w:rsid w:val="004215DC"/>
    <w:rsid w:val="0042237E"/>
    <w:rsid w:val="004228ED"/>
    <w:rsid w:val="004228FC"/>
    <w:rsid w:val="00423874"/>
    <w:rsid w:val="00424C93"/>
    <w:rsid w:val="00425028"/>
    <w:rsid w:val="0042527B"/>
    <w:rsid w:val="00425987"/>
    <w:rsid w:val="00425B5A"/>
    <w:rsid w:val="00427069"/>
    <w:rsid w:val="00427A27"/>
    <w:rsid w:val="00432A33"/>
    <w:rsid w:val="004333B8"/>
    <w:rsid w:val="00433615"/>
    <w:rsid w:val="004345A2"/>
    <w:rsid w:val="0043503D"/>
    <w:rsid w:val="004357FE"/>
    <w:rsid w:val="00437DB0"/>
    <w:rsid w:val="00441789"/>
    <w:rsid w:val="00441C22"/>
    <w:rsid w:val="004424BA"/>
    <w:rsid w:val="00442671"/>
    <w:rsid w:val="00443C00"/>
    <w:rsid w:val="004448AF"/>
    <w:rsid w:val="004449F7"/>
    <w:rsid w:val="0044551A"/>
    <w:rsid w:val="00445989"/>
    <w:rsid w:val="00450748"/>
    <w:rsid w:val="0045387B"/>
    <w:rsid w:val="00455CD7"/>
    <w:rsid w:val="00456D75"/>
    <w:rsid w:val="00456F7E"/>
    <w:rsid w:val="0045700D"/>
    <w:rsid w:val="00457A1A"/>
    <w:rsid w:val="00460082"/>
    <w:rsid w:val="00460692"/>
    <w:rsid w:val="004606D5"/>
    <w:rsid w:val="00461028"/>
    <w:rsid w:val="00461498"/>
    <w:rsid w:val="00461F0D"/>
    <w:rsid w:val="00462CD0"/>
    <w:rsid w:val="0046392C"/>
    <w:rsid w:val="00464F0C"/>
    <w:rsid w:val="004700E4"/>
    <w:rsid w:val="0047082C"/>
    <w:rsid w:val="004714A5"/>
    <w:rsid w:val="00471509"/>
    <w:rsid w:val="00471889"/>
    <w:rsid w:val="00471989"/>
    <w:rsid w:val="00472709"/>
    <w:rsid w:val="00473A2A"/>
    <w:rsid w:val="00473B29"/>
    <w:rsid w:val="004748FC"/>
    <w:rsid w:val="00475D24"/>
    <w:rsid w:val="00476850"/>
    <w:rsid w:val="00477294"/>
    <w:rsid w:val="004778A9"/>
    <w:rsid w:val="00477C6A"/>
    <w:rsid w:val="0048148F"/>
    <w:rsid w:val="00481C1C"/>
    <w:rsid w:val="00482D74"/>
    <w:rsid w:val="00482FDD"/>
    <w:rsid w:val="004840FE"/>
    <w:rsid w:val="00484117"/>
    <w:rsid w:val="004844DF"/>
    <w:rsid w:val="00484764"/>
    <w:rsid w:val="00484B2D"/>
    <w:rsid w:val="004850C5"/>
    <w:rsid w:val="00487007"/>
    <w:rsid w:val="0048714C"/>
    <w:rsid w:val="00490B9A"/>
    <w:rsid w:val="00491FED"/>
    <w:rsid w:val="00492CF6"/>
    <w:rsid w:val="004930F1"/>
    <w:rsid w:val="00497F39"/>
    <w:rsid w:val="004A07AD"/>
    <w:rsid w:val="004A0FB5"/>
    <w:rsid w:val="004A19F6"/>
    <w:rsid w:val="004A1EDB"/>
    <w:rsid w:val="004A2027"/>
    <w:rsid w:val="004A29E6"/>
    <w:rsid w:val="004A3051"/>
    <w:rsid w:val="004A36FF"/>
    <w:rsid w:val="004A384B"/>
    <w:rsid w:val="004A3E8A"/>
    <w:rsid w:val="004A5A79"/>
    <w:rsid w:val="004A6A78"/>
    <w:rsid w:val="004B16CD"/>
    <w:rsid w:val="004B336B"/>
    <w:rsid w:val="004B4598"/>
    <w:rsid w:val="004B4F84"/>
    <w:rsid w:val="004B54D8"/>
    <w:rsid w:val="004B5BBF"/>
    <w:rsid w:val="004B60C5"/>
    <w:rsid w:val="004B66E8"/>
    <w:rsid w:val="004B69AD"/>
    <w:rsid w:val="004B6F81"/>
    <w:rsid w:val="004C0865"/>
    <w:rsid w:val="004C08C0"/>
    <w:rsid w:val="004C0CE2"/>
    <w:rsid w:val="004C21E3"/>
    <w:rsid w:val="004C77BA"/>
    <w:rsid w:val="004C78E2"/>
    <w:rsid w:val="004C79B6"/>
    <w:rsid w:val="004D07F6"/>
    <w:rsid w:val="004D25B9"/>
    <w:rsid w:val="004D2D1A"/>
    <w:rsid w:val="004D3E29"/>
    <w:rsid w:val="004D4287"/>
    <w:rsid w:val="004D49F2"/>
    <w:rsid w:val="004D6C2B"/>
    <w:rsid w:val="004E01F3"/>
    <w:rsid w:val="004E0316"/>
    <w:rsid w:val="004E03D6"/>
    <w:rsid w:val="004E0770"/>
    <w:rsid w:val="004E33EC"/>
    <w:rsid w:val="004E3717"/>
    <w:rsid w:val="004E3F42"/>
    <w:rsid w:val="004E3F59"/>
    <w:rsid w:val="004E406A"/>
    <w:rsid w:val="004E4833"/>
    <w:rsid w:val="004E5D0B"/>
    <w:rsid w:val="004E678F"/>
    <w:rsid w:val="004E71C4"/>
    <w:rsid w:val="004E7631"/>
    <w:rsid w:val="004E766A"/>
    <w:rsid w:val="004E773F"/>
    <w:rsid w:val="004E7AF5"/>
    <w:rsid w:val="004F0081"/>
    <w:rsid w:val="004F5239"/>
    <w:rsid w:val="004F6266"/>
    <w:rsid w:val="004F6552"/>
    <w:rsid w:val="004F7B33"/>
    <w:rsid w:val="00500F02"/>
    <w:rsid w:val="005012B3"/>
    <w:rsid w:val="00501EB8"/>
    <w:rsid w:val="00503B46"/>
    <w:rsid w:val="00505538"/>
    <w:rsid w:val="00505DEB"/>
    <w:rsid w:val="00506933"/>
    <w:rsid w:val="00506CA9"/>
    <w:rsid w:val="00507C8C"/>
    <w:rsid w:val="00510D88"/>
    <w:rsid w:val="00511CB2"/>
    <w:rsid w:val="00511E32"/>
    <w:rsid w:val="005125ED"/>
    <w:rsid w:val="0051591D"/>
    <w:rsid w:val="00516092"/>
    <w:rsid w:val="0052014A"/>
    <w:rsid w:val="005201AD"/>
    <w:rsid w:val="0052142D"/>
    <w:rsid w:val="005223E0"/>
    <w:rsid w:val="00522826"/>
    <w:rsid w:val="00523909"/>
    <w:rsid w:val="0052490B"/>
    <w:rsid w:val="00525DC1"/>
    <w:rsid w:val="005267B7"/>
    <w:rsid w:val="005278FE"/>
    <w:rsid w:val="005303A5"/>
    <w:rsid w:val="00530DB1"/>
    <w:rsid w:val="005339D2"/>
    <w:rsid w:val="00534484"/>
    <w:rsid w:val="00534A13"/>
    <w:rsid w:val="00534D5D"/>
    <w:rsid w:val="00535C9E"/>
    <w:rsid w:val="005371F9"/>
    <w:rsid w:val="00537842"/>
    <w:rsid w:val="00537C8C"/>
    <w:rsid w:val="005406B9"/>
    <w:rsid w:val="00540CBD"/>
    <w:rsid w:val="00540DBD"/>
    <w:rsid w:val="00542179"/>
    <w:rsid w:val="005422F8"/>
    <w:rsid w:val="00543320"/>
    <w:rsid w:val="00543365"/>
    <w:rsid w:val="00543C30"/>
    <w:rsid w:val="00543C5F"/>
    <w:rsid w:val="00543ECC"/>
    <w:rsid w:val="00545EA3"/>
    <w:rsid w:val="005463AE"/>
    <w:rsid w:val="0054705C"/>
    <w:rsid w:val="005473FE"/>
    <w:rsid w:val="00547D0A"/>
    <w:rsid w:val="00550200"/>
    <w:rsid w:val="00550610"/>
    <w:rsid w:val="005512C8"/>
    <w:rsid w:val="00551643"/>
    <w:rsid w:val="005519F5"/>
    <w:rsid w:val="00551B08"/>
    <w:rsid w:val="00553035"/>
    <w:rsid w:val="00554C40"/>
    <w:rsid w:val="00555BBA"/>
    <w:rsid w:val="00555FA8"/>
    <w:rsid w:val="005560F3"/>
    <w:rsid w:val="00556BA3"/>
    <w:rsid w:val="00557DA7"/>
    <w:rsid w:val="00560495"/>
    <w:rsid w:val="0056079D"/>
    <w:rsid w:val="00560819"/>
    <w:rsid w:val="00561B52"/>
    <w:rsid w:val="00563EEB"/>
    <w:rsid w:val="00564F8A"/>
    <w:rsid w:val="00566089"/>
    <w:rsid w:val="005660D8"/>
    <w:rsid w:val="005668C5"/>
    <w:rsid w:val="005668D9"/>
    <w:rsid w:val="00566AD1"/>
    <w:rsid w:val="0056729C"/>
    <w:rsid w:val="005679C8"/>
    <w:rsid w:val="00571693"/>
    <w:rsid w:val="0057183A"/>
    <w:rsid w:val="005718E3"/>
    <w:rsid w:val="00571BE3"/>
    <w:rsid w:val="005723DB"/>
    <w:rsid w:val="00572581"/>
    <w:rsid w:val="00572C74"/>
    <w:rsid w:val="00573455"/>
    <w:rsid w:val="005740A8"/>
    <w:rsid w:val="00574DD4"/>
    <w:rsid w:val="00575702"/>
    <w:rsid w:val="00581023"/>
    <w:rsid w:val="0058106E"/>
    <w:rsid w:val="005813E4"/>
    <w:rsid w:val="005814FF"/>
    <w:rsid w:val="00581771"/>
    <w:rsid w:val="00581C1E"/>
    <w:rsid w:val="00582393"/>
    <w:rsid w:val="00584BC1"/>
    <w:rsid w:val="00584F22"/>
    <w:rsid w:val="00585340"/>
    <w:rsid w:val="005858B4"/>
    <w:rsid w:val="00586838"/>
    <w:rsid w:val="00586CDD"/>
    <w:rsid w:val="00586EF7"/>
    <w:rsid w:val="00587128"/>
    <w:rsid w:val="0059000A"/>
    <w:rsid w:val="005900EC"/>
    <w:rsid w:val="00591CA2"/>
    <w:rsid w:val="0059247E"/>
    <w:rsid w:val="00592A67"/>
    <w:rsid w:val="00592D5F"/>
    <w:rsid w:val="00592DC7"/>
    <w:rsid w:val="00593401"/>
    <w:rsid w:val="00594151"/>
    <w:rsid w:val="005948F6"/>
    <w:rsid w:val="00594EFD"/>
    <w:rsid w:val="00595AC7"/>
    <w:rsid w:val="005961A8"/>
    <w:rsid w:val="00596348"/>
    <w:rsid w:val="0059715C"/>
    <w:rsid w:val="00597946"/>
    <w:rsid w:val="00597DD5"/>
    <w:rsid w:val="005A04C0"/>
    <w:rsid w:val="005A0A14"/>
    <w:rsid w:val="005A18C7"/>
    <w:rsid w:val="005A1F21"/>
    <w:rsid w:val="005A2754"/>
    <w:rsid w:val="005A2993"/>
    <w:rsid w:val="005A3329"/>
    <w:rsid w:val="005A33F3"/>
    <w:rsid w:val="005A421E"/>
    <w:rsid w:val="005A42B4"/>
    <w:rsid w:val="005A44E6"/>
    <w:rsid w:val="005A568D"/>
    <w:rsid w:val="005A6E56"/>
    <w:rsid w:val="005B02C0"/>
    <w:rsid w:val="005B2455"/>
    <w:rsid w:val="005B2BBB"/>
    <w:rsid w:val="005B34D7"/>
    <w:rsid w:val="005B3FAC"/>
    <w:rsid w:val="005B4772"/>
    <w:rsid w:val="005B4DA6"/>
    <w:rsid w:val="005B4E56"/>
    <w:rsid w:val="005B5C14"/>
    <w:rsid w:val="005C0CD9"/>
    <w:rsid w:val="005C10F8"/>
    <w:rsid w:val="005C198C"/>
    <w:rsid w:val="005C1A4F"/>
    <w:rsid w:val="005C1EA4"/>
    <w:rsid w:val="005C1FCA"/>
    <w:rsid w:val="005C2A9D"/>
    <w:rsid w:val="005C37F3"/>
    <w:rsid w:val="005C4C82"/>
    <w:rsid w:val="005C5DB3"/>
    <w:rsid w:val="005C6E26"/>
    <w:rsid w:val="005C7241"/>
    <w:rsid w:val="005C7A84"/>
    <w:rsid w:val="005D1253"/>
    <w:rsid w:val="005D1351"/>
    <w:rsid w:val="005D1889"/>
    <w:rsid w:val="005D1E62"/>
    <w:rsid w:val="005D2225"/>
    <w:rsid w:val="005D27D5"/>
    <w:rsid w:val="005D2E97"/>
    <w:rsid w:val="005D325D"/>
    <w:rsid w:val="005D4523"/>
    <w:rsid w:val="005D4A2C"/>
    <w:rsid w:val="005D5769"/>
    <w:rsid w:val="005D6830"/>
    <w:rsid w:val="005D6946"/>
    <w:rsid w:val="005D6FA4"/>
    <w:rsid w:val="005D721A"/>
    <w:rsid w:val="005D7B1D"/>
    <w:rsid w:val="005E140C"/>
    <w:rsid w:val="005E256F"/>
    <w:rsid w:val="005E3FD4"/>
    <w:rsid w:val="005E40BB"/>
    <w:rsid w:val="005E5F5D"/>
    <w:rsid w:val="005E63A2"/>
    <w:rsid w:val="005F2E1D"/>
    <w:rsid w:val="005F3A63"/>
    <w:rsid w:val="005F407A"/>
    <w:rsid w:val="005F51A6"/>
    <w:rsid w:val="005F54E6"/>
    <w:rsid w:val="005F61F4"/>
    <w:rsid w:val="005F64EB"/>
    <w:rsid w:val="005F6B5C"/>
    <w:rsid w:val="0060160D"/>
    <w:rsid w:val="006017FE"/>
    <w:rsid w:val="006020B6"/>
    <w:rsid w:val="006021B0"/>
    <w:rsid w:val="0060294C"/>
    <w:rsid w:val="00603813"/>
    <w:rsid w:val="0060382A"/>
    <w:rsid w:val="00606880"/>
    <w:rsid w:val="00606D4D"/>
    <w:rsid w:val="00606FE2"/>
    <w:rsid w:val="006078A2"/>
    <w:rsid w:val="006128BE"/>
    <w:rsid w:val="00613311"/>
    <w:rsid w:val="0061399E"/>
    <w:rsid w:val="00614850"/>
    <w:rsid w:val="006149D1"/>
    <w:rsid w:val="00615390"/>
    <w:rsid w:val="00616E07"/>
    <w:rsid w:val="006206E6"/>
    <w:rsid w:val="00620806"/>
    <w:rsid w:val="006215AC"/>
    <w:rsid w:val="00621A08"/>
    <w:rsid w:val="0062264A"/>
    <w:rsid w:val="00623ED3"/>
    <w:rsid w:val="00624343"/>
    <w:rsid w:val="006245EA"/>
    <w:rsid w:val="00625033"/>
    <w:rsid w:val="006255A1"/>
    <w:rsid w:val="00625FD5"/>
    <w:rsid w:val="00626D86"/>
    <w:rsid w:val="00630307"/>
    <w:rsid w:val="00630B41"/>
    <w:rsid w:val="00630B76"/>
    <w:rsid w:val="00632047"/>
    <w:rsid w:val="006325F3"/>
    <w:rsid w:val="00632C2F"/>
    <w:rsid w:val="0063364B"/>
    <w:rsid w:val="00635C6F"/>
    <w:rsid w:val="00635CC0"/>
    <w:rsid w:val="006360F5"/>
    <w:rsid w:val="006365D7"/>
    <w:rsid w:val="0063675F"/>
    <w:rsid w:val="00636ADA"/>
    <w:rsid w:val="00637B42"/>
    <w:rsid w:val="00641758"/>
    <w:rsid w:val="006423A1"/>
    <w:rsid w:val="00645BCD"/>
    <w:rsid w:val="006460B1"/>
    <w:rsid w:val="00651061"/>
    <w:rsid w:val="0065113D"/>
    <w:rsid w:val="00651587"/>
    <w:rsid w:val="00651B7E"/>
    <w:rsid w:val="0065204A"/>
    <w:rsid w:val="006524E1"/>
    <w:rsid w:val="00652A88"/>
    <w:rsid w:val="00652D6B"/>
    <w:rsid w:val="0065438F"/>
    <w:rsid w:val="00656A39"/>
    <w:rsid w:val="00656DE4"/>
    <w:rsid w:val="0066198E"/>
    <w:rsid w:val="006621F6"/>
    <w:rsid w:val="00662234"/>
    <w:rsid w:val="00662B6B"/>
    <w:rsid w:val="006633B2"/>
    <w:rsid w:val="00663DCB"/>
    <w:rsid w:val="00663EC9"/>
    <w:rsid w:val="00665EF2"/>
    <w:rsid w:val="00667278"/>
    <w:rsid w:val="006729C5"/>
    <w:rsid w:val="00673B11"/>
    <w:rsid w:val="00674797"/>
    <w:rsid w:val="00675B75"/>
    <w:rsid w:val="00676A6A"/>
    <w:rsid w:val="00677B37"/>
    <w:rsid w:val="00680744"/>
    <w:rsid w:val="0068187C"/>
    <w:rsid w:val="00682061"/>
    <w:rsid w:val="00682F9D"/>
    <w:rsid w:val="0068481F"/>
    <w:rsid w:val="00684B7F"/>
    <w:rsid w:val="00685F36"/>
    <w:rsid w:val="00686366"/>
    <w:rsid w:val="00686780"/>
    <w:rsid w:val="00687968"/>
    <w:rsid w:val="0069062C"/>
    <w:rsid w:val="006918BC"/>
    <w:rsid w:val="006933C8"/>
    <w:rsid w:val="00693A0C"/>
    <w:rsid w:val="00694A06"/>
    <w:rsid w:val="0069544D"/>
    <w:rsid w:val="006956F2"/>
    <w:rsid w:val="00695BEF"/>
    <w:rsid w:val="006A03F6"/>
    <w:rsid w:val="006A08C7"/>
    <w:rsid w:val="006A0E4A"/>
    <w:rsid w:val="006A10C4"/>
    <w:rsid w:val="006A18B2"/>
    <w:rsid w:val="006A2123"/>
    <w:rsid w:val="006A2EC2"/>
    <w:rsid w:val="006A3368"/>
    <w:rsid w:val="006A3CA8"/>
    <w:rsid w:val="006A3D71"/>
    <w:rsid w:val="006A570E"/>
    <w:rsid w:val="006A57A7"/>
    <w:rsid w:val="006A6209"/>
    <w:rsid w:val="006A7616"/>
    <w:rsid w:val="006A7C3F"/>
    <w:rsid w:val="006B1B7A"/>
    <w:rsid w:val="006B1C2C"/>
    <w:rsid w:val="006B1DFC"/>
    <w:rsid w:val="006B24DF"/>
    <w:rsid w:val="006B3451"/>
    <w:rsid w:val="006B4872"/>
    <w:rsid w:val="006B698A"/>
    <w:rsid w:val="006B7112"/>
    <w:rsid w:val="006B7691"/>
    <w:rsid w:val="006C193A"/>
    <w:rsid w:val="006C240D"/>
    <w:rsid w:val="006C3196"/>
    <w:rsid w:val="006C4B20"/>
    <w:rsid w:val="006C5F4C"/>
    <w:rsid w:val="006C607B"/>
    <w:rsid w:val="006D18C1"/>
    <w:rsid w:val="006D23B1"/>
    <w:rsid w:val="006D2630"/>
    <w:rsid w:val="006D26B4"/>
    <w:rsid w:val="006D324F"/>
    <w:rsid w:val="006D4A0B"/>
    <w:rsid w:val="006D4DB0"/>
    <w:rsid w:val="006D5264"/>
    <w:rsid w:val="006D5A98"/>
    <w:rsid w:val="006D5BD5"/>
    <w:rsid w:val="006D79BF"/>
    <w:rsid w:val="006D7FDC"/>
    <w:rsid w:val="006E0396"/>
    <w:rsid w:val="006E21F9"/>
    <w:rsid w:val="006E2530"/>
    <w:rsid w:val="006E2D73"/>
    <w:rsid w:val="006E3BFF"/>
    <w:rsid w:val="006E3D6D"/>
    <w:rsid w:val="006E623E"/>
    <w:rsid w:val="006E7E77"/>
    <w:rsid w:val="006F09D4"/>
    <w:rsid w:val="006F0F58"/>
    <w:rsid w:val="006F15B5"/>
    <w:rsid w:val="006F1D60"/>
    <w:rsid w:val="006F208A"/>
    <w:rsid w:val="006F3770"/>
    <w:rsid w:val="006F5B73"/>
    <w:rsid w:val="006F5F99"/>
    <w:rsid w:val="006F72A1"/>
    <w:rsid w:val="007001D0"/>
    <w:rsid w:val="00700528"/>
    <w:rsid w:val="00700969"/>
    <w:rsid w:val="00702811"/>
    <w:rsid w:val="00706010"/>
    <w:rsid w:val="00706338"/>
    <w:rsid w:val="007073C0"/>
    <w:rsid w:val="007076E2"/>
    <w:rsid w:val="00707BDA"/>
    <w:rsid w:val="00710325"/>
    <w:rsid w:val="00710950"/>
    <w:rsid w:val="00710C6D"/>
    <w:rsid w:val="00712429"/>
    <w:rsid w:val="00712A03"/>
    <w:rsid w:val="0071526E"/>
    <w:rsid w:val="00721919"/>
    <w:rsid w:val="007224E9"/>
    <w:rsid w:val="00722BB7"/>
    <w:rsid w:val="00722DE1"/>
    <w:rsid w:val="00723704"/>
    <w:rsid w:val="00725654"/>
    <w:rsid w:val="00725889"/>
    <w:rsid w:val="00725A0E"/>
    <w:rsid w:val="00725EA8"/>
    <w:rsid w:val="00726B57"/>
    <w:rsid w:val="0072759B"/>
    <w:rsid w:val="00731036"/>
    <w:rsid w:val="007312D8"/>
    <w:rsid w:val="00731419"/>
    <w:rsid w:val="00731AA4"/>
    <w:rsid w:val="00732A53"/>
    <w:rsid w:val="0073398F"/>
    <w:rsid w:val="00733BAF"/>
    <w:rsid w:val="00733D9E"/>
    <w:rsid w:val="00734F1D"/>
    <w:rsid w:val="00735689"/>
    <w:rsid w:val="00735BE7"/>
    <w:rsid w:val="00735CB1"/>
    <w:rsid w:val="0073654B"/>
    <w:rsid w:val="007365DA"/>
    <w:rsid w:val="00736F95"/>
    <w:rsid w:val="00737C6F"/>
    <w:rsid w:val="0074098E"/>
    <w:rsid w:val="00740F41"/>
    <w:rsid w:val="00742183"/>
    <w:rsid w:val="00742936"/>
    <w:rsid w:val="00744854"/>
    <w:rsid w:val="007475D1"/>
    <w:rsid w:val="007479CD"/>
    <w:rsid w:val="00750667"/>
    <w:rsid w:val="00753ADD"/>
    <w:rsid w:val="00753D90"/>
    <w:rsid w:val="00755251"/>
    <w:rsid w:val="007574AB"/>
    <w:rsid w:val="00757703"/>
    <w:rsid w:val="0075774C"/>
    <w:rsid w:val="00757FB7"/>
    <w:rsid w:val="0076014B"/>
    <w:rsid w:val="007601B6"/>
    <w:rsid w:val="00760631"/>
    <w:rsid w:val="00761C5B"/>
    <w:rsid w:val="00763044"/>
    <w:rsid w:val="00763214"/>
    <w:rsid w:val="007641FC"/>
    <w:rsid w:val="0076423F"/>
    <w:rsid w:val="00766A1A"/>
    <w:rsid w:val="00766F70"/>
    <w:rsid w:val="00767FF1"/>
    <w:rsid w:val="0077547F"/>
    <w:rsid w:val="00775607"/>
    <w:rsid w:val="00776589"/>
    <w:rsid w:val="00776E20"/>
    <w:rsid w:val="00777157"/>
    <w:rsid w:val="00780166"/>
    <w:rsid w:val="007807CE"/>
    <w:rsid w:val="00780CF0"/>
    <w:rsid w:val="0078222C"/>
    <w:rsid w:val="00782D6E"/>
    <w:rsid w:val="00783049"/>
    <w:rsid w:val="00784DAC"/>
    <w:rsid w:val="00787D2C"/>
    <w:rsid w:val="00790935"/>
    <w:rsid w:val="00792269"/>
    <w:rsid w:val="007938F3"/>
    <w:rsid w:val="00794376"/>
    <w:rsid w:val="00794436"/>
    <w:rsid w:val="00795E62"/>
    <w:rsid w:val="007978D2"/>
    <w:rsid w:val="007A042A"/>
    <w:rsid w:val="007A11D0"/>
    <w:rsid w:val="007A31E6"/>
    <w:rsid w:val="007A3C4E"/>
    <w:rsid w:val="007A48FE"/>
    <w:rsid w:val="007A509F"/>
    <w:rsid w:val="007A635D"/>
    <w:rsid w:val="007A63D4"/>
    <w:rsid w:val="007A71D1"/>
    <w:rsid w:val="007A71E7"/>
    <w:rsid w:val="007A7357"/>
    <w:rsid w:val="007A7A09"/>
    <w:rsid w:val="007B24BA"/>
    <w:rsid w:val="007B25A9"/>
    <w:rsid w:val="007B48C6"/>
    <w:rsid w:val="007B4BDF"/>
    <w:rsid w:val="007B577E"/>
    <w:rsid w:val="007B70FB"/>
    <w:rsid w:val="007B7D32"/>
    <w:rsid w:val="007B7DA7"/>
    <w:rsid w:val="007C107B"/>
    <w:rsid w:val="007C1948"/>
    <w:rsid w:val="007C2C15"/>
    <w:rsid w:val="007C2F7C"/>
    <w:rsid w:val="007C30F6"/>
    <w:rsid w:val="007C3E8C"/>
    <w:rsid w:val="007C6828"/>
    <w:rsid w:val="007C6D65"/>
    <w:rsid w:val="007C7C8D"/>
    <w:rsid w:val="007D07B1"/>
    <w:rsid w:val="007D10B7"/>
    <w:rsid w:val="007D12E6"/>
    <w:rsid w:val="007D1D7B"/>
    <w:rsid w:val="007D1DFE"/>
    <w:rsid w:val="007D1E41"/>
    <w:rsid w:val="007D1E5D"/>
    <w:rsid w:val="007D2291"/>
    <w:rsid w:val="007D34F6"/>
    <w:rsid w:val="007D35EE"/>
    <w:rsid w:val="007D3C58"/>
    <w:rsid w:val="007D5AF1"/>
    <w:rsid w:val="007D6250"/>
    <w:rsid w:val="007D7963"/>
    <w:rsid w:val="007E108D"/>
    <w:rsid w:val="007E1805"/>
    <w:rsid w:val="007E3A5F"/>
    <w:rsid w:val="007E45FC"/>
    <w:rsid w:val="007E4FD8"/>
    <w:rsid w:val="007E5FF5"/>
    <w:rsid w:val="007E6162"/>
    <w:rsid w:val="007F10B6"/>
    <w:rsid w:val="007F1F3D"/>
    <w:rsid w:val="007F372E"/>
    <w:rsid w:val="007F3912"/>
    <w:rsid w:val="007F42EA"/>
    <w:rsid w:val="007F57BC"/>
    <w:rsid w:val="007F5949"/>
    <w:rsid w:val="007F5F4B"/>
    <w:rsid w:val="007F68CA"/>
    <w:rsid w:val="007F6BE9"/>
    <w:rsid w:val="008000F9"/>
    <w:rsid w:val="008010C7"/>
    <w:rsid w:val="00801117"/>
    <w:rsid w:val="00801E79"/>
    <w:rsid w:val="008029A9"/>
    <w:rsid w:val="00802D7F"/>
    <w:rsid w:val="00802E5A"/>
    <w:rsid w:val="0080373A"/>
    <w:rsid w:val="008043EC"/>
    <w:rsid w:val="00806D70"/>
    <w:rsid w:val="00807094"/>
    <w:rsid w:val="00807794"/>
    <w:rsid w:val="00807824"/>
    <w:rsid w:val="008101BC"/>
    <w:rsid w:val="0081159E"/>
    <w:rsid w:val="008122E2"/>
    <w:rsid w:val="0081309C"/>
    <w:rsid w:val="008138C2"/>
    <w:rsid w:val="0081426A"/>
    <w:rsid w:val="00814418"/>
    <w:rsid w:val="00815693"/>
    <w:rsid w:val="0081680C"/>
    <w:rsid w:val="008178BF"/>
    <w:rsid w:val="008200FE"/>
    <w:rsid w:val="00820401"/>
    <w:rsid w:val="0082193C"/>
    <w:rsid w:val="008232EC"/>
    <w:rsid w:val="00824230"/>
    <w:rsid w:val="00825083"/>
    <w:rsid w:val="0082608B"/>
    <w:rsid w:val="00826F59"/>
    <w:rsid w:val="0082722A"/>
    <w:rsid w:val="008275BD"/>
    <w:rsid w:val="008301D3"/>
    <w:rsid w:val="0083067C"/>
    <w:rsid w:val="00831DEE"/>
    <w:rsid w:val="00833CFC"/>
    <w:rsid w:val="00833DA9"/>
    <w:rsid w:val="008359A2"/>
    <w:rsid w:val="008365D9"/>
    <w:rsid w:val="00837AA5"/>
    <w:rsid w:val="00841FD6"/>
    <w:rsid w:val="00842B8B"/>
    <w:rsid w:val="00844AE2"/>
    <w:rsid w:val="0084743E"/>
    <w:rsid w:val="008508CE"/>
    <w:rsid w:val="00850F76"/>
    <w:rsid w:val="008513C8"/>
    <w:rsid w:val="00851612"/>
    <w:rsid w:val="00851B1A"/>
    <w:rsid w:val="0085311F"/>
    <w:rsid w:val="00853537"/>
    <w:rsid w:val="00855BF8"/>
    <w:rsid w:val="00856BB9"/>
    <w:rsid w:val="00857EF9"/>
    <w:rsid w:val="00860349"/>
    <w:rsid w:val="00861934"/>
    <w:rsid w:val="00862005"/>
    <w:rsid w:val="0086284C"/>
    <w:rsid w:val="00862EBE"/>
    <w:rsid w:val="008634E4"/>
    <w:rsid w:val="00864051"/>
    <w:rsid w:val="008640DC"/>
    <w:rsid w:val="00864A86"/>
    <w:rsid w:val="00864E34"/>
    <w:rsid w:val="008651A4"/>
    <w:rsid w:val="00865FCA"/>
    <w:rsid w:val="008660C6"/>
    <w:rsid w:val="008667B6"/>
    <w:rsid w:val="00867D86"/>
    <w:rsid w:val="00871438"/>
    <w:rsid w:val="008719DC"/>
    <w:rsid w:val="00874722"/>
    <w:rsid w:val="00877796"/>
    <w:rsid w:val="00881DD7"/>
    <w:rsid w:val="00882BAA"/>
    <w:rsid w:val="00883A1B"/>
    <w:rsid w:val="00883D9E"/>
    <w:rsid w:val="00883FA6"/>
    <w:rsid w:val="008854A6"/>
    <w:rsid w:val="008854A7"/>
    <w:rsid w:val="00885D96"/>
    <w:rsid w:val="008865BD"/>
    <w:rsid w:val="008866DE"/>
    <w:rsid w:val="00886A72"/>
    <w:rsid w:val="00886B10"/>
    <w:rsid w:val="00886BDC"/>
    <w:rsid w:val="008920C9"/>
    <w:rsid w:val="008939B6"/>
    <w:rsid w:val="008946AB"/>
    <w:rsid w:val="008949EB"/>
    <w:rsid w:val="008972D4"/>
    <w:rsid w:val="00897317"/>
    <w:rsid w:val="00897BBA"/>
    <w:rsid w:val="008A11CC"/>
    <w:rsid w:val="008A1B1D"/>
    <w:rsid w:val="008A2736"/>
    <w:rsid w:val="008A3CC0"/>
    <w:rsid w:val="008A44FB"/>
    <w:rsid w:val="008A4D41"/>
    <w:rsid w:val="008A5218"/>
    <w:rsid w:val="008A562B"/>
    <w:rsid w:val="008A5FEE"/>
    <w:rsid w:val="008A60AC"/>
    <w:rsid w:val="008A65DE"/>
    <w:rsid w:val="008A6B41"/>
    <w:rsid w:val="008A7698"/>
    <w:rsid w:val="008A7A8B"/>
    <w:rsid w:val="008A7B1D"/>
    <w:rsid w:val="008B01F9"/>
    <w:rsid w:val="008B1D11"/>
    <w:rsid w:val="008B2DEF"/>
    <w:rsid w:val="008B2FAA"/>
    <w:rsid w:val="008B3ECD"/>
    <w:rsid w:val="008B3EF9"/>
    <w:rsid w:val="008B4098"/>
    <w:rsid w:val="008B4782"/>
    <w:rsid w:val="008B4E31"/>
    <w:rsid w:val="008B65AD"/>
    <w:rsid w:val="008B7331"/>
    <w:rsid w:val="008B7AD9"/>
    <w:rsid w:val="008B7E37"/>
    <w:rsid w:val="008C165A"/>
    <w:rsid w:val="008C177D"/>
    <w:rsid w:val="008C2C92"/>
    <w:rsid w:val="008C4616"/>
    <w:rsid w:val="008C47D5"/>
    <w:rsid w:val="008C47EC"/>
    <w:rsid w:val="008C51E4"/>
    <w:rsid w:val="008C5F92"/>
    <w:rsid w:val="008C6596"/>
    <w:rsid w:val="008C65D3"/>
    <w:rsid w:val="008C68C9"/>
    <w:rsid w:val="008C68D4"/>
    <w:rsid w:val="008D028D"/>
    <w:rsid w:val="008D1AFF"/>
    <w:rsid w:val="008D1D05"/>
    <w:rsid w:val="008D2176"/>
    <w:rsid w:val="008D256E"/>
    <w:rsid w:val="008D3B5C"/>
    <w:rsid w:val="008D5842"/>
    <w:rsid w:val="008D5E7A"/>
    <w:rsid w:val="008D68A7"/>
    <w:rsid w:val="008D6933"/>
    <w:rsid w:val="008D78AD"/>
    <w:rsid w:val="008E019E"/>
    <w:rsid w:val="008E02A9"/>
    <w:rsid w:val="008E1686"/>
    <w:rsid w:val="008E16C3"/>
    <w:rsid w:val="008E1E15"/>
    <w:rsid w:val="008E3162"/>
    <w:rsid w:val="008E3288"/>
    <w:rsid w:val="008E490E"/>
    <w:rsid w:val="008E5DBD"/>
    <w:rsid w:val="008E7045"/>
    <w:rsid w:val="008E7BAA"/>
    <w:rsid w:val="008F0B10"/>
    <w:rsid w:val="008F1849"/>
    <w:rsid w:val="008F238A"/>
    <w:rsid w:val="008F333A"/>
    <w:rsid w:val="008F510F"/>
    <w:rsid w:val="008F5315"/>
    <w:rsid w:val="008F68AC"/>
    <w:rsid w:val="008F69D6"/>
    <w:rsid w:val="008F6BF8"/>
    <w:rsid w:val="008F6DF3"/>
    <w:rsid w:val="008F73C3"/>
    <w:rsid w:val="008F76A7"/>
    <w:rsid w:val="008F7CC5"/>
    <w:rsid w:val="009003D2"/>
    <w:rsid w:val="00900A1C"/>
    <w:rsid w:val="00901A63"/>
    <w:rsid w:val="0090342F"/>
    <w:rsid w:val="009036B0"/>
    <w:rsid w:val="00903851"/>
    <w:rsid w:val="00903F45"/>
    <w:rsid w:val="009040CC"/>
    <w:rsid w:val="00904249"/>
    <w:rsid w:val="0090586D"/>
    <w:rsid w:val="00905910"/>
    <w:rsid w:val="00905E22"/>
    <w:rsid w:val="0090638B"/>
    <w:rsid w:val="00907819"/>
    <w:rsid w:val="00907B6E"/>
    <w:rsid w:val="00910541"/>
    <w:rsid w:val="00911BA5"/>
    <w:rsid w:val="0091327B"/>
    <w:rsid w:val="00914A03"/>
    <w:rsid w:val="00914DD0"/>
    <w:rsid w:val="0091713F"/>
    <w:rsid w:val="009216FE"/>
    <w:rsid w:val="009217FA"/>
    <w:rsid w:val="00921A6B"/>
    <w:rsid w:val="0092275E"/>
    <w:rsid w:val="009229D2"/>
    <w:rsid w:val="00923C6C"/>
    <w:rsid w:val="00923E2A"/>
    <w:rsid w:val="00924193"/>
    <w:rsid w:val="00924214"/>
    <w:rsid w:val="00924AF7"/>
    <w:rsid w:val="009259A5"/>
    <w:rsid w:val="00926AC1"/>
    <w:rsid w:val="0093062E"/>
    <w:rsid w:val="00930720"/>
    <w:rsid w:val="00932653"/>
    <w:rsid w:val="00932E4E"/>
    <w:rsid w:val="00932EB8"/>
    <w:rsid w:val="00933813"/>
    <w:rsid w:val="0093393C"/>
    <w:rsid w:val="009341FF"/>
    <w:rsid w:val="009347BA"/>
    <w:rsid w:val="00935172"/>
    <w:rsid w:val="009355E1"/>
    <w:rsid w:val="009358CE"/>
    <w:rsid w:val="0093616A"/>
    <w:rsid w:val="00936A63"/>
    <w:rsid w:val="0093732F"/>
    <w:rsid w:val="0094049E"/>
    <w:rsid w:val="00940A44"/>
    <w:rsid w:val="00941C13"/>
    <w:rsid w:val="0094235A"/>
    <w:rsid w:val="00942E52"/>
    <w:rsid w:val="0094381F"/>
    <w:rsid w:val="009440C7"/>
    <w:rsid w:val="00944A22"/>
    <w:rsid w:val="00947969"/>
    <w:rsid w:val="0095019B"/>
    <w:rsid w:val="00950E8F"/>
    <w:rsid w:val="009511BF"/>
    <w:rsid w:val="00951B72"/>
    <w:rsid w:val="00952617"/>
    <w:rsid w:val="00953BF1"/>
    <w:rsid w:val="009543FA"/>
    <w:rsid w:val="00956CA9"/>
    <w:rsid w:val="00957CB3"/>
    <w:rsid w:val="009601A7"/>
    <w:rsid w:val="009621A4"/>
    <w:rsid w:val="009624AB"/>
    <w:rsid w:val="00962A29"/>
    <w:rsid w:val="0096335D"/>
    <w:rsid w:val="00964871"/>
    <w:rsid w:val="00964D3A"/>
    <w:rsid w:val="009654E7"/>
    <w:rsid w:val="009660D8"/>
    <w:rsid w:val="00970B28"/>
    <w:rsid w:val="00970E2F"/>
    <w:rsid w:val="009710AC"/>
    <w:rsid w:val="00971947"/>
    <w:rsid w:val="00971E76"/>
    <w:rsid w:val="00972AA2"/>
    <w:rsid w:val="00973205"/>
    <w:rsid w:val="00973914"/>
    <w:rsid w:val="00973A6C"/>
    <w:rsid w:val="00973EB5"/>
    <w:rsid w:val="00973F64"/>
    <w:rsid w:val="009749F4"/>
    <w:rsid w:val="00974E6D"/>
    <w:rsid w:val="00975540"/>
    <w:rsid w:val="00975720"/>
    <w:rsid w:val="00976090"/>
    <w:rsid w:val="009761EB"/>
    <w:rsid w:val="00976644"/>
    <w:rsid w:val="00977EF0"/>
    <w:rsid w:val="009804CD"/>
    <w:rsid w:val="00980A91"/>
    <w:rsid w:val="009828D8"/>
    <w:rsid w:val="00982CD7"/>
    <w:rsid w:val="00982FFB"/>
    <w:rsid w:val="00985047"/>
    <w:rsid w:val="00985FF7"/>
    <w:rsid w:val="0098764E"/>
    <w:rsid w:val="00987F22"/>
    <w:rsid w:val="009901BE"/>
    <w:rsid w:val="00991D7F"/>
    <w:rsid w:val="009953BF"/>
    <w:rsid w:val="009955F7"/>
    <w:rsid w:val="00997ECF"/>
    <w:rsid w:val="009A0452"/>
    <w:rsid w:val="009A0EF8"/>
    <w:rsid w:val="009A308F"/>
    <w:rsid w:val="009A5DE0"/>
    <w:rsid w:val="009A6C10"/>
    <w:rsid w:val="009A6E7D"/>
    <w:rsid w:val="009B00E5"/>
    <w:rsid w:val="009B0160"/>
    <w:rsid w:val="009B0CD6"/>
    <w:rsid w:val="009B0EA7"/>
    <w:rsid w:val="009B19F3"/>
    <w:rsid w:val="009B4DD8"/>
    <w:rsid w:val="009B4DF6"/>
    <w:rsid w:val="009B4E20"/>
    <w:rsid w:val="009B6F04"/>
    <w:rsid w:val="009B7EA4"/>
    <w:rsid w:val="009C02E1"/>
    <w:rsid w:val="009C2D6A"/>
    <w:rsid w:val="009C2D78"/>
    <w:rsid w:val="009C2E9C"/>
    <w:rsid w:val="009C4B91"/>
    <w:rsid w:val="009C727E"/>
    <w:rsid w:val="009C78BF"/>
    <w:rsid w:val="009D0A55"/>
    <w:rsid w:val="009D1B96"/>
    <w:rsid w:val="009D2C55"/>
    <w:rsid w:val="009D3026"/>
    <w:rsid w:val="009D41EC"/>
    <w:rsid w:val="009D4EFE"/>
    <w:rsid w:val="009D5F7C"/>
    <w:rsid w:val="009D6022"/>
    <w:rsid w:val="009D796C"/>
    <w:rsid w:val="009D7A57"/>
    <w:rsid w:val="009E0424"/>
    <w:rsid w:val="009E0D64"/>
    <w:rsid w:val="009E127F"/>
    <w:rsid w:val="009E1518"/>
    <w:rsid w:val="009E17C7"/>
    <w:rsid w:val="009E4EA7"/>
    <w:rsid w:val="009E6DBE"/>
    <w:rsid w:val="009E6FDF"/>
    <w:rsid w:val="009E744A"/>
    <w:rsid w:val="009E77B0"/>
    <w:rsid w:val="009E77D5"/>
    <w:rsid w:val="009E79C6"/>
    <w:rsid w:val="009E7AE9"/>
    <w:rsid w:val="009F17D7"/>
    <w:rsid w:val="009F55B8"/>
    <w:rsid w:val="009F6A68"/>
    <w:rsid w:val="009F73A1"/>
    <w:rsid w:val="00A000A7"/>
    <w:rsid w:val="00A00188"/>
    <w:rsid w:val="00A00392"/>
    <w:rsid w:val="00A00BA8"/>
    <w:rsid w:val="00A02622"/>
    <w:rsid w:val="00A05C7F"/>
    <w:rsid w:val="00A061E2"/>
    <w:rsid w:val="00A1026E"/>
    <w:rsid w:val="00A113AE"/>
    <w:rsid w:val="00A11D98"/>
    <w:rsid w:val="00A125D9"/>
    <w:rsid w:val="00A138CF"/>
    <w:rsid w:val="00A145CD"/>
    <w:rsid w:val="00A149BE"/>
    <w:rsid w:val="00A15348"/>
    <w:rsid w:val="00A16A20"/>
    <w:rsid w:val="00A17F4F"/>
    <w:rsid w:val="00A17FCB"/>
    <w:rsid w:val="00A2025A"/>
    <w:rsid w:val="00A2172C"/>
    <w:rsid w:val="00A21AC5"/>
    <w:rsid w:val="00A232CF"/>
    <w:rsid w:val="00A234FB"/>
    <w:rsid w:val="00A241B1"/>
    <w:rsid w:val="00A252C8"/>
    <w:rsid w:val="00A25BFC"/>
    <w:rsid w:val="00A25FED"/>
    <w:rsid w:val="00A26177"/>
    <w:rsid w:val="00A312FB"/>
    <w:rsid w:val="00A314BA"/>
    <w:rsid w:val="00A326C1"/>
    <w:rsid w:val="00A3372F"/>
    <w:rsid w:val="00A347A6"/>
    <w:rsid w:val="00A362B6"/>
    <w:rsid w:val="00A36A93"/>
    <w:rsid w:val="00A36CCA"/>
    <w:rsid w:val="00A40580"/>
    <w:rsid w:val="00A42D2A"/>
    <w:rsid w:val="00A43A2B"/>
    <w:rsid w:val="00A43B52"/>
    <w:rsid w:val="00A44D0A"/>
    <w:rsid w:val="00A46D04"/>
    <w:rsid w:val="00A471EB"/>
    <w:rsid w:val="00A4750A"/>
    <w:rsid w:val="00A4754C"/>
    <w:rsid w:val="00A501FC"/>
    <w:rsid w:val="00A503BF"/>
    <w:rsid w:val="00A50811"/>
    <w:rsid w:val="00A51810"/>
    <w:rsid w:val="00A5264F"/>
    <w:rsid w:val="00A52D14"/>
    <w:rsid w:val="00A52F74"/>
    <w:rsid w:val="00A530C8"/>
    <w:rsid w:val="00A53C4C"/>
    <w:rsid w:val="00A543DD"/>
    <w:rsid w:val="00A5455B"/>
    <w:rsid w:val="00A5479A"/>
    <w:rsid w:val="00A550B3"/>
    <w:rsid w:val="00A5679C"/>
    <w:rsid w:val="00A5693F"/>
    <w:rsid w:val="00A6064F"/>
    <w:rsid w:val="00A60A51"/>
    <w:rsid w:val="00A629F9"/>
    <w:rsid w:val="00A62ACB"/>
    <w:rsid w:val="00A64CCC"/>
    <w:rsid w:val="00A65A9A"/>
    <w:rsid w:val="00A673C0"/>
    <w:rsid w:val="00A678B1"/>
    <w:rsid w:val="00A702AE"/>
    <w:rsid w:val="00A712E0"/>
    <w:rsid w:val="00A739B1"/>
    <w:rsid w:val="00A758C1"/>
    <w:rsid w:val="00A76EAA"/>
    <w:rsid w:val="00A80936"/>
    <w:rsid w:val="00A80949"/>
    <w:rsid w:val="00A80E94"/>
    <w:rsid w:val="00A8143B"/>
    <w:rsid w:val="00A820FB"/>
    <w:rsid w:val="00A829E1"/>
    <w:rsid w:val="00A85E08"/>
    <w:rsid w:val="00A86264"/>
    <w:rsid w:val="00A8716F"/>
    <w:rsid w:val="00A87D2C"/>
    <w:rsid w:val="00A9073E"/>
    <w:rsid w:val="00A92072"/>
    <w:rsid w:val="00A94876"/>
    <w:rsid w:val="00A95408"/>
    <w:rsid w:val="00A95AEC"/>
    <w:rsid w:val="00A966E6"/>
    <w:rsid w:val="00AA1209"/>
    <w:rsid w:val="00AA23F5"/>
    <w:rsid w:val="00AA2826"/>
    <w:rsid w:val="00AA34D9"/>
    <w:rsid w:val="00AA3E76"/>
    <w:rsid w:val="00AA46A6"/>
    <w:rsid w:val="00AA611E"/>
    <w:rsid w:val="00AA6173"/>
    <w:rsid w:val="00AB03FB"/>
    <w:rsid w:val="00AB0C71"/>
    <w:rsid w:val="00AB1FC7"/>
    <w:rsid w:val="00AB2C80"/>
    <w:rsid w:val="00AB42A4"/>
    <w:rsid w:val="00AB6D2D"/>
    <w:rsid w:val="00AB7131"/>
    <w:rsid w:val="00AB779E"/>
    <w:rsid w:val="00AB79D7"/>
    <w:rsid w:val="00AB7AA1"/>
    <w:rsid w:val="00AB7BA0"/>
    <w:rsid w:val="00AC02F2"/>
    <w:rsid w:val="00AC0F80"/>
    <w:rsid w:val="00AC1007"/>
    <w:rsid w:val="00AC1133"/>
    <w:rsid w:val="00AC1F50"/>
    <w:rsid w:val="00AC217E"/>
    <w:rsid w:val="00AC29DA"/>
    <w:rsid w:val="00AC34E3"/>
    <w:rsid w:val="00AC4215"/>
    <w:rsid w:val="00AC4F05"/>
    <w:rsid w:val="00AC5C34"/>
    <w:rsid w:val="00AC6F4C"/>
    <w:rsid w:val="00AD0582"/>
    <w:rsid w:val="00AD12B3"/>
    <w:rsid w:val="00AD21BD"/>
    <w:rsid w:val="00AD26AF"/>
    <w:rsid w:val="00AD344E"/>
    <w:rsid w:val="00AD3AB8"/>
    <w:rsid w:val="00AD4897"/>
    <w:rsid w:val="00AD584F"/>
    <w:rsid w:val="00AD6117"/>
    <w:rsid w:val="00AD65AD"/>
    <w:rsid w:val="00AD678B"/>
    <w:rsid w:val="00AD7A51"/>
    <w:rsid w:val="00AE0434"/>
    <w:rsid w:val="00AE07F8"/>
    <w:rsid w:val="00AE0961"/>
    <w:rsid w:val="00AE17B1"/>
    <w:rsid w:val="00AE27A6"/>
    <w:rsid w:val="00AE2C1A"/>
    <w:rsid w:val="00AE2E01"/>
    <w:rsid w:val="00AE4335"/>
    <w:rsid w:val="00AE4AB8"/>
    <w:rsid w:val="00AE4BB3"/>
    <w:rsid w:val="00AE5A03"/>
    <w:rsid w:val="00AE6791"/>
    <w:rsid w:val="00AE6C1F"/>
    <w:rsid w:val="00AE792D"/>
    <w:rsid w:val="00AF01E4"/>
    <w:rsid w:val="00AF0A55"/>
    <w:rsid w:val="00AF0E51"/>
    <w:rsid w:val="00AF2745"/>
    <w:rsid w:val="00AF415A"/>
    <w:rsid w:val="00AF5662"/>
    <w:rsid w:val="00AF6A3D"/>
    <w:rsid w:val="00B0049D"/>
    <w:rsid w:val="00B007FD"/>
    <w:rsid w:val="00B01658"/>
    <w:rsid w:val="00B01A8E"/>
    <w:rsid w:val="00B0385D"/>
    <w:rsid w:val="00B04D00"/>
    <w:rsid w:val="00B05AE6"/>
    <w:rsid w:val="00B06F78"/>
    <w:rsid w:val="00B110D2"/>
    <w:rsid w:val="00B11134"/>
    <w:rsid w:val="00B1126A"/>
    <w:rsid w:val="00B115D1"/>
    <w:rsid w:val="00B11B67"/>
    <w:rsid w:val="00B122CA"/>
    <w:rsid w:val="00B12A20"/>
    <w:rsid w:val="00B12ED7"/>
    <w:rsid w:val="00B1376F"/>
    <w:rsid w:val="00B13AF8"/>
    <w:rsid w:val="00B15AD1"/>
    <w:rsid w:val="00B164DD"/>
    <w:rsid w:val="00B16B08"/>
    <w:rsid w:val="00B2012F"/>
    <w:rsid w:val="00B2126C"/>
    <w:rsid w:val="00B213A8"/>
    <w:rsid w:val="00B23D24"/>
    <w:rsid w:val="00B25AF8"/>
    <w:rsid w:val="00B2767E"/>
    <w:rsid w:val="00B27B4C"/>
    <w:rsid w:val="00B303BC"/>
    <w:rsid w:val="00B31C77"/>
    <w:rsid w:val="00B31F07"/>
    <w:rsid w:val="00B333A4"/>
    <w:rsid w:val="00B3438D"/>
    <w:rsid w:val="00B34F0F"/>
    <w:rsid w:val="00B361B7"/>
    <w:rsid w:val="00B366D9"/>
    <w:rsid w:val="00B417FC"/>
    <w:rsid w:val="00B42882"/>
    <w:rsid w:val="00B42C87"/>
    <w:rsid w:val="00B43854"/>
    <w:rsid w:val="00B439DA"/>
    <w:rsid w:val="00B43CD4"/>
    <w:rsid w:val="00B44B71"/>
    <w:rsid w:val="00B44BE7"/>
    <w:rsid w:val="00B45E5B"/>
    <w:rsid w:val="00B4610C"/>
    <w:rsid w:val="00B4767C"/>
    <w:rsid w:val="00B5100D"/>
    <w:rsid w:val="00B51882"/>
    <w:rsid w:val="00B51DFB"/>
    <w:rsid w:val="00B528BC"/>
    <w:rsid w:val="00B54DE0"/>
    <w:rsid w:val="00B550A7"/>
    <w:rsid w:val="00B55970"/>
    <w:rsid w:val="00B5646D"/>
    <w:rsid w:val="00B57AF6"/>
    <w:rsid w:val="00B60434"/>
    <w:rsid w:val="00B606AB"/>
    <w:rsid w:val="00B6073C"/>
    <w:rsid w:val="00B607C9"/>
    <w:rsid w:val="00B61B88"/>
    <w:rsid w:val="00B61F27"/>
    <w:rsid w:val="00B634B7"/>
    <w:rsid w:val="00B63C39"/>
    <w:rsid w:val="00B64019"/>
    <w:rsid w:val="00B64545"/>
    <w:rsid w:val="00B665EB"/>
    <w:rsid w:val="00B66D83"/>
    <w:rsid w:val="00B66E22"/>
    <w:rsid w:val="00B66EC7"/>
    <w:rsid w:val="00B67B35"/>
    <w:rsid w:val="00B67D02"/>
    <w:rsid w:val="00B70330"/>
    <w:rsid w:val="00B7047C"/>
    <w:rsid w:val="00B707AD"/>
    <w:rsid w:val="00B71DDF"/>
    <w:rsid w:val="00B74474"/>
    <w:rsid w:val="00B756D1"/>
    <w:rsid w:val="00B758E7"/>
    <w:rsid w:val="00B75FAE"/>
    <w:rsid w:val="00B7750B"/>
    <w:rsid w:val="00B80396"/>
    <w:rsid w:val="00B807BB"/>
    <w:rsid w:val="00B8096E"/>
    <w:rsid w:val="00B81924"/>
    <w:rsid w:val="00B82008"/>
    <w:rsid w:val="00B8224E"/>
    <w:rsid w:val="00B82B07"/>
    <w:rsid w:val="00B8307E"/>
    <w:rsid w:val="00B830E7"/>
    <w:rsid w:val="00B83A07"/>
    <w:rsid w:val="00B85226"/>
    <w:rsid w:val="00B85925"/>
    <w:rsid w:val="00B86191"/>
    <w:rsid w:val="00B862D0"/>
    <w:rsid w:val="00B8740A"/>
    <w:rsid w:val="00B87756"/>
    <w:rsid w:val="00B87987"/>
    <w:rsid w:val="00B93FA4"/>
    <w:rsid w:val="00B94DC4"/>
    <w:rsid w:val="00B94E15"/>
    <w:rsid w:val="00B952FD"/>
    <w:rsid w:val="00B9603B"/>
    <w:rsid w:val="00B961BC"/>
    <w:rsid w:val="00B96D7B"/>
    <w:rsid w:val="00B971B5"/>
    <w:rsid w:val="00BA0494"/>
    <w:rsid w:val="00BA2B88"/>
    <w:rsid w:val="00BA6735"/>
    <w:rsid w:val="00BA7F96"/>
    <w:rsid w:val="00BB003E"/>
    <w:rsid w:val="00BB0B3D"/>
    <w:rsid w:val="00BB113E"/>
    <w:rsid w:val="00BB1255"/>
    <w:rsid w:val="00BB19EA"/>
    <w:rsid w:val="00BB1DD0"/>
    <w:rsid w:val="00BB44F5"/>
    <w:rsid w:val="00BB4E64"/>
    <w:rsid w:val="00BB5E36"/>
    <w:rsid w:val="00BC0468"/>
    <w:rsid w:val="00BC0514"/>
    <w:rsid w:val="00BC07B1"/>
    <w:rsid w:val="00BC0BB6"/>
    <w:rsid w:val="00BC17DD"/>
    <w:rsid w:val="00BC1CB2"/>
    <w:rsid w:val="00BC1D65"/>
    <w:rsid w:val="00BC35E3"/>
    <w:rsid w:val="00BC37A7"/>
    <w:rsid w:val="00BC3CB0"/>
    <w:rsid w:val="00BC4470"/>
    <w:rsid w:val="00BD0761"/>
    <w:rsid w:val="00BD0D6E"/>
    <w:rsid w:val="00BD24CA"/>
    <w:rsid w:val="00BD2F63"/>
    <w:rsid w:val="00BD4A18"/>
    <w:rsid w:val="00BD60FC"/>
    <w:rsid w:val="00BD722B"/>
    <w:rsid w:val="00BE224A"/>
    <w:rsid w:val="00BE24ED"/>
    <w:rsid w:val="00BE316D"/>
    <w:rsid w:val="00BE39B6"/>
    <w:rsid w:val="00BE3F22"/>
    <w:rsid w:val="00BE406A"/>
    <w:rsid w:val="00BE44F6"/>
    <w:rsid w:val="00BE4FFA"/>
    <w:rsid w:val="00BE5B96"/>
    <w:rsid w:val="00BE5DEE"/>
    <w:rsid w:val="00BE64EE"/>
    <w:rsid w:val="00BE67BD"/>
    <w:rsid w:val="00BF055B"/>
    <w:rsid w:val="00BF40A7"/>
    <w:rsid w:val="00BF45CC"/>
    <w:rsid w:val="00BF49EA"/>
    <w:rsid w:val="00BF4C16"/>
    <w:rsid w:val="00BF56D4"/>
    <w:rsid w:val="00BF7311"/>
    <w:rsid w:val="00BF7B7D"/>
    <w:rsid w:val="00C00B38"/>
    <w:rsid w:val="00C02006"/>
    <w:rsid w:val="00C0507B"/>
    <w:rsid w:val="00C05A85"/>
    <w:rsid w:val="00C07319"/>
    <w:rsid w:val="00C10A4F"/>
    <w:rsid w:val="00C11623"/>
    <w:rsid w:val="00C11D40"/>
    <w:rsid w:val="00C12A7A"/>
    <w:rsid w:val="00C13021"/>
    <w:rsid w:val="00C13049"/>
    <w:rsid w:val="00C13955"/>
    <w:rsid w:val="00C13BD1"/>
    <w:rsid w:val="00C15027"/>
    <w:rsid w:val="00C157E9"/>
    <w:rsid w:val="00C16118"/>
    <w:rsid w:val="00C164B4"/>
    <w:rsid w:val="00C23C05"/>
    <w:rsid w:val="00C24735"/>
    <w:rsid w:val="00C250E9"/>
    <w:rsid w:val="00C263E1"/>
    <w:rsid w:val="00C30C97"/>
    <w:rsid w:val="00C30F47"/>
    <w:rsid w:val="00C323AC"/>
    <w:rsid w:val="00C32CD1"/>
    <w:rsid w:val="00C33AC2"/>
    <w:rsid w:val="00C34238"/>
    <w:rsid w:val="00C34E14"/>
    <w:rsid w:val="00C36960"/>
    <w:rsid w:val="00C369CE"/>
    <w:rsid w:val="00C37481"/>
    <w:rsid w:val="00C37882"/>
    <w:rsid w:val="00C40139"/>
    <w:rsid w:val="00C41A7B"/>
    <w:rsid w:val="00C41F13"/>
    <w:rsid w:val="00C42170"/>
    <w:rsid w:val="00C44E7A"/>
    <w:rsid w:val="00C4635C"/>
    <w:rsid w:val="00C464A9"/>
    <w:rsid w:val="00C46E23"/>
    <w:rsid w:val="00C4723E"/>
    <w:rsid w:val="00C47BB1"/>
    <w:rsid w:val="00C47E30"/>
    <w:rsid w:val="00C47F6F"/>
    <w:rsid w:val="00C50BF4"/>
    <w:rsid w:val="00C51840"/>
    <w:rsid w:val="00C51D16"/>
    <w:rsid w:val="00C52069"/>
    <w:rsid w:val="00C558C7"/>
    <w:rsid w:val="00C55AFB"/>
    <w:rsid w:val="00C5681F"/>
    <w:rsid w:val="00C578CF"/>
    <w:rsid w:val="00C60775"/>
    <w:rsid w:val="00C60F0D"/>
    <w:rsid w:val="00C61BA9"/>
    <w:rsid w:val="00C6244B"/>
    <w:rsid w:val="00C62CE3"/>
    <w:rsid w:val="00C637F3"/>
    <w:rsid w:val="00C64CB7"/>
    <w:rsid w:val="00C662EA"/>
    <w:rsid w:val="00C66DFA"/>
    <w:rsid w:val="00C67384"/>
    <w:rsid w:val="00C7039D"/>
    <w:rsid w:val="00C712D8"/>
    <w:rsid w:val="00C712EE"/>
    <w:rsid w:val="00C71494"/>
    <w:rsid w:val="00C71974"/>
    <w:rsid w:val="00C7527A"/>
    <w:rsid w:val="00C759EE"/>
    <w:rsid w:val="00C7620A"/>
    <w:rsid w:val="00C77EA2"/>
    <w:rsid w:val="00C80356"/>
    <w:rsid w:val="00C81504"/>
    <w:rsid w:val="00C8244A"/>
    <w:rsid w:val="00C82655"/>
    <w:rsid w:val="00C82A48"/>
    <w:rsid w:val="00C82CAE"/>
    <w:rsid w:val="00C82ED0"/>
    <w:rsid w:val="00C847E5"/>
    <w:rsid w:val="00C8624D"/>
    <w:rsid w:val="00C863CD"/>
    <w:rsid w:val="00C86B05"/>
    <w:rsid w:val="00C86C01"/>
    <w:rsid w:val="00C913A4"/>
    <w:rsid w:val="00C9157B"/>
    <w:rsid w:val="00C9245F"/>
    <w:rsid w:val="00C9573D"/>
    <w:rsid w:val="00C97B39"/>
    <w:rsid w:val="00C97B4E"/>
    <w:rsid w:val="00CA01C8"/>
    <w:rsid w:val="00CA09FC"/>
    <w:rsid w:val="00CA0D12"/>
    <w:rsid w:val="00CA1799"/>
    <w:rsid w:val="00CA1EC1"/>
    <w:rsid w:val="00CA2896"/>
    <w:rsid w:val="00CA29AE"/>
    <w:rsid w:val="00CA2D68"/>
    <w:rsid w:val="00CA5788"/>
    <w:rsid w:val="00CA5DD8"/>
    <w:rsid w:val="00CA5E94"/>
    <w:rsid w:val="00CB0850"/>
    <w:rsid w:val="00CB08BE"/>
    <w:rsid w:val="00CB475E"/>
    <w:rsid w:val="00CB485E"/>
    <w:rsid w:val="00CB4A87"/>
    <w:rsid w:val="00CB53A2"/>
    <w:rsid w:val="00CB5EF1"/>
    <w:rsid w:val="00CB5F95"/>
    <w:rsid w:val="00CB6955"/>
    <w:rsid w:val="00CB788D"/>
    <w:rsid w:val="00CB78C2"/>
    <w:rsid w:val="00CC0F98"/>
    <w:rsid w:val="00CC43F8"/>
    <w:rsid w:val="00CC4744"/>
    <w:rsid w:val="00CC4E6C"/>
    <w:rsid w:val="00CC7526"/>
    <w:rsid w:val="00CC7685"/>
    <w:rsid w:val="00CC7F15"/>
    <w:rsid w:val="00CD17C7"/>
    <w:rsid w:val="00CD196A"/>
    <w:rsid w:val="00CD32B5"/>
    <w:rsid w:val="00CD3AE5"/>
    <w:rsid w:val="00CD3EC0"/>
    <w:rsid w:val="00CD4B95"/>
    <w:rsid w:val="00CD4DA8"/>
    <w:rsid w:val="00CD57A8"/>
    <w:rsid w:val="00CD5F7F"/>
    <w:rsid w:val="00CD7131"/>
    <w:rsid w:val="00CD725E"/>
    <w:rsid w:val="00CE1702"/>
    <w:rsid w:val="00CE186A"/>
    <w:rsid w:val="00CE19F2"/>
    <w:rsid w:val="00CE2359"/>
    <w:rsid w:val="00CE5B39"/>
    <w:rsid w:val="00CE5D47"/>
    <w:rsid w:val="00CE678E"/>
    <w:rsid w:val="00CE7AE1"/>
    <w:rsid w:val="00CF1E99"/>
    <w:rsid w:val="00CF2E0A"/>
    <w:rsid w:val="00CF3135"/>
    <w:rsid w:val="00CF365A"/>
    <w:rsid w:val="00CF4502"/>
    <w:rsid w:val="00CF505F"/>
    <w:rsid w:val="00CF538E"/>
    <w:rsid w:val="00CF54A2"/>
    <w:rsid w:val="00D001EF"/>
    <w:rsid w:val="00D02747"/>
    <w:rsid w:val="00D032C0"/>
    <w:rsid w:val="00D03AC4"/>
    <w:rsid w:val="00D03CD7"/>
    <w:rsid w:val="00D0470D"/>
    <w:rsid w:val="00D05751"/>
    <w:rsid w:val="00D061D2"/>
    <w:rsid w:val="00D07E10"/>
    <w:rsid w:val="00D1034D"/>
    <w:rsid w:val="00D107DB"/>
    <w:rsid w:val="00D10DBC"/>
    <w:rsid w:val="00D1142D"/>
    <w:rsid w:val="00D11E78"/>
    <w:rsid w:val="00D12321"/>
    <w:rsid w:val="00D12713"/>
    <w:rsid w:val="00D13B0D"/>
    <w:rsid w:val="00D14602"/>
    <w:rsid w:val="00D159EF"/>
    <w:rsid w:val="00D20EE9"/>
    <w:rsid w:val="00D21FBD"/>
    <w:rsid w:val="00D22AC2"/>
    <w:rsid w:val="00D23AA5"/>
    <w:rsid w:val="00D23CF3"/>
    <w:rsid w:val="00D23E91"/>
    <w:rsid w:val="00D24145"/>
    <w:rsid w:val="00D24D3C"/>
    <w:rsid w:val="00D24D43"/>
    <w:rsid w:val="00D24F53"/>
    <w:rsid w:val="00D25BDB"/>
    <w:rsid w:val="00D2618C"/>
    <w:rsid w:val="00D27BDB"/>
    <w:rsid w:val="00D314A9"/>
    <w:rsid w:val="00D32A72"/>
    <w:rsid w:val="00D33EF7"/>
    <w:rsid w:val="00D357FE"/>
    <w:rsid w:val="00D36298"/>
    <w:rsid w:val="00D36F35"/>
    <w:rsid w:val="00D37066"/>
    <w:rsid w:val="00D41862"/>
    <w:rsid w:val="00D42328"/>
    <w:rsid w:val="00D44D86"/>
    <w:rsid w:val="00D45A02"/>
    <w:rsid w:val="00D45ECF"/>
    <w:rsid w:val="00D46A77"/>
    <w:rsid w:val="00D47036"/>
    <w:rsid w:val="00D47221"/>
    <w:rsid w:val="00D47CDF"/>
    <w:rsid w:val="00D5083C"/>
    <w:rsid w:val="00D50BE6"/>
    <w:rsid w:val="00D52560"/>
    <w:rsid w:val="00D5319A"/>
    <w:rsid w:val="00D5397C"/>
    <w:rsid w:val="00D53E26"/>
    <w:rsid w:val="00D547CB"/>
    <w:rsid w:val="00D557F0"/>
    <w:rsid w:val="00D5798D"/>
    <w:rsid w:val="00D60692"/>
    <w:rsid w:val="00D63689"/>
    <w:rsid w:val="00D63845"/>
    <w:rsid w:val="00D65959"/>
    <w:rsid w:val="00D659A1"/>
    <w:rsid w:val="00D66775"/>
    <w:rsid w:val="00D66A6C"/>
    <w:rsid w:val="00D67953"/>
    <w:rsid w:val="00D70DEC"/>
    <w:rsid w:val="00D70EE3"/>
    <w:rsid w:val="00D72641"/>
    <w:rsid w:val="00D72734"/>
    <w:rsid w:val="00D730A1"/>
    <w:rsid w:val="00D73C25"/>
    <w:rsid w:val="00D73DCC"/>
    <w:rsid w:val="00D75283"/>
    <w:rsid w:val="00D758CC"/>
    <w:rsid w:val="00D77716"/>
    <w:rsid w:val="00D7778D"/>
    <w:rsid w:val="00D81B86"/>
    <w:rsid w:val="00D81CB9"/>
    <w:rsid w:val="00D821E2"/>
    <w:rsid w:val="00D82F55"/>
    <w:rsid w:val="00D83056"/>
    <w:rsid w:val="00D835DB"/>
    <w:rsid w:val="00D83A15"/>
    <w:rsid w:val="00D861D2"/>
    <w:rsid w:val="00D86961"/>
    <w:rsid w:val="00D86A47"/>
    <w:rsid w:val="00D879F0"/>
    <w:rsid w:val="00D87B18"/>
    <w:rsid w:val="00D9076E"/>
    <w:rsid w:val="00D91A81"/>
    <w:rsid w:val="00D9317C"/>
    <w:rsid w:val="00D94794"/>
    <w:rsid w:val="00D9518C"/>
    <w:rsid w:val="00D95BD4"/>
    <w:rsid w:val="00D95C2D"/>
    <w:rsid w:val="00D963D9"/>
    <w:rsid w:val="00D96669"/>
    <w:rsid w:val="00D9727C"/>
    <w:rsid w:val="00D97C70"/>
    <w:rsid w:val="00DA0E90"/>
    <w:rsid w:val="00DA1223"/>
    <w:rsid w:val="00DA14C4"/>
    <w:rsid w:val="00DA220B"/>
    <w:rsid w:val="00DA63F6"/>
    <w:rsid w:val="00DB0767"/>
    <w:rsid w:val="00DB1342"/>
    <w:rsid w:val="00DB138D"/>
    <w:rsid w:val="00DB149C"/>
    <w:rsid w:val="00DB21E6"/>
    <w:rsid w:val="00DB31F2"/>
    <w:rsid w:val="00DB3783"/>
    <w:rsid w:val="00DB48A2"/>
    <w:rsid w:val="00DB5F39"/>
    <w:rsid w:val="00DB77C8"/>
    <w:rsid w:val="00DC0DD8"/>
    <w:rsid w:val="00DC11F8"/>
    <w:rsid w:val="00DC3280"/>
    <w:rsid w:val="00DC4E63"/>
    <w:rsid w:val="00DC4EAC"/>
    <w:rsid w:val="00DC5136"/>
    <w:rsid w:val="00DC7827"/>
    <w:rsid w:val="00DD06B7"/>
    <w:rsid w:val="00DD0A91"/>
    <w:rsid w:val="00DD19EE"/>
    <w:rsid w:val="00DD1FB3"/>
    <w:rsid w:val="00DD42D8"/>
    <w:rsid w:val="00DD4B6C"/>
    <w:rsid w:val="00DD4E83"/>
    <w:rsid w:val="00DD5173"/>
    <w:rsid w:val="00DD64C4"/>
    <w:rsid w:val="00DE00A3"/>
    <w:rsid w:val="00DE0E85"/>
    <w:rsid w:val="00DE190E"/>
    <w:rsid w:val="00DE50C6"/>
    <w:rsid w:val="00DE5327"/>
    <w:rsid w:val="00DE692F"/>
    <w:rsid w:val="00DE699E"/>
    <w:rsid w:val="00DE7124"/>
    <w:rsid w:val="00DE7CF4"/>
    <w:rsid w:val="00DF09BB"/>
    <w:rsid w:val="00DF09D7"/>
    <w:rsid w:val="00DF137F"/>
    <w:rsid w:val="00DF1600"/>
    <w:rsid w:val="00DF2836"/>
    <w:rsid w:val="00DF29F5"/>
    <w:rsid w:val="00DF2E4E"/>
    <w:rsid w:val="00DF311E"/>
    <w:rsid w:val="00DF6919"/>
    <w:rsid w:val="00DF7066"/>
    <w:rsid w:val="00DF70D3"/>
    <w:rsid w:val="00DF73BE"/>
    <w:rsid w:val="00E01681"/>
    <w:rsid w:val="00E02B7B"/>
    <w:rsid w:val="00E02BB0"/>
    <w:rsid w:val="00E042A8"/>
    <w:rsid w:val="00E0440F"/>
    <w:rsid w:val="00E048F9"/>
    <w:rsid w:val="00E04A44"/>
    <w:rsid w:val="00E04DAE"/>
    <w:rsid w:val="00E050BA"/>
    <w:rsid w:val="00E061EE"/>
    <w:rsid w:val="00E0620B"/>
    <w:rsid w:val="00E07F07"/>
    <w:rsid w:val="00E10A58"/>
    <w:rsid w:val="00E13164"/>
    <w:rsid w:val="00E13DCB"/>
    <w:rsid w:val="00E14153"/>
    <w:rsid w:val="00E148AE"/>
    <w:rsid w:val="00E16820"/>
    <w:rsid w:val="00E1686F"/>
    <w:rsid w:val="00E1755B"/>
    <w:rsid w:val="00E176C1"/>
    <w:rsid w:val="00E179A4"/>
    <w:rsid w:val="00E2142A"/>
    <w:rsid w:val="00E21F12"/>
    <w:rsid w:val="00E223C0"/>
    <w:rsid w:val="00E23A4E"/>
    <w:rsid w:val="00E24623"/>
    <w:rsid w:val="00E2477A"/>
    <w:rsid w:val="00E255E9"/>
    <w:rsid w:val="00E25CBC"/>
    <w:rsid w:val="00E25D78"/>
    <w:rsid w:val="00E26536"/>
    <w:rsid w:val="00E27BAF"/>
    <w:rsid w:val="00E303B6"/>
    <w:rsid w:val="00E3091B"/>
    <w:rsid w:val="00E31355"/>
    <w:rsid w:val="00E31BFC"/>
    <w:rsid w:val="00E33A90"/>
    <w:rsid w:val="00E348DB"/>
    <w:rsid w:val="00E34F49"/>
    <w:rsid w:val="00E356F2"/>
    <w:rsid w:val="00E368C7"/>
    <w:rsid w:val="00E36E40"/>
    <w:rsid w:val="00E3777E"/>
    <w:rsid w:val="00E3778B"/>
    <w:rsid w:val="00E40C17"/>
    <w:rsid w:val="00E4141F"/>
    <w:rsid w:val="00E45757"/>
    <w:rsid w:val="00E469A2"/>
    <w:rsid w:val="00E4707B"/>
    <w:rsid w:val="00E50503"/>
    <w:rsid w:val="00E50FC8"/>
    <w:rsid w:val="00E51672"/>
    <w:rsid w:val="00E52FE1"/>
    <w:rsid w:val="00E54452"/>
    <w:rsid w:val="00E559D7"/>
    <w:rsid w:val="00E55F80"/>
    <w:rsid w:val="00E56D2D"/>
    <w:rsid w:val="00E57325"/>
    <w:rsid w:val="00E575B7"/>
    <w:rsid w:val="00E57651"/>
    <w:rsid w:val="00E57773"/>
    <w:rsid w:val="00E57E9E"/>
    <w:rsid w:val="00E607C8"/>
    <w:rsid w:val="00E6159D"/>
    <w:rsid w:val="00E615F1"/>
    <w:rsid w:val="00E6165E"/>
    <w:rsid w:val="00E61C01"/>
    <w:rsid w:val="00E61FEF"/>
    <w:rsid w:val="00E6222A"/>
    <w:rsid w:val="00E635A4"/>
    <w:rsid w:val="00E65931"/>
    <w:rsid w:val="00E66BC5"/>
    <w:rsid w:val="00E67EA0"/>
    <w:rsid w:val="00E70B9B"/>
    <w:rsid w:val="00E71F00"/>
    <w:rsid w:val="00E72115"/>
    <w:rsid w:val="00E733E3"/>
    <w:rsid w:val="00E73A87"/>
    <w:rsid w:val="00E74A48"/>
    <w:rsid w:val="00E7536F"/>
    <w:rsid w:val="00E76B17"/>
    <w:rsid w:val="00E76B29"/>
    <w:rsid w:val="00E77360"/>
    <w:rsid w:val="00E77CF9"/>
    <w:rsid w:val="00E80285"/>
    <w:rsid w:val="00E813FC"/>
    <w:rsid w:val="00E8349D"/>
    <w:rsid w:val="00E838E2"/>
    <w:rsid w:val="00E84555"/>
    <w:rsid w:val="00E8456F"/>
    <w:rsid w:val="00E84A69"/>
    <w:rsid w:val="00E86521"/>
    <w:rsid w:val="00E86E4A"/>
    <w:rsid w:val="00E86F03"/>
    <w:rsid w:val="00E90DC5"/>
    <w:rsid w:val="00E91AEF"/>
    <w:rsid w:val="00E92269"/>
    <w:rsid w:val="00E9433F"/>
    <w:rsid w:val="00E94DF2"/>
    <w:rsid w:val="00E94E4E"/>
    <w:rsid w:val="00E969B8"/>
    <w:rsid w:val="00E96C54"/>
    <w:rsid w:val="00EA1898"/>
    <w:rsid w:val="00EA62FD"/>
    <w:rsid w:val="00EA713B"/>
    <w:rsid w:val="00EA75B8"/>
    <w:rsid w:val="00EB0021"/>
    <w:rsid w:val="00EB362D"/>
    <w:rsid w:val="00EB3C13"/>
    <w:rsid w:val="00EB3D7A"/>
    <w:rsid w:val="00EB74FC"/>
    <w:rsid w:val="00EB79A9"/>
    <w:rsid w:val="00EC1F3D"/>
    <w:rsid w:val="00EC3644"/>
    <w:rsid w:val="00EC53B1"/>
    <w:rsid w:val="00EC5D5C"/>
    <w:rsid w:val="00EC6426"/>
    <w:rsid w:val="00ED07D3"/>
    <w:rsid w:val="00ED25C5"/>
    <w:rsid w:val="00ED364B"/>
    <w:rsid w:val="00ED37EF"/>
    <w:rsid w:val="00ED39E6"/>
    <w:rsid w:val="00ED74C4"/>
    <w:rsid w:val="00ED7CCF"/>
    <w:rsid w:val="00EE0CF5"/>
    <w:rsid w:val="00EE1572"/>
    <w:rsid w:val="00EE37F4"/>
    <w:rsid w:val="00EE393F"/>
    <w:rsid w:val="00EE4287"/>
    <w:rsid w:val="00EE452E"/>
    <w:rsid w:val="00EE581A"/>
    <w:rsid w:val="00EE5DA0"/>
    <w:rsid w:val="00EE5E16"/>
    <w:rsid w:val="00EE7572"/>
    <w:rsid w:val="00EF16C4"/>
    <w:rsid w:val="00EF1ED3"/>
    <w:rsid w:val="00EF2E41"/>
    <w:rsid w:val="00EF3C2A"/>
    <w:rsid w:val="00EF3E98"/>
    <w:rsid w:val="00EF4397"/>
    <w:rsid w:val="00EF4764"/>
    <w:rsid w:val="00EF66D1"/>
    <w:rsid w:val="00F008CC"/>
    <w:rsid w:val="00F01D15"/>
    <w:rsid w:val="00F02463"/>
    <w:rsid w:val="00F0266E"/>
    <w:rsid w:val="00F029C4"/>
    <w:rsid w:val="00F034C8"/>
    <w:rsid w:val="00F043E2"/>
    <w:rsid w:val="00F05227"/>
    <w:rsid w:val="00F06E54"/>
    <w:rsid w:val="00F122D7"/>
    <w:rsid w:val="00F13080"/>
    <w:rsid w:val="00F14626"/>
    <w:rsid w:val="00F15146"/>
    <w:rsid w:val="00F16D67"/>
    <w:rsid w:val="00F16F32"/>
    <w:rsid w:val="00F176E5"/>
    <w:rsid w:val="00F1777F"/>
    <w:rsid w:val="00F1778E"/>
    <w:rsid w:val="00F207C3"/>
    <w:rsid w:val="00F21980"/>
    <w:rsid w:val="00F21C2D"/>
    <w:rsid w:val="00F2255F"/>
    <w:rsid w:val="00F23471"/>
    <w:rsid w:val="00F23492"/>
    <w:rsid w:val="00F255D6"/>
    <w:rsid w:val="00F25652"/>
    <w:rsid w:val="00F25DD5"/>
    <w:rsid w:val="00F27257"/>
    <w:rsid w:val="00F27C93"/>
    <w:rsid w:val="00F31B88"/>
    <w:rsid w:val="00F323D0"/>
    <w:rsid w:val="00F35E24"/>
    <w:rsid w:val="00F364CE"/>
    <w:rsid w:val="00F36D3E"/>
    <w:rsid w:val="00F400C9"/>
    <w:rsid w:val="00F402E2"/>
    <w:rsid w:val="00F40908"/>
    <w:rsid w:val="00F41C84"/>
    <w:rsid w:val="00F41F9D"/>
    <w:rsid w:val="00F445A0"/>
    <w:rsid w:val="00F4476D"/>
    <w:rsid w:val="00F4555A"/>
    <w:rsid w:val="00F47DCE"/>
    <w:rsid w:val="00F511CA"/>
    <w:rsid w:val="00F512DC"/>
    <w:rsid w:val="00F51310"/>
    <w:rsid w:val="00F517A0"/>
    <w:rsid w:val="00F51E2B"/>
    <w:rsid w:val="00F51F0E"/>
    <w:rsid w:val="00F52A34"/>
    <w:rsid w:val="00F5421A"/>
    <w:rsid w:val="00F544C4"/>
    <w:rsid w:val="00F546CF"/>
    <w:rsid w:val="00F54BA5"/>
    <w:rsid w:val="00F54BDE"/>
    <w:rsid w:val="00F568F2"/>
    <w:rsid w:val="00F572E6"/>
    <w:rsid w:val="00F575F7"/>
    <w:rsid w:val="00F57B98"/>
    <w:rsid w:val="00F60A7A"/>
    <w:rsid w:val="00F60FF2"/>
    <w:rsid w:val="00F625D6"/>
    <w:rsid w:val="00F64B6C"/>
    <w:rsid w:val="00F64C3C"/>
    <w:rsid w:val="00F6530A"/>
    <w:rsid w:val="00F65699"/>
    <w:rsid w:val="00F65799"/>
    <w:rsid w:val="00F66410"/>
    <w:rsid w:val="00F665AB"/>
    <w:rsid w:val="00F66D82"/>
    <w:rsid w:val="00F70804"/>
    <w:rsid w:val="00F70F6E"/>
    <w:rsid w:val="00F71D2C"/>
    <w:rsid w:val="00F7219E"/>
    <w:rsid w:val="00F72906"/>
    <w:rsid w:val="00F729C3"/>
    <w:rsid w:val="00F73852"/>
    <w:rsid w:val="00F741F0"/>
    <w:rsid w:val="00F752B4"/>
    <w:rsid w:val="00F75B53"/>
    <w:rsid w:val="00F775C8"/>
    <w:rsid w:val="00F77CE5"/>
    <w:rsid w:val="00F77F02"/>
    <w:rsid w:val="00F80091"/>
    <w:rsid w:val="00F80217"/>
    <w:rsid w:val="00F80B9E"/>
    <w:rsid w:val="00F81493"/>
    <w:rsid w:val="00F82C24"/>
    <w:rsid w:val="00F83958"/>
    <w:rsid w:val="00F86704"/>
    <w:rsid w:val="00F86D5B"/>
    <w:rsid w:val="00F9406E"/>
    <w:rsid w:val="00F94BF1"/>
    <w:rsid w:val="00F9561E"/>
    <w:rsid w:val="00F95DBB"/>
    <w:rsid w:val="00F96391"/>
    <w:rsid w:val="00F9766F"/>
    <w:rsid w:val="00F977C1"/>
    <w:rsid w:val="00F97E11"/>
    <w:rsid w:val="00FA2B2A"/>
    <w:rsid w:val="00FA3976"/>
    <w:rsid w:val="00FA4010"/>
    <w:rsid w:val="00FA61E4"/>
    <w:rsid w:val="00FA62CD"/>
    <w:rsid w:val="00FA78F6"/>
    <w:rsid w:val="00FB0ED0"/>
    <w:rsid w:val="00FB1FCC"/>
    <w:rsid w:val="00FB2A51"/>
    <w:rsid w:val="00FB2D73"/>
    <w:rsid w:val="00FB2DAB"/>
    <w:rsid w:val="00FB3A47"/>
    <w:rsid w:val="00FB4C3B"/>
    <w:rsid w:val="00FB4EFF"/>
    <w:rsid w:val="00FB52AC"/>
    <w:rsid w:val="00FB55FB"/>
    <w:rsid w:val="00FB5E48"/>
    <w:rsid w:val="00FB7087"/>
    <w:rsid w:val="00FB77F9"/>
    <w:rsid w:val="00FC12F8"/>
    <w:rsid w:val="00FC1613"/>
    <w:rsid w:val="00FC18CE"/>
    <w:rsid w:val="00FC194F"/>
    <w:rsid w:val="00FC2909"/>
    <w:rsid w:val="00FC2EAA"/>
    <w:rsid w:val="00FC3503"/>
    <w:rsid w:val="00FC3E61"/>
    <w:rsid w:val="00FC44F6"/>
    <w:rsid w:val="00FC64D7"/>
    <w:rsid w:val="00FC6666"/>
    <w:rsid w:val="00FC7C47"/>
    <w:rsid w:val="00FC7E9F"/>
    <w:rsid w:val="00FD0622"/>
    <w:rsid w:val="00FD1196"/>
    <w:rsid w:val="00FD13D4"/>
    <w:rsid w:val="00FD267A"/>
    <w:rsid w:val="00FD2DDA"/>
    <w:rsid w:val="00FD4235"/>
    <w:rsid w:val="00FD4A9C"/>
    <w:rsid w:val="00FD5010"/>
    <w:rsid w:val="00FD6894"/>
    <w:rsid w:val="00FD7482"/>
    <w:rsid w:val="00FD76A7"/>
    <w:rsid w:val="00FD796B"/>
    <w:rsid w:val="00FD7C42"/>
    <w:rsid w:val="00FE00D4"/>
    <w:rsid w:val="00FE0457"/>
    <w:rsid w:val="00FE0A41"/>
    <w:rsid w:val="00FE0BD0"/>
    <w:rsid w:val="00FE0CA1"/>
    <w:rsid w:val="00FE1BC5"/>
    <w:rsid w:val="00FE2549"/>
    <w:rsid w:val="00FE2F13"/>
    <w:rsid w:val="00FE3382"/>
    <w:rsid w:val="00FE4937"/>
    <w:rsid w:val="00FE55C3"/>
    <w:rsid w:val="00FE5ED5"/>
    <w:rsid w:val="00FE6E41"/>
    <w:rsid w:val="00FE7962"/>
    <w:rsid w:val="00FF06A7"/>
    <w:rsid w:val="00FF2402"/>
    <w:rsid w:val="00FF2677"/>
    <w:rsid w:val="00FF2D9E"/>
    <w:rsid w:val="00FF36FC"/>
    <w:rsid w:val="00FF5267"/>
    <w:rsid w:val="00FF65A6"/>
    <w:rsid w:val="00FF6EE2"/>
    <w:rsid w:val="00FF7174"/>
    <w:rsid w:val="00FF718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857E3F"/>
  <w15:docId w15:val="{D8ECDD86-9B8E-4013-BAA8-B470C888D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BB0"/>
  </w:style>
  <w:style w:type="paragraph" w:styleId="Heading1">
    <w:name w:val="heading 1"/>
    <w:basedOn w:val="Normal"/>
    <w:next w:val="Normal"/>
    <w:link w:val="Heading1Char"/>
    <w:uiPriority w:val="9"/>
    <w:qFormat/>
    <w:rsid w:val="006F37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37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E433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7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377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E4335"/>
    <w:rPr>
      <w:rFonts w:asciiTheme="majorHAnsi" w:eastAsiaTheme="majorEastAsia" w:hAnsiTheme="majorHAnsi" w:cstheme="majorBidi"/>
      <w:color w:val="1F4D78" w:themeColor="accent1" w:themeShade="7F"/>
      <w:sz w:val="24"/>
      <w:szCs w:val="24"/>
    </w:rPr>
  </w:style>
  <w:style w:type="paragraph" w:styleId="ListParagraph">
    <w:name w:val="List Paragraph"/>
    <w:aliases w:val="123 List Paragraph,Main numbered paragraph,List Paragraph (numbered (a)),References,List_Paragraph,Multilevel para_II,List Paragraph1,Bullet,Normal 2 DC,Numbered List Paragraph,Liste 1,ReferencesCxSpLast,Dot pt,No Spacing1"/>
    <w:basedOn w:val="Normal"/>
    <w:link w:val="ListParagraphChar"/>
    <w:uiPriority w:val="34"/>
    <w:qFormat/>
    <w:rsid w:val="00A673C0"/>
    <w:pPr>
      <w:ind w:left="720"/>
      <w:contextualSpacing/>
    </w:pPr>
  </w:style>
  <w:style w:type="character" w:styleId="CommentReference">
    <w:name w:val="annotation reference"/>
    <w:basedOn w:val="DefaultParagraphFont"/>
    <w:uiPriority w:val="99"/>
    <w:semiHidden/>
    <w:unhideWhenUsed/>
    <w:rsid w:val="00E635A4"/>
    <w:rPr>
      <w:sz w:val="16"/>
      <w:szCs w:val="16"/>
    </w:rPr>
  </w:style>
  <w:style w:type="paragraph" w:styleId="CommentText">
    <w:name w:val="annotation text"/>
    <w:basedOn w:val="Normal"/>
    <w:link w:val="CommentTextChar"/>
    <w:uiPriority w:val="99"/>
    <w:unhideWhenUsed/>
    <w:rsid w:val="00E635A4"/>
    <w:pPr>
      <w:spacing w:line="240" w:lineRule="auto"/>
    </w:pPr>
    <w:rPr>
      <w:sz w:val="20"/>
      <w:szCs w:val="20"/>
    </w:rPr>
  </w:style>
  <w:style w:type="character" w:customStyle="1" w:styleId="CommentTextChar">
    <w:name w:val="Comment Text Char"/>
    <w:basedOn w:val="DefaultParagraphFont"/>
    <w:link w:val="CommentText"/>
    <w:uiPriority w:val="99"/>
    <w:rsid w:val="00E635A4"/>
    <w:rPr>
      <w:sz w:val="20"/>
      <w:szCs w:val="20"/>
    </w:rPr>
  </w:style>
  <w:style w:type="paragraph" w:styleId="CommentSubject">
    <w:name w:val="annotation subject"/>
    <w:basedOn w:val="CommentText"/>
    <w:next w:val="CommentText"/>
    <w:link w:val="CommentSubjectChar"/>
    <w:uiPriority w:val="99"/>
    <w:semiHidden/>
    <w:unhideWhenUsed/>
    <w:rsid w:val="00E635A4"/>
    <w:rPr>
      <w:b/>
      <w:bCs/>
    </w:rPr>
  </w:style>
  <w:style w:type="character" w:customStyle="1" w:styleId="CommentSubjectChar">
    <w:name w:val="Comment Subject Char"/>
    <w:basedOn w:val="CommentTextChar"/>
    <w:link w:val="CommentSubject"/>
    <w:uiPriority w:val="99"/>
    <w:semiHidden/>
    <w:rsid w:val="00E635A4"/>
    <w:rPr>
      <w:b/>
      <w:bCs/>
      <w:sz w:val="20"/>
      <w:szCs w:val="20"/>
    </w:rPr>
  </w:style>
  <w:style w:type="paragraph" w:styleId="BalloonText">
    <w:name w:val="Balloon Text"/>
    <w:basedOn w:val="Normal"/>
    <w:link w:val="BalloonTextChar"/>
    <w:uiPriority w:val="99"/>
    <w:semiHidden/>
    <w:unhideWhenUsed/>
    <w:rsid w:val="00E635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5A4"/>
    <w:rPr>
      <w:rFonts w:ascii="Segoe UI" w:hAnsi="Segoe UI" w:cs="Segoe UI"/>
      <w:sz w:val="18"/>
      <w:szCs w:val="18"/>
    </w:rPr>
  </w:style>
  <w:style w:type="table" w:styleId="TableGrid">
    <w:name w:val="Table Grid"/>
    <w:basedOn w:val="TableNormal"/>
    <w:uiPriority w:val="39"/>
    <w:rsid w:val="007063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740A"/>
    <w:pPr>
      <w:spacing w:after="0" w:line="240" w:lineRule="auto"/>
    </w:pPr>
  </w:style>
  <w:style w:type="character" w:customStyle="1" w:styleId="ListParagraphChar">
    <w:name w:val="List Paragraph Char"/>
    <w:aliases w:val="123 List Paragraph Char,Main numbered paragraph Char,List Paragraph (numbered (a)) Char,References Char,List_Paragraph Char,Multilevel para_II Char,List Paragraph1 Char,Bullet Char,Normal 2 DC Char,Numbered List Paragraph Char"/>
    <w:basedOn w:val="DefaultParagraphFont"/>
    <w:link w:val="ListParagraph"/>
    <w:uiPriority w:val="34"/>
    <w:qFormat/>
    <w:rsid w:val="003B3A0A"/>
  </w:style>
  <w:style w:type="paragraph" w:styleId="FootnoteText">
    <w:name w:val="footnote text"/>
    <w:basedOn w:val="Normal"/>
    <w:link w:val="FootnoteTextChar"/>
    <w:uiPriority w:val="99"/>
    <w:semiHidden/>
    <w:unhideWhenUsed/>
    <w:rsid w:val="009F55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55B8"/>
    <w:rPr>
      <w:sz w:val="20"/>
      <w:szCs w:val="20"/>
    </w:rPr>
  </w:style>
  <w:style w:type="character" w:styleId="FootnoteReference">
    <w:name w:val="footnote reference"/>
    <w:basedOn w:val="DefaultParagraphFont"/>
    <w:uiPriority w:val="99"/>
    <w:semiHidden/>
    <w:unhideWhenUsed/>
    <w:rsid w:val="009F55B8"/>
    <w:rPr>
      <w:vertAlign w:val="superscript"/>
    </w:rPr>
  </w:style>
  <w:style w:type="character" w:styleId="PlaceholderText">
    <w:name w:val="Placeholder Text"/>
    <w:basedOn w:val="DefaultParagraphFont"/>
    <w:uiPriority w:val="99"/>
    <w:semiHidden/>
    <w:rsid w:val="00323561"/>
    <w:rPr>
      <w:color w:val="808080"/>
    </w:rPr>
  </w:style>
  <w:style w:type="character" w:styleId="Hyperlink">
    <w:name w:val="Hyperlink"/>
    <w:basedOn w:val="DefaultParagraphFont"/>
    <w:uiPriority w:val="99"/>
    <w:unhideWhenUsed/>
    <w:rsid w:val="00E66BC5"/>
    <w:rPr>
      <w:color w:val="0563C1" w:themeColor="hyperlink"/>
      <w:u w:val="single"/>
    </w:rPr>
  </w:style>
  <w:style w:type="character" w:styleId="UnresolvedMention">
    <w:name w:val="Unresolved Mention"/>
    <w:basedOn w:val="DefaultParagraphFont"/>
    <w:uiPriority w:val="99"/>
    <w:semiHidden/>
    <w:unhideWhenUsed/>
    <w:rsid w:val="00E66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53939">
      <w:bodyDiv w:val="1"/>
      <w:marLeft w:val="0"/>
      <w:marRight w:val="0"/>
      <w:marTop w:val="0"/>
      <w:marBottom w:val="0"/>
      <w:divBdr>
        <w:top w:val="none" w:sz="0" w:space="0" w:color="auto"/>
        <w:left w:val="none" w:sz="0" w:space="0" w:color="auto"/>
        <w:bottom w:val="none" w:sz="0" w:space="0" w:color="auto"/>
        <w:right w:val="none" w:sz="0" w:space="0" w:color="auto"/>
      </w:divBdr>
    </w:div>
    <w:div w:id="139924484">
      <w:bodyDiv w:val="1"/>
      <w:marLeft w:val="0"/>
      <w:marRight w:val="0"/>
      <w:marTop w:val="0"/>
      <w:marBottom w:val="0"/>
      <w:divBdr>
        <w:top w:val="none" w:sz="0" w:space="0" w:color="auto"/>
        <w:left w:val="none" w:sz="0" w:space="0" w:color="auto"/>
        <w:bottom w:val="none" w:sz="0" w:space="0" w:color="auto"/>
        <w:right w:val="none" w:sz="0" w:space="0" w:color="auto"/>
      </w:divBdr>
    </w:div>
    <w:div w:id="165438706">
      <w:bodyDiv w:val="1"/>
      <w:marLeft w:val="0"/>
      <w:marRight w:val="0"/>
      <w:marTop w:val="0"/>
      <w:marBottom w:val="0"/>
      <w:divBdr>
        <w:top w:val="none" w:sz="0" w:space="0" w:color="auto"/>
        <w:left w:val="none" w:sz="0" w:space="0" w:color="auto"/>
        <w:bottom w:val="none" w:sz="0" w:space="0" w:color="auto"/>
        <w:right w:val="none" w:sz="0" w:space="0" w:color="auto"/>
      </w:divBdr>
    </w:div>
    <w:div w:id="286281432">
      <w:bodyDiv w:val="1"/>
      <w:marLeft w:val="0"/>
      <w:marRight w:val="0"/>
      <w:marTop w:val="0"/>
      <w:marBottom w:val="0"/>
      <w:divBdr>
        <w:top w:val="none" w:sz="0" w:space="0" w:color="auto"/>
        <w:left w:val="none" w:sz="0" w:space="0" w:color="auto"/>
        <w:bottom w:val="none" w:sz="0" w:space="0" w:color="auto"/>
        <w:right w:val="none" w:sz="0" w:space="0" w:color="auto"/>
      </w:divBdr>
    </w:div>
    <w:div w:id="458032841">
      <w:bodyDiv w:val="1"/>
      <w:marLeft w:val="0"/>
      <w:marRight w:val="0"/>
      <w:marTop w:val="0"/>
      <w:marBottom w:val="0"/>
      <w:divBdr>
        <w:top w:val="none" w:sz="0" w:space="0" w:color="auto"/>
        <w:left w:val="none" w:sz="0" w:space="0" w:color="auto"/>
        <w:bottom w:val="none" w:sz="0" w:space="0" w:color="auto"/>
        <w:right w:val="none" w:sz="0" w:space="0" w:color="auto"/>
      </w:divBdr>
    </w:div>
    <w:div w:id="528420677">
      <w:bodyDiv w:val="1"/>
      <w:marLeft w:val="0"/>
      <w:marRight w:val="0"/>
      <w:marTop w:val="0"/>
      <w:marBottom w:val="0"/>
      <w:divBdr>
        <w:top w:val="none" w:sz="0" w:space="0" w:color="auto"/>
        <w:left w:val="none" w:sz="0" w:space="0" w:color="auto"/>
        <w:bottom w:val="none" w:sz="0" w:space="0" w:color="auto"/>
        <w:right w:val="none" w:sz="0" w:space="0" w:color="auto"/>
      </w:divBdr>
    </w:div>
    <w:div w:id="588580094">
      <w:bodyDiv w:val="1"/>
      <w:marLeft w:val="0"/>
      <w:marRight w:val="0"/>
      <w:marTop w:val="0"/>
      <w:marBottom w:val="0"/>
      <w:divBdr>
        <w:top w:val="none" w:sz="0" w:space="0" w:color="auto"/>
        <w:left w:val="none" w:sz="0" w:space="0" w:color="auto"/>
        <w:bottom w:val="none" w:sz="0" w:space="0" w:color="auto"/>
        <w:right w:val="none" w:sz="0" w:space="0" w:color="auto"/>
      </w:divBdr>
    </w:div>
    <w:div w:id="698900359">
      <w:bodyDiv w:val="1"/>
      <w:marLeft w:val="0"/>
      <w:marRight w:val="0"/>
      <w:marTop w:val="0"/>
      <w:marBottom w:val="0"/>
      <w:divBdr>
        <w:top w:val="none" w:sz="0" w:space="0" w:color="auto"/>
        <w:left w:val="none" w:sz="0" w:space="0" w:color="auto"/>
        <w:bottom w:val="none" w:sz="0" w:space="0" w:color="auto"/>
        <w:right w:val="none" w:sz="0" w:space="0" w:color="auto"/>
      </w:divBdr>
    </w:div>
    <w:div w:id="754935620">
      <w:bodyDiv w:val="1"/>
      <w:marLeft w:val="0"/>
      <w:marRight w:val="0"/>
      <w:marTop w:val="0"/>
      <w:marBottom w:val="0"/>
      <w:divBdr>
        <w:top w:val="none" w:sz="0" w:space="0" w:color="auto"/>
        <w:left w:val="none" w:sz="0" w:space="0" w:color="auto"/>
        <w:bottom w:val="none" w:sz="0" w:space="0" w:color="auto"/>
        <w:right w:val="none" w:sz="0" w:space="0" w:color="auto"/>
      </w:divBdr>
    </w:div>
    <w:div w:id="812408347">
      <w:bodyDiv w:val="1"/>
      <w:marLeft w:val="0"/>
      <w:marRight w:val="0"/>
      <w:marTop w:val="0"/>
      <w:marBottom w:val="0"/>
      <w:divBdr>
        <w:top w:val="none" w:sz="0" w:space="0" w:color="auto"/>
        <w:left w:val="none" w:sz="0" w:space="0" w:color="auto"/>
        <w:bottom w:val="none" w:sz="0" w:space="0" w:color="auto"/>
        <w:right w:val="none" w:sz="0" w:space="0" w:color="auto"/>
      </w:divBdr>
    </w:div>
    <w:div w:id="843320859">
      <w:bodyDiv w:val="1"/>
      <w:marLeft w:val="0"/>
      <w:marRight w:val="0"/>
      <w:marTop w:val="0"/>
      <w:marBottom w:val="0"/>
      <w:divBdr>
        <w:top w:val="none" w:sz="0" w:space="0" w:color="auto"/>
        <w:left w:val="none" w:sz="0" w:space="0" w:color="auto"/>
        <w:bottom w:val="none" w:sz="0" w:space="0" w:color="auto"/>
        <w:right w:val="none" w:sz="0" w:space="0" w:color="auto"/>
      </w:divBdr>
    </w:div>
    <w:div w:id="931089691">
      <w:bodyDiv w:val="1"/>
      <w:marLeft w:val="0"/>
      <w:marRight w:val="0"/>
      <w:marTop w:val="0"/>
      <w:marBottom w:val="0"/>
      <w:divBdr>
        <w:top w:val="none" w:sz="0" w:space="0" w:color="auto"/>
        <w:left w:val="none" w:sz="0" w:space="0" w:color="auto"/>
        <w:bottom w:val="none" w:sz="0" w:space="0" w:color="auto"/>
        <w:right w:val="none" w:sz="0" w:space="0" w:color="auto"/>
      </w:divBdr>
    </w:div>
    <w:div w:id="1142311323">
      <w:bodyDiv w:val="1"/>
      <w:marLeft w:val="0"/>
      <w:marRight w:val="0"/>
      <w:marTop w:val="0"/>
      <w:marBottom w:val="0"/>
      <w:divBdr>
        <w:top w:val="none" w:sz="0" w:space="0" w:color="auto"/>
        <w:left w:val="none" w:sz="0" w:space="0" w:color="auto"/>
        <w:bottom w:val="none" w:sz="0" w:space="0" w:color="auto"/>
        <w:right w:val="none" w:sz="0" w:space="0" w:color="auto"/>
      </w:divBdr>
    </w:div>
    <w:div w:id="1162626994">
      <w:bodyDiv w:val="1"/>
      <w:marLeft w:val="0"/>
      <w:marRight w:val="0"/>
      <w:marTop w:val="0"/>
      <w:marBottom w:val="0"/>
      <w:divBdr>
        <w:top w:val="none" w:sz="0" w:space="0" w:color="auto"/>
        <w:left w:val="none" w:sz="0" w:space="0" w:color="auto"/>
        <w:bottom w:val="none" w:sz="0" w:space="0" w:color="auto"/>
        <w:right w:val="none" w:sz="0" w:space="0" w:color="auto"/>
      </w:divBdr>
    </w:div>
    <w:div w:id="1211650527">
      <w:bodyDiv w:val="1"/>
      <w:marLeft w:val="0"/>
      <w:marRight w:val="0"/>
      <w:marTop w:val="0"/>
      <w:marBottom w:val="0"/>
      <w:divBdr>
        <w:top w:val="none" w:sz="0" w:space="0" w:color="auto"/>
        <w:left w:val="none" w:sz="0" w:space="0" w:color="auto"/>
        <w:bottom w:val="none" w:sz="0" w:space="0" w:color="auto"/>
        <w:right w:val="none" w:sz="0" w:space="0" w:color="auto"/>
      </w:divBdr>
    </w:div>
    <w:div w:id="1264149521">
      <w:bodyDiv w:val="1"/>
      <w:marLeft w:val="0"/>
      <w:marRight w:val="0"/>
      <w:marTop w:val="0"/>
      <w:marBottom w:val="0"/>
      <w:divBdr>
        <w:top w:val="none" w:sz="0" w:space="0" w:color="auto"/>
        <w:left w:val="none" w:sz="0" w:space="0" w:color="auto"/>
        <w:bottom w:val="none" w:sz="0" w:space="0" w:color="auto"/>
        <w:right w:val="none" w:sz="0" w:space="0" w:color="auto"/>
      </w:divBdr>
    </w:div>
    <w:div w:id="1327125070">
      <w:bodyDiv w:val="1"/>
      <w:marLeft w:val="0"/>
      <w:marRight w:val="0"/>
      <w:marTop w:val="0"/>
      <w:marBottom w:val="0"/>
      <w:divBdr>
        <w:top w:val="none" w:sz="0" w:space="0" w:color="auto"/>
        <w:left w:val="none" w:sz="0" w:space="0" w:color="auto"/>
        <w:bottom w:val="none" w:sz="0" w:space="0" w:color="auto"/>
        <w:right w:val="none" w:sz="0" w:space="0" w:color="auto"/>
      </w:divBdr>
    </w:div>
    <w:div w:id="1331716088">
      <w:bodyDiv w:val="1"/>
      <w:marLeft w:val="0"/>
      <w:marRight w:val="0"/>
      <w:marTop w:val="0"/>
      <w:marBottom w:val="0"/>
      <w:divBdr>
        <w:top w:val="none" w:sz="0" w:space="0" w:color="auto"/>
        <w:left w:val="none" w:sz="0" w:space="0" w:color="auto"/>
        <w:bottom w:val="none" w:sz="0" w:space="0" w:color="auto"/>
        <w:right w:val="none" w:sz="0" w:space="0" w:color="auto"/>
      </w:divBdr>
    </w:div>
    <w:div w:id="1473986631">
      <w:bodyDiv w:val="1"/>
      <w:marLeft w:val="0"/>
      <w:marRight w:val="0"/>
      <w:marTop w:val="0"/>
      <w:marBottom w:val="0"/>
      <w:divBdr>
        <w:top w:val="none" w:sz="0" w:space="0" w:color="auto"/>
        <w:left w:val="none" w:sz="0" w:space="0" w:color="auto"/>
        <w:bottom w:val="none" w:sz="0" w:space="0" w:color="auto"/>
        <w:right w:val="none" w:sz="0" w:space="0" w:color="auto"/>
      </w:divBdr>
    </w:div>
    <w:div w:id="1552501702">
      <w:bodyDiv w:val="1"/>
      <w:marLeft w:val="0"/>
      <w:marRight w:val="0"/>
      <w:marTop w:val="0"/>
      <w:marBottom w:val="0"/>
      <w:divBdr>
        <w:top w:val="none" w:sz="0" w:space="0" w:color="auto"/>
        <w:left w:val="none" w:sz="0" w:space="0" w:color="auto"/>
        <w:bottom w:val="none" w:sz="0" w:space="0" w:color="auto"/>
        <w:right w:val="none" w:sz="0" w:space="0" w:color="auto"/>
      </w:divBdr>
    </w:div>
    <w:div w:id="1588734327">
      <w:bodyDiv w:val="1"/>
      <w:marLeft w:val="0"/>
      <w:marRight w:val="0"/>
      <w:marTop w:val="0"/>
      <w:marBottom w:val="0"/>
      <w:divBdr>
        <w:top w:val="none" w:sz="0" w:space="0" w:color="auto"/>
        <w:left w:val="none" w:sz="0" w:space="0" w:color="auto"/>
        <w:bottom w:val="none" w:sz="0" w:space="0" w:color="auto"/>
        <w:right w:val="none" w:sz="0" w:space="0" w:color="auto"/>
      </w:divBdr>
    </w:div>
    <w:div w:id="1640528024">
      <w:bodyDiv w:val="1"/>
      <w:marLeft w:val="0"/>
      <w:marRight w:val="0"/>
      <w:marTop w:val="0"/>
      <w:marBottom w:val="0"/>
      <w:divBdr>
        <w:top w:val="none" w:sz="0" w:space="0" w:color="auto"/>
        <w:left w:val="none" w:sz="0" w:space="0" w:color="auto"/>
        <w:bottom w:val="none" w:sz="0" w:space="0" w:color="auto"/>
        <w:right w:val="none" w:sz="0" w:space="0" w:color="auto"/>
      </w:divBdr>
    </w:div>
    <w:div w:id="1690451823">
      <w:bodyDiv w:val="1"/>
      <w:marLeft w:val="0"/>
      <w:marRight w:val="0"/>
      <w:marTop w:val="0"/>
      <w:marBottom w:val="0"/>
      <w:divBdr>
        <w:top w:val="none" w:sz="0" w:space="0" w:color="auto"/>
        <w:left w:val="none" w:sz="0" w:space="0" w:color="auto"/>
        <w:bottom w:val="none" w:sz="0" w:space="0" w:color="auto"/>
        <w:right w:val="none" w:sz="0" w:space="0" w:color="auto"/>
      </w:divBdr>
    </w:div>
    <w:div w:id="1853303515">
      <w:bodyDiv w:val="1"/>
      <w:marLeft w:val="0"/>
      <w:marRight w:val="0"/>
      <w:marTop w:val="0"/>
      <w:marBottom w:val="0"/>
      <w:divBdr>
        <w:top w:val="none" w:sz="0" w:space="0" w:color="auto"/>
        <w:left w:val="none" w:sz="0" w:space="0" w:color="auto"/>
        <w:bottom w:val="none" w:sz="0" w:space="0" w:color="auto"/>
        <w:right w:val="none" w:sz="0" w:space="0" w:color="auto"/>
      </w:divBdr>
    </w:div>
    <w:div w:id="1866484524">
      <w:bodyDiv w:val="1"/>
      <w:marLeft w:val="0"/>
      <w:marRight w:val="0"/>
      <w:marTop w:val="0"/>
      <w:marBottom w:val="0"/>
      <w:divBdr>
        <w:top w:val="none" w:sz="0" w:space="0" w:color="auto"/>
        <w:left w:val="none" w:sz="0" w:space="0" w:color="auto"/>
        <w:bottom w:val="none" w:sz="0" w:space="0" w:color="auto"/>
        <w:right w:val="none" w:sz="0" w:space="0" w:color="auto"/>
      </w:divBdr>
    </w:div>
    <w:div w:id="1980333523">
      <w:bodyDiv w:val="1"/>
      <w:marLeft w:val="0"/>
      <w:marRight w:val="0"/>
      <w:marTop w:val="0"/>
      <w:marBottom w:val="0"/>
      <w:divBdr>
        <w:top w:val="none" w:sz="0" w:space="0" w:color="auto"/>
        <w:left w:val="none" w:sz="0" w:space="0" w:color="auto"/>
        <w:bottom w:val="none" w:sz="0" w:space="0" w:color="auto"/>
        <w:right w:val="none" w:sz="0" w:space="0" w:color="auto"/>
      </w:divBdr>
    </w:div>
    <w:div w:id="1986081918">
      <w:bodyDiv w:val="1"/>
      <w:marLeft w:val="0"/>
      <w:marRight w:val="0"/>
      <w:marTop w:val="0"/>
      <w:marBottom w:val="0"/>
      <w:divBdr>
        <w:top w:val="none" w:sz="0" w:space="0" w:color="auto"/>
        <w:left w:val="none" w:sz="0" w:space="0" w:color="auto"/>
        <w:bottom w:val="none" w:sz="0" w:space="0" w:color="auto"/>
        <w:right w:val="none" w:sz="0" w:space="0" w:color="auto"/>
      </w:divBdr>
    </w:div>
    <w:div w:id="199013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gul.ac.uk/research/research-operations/research-administration/st-georges-respiratory-questionnaire/docs/SGRQ-Manual-March-2022.pdf" TargetMode="Externa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5F910-4D72-4287-A8C6-B2EF82182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4750</Words>
  <Characters>27081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C. Johnson</dc:creator>
  <cp:keywords/>
  <dc:description/>
  <cp:lastModifiedBy>Tobias Pfutze</cp:lastModifiedBy>
  <cp:revision>3</cp:revision>
  <cp:lastPrinted>2016-03-09T09:45:00Z</cp:lastPrinted>
  <dcterms:created xsi:type="dcterms:W3CDTF">2023-02-01T02:02:00Z</dcterms:created>
  <dcterms:modified xsi:type="dcterms:W3CDTF">2023-02-01T02:09:00Z</dcterms:modified>
</cp:coreProperties>
</file>