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0873" w14:textId="44969FA9" w:rsidR="00433732" w:rsidRDefault="000502B1" w:rsidP="00915AB9">
      <w:pPr>
        <w:pStyle w:val="Title"/>
        <w:rPr>
          <w:rFonts w:ascii="Times New Roman" w:hAnsi="Times New Roman" w:cs="Times New Roman"/>
          <w:b/>
          <w:bCs/>
          <w:sz w:val="28"/>
          <w:szCs w:val="28"/>
        </w:rPr>
      </w:pPr>
      <w:r>
        <w:rPr>
          <w:rFonts w:ascii="Times New Roman" w:hAnsi="Times New Roman" w:cs="Times New Roman"/>
          <w:b/>
          <w:bCs/>
          <w:sz w:val="28"/>
          <w:szCs w:val="28"/>
        </w:rPr>
        <w:t xml:space="preserve">Pre-analysis Plan for </w:t>
      </w:r>
      <w:r w:rsidR="00915AB9">
        <w:rPr>
          <w:rFonts w:ascii="Times New Roman" w:hAnsi="Times New Roman" w:cs="Times New Roman"/>
          <w:b/>
          <w:bCs/>
          <w:sz w:val="28"/>
          <w:szCs w:val="28"/>
        </w:rPr>
        <w:t>Smallholder Agricultural Competitiveness Project (</w:t>
      </w:r>
      <w:r w:rsidR="00444C91">
        <w:rPr>
          <w:rFonts w:ascii="Times New Roman" w:hAnsi="Times New Roman" w:cs="Times New Roman"/>
          <w:b/>
          <w:bCs/>
          <w:sz w:val="28"/>
          <w:szCs w:val="28"/>
        </w:rPr>
        <w:t>SACP</w:t>
      </w:r>
      <w:r w:rsidR="00915AB9">
        <w:rPr>
          <w:rFonts w:ascii="Times New Roman" w:hAnsi="Times New Roman" w:cs="Times New Roman"/>
          <w:b/>
          <w:bCs/>
          <w:sz w:val="28"/>
          <w:szCs w:val="28"/>
        </w:rPr>
        <w:t xml:space="preserve">), </w:t>
      </w:r>
      <w:r w:rsidR="00444C91">
        <w:rPr>
          <w:rFonts w:ascii="Times New Roman" w:hAnsi="Times New Roman" w:cs="Times New Roman"/>
          <w:b/>
          <w:bCs/>
          <w:sz w:val="28"/>
          <w:szCs w:val="28"/>
        </w:rPr>
        <w:t>Bangladesh</w:t>
      </w:r>
    </w:p>
    <w:p w14:paraId="141BE50F" w14:textId="77777777" w:rsidR="00C374BC" w:rsidRDefault="00C374BC" w:rsidP="00C374BC"/>
    <w:p w14:paraId="64F7E777" w14:textId="3CA50F75" w:rsidR="00C374BC" w:rsidRPr="009E1978" w:rsidRDefault="00C374BC" w:rsidP="00C374BC">
      <w:pPr>
        <w:rPr>
          <w:rFonts w:ascii="Times New Roman" w:hAnsi="Times New Roman" w:cs="Times New Roman"/>
          <w:sz w:val="24"/>
          <w:szCs w:val="24"/>
        </w:rPr>
      </w:pPr>
      <w:r w:rsidRPr="009E1978">
        <w:rPr>
          <w:rFonts w:ascii="Times New Roman" w:hAnsi="Times New Roman" w:cs="Times New Roman"/>
          <w:sz w:val="24"/>
          <w:szCs w:val="24"/>
        </w:rPr>
        <w:t>Authors: Haseeb Ahmed, Silvio Daidone, Nicholas Sitko</w:t>
      </w:r>
    </w:p>
    <w:p w14:paraId="5E1B5322" w14:textId="77777777" w:rsidR="00240FAB" w:rsidRDefault="00240FAB" w:rsidP="00C374BC">
      <w:pPr>
        <w:rPr>
          <w:rFonts w:ascii="Times New Roman" w:hAnsi="Times New Roman" w:cs="Times New Roman"/>
          <w:sz w:val="24"/>
          <w:szCs w:val="24"/>
        </w:rPr>
      </w:pPr>
    </w:p>
    <w:p w14:paraId="19B713D6" w14:textId="31B76CE0" w:rsidR="003A0EBC" w:rsidRPr="003A0EBC" w:rsidRDefault="00557003" w:rsidP="00760934">
      <w:pPr>
        <w:pStyle w:val="Heading1"/>
        <w:numPr>
          <w:ilvl w:val="0"/>
          <w:numId w:val="6"/>
        </w:numPr>
      </w:pPr>
      <w:r>
        <w:t>Background</w:t>
      </w:r>
    </w:p>
    <w:p w14:paraId="371793BB" w14:textId="5A4DED1F" w:rsidR="00240FAB" w:rsidRPr="00240FAB" w:rsidRDefault="00240FAB" w:rsidP="00240FAB">
      <w:pPr>
        <w:rPr>
          <w:rFonts w:ascii="Times New Roman" w:hAnsi="Times New Roman" w:cs="Times New Roman"/>
          <w:sz w:val="24"/>
          <w:szCs w:val="24"/>
        </w:rPr>
      </w:pPr>
      <w:r w:rsidRPr="00240FAB">
        <w:rPr>
          <w:rFonts w:ascii="Times New Roman" w:hAnsi="Times New Roman" w:cs="Times New Roman"/>
          <w:sz w:val="24"/>
          <w:szCs w:val="24"/>
        </w:rPr>
        <w:t>The Smallholder Agriculture Competitiveness Project (SACP) accelerates implementation of the Master Plan for the Southern Agricultural Development by channeling investments to foster th</w:t>
      </w:r>
      <w:r>
        <w:rPr>
          <w:rFonts w:ascii="Times New Roman" w:hAnsi="Times New Roman" w:cs="Times New Roman"/>
          <w:sz w:val="24"/>
          <w:szCs w:val="24"/>
        </w:rPr>
        <w:t>e</w:t>
      </w:r>
      <w:r w:rsidRPr="00240FAB">
        <w:rPr>
          <w:rFonts w:ascii="Times New Roman" w:hAnsi="Times New Roman" w:cs="Times New Roman"/>
          <w:sz w:val="24"/>
          <w:szCs w:val="24"/>
        </w:rPr>
        <w:t xml:space="preserve"> competitiveness of the rural smallholders in the high value crops (HVC) and provides operational support to the Ministry of Agriculture (</w:t>
      </w:r>
      <w:proofErr w:type="spellStart"/>
      <w:r w:rsidRPr="00240FAB">
        <w:rPr>
          <w:rFonts w:ascii="Times New Roman" w:hAnsi="Times New Roman" w:cs="Times New Roman"/>
          <w:sz w:val="24"/>
          <w:szCs w:val="24"/>
        </w:rPr>
        <w:t>MoA</w:t>
      </w:r>
      <w:proofErr w:type="spellEnd"/>
      <w:r w:rsidRPr="00240FAB">
        <w:rPr>
          <w:rFonts w:ascii="Times New Roman" w:hAnsi="Times New Roman" w:cs="Times New Roman"/>
          <w:sz w:val="24"/>
          <w:szCs w:val="24"/>
        </w:rPr>
        <w:t>). The SACP has three components: (1) enhance production of high-value crops (HVC) and technology adoption, (2) promote processing and marketing of HVC, and (3) strengthen climate resilient surface water management. The project implementation period is over six years and including the recently approved extension will be continued until June 2026.</w:t>
      </w:r>
      <w:r w:rsidR="001435FF">
        <w:rPr>
          <w:rFonts w:ascii="Times New Roman" w:hAnsi="Times New Roman" w:cs="Times New Roman"/>
          <w:sz w:val="24"/>
          <w:szCs w:val="24"/>
        </w:rPr>
        <w:t xml:space="preserve"> The impact evaluation was requested by the SACP team in year 3 of the implementation of the project and therefore we do not have a baseline before the start of the project. </w:t>
      </w:r>
      <w:r w:rsidRPr="00240FAB">
        <w:rPr>
          <w:rFonts w:ascii="Times New Roman" w:hAnsi="Times New Roman" w:cs="Times New Roman"/>
          <w:sz w:val="24"/>
          <w:szCs w:val="24"/>
        </w:rPr>
        <w:t xml:space="preserve">  </w:t>
      </w:r>
    </w:p>
    <w:p w14:paraId="1E8B2EDF" w14:textId="2E803ED2" w:rsidR="00240FAB" w:rsidRPr="00240FAB" w:rsidRDefault="00240FAB" w:rsidP="00240FAB">
      <w:pPr>
        <w:rPr>
          <w:rFonts w:ascii="Times New Roman" w:hAnsi="Times New Roman" w:cs="Times New Roman"/>
          <w:sz w:val="24"/>
          <w:szCs w:val="24"/>
        </w:rPr>
      </w:pPr>
      <w:r w:rsidRPr="00240FAB">
        <w:rPr>
          <w:rFonts w:ascii="Times New Roman" w:hAnsi="Times New Roman" w:cs="Times New Roman"/>
          <w:sz w:val="24"/>
          <w:szCs w:val="24"/>
        </w:rPr>
        <w:t xml:space="preserve">The SACP supports smallholders to diversify their agricultural production systems away from predominantly rice production, to the production of other </w:t>
      </w:r>
      <w:proofErr w:type="gramStart"/>
      <w:r w:rsidRPr="00240FAB">
        <w:rPr>
          <w:rFonts w:ascii="Times New Roman" w:hAnsi="Times New Roman" w:cs="Times New Roman"/>
          <w:sz w:val="24"/>
          <w:szCs w:val="24"/>
        </w:rPr>
        <w:t>demand-driven</w:t>
      </w:r>
      <w:proofErr w:type="gramEnd"/>
      <w:r w:rsidRPr="00240FAB">
        <w:rPr>
          <w:rFonts w:ascii="Times New Roman" w:hAnsi="Times New Roman" w:cs="Times New Roman"/>
          <w:sz w:val="24"/>
          <w:szCs w:val="24"/>
        </w:rPr>
        <w:t xml:space="preserve"> HVC, with an associated intensification of production around homestead areas in Southern Bangladesh. The SACP supports 30 Upazilas from 11 Districts of this region in Bangladesh</w:t>
      </w:r>
      <w:r w:rsidR="00062743">
        <w:rPr>
          <w:rStyle w:val="FootnoteReference"/>
          <w:rFonts w:ascii="Times New Roman" w:hAnsi="Times New Roman" w:cs="Times New Roman"/>
          <w:sz w:val="24"/>
          <w:szCs w:val="24"/>
        </w:rPr>
        <w:footnoteReference w:id="1"/>
      </w:r>
      <w:r w:rsidRPr="00240FAB">
        <w:rPr>
          <w:rFonts w:ascii="Times New Roman" w:hAnsi="Times New Roman" w:cs="Times New Roman"/>
          <w:sz w:val="24"/>
          <w:szCs w:val="24"/>
        </w:rPr>
        <w:t>. The region is susceptible to exogenous shocks, which have the greatest impact on poor people, including cyclones and storm surges, land erosion, limited livelihood opportunities, resource degradation, salinization, flooding</w:t>
      </w:r>
      <w:r w:rsidR="00806D66">
        <w:rPr>
          <w:rFonts w:ascii="Times New Roman" w:hAnsi="Times New Roman" w:cs="Times New Roman"/>
          <w:sz w:val="24"/>
          <w:szCs w:val="24"/>
        </w:rPr>
        <w:t>,</w:t>
      </w:r>
      <w:r w:rsidRPr="00240FAB">
        <w:rPr>
          <w:rFonts w:ascii="Times New Roman" w:hAnsi="Times New Roman" w:cs="Times New Roman"/>
          <w:sz w:val="24"/>
          <w:szCs w:val="24"/>
        </w:rPr>
        <w:t xml:space="preserve"> and waterlogged soils. </w:t>
      </w:r>
    </w:p>
    <w:p w14:paraId="5C91F4DB" w14:textId="5E176370" w:rsidR="00240FAB" w:rsidRPr="00240FAB" w:rsidRDefault="00240FAB" w:rsidP="00240FAB">
      <w:pPr>
        <w:rPr>
          <w:rFonts w:ascii="Times New Roman" w:hAnsi="Times New Roman" w:cs="Times New Roman"/>
          <w:sz w:val="24"/>
          <w:szCs w:val="24"/>
        </w:rPr>
      </w:pPr>
      <w:r w:rsidRPr="00240FAB">
        <w:rPr>
          <w:rFonts w:ascii="Times New Roman" w:hAnsi="Times New Roman" w:cs="Times New Roman"/>
          <w:sz w:val="24"/>
          <w:szCs w:val="24"/>
        </w:rPr>
        <w:t>The total population in the project area is more than 7,000,000, representing more than 1,246,000 households. The project aims to directly benefit at least 250,000 rural households</w:t>
      </w:r>
      <w:r w:rsidR="001435FF">
        <w:rPr>
          <w:rFonts w:ascii="Times New Roman" w:hAnsi="Times New Roman" w:cs="Times New Roman"/>
          <w:sz w:val="24"/>
          <w:szCs w:val="24"/>
        </w:rPr>
        <w:t xml:space="preserve"> in the 30 Upazilas in Barisal, </w:t>
      </w:r>
      <w:proofErr w:type="gramStart"/>
      <w:r w:rsidR="001435FF">
        <w:rPr>
          <w:rFonts w:ascii="Times New Roman" w:hAnsi="Times New Roman" w:cs="Times New Roman"/>
          <w:sz w:val="24"/>
          <w:szCs w:val="24"/>
        </w:rPr>
        <w:t>Chittagong</w:t>
      </w:r>
      <w:proofErr w:type="gramEnd"/>
      <w:r w:rsidR="001435FF">
        <w:rPr>
          <w:rFonts w:ascii="Times New Roman" w:hAnsi="Times New Roman" w:cs="Times New Roman"/>
          <w:sz w:val="24"/>
          <w:szCs w:val="24"/>
        </w:rPr>
        <w:t xml:space="preserve"> and Khulna divisions</w:t>
      </w:r>
      <w:r w:rsidRPr="00240FAB">
        <w:rPr>
          <w:rFonts w:ascii="Times New Roman" w:hAnsi="Times New Roman" w:cs="Times New Roman"/>
          <w:sz w:val="24"/>
          <w:szCs w:val="24"/>
        </w:rPr>
        <w:t xml:space="preserve">. The selection of project beneficiaries was undertaken based on an inclusive targeting strategy focusing on small farmers. </w:t>
      </w:r>
    </w:p>
    <w:p w14:paraId="666B5936" w14:textId="29DD0AAF" w:rsidR="00240FAB" w:rsidRPr="00240FAB" w:rsidRDefault="00240FAB" w:rsidP="00240FAB">
      <w:pPr>
        <w:rPr>
          <w:rFonts w:ascii="Times New Roman" w:hAnsi="Times New Roman" w:cs="Times New Roman"/>
          <w:sz w:val="24"/>
          <w:szCs w:val="24"/>
        </w:rPr>
      </w:pPr>
      <w:r w:rsidRPr="00240FAB">
        <w:rPr>
          <w:rFonts w:ascii="Times New Roman" w:hAnsi="Times New Roman" w:cs="Times New Roman"/>
          <w:sz w:val="24"/>
          <w:szCs w:val="24"/>
        </w:rPr>
        <w:t xml:space="preserve">The proposed study </w:t>
      </w:r>
      <w:r w:rsidR="00E71BA9">
        <w:rPr>
          <w:rFonts w:ascii="Times New Roman" w:hAnsi="Times New Roman" w:cs="Times New Roman"/>
          <w:sz w:val="24"/>
          <w:szCs w:val="24"/>
        </w:rPr>
        <w:t>focuses</w:t>
      </w:r>
      <w:r w:rsidRPr="00240FAB">
        <w:rPr>
          <w:rFonts w:ascii="Times New Roman" w:hAnsi="Times New Roman" w:cs="Times New Roman"/>
          <w:sz w:val="24"/>
          <w:szCs w:val="24"/>
        </w:rPr>
        <w:t xml:space="preserve"> on component 3 of the project: strengthen climate resilient surface water management. The activities under component 3 support households interested in increasing their productivity and diversification to HVCs with water infrastructure that provides supplemental or full season water access, through a range of investments in water storage and provision to cropland, with associated capacity development for households and groups to manage this water infrastructure. All activities in this component are closely associated and enhance activities under component 1 and 2 focused on HVC production and improved access to the markets. Activities included in component 3 are implemented by the Bangladesh Agriculture Development Corporation (BADC).</w:t>
      </w:r>
    </w:p>
    <w:p w14:paraId="1A903853" w14:textId="30D9FA7A" w:rsidR="00240FAB" w:rsidRDefault="00240FAB" w:rsidP="00240FAB">
      <w:pPr>
        <w:rPr>
          <w:rFonts w:ascii="Times New Roman" w:hAnsi="Times New Roman" w:cs="Times New Roman"/>
          <w:sz w:val="24"/>
          <w:szCs w:val="24"/>
        </w:rPr>
      </w:pPr>
      <w:r w:rsidRPr="00240FAB">
        <w:rPr>
          <w:rFonts w:ascii="Times New Roman" w:hAnsi="Times New Roman" w:cs="Times New Roman"/>
          <w:sz w:val="24"/>
          <w:szCs w:val="24"/>
        </w:rPr>
        <w:lastRenderedPageBreak/>
        <w:t>In the past, farmers in the SA</w:t>
      </w:r>
      <w:r w:rsidR="00BC189E">
        <w:rPr>
          <w:rFonts w:ascii="Times New Roman" w:hAnsi="Times New Roman" w:cs="Times New Roman"/>
          <w:sz w:val="24"/>
          <w:szCs w:val="24"/>
        </w:rPr>
        <w:t>C</w:t>
      </w:r>
      <w:r w:rsidRPr="00240FAB">
        <w:rPr>
          <w:rFonts w:ascii="Times New Roman" w:hAnsi="Times New Roman" w:cs="Times New Roman"/>
          <w:sz w:val="24"/>
          <w:szCs w:val="24"/>
        </w:rPr>
        <w:t xml:space="preserve">P areas were limited to growing low-value crops due to the unpredictable nature of rain-fed agriculture. However, with the development of the surface irrigation schemes, farmers should be able to grow a wide range of high-value crops such as fruits, vegetables, and spices. These crops have higher market value and can be sold at premium prices, resulting in increased income for the farmers. Moreover, the availability of </w:t>
      </w:r>
      <w:r w:rsidR="00BC189E" w:rsidRPr="00240FAB">
        <w:rPr>
          <w:rFonts w:ascii="Times New Roman" w:hAnsi="Times New Roman" w:cs="Times New Roman"/>
          <w:sz w:val="24"/>
          <w:szCs w:val="24"/>
        </w:rPr>
        <w:t>irrigation</w:t>
      </w:r>
      <w:r w:rsidRPr="00240FAB">
        <w:rPr>
          <w:rFonts w:ascii="Times New Roman" w:hAnsi="Times New Roman" w:cs="Times New Roman"/>
          <w:sz w:val="24"/>
          <w:szCs w:val="24"/>
        </w:rPr>
        <w:t xml:space="preserve"> water should enable farmers to synchronize their crop production with market demand, including improved quality of the crops and reduce post-harvest losses. The project activities should facilitate formation of </w:t>
      </w:r>
      <w:r w:rsidR="00BC189E" w:rsidRPr="00240FAB">
        <w:rPr>
          <w:rFonts w:ascii="Times New Roman" w:hAnsi="Times New Roman" w:cs="Times New Roman"/>
          <w:sz w:val="24"/>
          <w:szCs w:val="24"/>
        </w:rPr>
        <w:t>producers’</w:t>
      </w:r>
      <w:r w:rsidRPr="00240FAB">
        <w:rPr>
          <w:rFonts w:ascii="Times New Roman" w:hAnsi="Times New Roman" w:cs="Times New Roman"/>
          <w:sz w:val="24"/>
          <w:szCs w:val="24"/>
        </w:rPr>
        <w:t xml:space="preserve"> groups (or cooperatives) and other market-oriented initiatives that enable farmers to undertake collective and market-oriented actions.</w:t>
      </w:r>
    </w:p>
    <w:p w14:paraId="74738C87" w14:textId="77777777" w:rsidR="003A0EBC" w:rsidRPr="009E1978" w:rsidRDefault="003A0EBC" w:rsidP="00240FAB">
      <w:pPr>
        <w:rPr>
          <w:rFonts w:ascii="Times New Roman" w:hAnsi="Times New Roman" w:cs="Times New Roman"/>
          <w:sz w:val="24"/>
          <w:szCs w:val="24"/>
        </w:rPr>
      </w:pPr>
    </w:p>
    <w:p w14:paraId="77B9FF87" w14:textId="7B7A15E2" w:rsidR="00303B44" w:rsidRPr="002F54B3" w:rsidRDefault="003078FF" w:rsidP="00760934">
      <w:pPr>
        <w:pStyle w:val="Heading1"/>
        <w:numPr>
          <w:ilvl w:val="0"/>
          <w:numId w:val="6"/>
        </w:numPr>
      </w:pPr>
      <w:r>
        <w:t>Theory of Change and Hypothes</w:t>
      </w:r>
      <w:r w:rsidR="007476C0">
        <w:t>e</w:t>
      </w:r>
      <w:r>
        <w:t xml:space="preserve">s Tested </w:t>
      </w:r>
    </w:p>
    <w:p w14:paraId="288ADE12" w14:textId="3DFF8585" w:rsidR="005639C9" w:rsidRDefault="00B41469" w:rsidP="00CE41EF">
      <w:pPr>
        <w:rPr>
          <w:rFonts w:ascii="Times New Roman" w:hAnsi="Times New Roman" w:cs="Times New Roman"/>
          <w:sz w:val="24"/>
          <w:szCs w:val="24"/>
        </w:rPr>
      </w:pPr>
      <w:r>
        <w:rPr>
          <w:rFonts w:ascii="Times New Roman" w:hAnsi="Times New Roman" w:cs="Times New Roman"/>
          <w:sz w:val="24"/>
          <w:szCs w:val="24"/>
        </w:rPr>
        <w:t xml:space="preserve">This evaluation </w:t>
      </w:r>
      <w:r w:rsidR="00AC6805">
        <w:rPr>
          <w:rFonts w:ascii="Times New Roman" w:hAnsi="Times New Roman" w:cs="Times New Roman"/>
          <w:sz w:val="24"/>
          <w:szCs w:val="24"/>
        </w:rPr>
        <w:t>concerns</w:t>
      </w:r>
      <w:r w:rsidR="00764C16">
        <w:rPr>
          <w:rFonts w:ascii="Times New Roman" w:hAnsi="Times New Roman" w:cs="Times New Roman"/>
          <w:sz w:val="24"/>
          <w:szCs w:val="24"/>
        </w:rPr>
        <w:t xml:space="preserve"> </w:t>
      </w:r>
      <w:r w:rsidR="0076741E">
        <w:rPr>
          <w:rFonts w:ascii="Times New Roman" w:hAnsi="Times New Roman" w:cs="Times New Roman"/>
          <w:sz w:val="24"/>
          <w:szCs w:val="24"/>
        </w:rPr>
        <w:t xml:space="preserve">three </w:t>
      </w:r>
      <w:r w:rsidR="00764C16">
        <w:rPr>
          <w:rFonts w:ascii="Times New Roman" w:hAnsi="Times New Roman" w:cs="Times New Roman"/>
          <w:sz w:val="24"/>
          <w:szCs w:val="24"/>
        </w:rPr>
        <w:t>key</w:t>
      </w:r>
      <w:r>
        <w:rPr>
          <w:rFonts w:ascii="Times New Roman" w:hAnsi="Times New Roman" w:cs="Times New Roman"/>
          <w:sz w:val="24"/>
          <w:szCs w:val="24"/>
        </w:rPr>
        <w:t xml:space="preserve"> water infrastructures built</w:t>
      </w:r>
      <w:r w:rsidR="00764C16">
        <w:rPr>
          <w:rFonts w:ascii="Times New Roman" w:hAnsi="Times New Roman" w:cs="Times New Roman"/>
          <w:sz w:val="24"/>
          <w:szCs w:val="24"/>
        </w:rPr>
        <w:t xml:space="preserve"> or rehabilitated</w:t>
      </w:r>
      <w:r>
        <w:rPr>
          <w:rFonts w:ascii="Times New Roman" w:hAnsi="Times New Roman" w:cs="Times New Roman"/>
          <w:sz w:val="24"/>
          <w:szCs w:val="24"/>
        </w:rPr>
        <w:t xml:space="preserve"> by SACP</w:t>
      </w:r>
      <w:r w:rsidR="00764C16">
        <w:rPr>
          <w:rFonts w:ascii="Times New Roman" w:hAnsi="Times New Roman" w:cs="Times New Roman"/>
          <w:sz w:val="24"/>
          <w:szCs w:val="24"/>
        </w:rPr>
        <w:t xml:space="preserve">. </w:t>
      </w:r>
      <w:r w:rsidR="005639C9">
        <w:rPr>
          <w:rFonts w:ascii="Times New Roman" w:hAnsi="Times New Roman" w:cs="Times New Roman"/>
          <w:sz w:val="24"/>
          <w:szCs w:val="24"/>
        </w:rPr>
        <w:t xml:space="preserve">These infrastructures are: </w:t>
      </w:r>
    </w:p>
    <w:p w14:paraId="425F900D" w14:textId="25A0F008" w:rsidR="005639C9" w:rsidRPr="00930E10" w:rsidRDefault="005639C9" w:rsidP="00930E10">
      <w:pPr>
        <w:pStyle w:val="ListParagraph"/>
        <w:numPr>
          <w:ilvl w:val="0"/>
          <w:numId w:val="8"/>
        </w:numPr>
        <w:rPr>
          <w:rFonts w:ascii="Times New Roman" w:hAnsi="Times New Roman" w:cs="Times New Roman"/>
          <w:sz w:val="24"/>
          <w:szCs w:val="24"/>
        </w:rPr>
      </w:pPr>
      <w:proofErr w:type="gramStart"/>
      <w:r>
        <w:rPr>
          <w:rFonts w:ascii="Times New Roman" w:hAnsi="Times New Roman" w:cs="Times New Roman"/>
          <w:sz w:val="24"/>
          <w:szCs w:val="24"/>
        </w:rPr>
        <w:t>D</w:t>
      </w:r>
      <w:r w:rsidR="00303B44" w:rsidRPr="005639C9">
        <w:rPr>
          <w:rFonts w:ascii="Times New Roman" w:hAnsi="Times New Roman" w:cs="Times New Roman"/>
          <w:sz w:val="24"/>
          <w:szCs w:val="24"/>
        </w:rPr>
        <w:t>ykes</w:t>
      </w:r>
      <w:proofErr w:type="gramEnd"/>
      <w:r>
        <w:rPr>
          <w:rFonts w:ascii="Times New Roman" w:hAnsi="Times New Roman" w:cs="Times New Roman"/>
          <w:sz w:val="24"/>
          <w:szCs w:val="24"/>
        </w:rPr>
        <w:t xml:space="preserve"> along the rivers</w:t>
      </w:r>
    </w:p>
    <w:p w14:paraId="60870E35" w14:textId="77777777" w:rsidR="005639C9" w:rsidRDefault="005639C9" w:rsidP="005639C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w:t>
      </w:r>
      <w:r w:rsidR="00303B44" w:rsidRPr="005639C9">
        <w:rPr>
          <w:rFonts w:ascii="Times New Roman" w:hAnsi="Times New Roman" w:cs="Times New Roman"/>
          <w:sz w:val="24"/>
          <w:szCs w:val="24"/>
        </w:rPr>
        <w:t xml:space="preserve">uried </w:t>
      </w:r>
      <w:proofErr w:type="gramStart"/>
      <w:r w:rsidR="00303B44" w:rsidRPr="005639C9">
        <w:rPr>
          <w:rFonts w:ascii="Times New Roman" w:hAnsi="Times New Roman" w:cs="Times New Roman"/>
          <w:sz w:val="24"/>
          <w:szCs w:val="24"/>
        </w:rPr>
        <w:t>pipe</w:t>
      </w:r>
      <w:r>
        <w:rPr>
          <w:rFonts w:ascii="Times New Roman" w:hAnsi="Times New Roman" w:cs="Times New Roman"/>
          <w:sz w:val="24"/>
          <w:szCs w:val="24"/>
        </w:rPr>
        <w:t>s</w:t>
      </w:r>
      <w:proofErr w:type="gramEnd"/>
    </w:p>
    <w:p w14:paraId="556257E0" w14:textId="2D046786" w:rsidR="00303B44" w:rsidRDefault="005639C9" w:rsidP="005639C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w:t>
      </w:r>
      <w:r w:rsidR="00303B44" w:rsidRPr="005639C9">
        <w:rPr>
          <w:rFonts w:ascii="Times New Roman" w:hAnsi="Times New Roman" w:cs="Times New Roman"/>
          <w:sz w:val="24"/>
          <w:szCs w:val="24"/>
        </w:rPr>
        <w:t xml:space="preserve">anal </w:t>
      </w:r>
      <w:r w:rsidR="0016063F" w:rsidRPr="005639C9">
        <w:rPr>
          <w:rFonts w:ascii="Times New Roman" w:hAnsi="Times New Roman" w:cs="Times New Roman"/>
          <w:sz w:val="24"/>
          <w:szCs w:val="24"/>
        </w:rPr>
        <w:t>rehabilitation and construction</w:t>
      </w:r>
    </w:p>
    <w:p w14:paraId="4047A015" w14:textId="2D7E9100" w:rsidR="00456FF5" w:rsidRDefault="00B12BEC" w:rsidP="005639C9">
      <w:pPr>
        <w:rPr>
          <w:rFonts w:ascii="Times New Roman" w:hAnsi="Times New Roman" w:cs="Times New Roman"/>
          <w:sz w:val="24"/>
          <w:szCs w:val="24"/>
        </w:rPr>
      </w:pPr>
      <w:r>
        <w:rPr>
          <w:rFonts w:ascii="Times New Roman" w:hAnsi="Times New Roman" w:cs="Times New Roman"/>
          <w:sz w:val="24"/>
          <w:szCs w:val="24"/>
        </w:rPr>
        <w:t xml:space="preserve">Here an important distinction needs to be made between </w:t>
      </w:r>
      <w:proofErr w:type="gramStart"/>
      <w:r>
        <w:rPr>
          <w:rFonts w:ascii="Times New Roman" w:hAnsi="Times New Roman" w:cs="Times New Roman"/>
          <w:sz w:val="24"/>
          <w:szCs w:val="24"/>
        </w:rPr>
        <w:t>dykes</w:t>
      </w:r>
      <w:proofErr w:type="gramEnd"/>
      <w:r>
        <w:rPr>
          <w:rFonts w:ascii="Times New Roman" w:hAnsi="Times New Roman" w:cs="Times New Roman"/>
          <w:sz w:val="24"/>
          <w:szCs w:val="24"/>
        </w:rPr>
        <w:t xml:space="preserve"> and the rest of the</w:t>
      </w:r>
      <w:r w:rsidR="007476C0">
        <w:rPr>
          <w:rFonts w:ascii="Times New Roman" w:hAnsi="Times New Roman" w:cs="Times New Roman"/>
          <w:sz w:val="24"/>
          <w:szCs w:val="24"/>
        </w:rPr>
        <w:t xml:space="preserve"> water</w:t>
      </w:r>
      <w:r>
        <w:rPr>
          <w:rFonts w:ascii="Times New Roman" w:hAnsi="Times New Roman" w:cs="Times New Roman"/>
          <w:sz w:val="24"/>
          <w:szCs w:val="24"/>
        </w:rPr>
        <w:t xml:space="preserve"> </w:t>
      </w:r>
      <w:r w:rsidR="00A01F11">
        <w:rPr>
          <w:rFonts w:ascii="Times New Roman" w:hAnsi="Times New Roman" w:cs="Times New Roman"/>
          <w:sz w:val="24"/>
          <w:szCs w:val="24"/>
        </w:rPr>
        <w:t xml:space="preserve">infrastructures. </w:t>
      </w:r>
      <w:r w:rsidR="00890E80">
        <w:rPr>
          <w:rFonts w:ascii="Times New Roman" w:hAnsi="Times New Roman" w:cs="Times New Roman"/>
          <w:sz w:val="24"/>
          <w:szCs w:val="24"/>
        </w:rPr>
        <w:t xml:space="preserve">On the one hand, </w:t>
      </w:r>
      <w:proofErr w:type="gramStart"/>
      <w:r w:rsidR="00890E80">
        <w:rPr>
          <w:rFonts w:ascii="Times New Roman" w:hAnsi="Times New Roman" w:cs="Times New Roman"/>
          <w:sz w:val="24"/>
          <w:szCs w:val="24"/>
        </w:rPr>
        <w:t>d</w:t>
      </w:r>
      <w:r w:rsidR="00A01F11">
        <w:rPr>
          <w:rFonts w:ascii="Times New Roman" w:hAnsi="Times New Roman" w:cs="Times New Roman"/>
          <w:sz w:val="24"/>
          <w:szCs w:val="24"/>
        </w:rPr>
        <w:t>ykes</w:t>
      </w:r>
      <w:proofErr w:type="gramEnd"/>
      <w:r w:rsidR="00A01F11">
        <w:rPr>
          <w:rFonts w:ascii="Times New Roman" w:hAnsi="Times New Roman" w:cs="Times New Roman"/>
          <w:sz w:val="24"/>
          <w:szCs w:val="24"/>
        </w:rPr>
        <w:t xml:space="preserve"> protect the cropland from tidal waves and floods</w:t>
      </w:r>
      <w:r w:rsidR="0051230A">
        <w:rPr>
          <w:rFonts w:ascii="Times New Roman" w:hAnsi="Times New Roman" w:cs="Times New Roman"/>
          <w:sz w:val="24"/>
          <w:szCs w:val="24"/>
        </w:rPr>
        <w:t>. By reducing</w:t>
      </w:r>
      <w:r w:rsidR="00A2144D">
        <w:rPr>
          <w:rFonts w:ascii="Times New Roman" w:hAnsi="Times New Roman" w:cs="Times New Roman"/>
          <w:sz w:val="24"/>
          <w:szCs w:val="24"/>
        </w:rPr>
        <w:t xml:space="preserve"> flood risk, </w:t>
      </w:r>
      <w:r w:rsidR="00EE7106">
        <w:rPr>
          <w:rFonts w:ascii="Times New Roman" w:hAnsi="Times New Roman" w:cs="Times New Roman"/>
          <w:sz w:val="24"/>
          <w:szCs w:val="24"/>
        </w:rPr>
        <w:t xml:space="preserve">they </w:t>
      </w:r>
      <w:r w:rsidR="009D194F">
        <w:rPr>
          <w:rFonts w:ascii="Times New Roman" w:hAnsi="Times New Roman" w:cs="Times New Roman"/>
          <w:sz w:val="24"/>
          <w:szCs w:val="24"/>
        </w:rPr>
        <w:t>allow</w:t>
      </w:r>
      <w:r w:rsidR="00A2144D">
        <w:rPr>
          <w:rFonts w:ascii="Times New Roman" w:hAnsi="Times New Roman" w:cs="Times New Roman"/>
          <w:sz w:val="24"/>
          <w:szCs w:val="24"/>
        </w:rPr>
        <w:t xml:space="preserve"> for investment in </w:t>
      </w:r>
      <w:r w:rsidR="009D194F">
        <w:rPr>
          <w:rFonts w:ascii="Times New Roman" w:hAnsi="Times New Roman" w:cs="Times New Roman"/>
          <w:sz w:val="24"/>
          <w:szCs w:val="24"/>
        </w:rPr>
        <w:t>agricultural produc</w:t>
      </w:r>
      <w:r w:rsidR="00A84882">
        <w:rPr>
          <w:rFonts w:ascii="Times New Roman" w:hAnsi="Times New Roman" w:cs="Times New Roman"/>
          <w:sz w:val="24"/>
          <w:szCs w:val="24"/>
        </w:rPr>
        <w:t>tion</w:t>
      </w:r>
      <w:r w:rsidR="00A2144D">
        <w:rPr>
          <w:rFonts w:ascii="Times New Roman" w:hAnsi="Times New Roman" w:cs="Times New Roman"/>
          <w:sz w:val="24"/>
          <w:szCs w:val="24"/>
        </w:rPr>
        <w:t>. On the other hand,</w:t>
      </w:r>
      <w:r w:rsidR="009D194F">
        <w:rPr>
          <w:rFonts w:ascii="Times New Roman" w:hAnsi="Times New Roman" w:cs="Times New Roman"/>
          <w:sz w:val="24"/>
          <w:szCs w:val="24"/>
        </w:rPr>
        <w:t xml:space="preserve"> </w:t>
      </w:r>
      <w:r w:rsidR="00843869">
        <w:rPr>
          <w:rFonts w:ascii="Times New Roman" w:hAnsi="Times New Roman" w:cs="Times New Roman"/>
          <w:sz w:val="24"/>
          <w:szCs w:val="24"/>
        </w:rPr>
        <w:t>buried pipes and canals</w:t>
      </w:r>
      <w:r w:rsidR="004A10E3">
        <w:rPr>
          <w:rFonts w:ascii="Times New Roman" w:hAnsi="Times New Roman" w:cs="Times New Roman"/>
          <w:sz w:val="24"/>
          <w:szCs w:val="24"/>
        </w:rPr>
        <w:t xml:space="preserve"> increase the availability of water</w:t>
      </w:r>
      <w:r w:rsidR="0014752A">
        <w:rPr>
          <w:rFonts w:ascii="Times New Roman" w:hAnsi="Times New Roman" w:cs="Times New Roman"/>
          <w:sz w:val="24"/>
          <w:szCs w:val="24"/>
        </w:rPr>
        <w:t>,</w:t>
      </w:r>
      <w:r w:rsidR="004A10E3">
        <w:rPr>
          <w:rFonts w:ascii="Times New Roman" w:hAnsi="Times New Roman" w:cs="Times New Roman"/>
          <w:sz w:val="24"/>
          <w:szCs w:val="24"/>
        </w:rPr>
        <w:t xml:space="preserve"> especially during the Rabi season when rainfall </w:t>
      </w:r>
      <w:r w:rsidR="0014752A">
        <w:rPr>
          <w:rFonts w:ascii="Times New Roman" w:hAnsi="Times New Roman" w:cs="Times New Roman"/>
          <w:sz w:val="24"/>
          <w:szCs w:val="24"/>
        </w:rPr>
        <w:t xml:space="preserve">precipitations </w:t>
      </w:r>
      <w:r w:rsidR="004A10E3">
        <w:rPr>
          <w:rFonts w:ascii="Times New Roman" w:hAnsi="Times New Roman" w:cs="Times New Roman"/>
          <w:sz w:val="24"/>
          <w:szCs w:val="24"/>
        </w:rPr>
        <w:t>decrease</w:t>
      </w:r>
      <w:r w:rsidR="004A1404">
        <w:rPr>
          <w:rFonts w:ascii="Times New Roman" w:hAnsi="Times New Roman" w:cs="Times New Roman"/>
          <w:sz w:val="24"/>
          <w:szCs w:val="24"/>
        </w:rPr>
        <w:t>, thus allowing</w:t>
      </w:r>
      <w:r w:rsidR="004A10E3">
        <w:rPr>
          <w:rFonts w:ascii="Times New Roman" w:hAnsi="Times New Roman" w:cs="Times New Roman"/>
          <w:sz w:val="24"/>
          <w:szCs w:val="24"/>
        </w:rPr>
        <w:t xml:space="preserve"> farmers to invest in agricultur</w:t>
      </w:r>
      <w:r w:rsidR="003315BF">
        <w:rPr>
          <w:rFonts w:ascii="Times New Roman" w:hAnsi="Times New Roman" w:cs="Times New Roman"/>
          <w:sz w:val="24"/>
          <w:szCs w:val="24"/>
        </w:rPr>
        <w:t>e</w:t>
      </w:r>
      <w:r w:rsidR="004A10E3">
        <w:rPr>
          <w:rFonts w:ascii="Times New Roman" w:hAnsi="Times New Roman" w:cs="Times New Roman"/>
          <w:sz w:val="24"/>
          <w:szCs w:val="24"/>
        </w:rPr>
        <w:t xml:space="preserve">. </w:t>
      </w:r>
      <w:r w:rsidR="003315BF">
        <w:rPr>
          <w:rFonts w:ascii="Times New Roman" w:hAnsi="Times New Roman" w:cs="Times New Roman"/>
          <w:sz w:val="24"/>
          <w:szCs w:val="24"/>
        </w:rPr>
        <w:t>T</w:t>
      </w:r>
      <w:r w:rsidR="00C04FC3">
        <w:rPr>
          <w:rFonts w:ascii="Times New Roman" w:hAnsi="Times New Roman" w:cs="Times New Roman"/>
          <w:sz w:val="24"/>
          <w:szCs w:val="24"/>
        </w:rPr>
        <w:t xml:space="preserve">he </w:t>
      </w:r>
      <w:r w:rsidR="001C3DCD">
        <w:rPr>
          <w:rFonts w:ascii="Times New Roman" w:hAnsi="Times New Roman" w:cs="Times New Roman"/>
          <w:sz w:val="24"/>
          <w:szCs w:val="24"/>
        </w:rPr>
        <w:t xml:space="preserve">evaluation design for </w:t>
      </w:r>
      <w:proofErr w:type="gramStart"/>
      <w:r w:rsidR="001C3DCD">
        <w:rPr>
          <w:rFonts w:ascii="Times New Roman" w:hAnsi="Times New Roman" w:cs="Times New Roman"/>
          <w:sz w:val="24"/>
          <w:szCs w:val="24"/>
        </w:rPr>
        <w:t>dykes</w:t>
      </w:r>
      <w:proofErr w:type="gramEnd"/>
      <w:r w:rsidR="001C3DCD">
        <w:rPr>
          <w:rFonts w:ascii="Times New Roman" w:hAnsi="Times New Roman" w:cs="Times New Roman"/>
          <w:sz w:val="24"/>
          <w:szCs w:val="24"/>
        </w:rPr>
        <w:t xml:space="preserve"> differs from the </w:t>
      </w:r>
      <w:r w:rsidR="00802F1D">
        <w:rPr>
          <w:rFonts w:ascii="Times New Roman" w:hAnsi="Times New Roman" w:cs="Times New Roman"/>
          <w:sz w:val="24"/>
          <w:szCs w:val="24"/>
        </w:rPr>
        <w:t>other</w:t>
      </w:r>
      <w:r w:rsidR="001C3DCD">
        <w:rPr>
          <w:rFonts w:ascii="Times New Roman" w:hAnsi="Times New Roman" w:cs="Times New Roman"/>
          <w:sz w:val="24"/>
          <w:szCs w:val="24"/>
        </w:rPr>
        <w:t xml:space="preserve"> water infrastructures. For the </w:t>
      </w:r>
      <w:proofErr w:type="gramStart"/>
      <w:r w:rsidR="001C3DCD">
        <w:rPr>
          <w:rFonts w:ascii="Times New Roman" w:hAnsi="Times New Roman" w:cs="Times New Roman"/>
          <w:sz w:val="24"/>
          <w:szCs w:val="24"/>
        </w:rPr>
        <w:t>dykes</w:t>
      </w:r>
      <w:proofErr w:type="gramEnd"/>
      <w:r w:rsidR="001C3DCD">
        <w:rPr>
          <w:rFonts w:ascii="Times New Roman" w:hAnsi="Times New Roman" w:cs="Times New Roman"/>
          <w:sz w:val="24"/>
          <w:szCs w:val="24"/>
        </w:rPr>
        <w:t>, the</w:t>
      </w:r>
      <w:r w:rsidR="007E099B">
        <w:rPr>
          <w:rFonts w:ascii="Times New Roman" w:hAnsi="Times New Roman" w:cs="Times New Roman"/>
          <w:sz w:val="24"/>
          <w:szCs w:val="24"/>
        </w:rPr>
        <w:t xml:space="preserve"> evaluation design depends on household-level comparison of households that are along the river</w:t>
      </w:r>
      <w:r w:rsidR="00DF7339">
        <w:rPr>
          <w:rFonts w:ascii="Times New Roman" w:hAnsi="Times New Roman" w:cs="Times New Roman"/>
          <w:sz w:val="24"/>
          <w:szCs w:val="24"/>
        </w:rPr>
        <w:t xml:space="preserve"> (within 1km distance)</w:t>
      </w:r>
      <w:r w:rsidR="007E099B">
        <w:rPr>
          <w:rFonts w:ascii="Times New Roman" w:hAnsi="Times New Roman" w:cs="Times New Roman"/>
          <w:sz w:val="24"/>
          <w:szCs w:val="24"/>
        </w:rPr>
        <w:t xml:space="preserve">, and </w:t>
      </w:r>
      <w:r w:rsidR="00DF7339">
        <w:rPr>
          <w:rFonts w:ascii="Times New Roman" w:hAnsi="Times New Roman" w:cs="Times New Roman"/>
          <w:sz w:val="24"/>
          <w:szCs w:val="24"/>
        </w:rPr>
        <w:t xml:space="preserve">are </w:t>
      </w:r>
      <w:r w:rsidR="007E099B">
        <w:rPr>
          <w:rFonts w:ascii="Times New Roman" w:hAnsi="Times New Roman" w:cs="Times New Roman"/>
          <w:sz w:val="24"/>
          <w:szCs w:val="24"/>
        </w:rPr>
        <w:t>protected from the dyke, w</w:t>
      </w:r>
      <w:r w:rsidR="00DF7339">
        <w:rPr>
          <w:rFonts w:ascii="Times New Roman" w:hAnsi="Times New Roman" w:cs="Times New Roman"/>
          <w:sz w:val="24"/>
          <w:szCs w:val="24"/>
        </w:rPr>
        <w:t>ith households that are also located within 1 km distance of the river but are not protected from the dykes.</w:t>
      </w:r>
      <w:r w:rsidR="00827F53">
        <w:rPr>
          <w:rFonts w:ascii="Times New Roman" w:hAnsi="Times New Roman" w:cs="Times New Roman"/>
          <w:sz w:val="24"/>
          <w:szCs w:val="24"/>
        </w:rPr>
        <w:t xml:space="preserve"> </w:t>
      </w:r>
      <w:r w:rsidR="00DF7339">
        <w:rPr>
          <w:rFonts w:ascii="Times New Roman" w:hAnsi="Times New Roman" w:cs="Times New Roman"/>
          <w:sz w:val="24"/>
          <w:szCs w:val="24"/>
        </w:rPr>
        <w:t xml:space="preserve">However, </w:t>
      </w:r>
      <w:r w:rsidR="00B43A8C">
        <w:rPr>
          <w:rFonts w:ascii="Times New Roman" w:hAnsi="Times New Roman" w:cs="Times New Roman"/>
          <w:sz w:val="24"/>
          <w:szCs w:val="24"/>
        </w:rPr>
        <w:t xml:space="preserve">for the other structures, the benefits </w:t>
      </w:r>
      <w:r w:rsidR="00827F53">
        <w:rPr>
          <w:rFonts w:ascii="Times New Roman" w:hAnsi="Times New Roman" w:cs="Times New Roman"/>
          <w:sz w:val="24"/>
          <w:szCs w:val="24"/>
        </w:rPr>
        <w:t xml:space="preserve">accrue through water-user groups, and therefore the evaluation depends on clustered sampling. We discuss these topics in detail in </w:t>
      </w:r>
      <w:r w:rsidR="00274F78">
        <w:rPr>
          <w:rFonts w:ascii="Times New Roman" w:hAnsi="Times New Roman" w:cs="Times New Roman"/>
          <w:sz w:val="24"/>
          <w:szCs w:val="24"/>
        </w:rPr>
        <w:t>Section 3.</w:t>
      </w:r>
      <w:r w:rsidR="00456FF5">
        <w:rPr>
          <w:rFonts w:ascii="Times New Roman" w:hAnsi="Times New Roman" w:cs="Times New Roman"/>
          <w:sz w:val="24"/>
          <w:szCs w:val="24"/>
        </w:rPr>
        <w:t xml:space="preserve"> The hypotheses related to this evaluation are described below: </w:t>
      </w:r>
    </w:p>
    <w:p w14:paraId="0886F762" w14:textId="65D8BA03" w:rsidR="00456FF5" w:rsidRDefault="00626519" w:rsidP="00393385">
      <w:pPr>
        <w:pStyle w:val="Heading2"/>
      </w:pPr>
      <w:r>
        <w:t xml:space="preserve">2.1 </w:t>
      </w:r>
      <w:r w:rsidR="00393385">
        <w:t>Hypotheses Regarding Crop Dykes</w:t>
      </w:r>
    </w:p>
    <w:p w14:paraId="43D712BF" w14:textId="77777777" w:rsidR="0095606F" w:rsidRDefault="00456FF5" w:rsidP="005639C9">
      <w:pPr>
        <w:rPr>
          <w:rFonts w:ascii="Times New Roman" w:hAnsi="Times New Roman" w:cs="Times New Roman"/>
          <w:sz w:val="24"/>
          <w:szCs w:val="24"/>
        </w:rPr>
      </w:pPr>
      <w:r>
        <w:rPr>
          <w:rFonts w:ascii="Times New Roman" w:hAnsi="Times New Roman" w:cs="Times New Roman"/>
          <w:sz w:val="24"/>
          <w:szCs w:val="24"/>
        </w:rPr>
        <w:t xml:space="preserve">H1: </w:t>
      </w:r>
      <w:r w:rsidR="0095606F">
        <w:rPr>
          <w:rFonts w:ascii="Times New Roman" w:hAnsi="Times New Roman" w:cs="Times New Roman"/>
          <w:sz w:val="24"/>
          <w:szCs w:val="24"/>
        </w:rPr>
        <w:t xml:space="preserve">Households protected from dykes will have greater overall resilience (measured through household food security). </w:t>
      </w:r>
    </w:p>
    <w:p w14:paraId="483EEED0" w14:textId="04B3D3F1" w:rsidR="0095606F" w:rsidRDefault="0095606F" w:rsidP="005639C9">
      <w:pPr>
        <w:rPr>
          <w:rFonts w:ascii="Times New Roman" w:hAnsi="Times New Roman" w:cs="Times New Roman"/>
          <w:sz w:val="24"/>
          <w:szCs w:val="24"/>
        </w:rPr>
      </w:pPr>
      <w:r>
        <w:rPr>
          <w:rFonts w:ascii="Times New Roman" w:hAnsi="Times New Roman" w:cs="Times New Roman"/>
          <w:sz w:val="24"/>
          <w:szCs w:val="24"/>
        </w:rPr>
        <w:t xml:space="preserve">H2: Households protected from </w:t>
      </w:r>
      <w:proofErr w:type="gramStart"/>
      <w:r>
        <w:rPr>
          <w:rFonts w:ascii="Times New Roman" w:hAnsi="Times New Roman" w:cs="Times New Roman"/>
          <w:sz w:val="24"/>
          <w:szCs w:val="24"/>
        </w:rPr>
        <w:t>dykes</w:t>
      </w:r>
      <w:proofErr w:type="gramEnd"/>
      <w:r>
        <w:rPr>
          <w:rFonts w:ascii="Times New Roman" w:hAnsi="Times New Roman" w:cs="Times New Roman"/>
          <w:sz w:val="24"/>
          <w:szCs w:val="24"/>
        </w:rPr>
        <w:t xml:space="preserve"> will face less flood risk. </w:t>
      </w:r>
    </w:p>
    <w:p w14:paraId="161234B9" w14:textId="1F35BCC9" w:rsidR="00FB78A4" w:rsidRDefault="00F77873" w:rsidP="004C69A6">
      <w:pPr>
        <w:rPr>
          <w:rFonts w:ascii="Times New Roman" w:hAnsi="Times New Roman" w:cs="Times New Roman"/>
          <w:sz w:val="24"/>
          <w:szCs w:val="24"/>
        </w:rPr>
      </w:pPr>
      <w:r>
        <w:rPr>
          <w:rFonts w:ascii="Times New Roman" w:hAnsi="Times New Roman" w:cs="Times New Roman"/>
          <w:sz w:val="24"/>
          <w:szCs w:val="24"/>
        </w:rPr>
        <w:t xml:space="preserve">H2: </w:t>
      </w:r>
      <w:r w:rsidR="000E0121">
        <w:rPr>
          <w:rFonts w:ascii="Times New Roman" w:hAnsi="Times New Roman" w:cs="Times New Roman"/>
          <w:sz w:val="24"/>
          <w:szCs w:val="24"/>
        </w:rPr>
        <w:t xml:space="preserve">Farm </w:t>
      </w:r>
      <w:r w:rsidR="00F0230B">
        <w:rPr>
          <w:rFonts w:ascii="Times New Roman" w:hAnsi="Times New Roman" w:cs="Times New Roman"/>
          <w:sz w:val="24"/>
          <w:szCs w:val="24"/>
        </w:rPr>
        <w:t>production</w:t>
      </w:r>
      <w:r w:rsidR="00FB78A4">
        <w:rPr>
          <w:rFonts w:ascii="Times New Roman" w:hAnsi="Times New Roman" w:cs="Times New Roman"/>
          <w:sz w:val="24"/>
          <w:szCs w:val="24"/>
        </w:rPr>
        <w:t>, land-used for agriculture,</w:t>
      </w:r>
      <w:r w:rsidR="0095606F">
        <w:rPr>
          <w:rFonts w:ascii="Times New Roman" w:hAnsi="Times New Roman" w:cs="Times New Roman"/>
          <w:sz w:val="24"/>
          <w:szCs w:val="24"/>
        </w:rPr>
        <w:t xml:space="preserve"> and investment in HVCs</w:t>
      </w:r>
      <w:r w:rsidR="00F0230B">
        <w:rPr>
          <w:rFonts w:ascii="Times New Roman" w:hAnsi="Times New Roman" w:cs="Times New Roman"/>
          <w:sz w:val="24"/>
          <w:szCs w:val="24"/>
        </w:rPr>
        <w:t xml:space="preserve"> </w:t>
      </w:r>
      <w:r w:rsidR="00E638A1">
        <w:rPr>
          <w:rFonts w:ascii="Times New Roman" w:hAnsi="Times New Roman" w:cs="Times New Roman"/>
          <w:sz w:val="24"/>
          <w:szCs w:val="24"/>
        </w:rPr>
        <w:t xml:space="preserve">for </w:t>
      </w:r>
      <w:r w:rsidR="00F0230B">
        <w:rPr>
          <w:rFonts w:ascii="Times New Roman" w:hAnsi="Times New Roman" w:cs="Times New Roman"/>
          <w:sz w:val="24"/>
          <w:szCs w:val="24"/>
        </w:rPr>
        <w:t>beneficiar</w:t>
      </w:r>
      <w:r w:rsidR="00E638A1">
        <w:rPr>
          <w:rFonts w:ascii="Times New Roman" w:hAnsi="Times New Roman" w:cs="Times New Roman"/>
          <w:sz w:val="24"/>
          <w:szCs w:val="24"/>
        </w:rPr>
        <w:t>y households</w:t>
      </w:r>
      <w:r w:rsidR="00F0230B">
        <w:rPr>
          <w:rFonts w:ascii="Times New Roman" w:hAnsi="Times New Roman" w:cs="Times New Roman"/>
          <w:sz w:val="24"/>
          <w:szCs w:val="24"/>
        </w:rPr>
        <w:t xml:space="preserve"> will be higher </w:t>
      </w:r>
      <w:r w:rsidR="00F86C42">
        <w:rPr>
          <w:rFonts w:ascii="Times New Roman" w:hAnsi="Times New Roman" w:cs="Times New Roman"/>
          <w:sz w:val="24"/>
          <w:szCs w:val="24"/>
        </w:rPr>
        <w:t>because of enhancement in flood protection</w:t>
      </w:r>
      <w:r>
        <w:rPr>
          <w:rFonts w:ascii="Times New Roman" w:hAnsi="Times New Roman" w:cs="Times New Roman"/>
          <w:sz w:val="24"/>
          <w:szCs w:val="24"/>
        </w:rPr>
        <w:t xml:space="preserve">. </w:t>
      </w:r>
    </w:p>
    <w:p w14:paraId="7C856787" w14:textId="0466978F" w:rsidR="004C69A6" w:rsidRPr="004C69A6" w:rsidRDefault="004C69A6" w:rsidP="004C69A6">
      <w:pPr>
        <w:rPr>
          <w:rFonts w:ascii="Times New Roman" w:hAnsi="Times New Roman" w:cs="Times New Roman"/>
          <w:b/>
          <w:bCs/>
          <w:sz w:val="24"/>
          <w:szCs w:val="24"/>
        </w:rPr>
      </w:pPr>
      <w:r w:rsidRPr="004C69A6">
        <w:rPr>
          <w:rFonts w:ascii="Times New Roman" w:hAnsi="Times New Roman" w:cs="Times New Roman"/>
          <w:b/>
          <w:bCs/>
          <w:sz w:val="24"/>
          <w:szCs w:val="24"/>
        </w:rPr>
        <w:t>Key Outcome Measures for the Dykes Evaluation</w:t>
      </w:r>
    </w:p>
    <w:p w14:paraId="64C6985E" w14:textId="2E713050" w:rsidR="004C69A6" w:rsidRDefault="004C69A6" w:rsidP="004C69A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Food Security (FIES)</w:t>
      </w:r>
      <w:r w:rsidR="005048F0">
        <w:rPr>
          <w:rFonts w:ascii="Times New Roman" w:hAnsi="Times New Roman" w:cs="Times New Roman"/>
          <w:sz w:val="24"/>
          <w:szCs w:val="24"/>
        </w:rPr>
        <w:t xml:space="preserve"> – corresponding to H1. </w:t>
      </w:r>
    </w:p>
    <w:p w14:paraId="788FF0F3" w14:textId="35A302FE" w:rsidR="004C69A6" w:rsidRDefault="004C69A6" w:rsidP="004C69A6">
      <w:pPr>
        <w:pStyle w:val="ListParagraph"/>
        <w:numPr>
          <w:ilvl w:val="0"/>
          <w:numId w:val="10"/>
        </w:numPr>
        <w:rPr>
          <w:rFonts w:ascii="Times New Roman" w:hAnsi="Times New Roman" w:cs="Times New Roman"/>
          <w:sz w:val="24"/>
          <w:szCs w:val="24"/>
        </w:rPr>
      </w:pPr>
      <w:r w:rsidRPr="008703E5">
        <w:rPr>
          <w:rFonts w:ascii="Times New Roman" w:hAnsi="Times New Roman" w:cs="Times New Roman"/>
          <w:sz w:val="24"/>
          <w:szCs w:val="24"/>
        </w:rPr>
        <w:t>Self-reported flood shocks</w:t>
      </w:r>
      <w:r w:rsidR="005048F0">
        <w:rPr>
          <w:rFonts w:ascii="Times New Roman" w:hAnsi="Times New Roman" w:cs="Times New Roman"/>
          <w:sz w:val="24"/>
          <w:szCs w:val="24"/>
        </w:rPr>
        <w:t xml:space="preserve"> – corresponding to H2. </w:t>
      </w:r>
    </w:p>
    <w:p w14:paraId="485CB4D9" w14:textId="46D07312" w:rsidR="004C69A6" w:rsidRDefault="004C69A6" w:rsidP="004C69A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Land under cultivation</w:t>
      </w:r>
      <w:r w:rsidR="005048F0">
        <w:rPr>
          <w:rFonts w:ascii="Times New Roman" w:hAnsi="Times New Roman" w:cs="Times New Roman"/>
          <w:sz w:val="24"/>
          <w:szCs w:val="24"/>
        </w:rPr>
        <w:t xml:space="preserve"> – corresponding to H3. </w:t>
      </w:r>
    </w:p>
    <w:p w14:paraId="50D129CB" w14:textId="42A423DB" w:rsidR="004C69A6" w:rsidRDefault="004C69A6" w:rsidP="004C69A6">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Investment in H</w:t>
      </w:r>
      <w:r w:rsidR="005048F0">
        <w:rPr>
          <w:rFonts w:ascii="Times New Roman" w:hAnsi="Times New Roman" w:cs="Times New Roman"/>
          <w:sz w:val="24"/>
          <w:szCs w:val="24"/>
        </w:rPr>
        <w:t xml:space="preserve">VCs - corresponding to H3. </w:t>
      </w:r>
    </w:p>
    <w:p w14:paraId="42EEEEB4" w14:textId="5F4724C6" w:rsidR="005048F0" w:rsidRPr="00615E5C" w:rsidRDefault="00AF1D3D" w:rsidP="005048F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R</w:t>
      </w:r>
      <w:r w:rsidR="005048F0">
        <w:rPr>
          <w:rFonts w:ascii="Times New Roman" w:hAnsi="Times New Roman" w:cs="Times New Roman"/>
          <w:sz w:val="24"/>
          <w:szCs w:val="24"/>
        </w:rPr>
        <w:t xml:space="preserve">evenue per decimal - corresponding to H3. </w:t>
      </w:r>
      <w:r w:rsidR="00615E5C" w:rsidRPr="00615E5C">
        <w:rPr>
          <w:rFonts w:ascii="Times New Roman" w:hAnsi="Times New Roman" w:cs="Times New Roman"/>
          <w:sz w:val="24"/>
          <w:szCs w:val="24"/>
        </w:rPr>
        <w:t xml:space="preserve"> </w:t>
      </w:r>
      <w:r w:rsidR="00C768EC" w:rsidRPr="00615E5C">
        <w:rPr>
          <w:rFonts w:ascii="Times New Roman" w:hAnsi="Times New Roman" w:cs="Times New Roman"/>
          <w:sz w:val="24"/>
          <w:szCs w:val="24"/>
        </w:rPr>
        <w:t xml:space="preserve">   </w:t>
      </w:r>
    </w:p>
    <w:p w14:paraId="5C3C2935" w14:textId="0BBE6EDC" w:rsidR="00F86C42" w:rsidRPr="00A864A0" w:rsidRDefault="00626519" w:rsidP="00A864A0">
      <w:pPr>
        <w:pStyle w:val="Heading2"/>
      </w:pPr>
      <w:r>
        <w:t xml:space="preserve">2.2 </w:t>
      </w:r>
      <w:r w:rsidR="00F86C42">
        <w:t xml:space="preserve">Hypotheses Regarding </w:t>
      </w:r>
      <w:r w:rsidR="004E0FD4">
        <w:t>Canals &amp; Buried Pipes</w:t>
      </w:r>
    </w:p>
    <w:p w14:paraId="1837F061" w14:textId="77777777" w:rsidR="005048F0" w:rsidRDefault="00F86C42" w:rsidP="00F86C42">
      <w:pPr>
        <w:rPr>
          <w:rFonts w:ascii="Times New Roman" w:hAnsi="Times New Roman" w:cs="Times New Roman"/>
          <w:sz w:val="24"/>
          <w:szCs w:val="24"/>
        </w:rPr>
      </w:pPr>
      <w:r>
        <w:rPr>
          <w:rFonts w:ascii="Times New Roman" w:hAnsi="Times New Roman" w:cs="Times New Roman"/>
          <w:sz w:val="24"/>
          <w:szCs w:val="24"/>
        </w:rPr>
        <w:t>H</w:t>
      </w:r>
      <w:r w:rsidR="00A864A0">
        <w:rPr>
          <w:rFonts w:ascii="Times New Roman" w:hAnsi="Times New Roman" w:cs="Times New Roman"/>
          <w:sz w:val="24"/>
          <w:szCs w:val="24"/>
        </w:rPr>
        <w:t>1</w:t>
      </w:r>
      <w:r>
        <w:rPr>
          <w:rFonts w:ascii="Times New Roman" w:hAnsi="Times New Roman" w:cs="Times New Roman"/>
          <w:sz w:val="24"/>
          <w:szCs w:val="24"/>
        </w:rPr>
        <w:t xml:space="preserve">: </w:t>
      </w:r>
      <w:r w:rsidR="005048F0">
        <w:rPr>
          <w:rFonts w:ascii="Times New Roman" w:hAnsi="Times New Roman" w:cs="Times New Roman"/>
          <w:sz w:val="24"/>
          <w:szCs w:val="24"/>
        </w:rPr>
        <w:t xml:space="preserve">Beneficiary households will have greater resilience and food security.  </w:t>
      </w:r>
    </w:p>
    <w:p w14:paraId="32277DB9" w14:textId="688B3ACD" w:rsidR="00AC33C1" w:rsidRDefault="00AC33C1" w:rsidP="00F86C42">
      <w:pPr>
        <w:rPr>
          <w:rFonts w:ascii="Times New Roman" w:hAnsi="Times New Roman" w:cs="Times New Roman"/>
          <w:sz w:val="24"/>
          <w:szCs w:val="24"/>
        </w:rPr>
      </w:pPr>
      <w:r>
        <w:rPr>
          <w:rFonts w:ascii="Times New Roman" w:hAnsi="Times New Roman" w:cs="Times New Roman"/>
          <w:sz w:val="24"/>
          <w:szCs w:val="24"/>
        </w:rPr>
        <w:t xml:space="preserve">H2: Greater water availability, especially in the drier Rabi season, will allow for greater agricultural land use especially in Rabi season for beneficiary households as compared to the comparison group.  </w:t>
      </w:r>
    </w:p>
    <w:p w14:paraId="48EB973B" w14:textId="183F7147" w:rsidR="000B511F" w:rsidRDefault="005048F0" w:rsidP="00F86C42">
      <w:pPr>
        <w:rPr>
          <w:rFonts w:ascii="Times New Roman" w:hAnsi="Times New Roman" w:cs="Times New Roman"/>
          <w:sz w:val="24"/>
          <w:szCs w:val="24"/>
        </w:rPr>
      </w:pPr>
      <w:r>
        <w:rPr>
          <w:rFonts w:ascii="Times New Roman" w:hAnsi="Times New Roman" w:cs="Times New Roman"/>
          <w:sz w:val="24"/>
          <w:szCs w:val="24"/>
        </w:rPr>
        <w:t>H</w:t>
      </w:r>
      <w:r w:rsidR="00AC33C1">
        <w:rPr>
          <w:rFonts w:ascii="Times New Roman" w:hAnsi="Times New Roman" w:cs="Times New Roman"/>
          <w:sz w:val="24"/>
          <w:szCs w:val="24"/>
        </w:rPr>
        <w:t>3</w:t>
      </w:r>
      <w:r>
        <w:rPr>
          <w:rFonts w:ascii="Times New Roman" w:hAnsi="Times New Roman" w:cs="Times New Roman"/>
          <w:sz w:val="24"/>
          <w:szCs w:val="24"/>
        </w:rPr>
        <w:t>: Beneficiary households will have g</w:t>
      </w:r>
      <w:r w:rsidR="0002590C">
        <w:rPr>
          <w:rFonts w:ascii="Times New Roman" w:hAnsi="Times New Roman" w:cs="Times New Roman"/>
          <w:sz w:val="24"/>
          <w:szCs w:val="24"/>
        </w:rPr>
        <w:t>reater water availability</w:t>
      </w:r>
      <w:r>
        <w:rPr>
          <w:rFonts w:ascii="Times New Roman" w:hAnsi="Times New Roman" w:cs="Times New Roman"/>
          <w:sz w:val="24"/>
          <w:szCs w:val="24"/>
        </w:rPr>
        <w:t>, which</w:t>
      </w:r>
      <w:r w:rsidR="0002590C">
        <w:rPr>
          <w:rFonts w:ascii="Times New Roman" w:hAnsi="Times New Roman" w:cs="Times New Roman"/>
          <w:sz w:val="24"/>
          <w:szCs w:val="24"/>
        </w:rPr>
        <w:t xml:space="preserve"> will allow for </w:t>
      </w:r>
      <w:r w:rsidR="00F86C42">
        <w:rPr>
          <w:rFonts w:ascii="Times New Roman" w:hAnsi="Times New Roman" w:cs="Times New Roman"/>
          <w:sz w:val="24"/>
          <w:szCs w:val="24"/>
        </w:rPr>
        <w:t>agricultural diversification</w:t>
      </w:r>
      <w:r>
        <w:rPr>
          <w:rFonts w:ascii="Times New Roman" w:hAnsi="Times New Roman" w:cs="Times New Roman"/>
          <w:sz w:val="24"/>
          <w:szCs w:val="24"/>
        </w:rPr>
        <w:t>,</w:t>
      </w:r>
      <w:r w:rsidR="00F86C42">
        <w:rPr>
          <w:rFonts w:ascii="Times New Roman" w:hAnsi="Times New Roman" w:cs="Times New Roman"/>
          <w:sz w:val="24"/>
          <w:szCs w:val="24"/>
        </w:rPr>
        <w:t xml:space="preserve"> high-value crop production</w:t>
      </w:r>
      <w:r>
        <w:rPr>
          <w:rFonts w:ascii="Times New Roman" w:hAnsi="Times New Roman" w:cs="Times New Roman"/>
          <w:sz w:val="24"/>
          <w:szCs w:val="24"/>
        </w:rPr>
        <w:t>, and increased farm production</w:t>
      </w:r>
      <w:r w:rsidR="00F86C42">
        <w:rPr>
          <w:rFonts w:ascii="Times New Roman" w:hAnsi="Times New Roman" w:cs="Times New Roman"/>
          <w:sz w:val="24"/>
          <w:szCs w:val="24"/>
        </w:rPr>
        <w:t>.</w:t>
      </w:r>
    </w:p>
    <w:p w14:paraId="30B477D7" w14:textId="22515FFE" w:rsidR="00930E10" w:rsidRDefault="000B511F" w:rsidP="00CE41EF">
      <w:pPr>
        <w:rPr>
          <w:rFonts w:ascii="Times New Roman" w:hAnsi="Times New Roman" w:cs="Times New Roman"/>
          <w:sz w:val="24"/>
          <w:szCs w:val="24"/>
        </w:rPr>
      </w:pPr>
      <w:r>
        <w:rPr>
          <w:rFonts w:ascii="Times New Roman" w:hAnsi="Times New Roman" w:cs="Times New Roman"/>
          <w:sz w:val="24"/>
          <w:szCs w:val="24"/>
        </w:rPr>
        <w:t>H</w:t>
      </w:r>
      <w:r w:rsidR="00AC33C1">
        <w:rPr>
          <w:rFonts w:ascii="Times New Roman" w:hAnsi="Times New Roman" w:cs="Times New Roman"/>
          <w:sz w:val="24"/>
          <w:szCs w:val="24"/>
        </w:rPr>
        <w:t>4</w:t>
      </w:r>
      <w:r>
        <w:rPr>
          <w:rFonts w:ascii="Times New Roman" w:hAnsi="Times New Roman" w:cs="Times New Roman"/>
          <w:sz w:val="24"/>
          <w:szCs w:val="24"/>
        </w:rPr>
        <w:t xml:space="preserve">: </w:t>
      </w:r>
      <w:r w:rsidR="00AC33C1">
        <w:rPr>
          <w:rFonts w:ascii="Times New Roman" w:hAnsi="Times New Roman" w:cs="Times New Roman"/>
          <w:sz w:val="24"/>
          <w:szCs w:val="24"/>
        </w:rPr>
        <w:t xml:space="preserve">Beneficiary households will have greater input use in terms of fertilizers and pesticides as they practice high-value agriculture. </w:t>
      </w:r>
      <w:r w:rsidR="00041CA5">
        <w:rPr>
          <w:rFonts w:ascii="Times New Roman" w:hAnsi="Times New Roman" w:cs="Times New Roman"/>
          <w:sz w:val="24"/>
          <w:szCs w:val="24"/>
        </w:rPr>
        <w:t xml:space="preserve"> </w:t>
      </w:r>
      <w:r w:rsidR="00F86C42">
        <w:rPr>
          <w:rFonts w:ascii="Times New Roman" w:hAnsi="Times New Roman" w:cs="Times New Roman"/>
          <w:sz w:val="24"/>
          <w:szCs w:val="24"/>
        </w:rPr>
        <w:t xml:space="preserve"> </w:t>
      </w:r>
    </w:p>
    <w:p w14:paraId="597F7EB7" w14:textId="3B81EE13" w:rsidR="00AC33C1" w:rsidRDefault="00AC33C1" w:rsidP="00CE41EF">
      <w:pPr>
        <w:rPr>
          <w:rFonts w:ascii="Times New Roman" w:hAnsi="Times New Roman" w:cs="Times New Roman"/>
          <w:b/>
          <w:bCs/>
          <w:sz w:val="24"/>
          <w:szCs w:val="24"/>
        </w:rPr>
      </w:pPr>
      <w:r w:rsidRPr="00AC33C1">
        <w:rPr>
          <w:rFonts w:ascii="Times New Roman" w:hAnsi="Times New Roman" w:cs="Times New Roman"/>
          <w:b/>
          <w:bCs/>
          <w:sz w:val="24"/>
          <w:szCs w:val="24"/>
        </w:rPr>
        <w:t>Key Outcome Measures for the Canals and Buried Pipe Evaluation</w:t>
      </w:r>
    </w:p>
    <w:p w14:paraId="4161A43D" w14:textId="237CFC52" w:rsidR="00AC33C1" w:rsidRPr="00AC33C1" w:rsidRDefault="00AC33C1"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Food Security (FIES) – corresponding to H1. </w:t>
      </w:r>
      <w:r w:rsidRPr="00AC33C1">
        <w:rPr>
          <w:rFonts w:ascii="Times New Roman" w:hAnsi="Times New Roman" w:cs="Times New Roman"/>
          <w:sz w:val="24"/>
          <w:szCs w:val="24"/>
        </w:rPr>
        <w:t xml:space="preserve"> </w:t>
      </w:r>
    </w:p>
    <w:p w14:paraId="59E69299" w14:textId="48103CAB" w:rsidR="00AC33C1" w:rsidRDefault="00AC33C1"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Land under cultivation – corresponding to H2. </w:t>
      </w:r>
    </w:p>
    <w:p w14:paraId="0869D3F9" w14:textId="407F68CF" w:rsidR="00AC33C1" w:rsidRDefault="006E7850"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Number</w:t>
      </w:r>
      <w:r w:rsidR="00AC33C1">
        <w:rPr>
          <w:rFonts w:ascii="Times New Roman" w:hAnsi="Times New Roman" w:cs="Times New Roman"/>
          <w:sz w:val="24"/>
          <w:szCs w:val="24"/>
        </w:rPr>
        <w:t xml:space="preserve"> HVCs</w:t>
      </w:r>
      <w:r>
        <w:rPr>
          <w:rFonts w:ascii="Times New Roman" w:hAnsi="Times New Roman" w:cs="Times New Roman"/>
          <w:sz w:val="24"/>
          <w:szCs w:val="24"/>
        </w:rPr>
        <w:t xml:space="preserve"> produced</w:t>
      </w:r>
      <w:r w:rsidR="00AC33C1">
        <w:rPr>
          <w:rFonts w:ascii="Times New Roman" w:hAnsi="Times New Roman" w:cs="Times New Roman"/>
          <w:sz w:val="24"/>
          <w:szCs w:val="24"/>
        </w:rPr>
        <w:t xml:space="preserve"> - corresponding to H3.</w:t>
      </w:r>
    </w:p>
    <w:p w14:paraId="7D92DAA2" w14:textId="5BD90E54" w:rsidR="00AC33C1" w:rsidRDefault="00AC33C1"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Simpson’s index of agricultural diversification – corresponding to H3 </w:t>
      </w:r>
    </w:p>
    <w:p w14:paraId="05DA7E01" w14:textId="7F16FDA7" w:rsidR="00AC33C1" w:rsidRDefault="00AF1D3D"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Revenue</w:t>
      </w:r>
      <w:r w:rsidR="00AC33C1">
        <w:rPr>
          <w:rFonts w:ascii="Times New Roman" w:hAnsi="Times New Roman" w:cs="Times New Roman"/>
          <w:sz w:val="24"/>
          <w:szCs w:val="24"/>
        </w:rPr>
        <w:t xml:space="preserve"> per decimal - corresponding to H3. </w:t>
      </w:r>
    </w:p>
    <w:p w14:paraId="53ACF10A" w14:textId="1F91924B" w:rsidR="00AC33C1" w:rsidRPr="005048F0" w:rsidRDefault="00AC33C1" w:rsidP="00AC33C1">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Expenditure on agricultural inputs – corresponding to H4. </w:t>
      </w:r>
    </w:p>
    <w:p w14:paraId="78D83729" w14:textId="020E0E64" w:rsidR="00AC33C1" w:rsidRPr="00AC33C1" w:rsidRDefault="00DE4256" w:rsidP="00CE41EF">
      <w:pPr>
        <w:rPr>
          <w:rFonts w:ascii="Times New Roman" w:hAnsi="Times New Roman" w:cs="Times New Roman"/>
          <w:b/>
          <w:bCs/>
          <w:sz w:val="24"/>
          <w:szCs w:val="24"/>
        </w:rPr>
      </w:pPr>
      <w:r>
        <w:rPr>
          <w:rFonts w:ascii="Times New Roman" w:hAnsi="Times New Roman" w:cs="Times New Roman"/>
          <w:sz w:val="24"/>
          <w:szCs w:val="24"/>
        </w:rPr>
        <w:t>The hypotheses and</w:t>
      </w:r>
      <w:r w:rsidR="00615E5C">
        <w:rPr>
          <w:rFonts w:ascii="Times New Roman" w:hAnsi="Times New Roman" w:cs="Times New Roman"/>
          <w:sz w:val="24"/>
          <w:szCs w:val="24"/>
        </w:rPr>
        <w:t xml:space="preserve"> outcomes </w:t>
      </w:r>
      <w:r>
        <w:rPr>
          <w:rFonts w:ascii="Times New Roman" w:hAnsi="Times New Roman" w:cs="Times New Roman"/>
          <w:sz w:val="24"/>
          <w:szCs w:val="24"/>
        </w:rPr>
        <w:t xml:space="preserve">are developed </w:t>
      </w:r>
      <w:proofErr w:type="gramStart"/>
      <w:r>
        <w:rPr>
          <w:rFonts w:ascii="Times New Roman" w:hAnsi="Times New Roman" w:cs="Times New Roman"/>
          <w:sz w:val="24"/>
          <w:szCs w:val="24"/>
        </w:rPr>
        <w:t xml:space="preserve">in light </w:t>
      </w:r>
      <w:r w:rsidR="00615E5C">
        <w:rPr>
          <w:rFonts w:ascii="Times New Roman" w:hAnsi="Times New Roman" w:cs="Times New Roman"/>
          <w:sz w:val="24"/>
          <w:szCs w:val="24"/>
        </w:rPr>
        <w:t>of</w:t>
      </w:r>
      <w:proofErr w:type="gramEnd"/>
      <w:r w:rsidR="00615E5C">
        <w:rPr>
          <w:rFonts w:ascii="Times New Roman" w:hAnsi="Times New Roman" w:cs="Times New Roman"/>
          <w:sz w:val="24"/>
          <w:szCs w:val="24"/>
        </w:rPr>
        <w:t xml:space="preserve"> the previous literature on the impacts of irrigation technologies on agricultural and household welfare outcomes. In the context of Rwanda, irrigation technologies allowed farmers to practice more high-value agricultural production (Jones et al. 2022). Similarly, Duflo and Pande (2007) show that better availability of water because of dam construction resulted in greater agricultural production and reduction in vulnerability to rainfall shocks in rural India. Several studies show that surface water irrigation schemes have a positive impact on agricultural productivity (see, e.g., Strobl and Strobl (2011), Zaveri et al. (2016)). </w:t>
      </w:r>
      <w:r>
        <w:rPr>
          <w:rFonts w:ascii="Times New Roman" w:hAnsi="Times New Roman" w:cs="Times New Roman"/>
          <w:sz w:val="24"/>
          <w:szCs w:val="24"/>
        </w:rPr>
        <w:t xml:space="preserve">Bravo-Ureta et al. (2020) find increases in the output of production (through greater agricultural land-use) but not in the technical efficiency of production as inputs </w:t>
      </w:r>
      <w:r w:rsidR="00A07FF2">
        <w:rPr>
          <w:rFonts w:ascii="Times New Roman" w:hAnsi="Times New Roman" w:cs="Times New Roman"/>
          <w:sz w:val="24"/>
          <w:szCs w:val="24"/>
        </w:rPr>
        <w:t>factors do not change with the introduction of</w:t>
      </w:r>
      <w:r>
        <w:rPr>
          <w:rFonts w:ascii="Times New Roman" w:hAnsi="Times New Roman" w:cs="Times New Roman"/>
          <w:sz w:val="24"/>
          <w:szCs w:val="24"/>
        </w:rPr>
        <w:t xml:space="preserve"> a canal rehabilitation project in Philippines. Based on these papers, we</w:t>
      </w:r>
      <w:r w:rsidR="00615E5C">
        <w:rPr>
          <w:rFonts w:ascii="Times New Roman" w:hAnsi="Times New Roman" w:cs="Times New Roman"/>
          <w:sz w:val="24"/>
          <w:szCs w:val="24"/>
        </w:rPr>
        <w:t xml:space="preserve"> </w:t>
      </w:r>
      <w:r w:rsidR="00926DBA">
        <w:rPr>
          <w:rFonts w:ascii="Times New Roman" w:hAnsi="Times New Roman" w:cs="Times New Roman"/>
          <w:sz w:val="24"/>
          <w:szCs w:val="24"/>
        </w:rPr>
        <w:t xml:space="preserve">hypothesize </w:t>
      </w:r>
      <w:r w:rsidR="00615E5C">
        <w:rPr>
          <w:rFonts w:ascii="Times New Roman" w:hAnsi="Times New Roman" w:cs="Times New Roman"/>
          <w:sz w:val="24"/>
          <w:szCs w:val="24"/>
        </w:rPr>
        <w:t xml:space="preserve">that better water availability through irrigation infrastructures will increase high-value crop production, increase agricultural production through increased agricultural land-use and yield, and reduce the vulnerability to </w:t>
      </w:r>
      <w:r w:rsidR="00A07FF2">
        <w:rPr>
          <w:rFonts w:ascii="Times New Roman" w:hAnsi="Times New Roman" w:cs="Times New Roman"/>
          <w:sz w:val="24"/>
          <w:szCs w:val="24"/>
        </w:rPr>
        <w:t>‘</w:t>
      </w:r>
      <w:r w:rsidR="00615E5C">
        <w:rPr>
          <w:rFonts w:ascii="Times New Roman" w:hAnsi="Times New Roman" w:cs="Times New Roman"/>
          <w:sz w:val="24"/>
          <w:szCs w:val="24"/>
        </w:rPr>
        <w:t>less-than-</w:t>
      </w:r>
      <w:r w:rsidR="00A07FF2">
        <w:rPr>
          <w:rFonts w:ascii="Times New Roman" w:hAnsi="Times New Roman" w:cs="Times New Roman"/>
          <w:sz w:val="24"/>
          <w:szCs w:val="24"/>
        </w:rPr>
        <w:t xml:space="preserve">normal’ (in the case of canals and buried pipes) and ‘greater-than-normal’ (in the case of </w:t>
      </w:r>
      <w:proofErr w:type="gramStart"/>
      <w:r w:rsidR="00A07FF2">
        <w:rPr>
          <w:rFonts w:ascii="Times New Roman" w:hAnsi="Times New Roman" w:cs="Times New Roman"/>
          <w:sz w:val="24"/>
          <w:szCs w:val="24"/>
        </w:rPr>
        <w:t>dykes</w:t>
      </w:r>
      <w:proofErr w:type="gramEnd"/>
      <w:r w:rsidR="00A07FF2">
        <w:rPr>
          <w:rFonts w:ascii="Times New Roman" w:hAnsi="Times New Roman" w:cs="Times New Roman"/>
          <w:sz w:val="24"/>
          <w:szCs w:val="24"/>
        </w:rPr>
        <w:t>)</w:t>
      </w:r>
      <w:r w:rsidR="00615E5C">
        <w:rPr>
          <w:rFonts w:ascii="Times New Roman" w:hAnsi="Times New Roman" w:cs="Times New Roman"/>
          <w:sz w:val="24"/>
          <w:szCs w:val="24"/>
        </w:rPr>
        <w:t xml:space="preserve"> rainfall</w:t>
      </w:r>
      <w:r w:rsidR="00A07FF2">
        <w:rPr>
          <w:rFonts w:ascii="Times New Roman" w:hAnsi="Times New Roman" w:cs="Times New Roman"/>
          <w:sz w:val="24"/>
          <w:szCs w:val="24"/>
        </w:rPr>
        <w:t xml:space="preserve"> </w:t>
      </w:r>
      <w:r w:rsidR="00926DBA">
        <w:rPr>
          <w:rFonts w:ascii="Times New Roman" w:hAnsi="Times New Roman" w:cs="Times New Roman"/>
          <w:sz w:val="24"/>
          <w:szCs w:val="24"/>
        </w:rPr>
        <w:t>in Bangladesh</w:t>
      </w:r>
      <w:r w:rsidR="00615E5C">
        <w:rPr>
          <w:rFonts w:ascii="Times New Roman" w:hAnsi="Times New Roman" w:cs="Times New Roman"/>
          <w:sz w:val="24"/>
          <w:szCs w:val="24"/>
        </w:rPr>
        <w:t>.</w:t>
      </w:r>
      <w:r w:rsidR="00926DBA">
        <w:rPr>
          <w:rFonts w:ascii="Times New Roman" w:hAnsi="Times New Roman" w:cs="Times New Roman"/>
          <w:sz w:val="24"/>
          <w:szCs w:val="24"/>
        </w:rPr>
        <w:t xml:space="preserve"> Furthermore, because of increases in production and reduction in vulnerability to rainfall shocks, the food security of the beneficiaries will be strengthened.   </w:t>
      </w:r>
      <w:r>
        <w:rPr>
          <w:rFonts w:ascii="Times New Roman" w:hAnsi="Times New Roman" w:cs="Times New Roman"/>
          <w:sz w:val="24"/>
          <w:szCs w:val="24"/>
        </w:rPr>
        <w:t xml:space="preserve"> </w:t>
      </w:r>
    </w:p>
    <w:p w14:paraId="0E7156F1" w14:textId="6586DA4B" w:rsidR="002F54B3" w:rsidRPr="00E84D5A" w:rsidRDefault="00930E10" w:rsidP="00760934">
      <w:pPr>
        <w:pStyle w:val="Heading1"/>
        <w:numPr>
          <w:ilvl w:val="0"/>
          <w:numId w:val="6"/>
        </w:numPr>
      </w:pPr>
      <w:r>
        <w:lastRenderedPageBreak/>
        <w:t>Study</w:t>
      </w:r>
      <w:r w:rsidR="002F54B3" w:rsidRPr="00E84D5A">
        <w:t xml:space="preserve"> Design</w:t>
      </w:r>
      <w:r>
        <w:t xml:space="preserve"> and Power Calculations</w:t>
      </w:r>
    </w:p>
    <w:p w14:paraId="37DD4CD7" w14:textId="11182AEB" w:rsidR="003A0EBC" w:rsidRPr="002F54B3" w:rsidRDefault="002F54B3" w:rsidP="00CE41EF">
      <w:pPr>
        <w:rPr>
          <w:rFonts w:ascii="Times New Roman" w:hAnsi="Times New Roman" w:cs="Times New Roman"/>
          <w:sz w:val="24"/>
          <w:szCs w:val="24"/>
        </w:rPr>
      </w:pPr>
      <w:r>
        <w:rPr>
          <w:rFonts w:ascii="Times New Roman" w:hAnsi="Times New Roman" w:cs="Times New Roman"/>
          <w:sz w:val="24"/>
          <w:szCs w:val="24"/>
        </w:rPr>
        <w:t xml:space="preserve">To </w:t>
      </w:r>
      <w:r w:rsidR="00930E10">
        <w:rPr>
          <w:rFonts w:ascii="Times New Roman" w:hAnsi="Times New Roman" w:cs="Times New Roman"/>
          <w:sz w:val="24"/>
          <w:szCs w:val="24"/>
        </w:rPr>
        <w:t>evaluate the impacts of SACP infrastructural interventions,</w:t>
      </w:r>
      <w:r>
        <w:rPr>
          <w:rFonts w:ascii="Times New Roman" w:hAnsi="Times New Roman" w:cs="Times New Roman"/>
          <w:sz w:val="24"/>
          <w:szCs w:val="24"/>
        </w:rPr>
        <w:t xml:space="preserve"> the impact evaluation is designed in two parts depending on the </w:t>
      </w:r>
      <w:r w:rsidR="007E6FDF">
        <w:rPr>
          <w:rFonts w:ascii="Times New Roman" w:hAnsi="Times New Roman" w:cs="Times New Roman"/>
          <w:sz w:val="24"/>
          <w:szCs w:val="24"/>
        </w:rPr>
        <w:t xml:space="preserve">functionality of the structures involved in the study. </w:t>
      </w:r>
      <w:r>
        <w:rPr>
          <w:rFonts w:ascii="Times New Roman" w:hAnsi="Times New Roman" w:cs="Times New Roman"/>
          <w:sz w:val="24"/>
          <w:szCs w:val="24"/>
        </w:rPr>
        <w:t xml:space="preserve"> </w:t>
      </w:r>
    </w:p>
    <w:p w14:paraId="23848483" w14:textId="2F95F63A" w:rsidR="002F54B3" w:rsidRDefault="00930E10" w:rsidP="00433732">
      <w:pPr>
        <w:pStyle w:val="Heading2"/>
      </w:pPr>
      <w:r>
        <w:t>3</w:t>
      </w:r>
      <w:r w:rsidR="003A0EBC">
        <w:t xml:space="preserve">.1 </w:t>
      </w:r>
      <w:r w:rsidR="007E6FDF" w:rsidRPr="006C1665">
        <w:t xml:space="preserve">Part (a): The impact of Dykes on </w:t>
      </w:r>
      <w:r w:rsidR="00335A05" w:rsidRPr="006C1665">
        <w:t>Household</w:t>
      </w:r>
      <w:r w:rsidR="00452DEB" w:rsidRPr="006C1665">
        <w:t>s’</w:t>
      </w:r>
      <w:r w:rsidR="00335A05" w:rsidRPr="006C1665">
        <w:t xml:space="preserve"> Socioe</w:t>
      </w:r>
      <w:r w:rsidR="007E6FDF" w:rsidRPr="006C1665">
        <w:t>conomic Outcomes</w:t>
      </w:r>
    </w:p>
    <w:p w14:paraId="2A38FBD1" w14:textId="08EA0120" w:rsidR="009B57FF" w:rsidRPr="005E4E80" w:rsidRDefault="009B57FF" w:rsidP="003A0EBC">
      <w:pPr>
        <w:rPr>
          <w:rFonts w:ascii="Times New Roman" w:hAnsi="Times New Roman" w:cs="Times New Roman"/>
          <w:sz w:val="24"/>
          <w:szCs w:val="24"/>
        </w:rPr>
      </w:pPr>
      <w:r w:rsidRPr="005E4E80">
        <w:rPr>
          <w:rFonts w:ascii="Times New Roman" w:hAnsi="Times New Roman" w:cs="Times New Roman"/>
          <w:sz w:val="24"/>
          <w:szCs w:val="24"/>
        </w:rPr>
        <w:t xml:space="preserve">To estimate the impact of dykes on </w:t>
      </w:r>
      <w:r w:rsidR="006859DE" w:rsidRPr="005E4E80">
        <w:rPr>
          <w:rFonts w:ascii="Times New Roman" w:hAnsi="Times New Roman" w:cs="Times New Roman"/>
          <w:sz w:val="24"/>
          <w:szCs w:val="24"/>
        </w:rPr>
        <w:t xml:space="preserve">household socioeconomic outcomes, we develop an impact evaluation design that relies on a treatment group, a transition group, and a </w:t>
      </w:r>
      <w:r w:rsidR="005E4E80" w:rsidRPr="005E4E80">
        <w:rPr>
          <w:rFonts w:ascii="Times New Roman" w:hAnsi="Times New Roman" w:cs="Times New Roman"/>
          <w:sz w:val="24"/>
          <w:szCs w:val="24"/>
        </w:rPr>
        <w:t xml:space="preserve">comparison group. The definitions of these groups are provided below. </w:t>
      </w:r>
    </w:p>
    <w:p w14:paraId="0025F259" w14:textId="57EDA3F6" w:rsidR="00CE41EF" w:rsidRDefault="00CE41EF" w:rsidP="00CE41EF">
      <w:pPr>
        <w:rPr>
          <w:rFonts w:ascii="Times New Roman" w:hAnsi="Times New Roman" w:cs="Times New Roman"/>
          <w:sz w:val="24"/>
          <w:szCs w:val="24"/>
        </w:rPr>
      </w:pPr>
      <w:r w:rsidRPr="00557B56">
        <w:rPr>
          <w:rFonts w:ascii="Times New Roman" w:hAnsi="Times New Roman" w:cs="Times New Roman"/>
          <w:i/>
          <w:iCs/>
          <w:sz w:val="24"/>
          <w:szCs w:val="24"/>
        </w:rPr>
        <w:t>Co</w:t>
      </w:r>
      <w:r>
        <w:rPr>
          <w:rFonts w:ascii="Times New Roman" w:hAnsi="Times New Roman" w:cs="Times New Roman"/>
          <w:i/>
          <w:iCs/>
          <w:sz w:val="24"/>
          <w:szCs w:val="24"/>
        </w:rPr>
        <w:t>mparison</w:t>
      </w:r>
      <w:r w:rsidRPr="00557B56">
        <w:rPr>
          <w:rFonts w:ascii="Times New Roman" w:hAnsi="Times New Roman" w:cs="Times New Roman"/>
          <w:i/>
          <w:iCs/>
          <w:sz w:val="24"/>
          <w:szCs w:val="24"/>
        </w:rPr>
        <w:t xml:space="preserve"> group</w:t>
      </w:r>
      <w:r w:rsidR="00CD6337">
        <w:rPr>
          <w:rFonts w:ascii="Times New Roman" w:hAnsi="Times New Roman" w:cs="Times New Roman"/>
          <w:i/>
          <w:iCs/>
          <w:sz w:val="24"/>
          <w:szCs w:val="24"/>
        </w:rPr>
        <w:t xml:space="preserve"> (C</w:t>
      </w:r>
      <w:r w:rsidR="00F87655">
        <w:rPr>
          <w:rFonts w:ascii="Times New Roman" w:hAnsi="Times New Roman" w:cs="Times New Roman"/>
          <w:i/>
          <w:iCs/>
          <w:sz w:val="24"/>
          <w:szCs w:val="24"/>
        </w:rPr>
        <w:t>)</w:t>
      </w:r>
      <w:r w:rsidRPr="00557B56">
        <w:rPr>
          <w:rFonts w:ascii="Times New Roman" w:hAnsi="Times New Roman" w:cs="Times New Roman"/>
          <w:sz w:val="24"/>
          <w:szCs w:val="24"/>
        </w:rPr>
        <w:t>:</w:t>
      </w:r>
      <w:r w:rsidR="007E6FDF">
        <w:rPr>
          <w:rFonts w:ascii="Times New Roman" w:hAnsi="Times New Roman" w:cs="Times New Roman"/>
          <w:sz w:val="24"/>
          <w:szCs w:val="24"/>
        </w:rPr>
        <w:t xml:space="preserve"> </w:t>
      </w:r>
      <w:r w:rsidR="00D344BA">
        <w:rPr>
          <w:rFonts w:ascii="Times New Roman" w:hAnsi="Times New Roman" w:cs="Times New Roman"/>
          <w:sz w:val="24"/>
          <w:szCs w:val="24"/>
        </w:rPr>
        <w:t xml:space="preserve">Households </w:t>
      </w:r>
      <w:r w:rsidR="00E84D5A">
        <w:rPr>
          <w:rFonts w:ascii="Times New Roman" w:hAnsi="Times New Roman" w:cs="Times New Roman"/>
          <w:sz w:val="24"/>
          <w:szCs w:val="24"/>
        </w:rPr>
        <w:t>along the river</w:t>
      </w:r>
      <w:r w:rsidR="00104CB6">
        <w:rPr>
          <w:rFonts w:ascii="Times New Roman" w:hAnsi="Times New Roman" w:cs="Times New Roman"/>
          <w:sz w:val="24"/>
          <w:szCs w:val="24"/>
        </w:rPr>
        <w:t xml:space="preserve"> (within 1 km distance)</w:t>
      </w:r>
      <w:r w:rsidR="00E84D5A">
        <w:rPr>
          <w:rFonts w:ascii="Times New Roman" w:hAnsi="Times New Roman" w:cs="Times New Roman"/>
          <w:sz w:val="24"/>
          <w:szCs w:val="24"/>
        </w:rPr>
        <w:t xml:space="preserve"> where </w:t>
      </w:r>
      <w:proofErr w:type="gramStart"/>
      <w:r w:rsidR="00E84D5A">
        <w:rPr>
          <w:rFonts w:ascii="Times New Roman" w:hAnsi="Times New Roman" w:cs="Times New Roman"/>
          <w:sz w:val="24"/>
          <w:szCs w:val="24"/>
        </w:rPr>
        <w:t>dykes</w:t>
      </w:r>
      <w:proofErr w:type="gramEnd"/>
      <w:r w:rsidR="00E84D5A">
        <w:rPr>
          <w:rFonts w:ascii="Times New Roman" w:hAnsi="Times New Roman" w:cs="Times New Roman"/>
          <w:sz w:val="24"/>
          <w:szCs w:val="24"/>
        </w:rPr>
        <w:t xml:space="preserve"> will NOT be built. </w:t>
      </w:r>
    </w:p>
    <w:p w14:paraId="4ACF009F" w14:textId="5B172D8D" w:rsidR="00CE41EF" w:rsidRPr="00557B56" w:rsidRDefault="00CE41EF" w:rsidP="00CE41EF">
      <w:pPr>
        <w:rPr>
          <w:rFonts w:ascii="Times New Roman" w:hAnsi="Times New Roman" w:cs="Times New Roman"/>
          <w:sz w:val="24"/>
          <w:szCs w:val="24"/>
        </w:rPr>
      </w:pPr>
      <w:r w:rsidRPr="00557B56">
        <w:rPr>
          <w:rFonts w:ascii="Times New Roman" w:hAnsi="Times New Roman" w:cs="Times New Roman"/>
          <w:i/>
          <w:iCs/>
          <w:sz w:val="24"/>
          <w:szCs w:val="24"/>
        </w:rPr>
        <w:t>Tr</w:t>
      </w:r>
      <w:r w:rsidR="00D344BA">
        <w:rPr>
          <w:rFonts w:ascii="Times New Roman" w:hAnsi="Times New Roman" w:cs="Times New Roman"/>
          <w:i/>
          <w:iCs/>
          <w:sz w:val="24"/>
          <w:szCs w:val="24"/>
        </w:rPr>
        <w:t>ansition</w:t>
      </w:r>
      <w:r w:rsidRPr="00557B56">
        <w:rPr>
          <w:rFonts w:ascii="Times New Roman" w:hAnsi="Times New Roman" w:cs="Times New Roman"/>
          <w:i/>
          <w:iCs/>
          <w:sz w:val="24"/>
          <w:szCs w:val="24"/>
        </w:rPr>
        <w:t xml:space="preserve"> group</w:t>
      </w:r>
      <w:r w:rsidR="00F87655">
        <w:rPr>
          <w:rFonts w:ascii="Times New Roman" w:hAnsi="Times New Roman" w:cs="Times New Roman"/>
          <w:i/>
          <w:iCs/>
          <w:sz w:val="24"/>
          <w:szCs w:val="24"/>
        </w:rPr>
        <w:t xml:space="preserve"> (T1)</w:t>
      </w:r>
      <w:r w:rsidRPr="00557B56">
        <w:rPr>
          <w:rFonts w:ascii="Times New Roman" w:hAnsi="Times New Roman" w:cs="Times New Roman"/>
          <w:sz w:val="24"/>
          <w:szCs w:val="24"/>
        </w:rPr>
        <w:t>:</w:t>
      </w:r>
      <w:r w:rsidR="00D344BA">
        <w:rPr>
          <w:rFonts w:ascii="Times New Roman" w:hAnsi="Times New Roman" w:cs="Times New Roman"/>
          <w:sz w:val="24"/>
          <w:szCs w:val="24"/>
        </w:rPr>
        <w:t xml:space="preserve"> </w:t>
      </w:r>
      <w:r w:rsidRPr="00557B56">
        <w:rPr>
          <w:rFonts w:ascii="Times New Roman" w:hAnsi="Times New Roman" w:cs="Times New Roman"/>
          <w:sz w:val="24"/>
          <w:szCs w:val="24"/>
        </w:rPr>
        <w:t xml:space="preserve"> </w:t>
      </w:r>
      <w:r w:rsidR="00E84D5A">
        <w:rPr>
          <w:rFonts w:ascii="Times New Roman" w:hAnsi="Times New Roman" w:cs="Times New Roman"/>
          <w:sz w:val="24"/>
          <w:szCs w:val="24"/>
        </w:rPr>
        <w:t>Households along the river</w:t>
      </w:r>
      <w:r w:rsidR="00104CB6">
        <w:rPr>
          <w:rFonts w:ascii="Times New Roman" w:hAnsi="Times New Roman" w:cs="Times New Roman"/>
          <w:sz w:val="24"/>
          <w:szCs w:val="24"/>
        </w:rPr>
        <w:t xml:space="preserve"> (within 1 km distance)</w:t>
      </w:r>
      <w:r w:rsidR="00E84D5A">
        <w:rPr>
          <w:rFonts w:ascii="Times New Roman" w:hAnsi="Times New Roman" w:cs="Times New Roman"/>
          <w:sz w:val="24"/>
          <w:szCs w:val="24"/>
        </w:rPr>
        <w:t xml:space="preserve"> where </w:t>
      </w:r>
      <w:proofErr w:type="gramStart"/>
      <w:r w:rsidR="00E84D5A">
        <w:rPr>
          <w:rFonts w:ascii="Times New Roman" w:hAnsi="Times New Roman" w:cs="Times New Roman"/>
          <w:sz w:val="24"/>
          <w:szCs w:val="24"/>
        </w:rPr>
        <w:t>dykes</w:t>
      </w:r>
      <w:proofErr w:type="gramEnd"/>
      <w:r w:rsidR="00E84D5A">
        <w:rPr>
          <w:rFonts w:ascii="Times New Roman" w:hAnsi="Times New Roman" w:cs="Times New Roman"/>
          <w:sz w:val="24"/>
          <w:szCs w:val="24"/>
        </w:rPr>
        <w:t xml:space="preserve"> are yet to be built. </w:t>
      </w:r>
    </w:p>
    <w:p w14:paraId="2EDF68AE" w14:textId="1027303F" w:rsidR="00F46736" w:rsidRDefault="00CE41EF" w:rsidP="00CE41EF">
      <w:pPr>
        <w:rPr>
          <w:rFonts w:ascii="Times New Roman" w:hAnsi="Times New Roman" w:cs="Times New Roman"/>
          <w:sz w:val="24"/>
          <w:szCs w:val="24"/>
        </w:rPr>
      </w:pPr>
      <w:r w:rsidRPr="00557B56">
        <w:rPr>
          <w:rFonts w:ascii="Times New Roman" w:hAnsi="Times New Roman" w:cs="Times New Roman"/>
          <w:i/>
          <w:iCs/>
          <w:sz w:val="24"/>
          <w:szCs w:val="24"/>
        </w:rPr>
        <w:t>Treatment group</w:t>
      </w:r>
      <w:r w:rsidR="00F87655">
        <w:rPr>
          <w:rFonts w:ascii="Times New Roman" w:hAnsi="Times New Roman" w:cs="Times New Roman"/>
          <w:i/>
          <w:iCs/>
          <w:sz w:val="24"/>
          <w:szCs w:val="24"/>
        </w:rPr>
        <w:t xml:space="preserve"> (T2)</w:t>
      </w:r>
      <w:r w:rsidRPr="00557B56">
        <w:rPr>
          <w:rFonts w:ascii="Times New Roman" w:hAnsi="Times New Roman" w:cs="Times New Roman"/>
          <w:sz w:val="24"/>
          <w:szCs w:val="24"/>
        </w:rPr>
        <w:t>:</w:t>
      </w:r>
      <w:r>
        <w:rPr>
          <w:rFonts w:ascii="Times New Roman" w:hAnsi="Times New Roman" w:cs="Times New Roman"/>
          <w:sz w:val="24"/>
          <w:szCs w:val="24"/>
        </w:rPr>
        <w:t xml:space="preserve"> </w:t>
      </w:r>
      <w:r w:rsidR="00E84D5A">
        <w:rPr>
          <w:rFonts w:ascii="Times New Roman" w:hAnsi="Times New Roman" w:cs="Times New Roman"/>
          <w:sz w:val="24"/>
          <w:szCs w:val="24"/>
        </w:rPr>
        <w:t>Households along the river</w:t>
      </w:r>
      <w:r w:rsidR="00FE1E13">
        <w:rPr>
          <w:rFonts w:ascii="Times New Roman" w:hAnsi="Times New Roman" w:cs="Times New Roman"/>
          <w:sz w:val="24"/>
          <w:szCs w:val="24"/>
        </w:rPr>
        <w:t xml:space="preserve"> (within 1 km distance)</w:t>
      </w:r>
      <w:r w:rsidR="00E84D5A">
        <w:rPr>
          <w:rFonts w:ascii="Times New Roman" w:hAnsi="Times New Roman" w:cs="Times New Roman"/>
          <w:sz w:val="24"/>
          <w:szCs w:val="24"/>
        </w:rPr>
        <w:t xml:space="preserve"> where </w:t>
      </w:r>
      <w:proofErr w:type="gramStart"/>
      <w:r w:rsidR="00E84D5A">
        <w:rPr>
          <w:rFonts w:ascii="Times New Roman" w:hAnsi="Times New Roman" w:cs="Times New Roman"/>
          <w:sz w:val="24"/>
          <w:szCs w:val="24"/>
        </w:rPr>
        <w:t>dykes</w:t>
      </w:r>
      <w:proofErr w:type="gramEnd"/>
      <w:r w:rsidR="00E84D5A">
        <w:rPr>
          <w:rFonts w:ascii="Times New Roman" w:hAnsi="Times New Roman" w:cs="Times New Roman"/>
          <w:sz w:val="24"/>
          <w:szCs w:val="24"/>
        </w:rPr>
        <w:t xml:space="preserve"> are already built. </w:t>
      </w:r>
    </w:p>
    <w:p w14:paraId="5A138293" w14:textId="39DF83C3" w:rsidR="00EF1497" w:rsidRDefault="00373330" w:rsidP="00CE41EF">
      <w:pPr>
        <w:rPr>
          <w:rFonts w:ascii="Times New Roman" w:hAnsi="Times New Roman" w:cs="Times New Roman"/>
          <w:sz w:val="24"/>
          <w:szCs w:val="24"/>
        </w:rPr>
      </w:pPr>
      <w:r>
        <w:rPr>
          <w:rFonts w:ascii="Times New Roman" w:hAnsi="Times New Roman" w:cs="Times New Roman"/>
          <w:sz w:val="24"/>
          <w:szCs w:val="24"/>
        </w:rPr>
        <w:t xml:space="preserve">At </w:t>
      </w:r>
      <w:r w:rsidR="003650AB">
        <w:rPr>
          <w:rFonts w:ascii="Times New Roman" w:hAnsi="Times New Roman" w:cs="Times New Roman"/>
          <w:sz w:val="24"/>
          <w:szCs w:val="24"/>
        </w:rPr>
        <w:t xml:space="preserve">the baseline, the </w:t>
      </w:r>
      <w:r w:rsidR="005C6B85">
        <w:rPr>
          <w:rFonts w:ascii="Times New Roman" w:hAnsi="Times New Roman" w:cs="Times New Roman"/>
          <w:sz w:val="24"/>
          <w:szCs w:val="24"/>
        </w:rPr>
        <w:t>transition,</w:t>
      </w:r>
      <w:r w:rsidR="003650AB">
        <w:rPr>
          <w:rFonts w:ascii="Times New Roman" w:hAnsi="Times New Roman" w:cs="Times New Roman"/>
          <w:sz w:val="24"/>
          <w:szCs w:val="24"/>
        </w:rPr>
        <w:t xml:space="preserve"> and</w:t>
      </w:r>
      <w:r w:rsidR="005C6B85">
        <w:rPr>
          <w:rFonts w:ascii="Times New Roman" w:hAnsi="Times New Roman" w:cs="Times New Roman"/>
          <w:sz w:val="24"/>
          <w:szCs w:val="24"/>
        </w:rPr>
        <w:t xml:space="preserve"> the</w:t>
      </w:r>
      <w:r w:rsidR="003650AB">
        <w:rPr>
          <w:rFonts w:ascii="Times New Roman" w:hAnsi="Times New Roman" w:cs="Times New Roman"/>
          <w:sz w:val="24"/>
          <w:szCs w:val="24"/>
        </w:rPr>
        <w:t xml:space="preserve"> comparison </w:t>
      </w:r>
      <w:r w:rsidR="005C6B85">
        <w:rPr>
          <w:rFonts w:ascii="Times New Roman" w:hAnsi="Times New Roman" w:cs="Times New Roman"/>
          <w:sz w:val="24"/>
          <w:szCs w:val="24"/>
        </w:rPr>
        <w:t>group</w:t>
      </w:r>
      <w:r w:rsidR="00203AA3">
        <w:rPr>
          <w:rFonts w:ascii="Times New Roman" w:hAnsi="Times New Roman" w:cs="Times New Roman"/>
          <w:sz w:val="24"/>
          <w:szCs w:val="24"/>
        </w:rPr>
        <w:t xml:space="preserve"> both</w:t>
      </w:r>
      <w:r w:rsidR="00C309A5">
        <w:rPr>
          <w:rFonts w:ascii="Times New Roman" w:hAnsi="Times New Roman" w:cs="Times New Roman"/>
          <w:sz w:val="24"/>
          <w:szCs w:val="24"/>
        </w:rPr>
        <w:t xml:space="preserve"> will form the </w:t>
      </w:r>
      <w:r w:rsidR="005C6B85">
        <w:rPr>
          <w:rFonts w:ascii="Times New Roman" w:hAnsi="Times New Roman" w:cs="Times New Roman"/>
          <w:sz w:val="24"/>
          <w:szCs w:val="24"/>
        </w:rPr>
        <w:t xml:space="preserve">overall </w:t>
      </w:r>
      <w:r w:rsidR="00C309A5">
        <w:rPr>
          <w:rFonts w:ascii="Times New Roman" w:hAnsi="Times New Roman" w:cs="Times New Roman"/>
          <w:sz w:val="24"/>
          <w:szCs w:val="24"/>
        </w:rPr>
        <w:t xml:space="preserve">comparison group. </w:t>
      </w:r>
      <w:r w:rsidR="00D260C5">
        <w:rPr>
          <w:rFonts w:ascii="Times New Roman" w:hAnsi="Times New Roman" w:cs="Times New Roman"/>
          <w:i/>
          <w:iCs/>
          <w:sz w:val="24"/>
          <w:szCs w:val="24"/>
        </w:rPr>
        <w:t>T2</w:t>
      </w:r>
      <w:r w:rsidR="00617710">
        <w:rPr>
          <w:rFonts w:ascii="Times New Roman" w:hAnsi="Times New Roman" w:cs="Times New Roman"/>
          <w:sz w:val="24"/>
          <w:szCs w:val="24"/>
        </w:rPr>
        <w:t xml:space="preserve"> vs (</w:t>
      </w:r>
      <w:r w:rsidR="00D260C5">
        <w:rPr>
          <w:rFonts w:ascii="Times New Roman" w:hAnsi="Times New Roman" w:cs="Times New Roman"/>
          <w:i/>
          <w:iCs/>
          <w:sz w:val="24"/>
          <w:szCs w:val="24"/>
        </w:rPr>
        <w:t>T1</w:t>
      </w:r>
      <w:r w:rsidR="00D260C5" w:rsidRPr="0064007D">
        <w:rPr>
          <w:rFonts w:ascii="Times New Roman" w:hAnsi="Times New Roman" w:cs="Times New Roman"/>
          <w:i/>
          <w:iCs/>
          <w:sz w:val="24"/>
          <w:szCs w:val="24"/>
        </w:rPr>
        <w:t xml:space="preserve"> </w:t>
      </w:r>
      <w:r w:rsidR="00617710" w:rsidRPr="0064007D">
        <w:rPr>
          <w:rFonts w:ascii="Times New Roman" w:hAnsi="Times New Roman" w:cs="Times New Roman"/>
          <w:i/>
          <w:iCs/>
          <w:sz w:val="24"/>
          <w:szCs w:val="24"/>
        </w:rPr>
        <w:t xml:space="preserve">+ </w:t>
      </w:r>
      <w:r w:rsidR="00D260C5">
        <w:rPr>
          <w:rFonts w:ascii="Times New Roman" w:hAnsi="Times New Roman" w:cs="Times New Roman"/>
          <w:i/>
          <w:iCs/>
          <w:sz w:val="24"/>
          <w:szCs w:val="24"/>
        </w:rPr>
        <w:t>C</w:t>
      </w:r>
      <w:r w:rsidR="00617710">
        <w:rPr>
          <w:rFonts w:ascii="Times New Roman" w:hAnsi="Times New Roman" w:cs="Times New Roman"/>
          <w:sz w:val="24"/>
          <w:szCs w:val="24"/>
        </w:rPr>
        <w:t>) will</w:t>
      </w:r>
      <w:r w:rsidR="00EF1497">
        <w:rPr>
          <w:rFonts w:ascii="Times New Roman" w:hAnsi="Times New Roman" w:cs="Times New Roman"/>
          <w:sz w:val="24"/>
          <w:szCs w:val="24"/>
        </w:rPr>
        <w:t xml:space="preserve"> </w:t>
      </w:r>
      <w:r w:rsidR="00E067A2">
        <w:rPr>
          <w:rFonts w:ascii="Times New Roman" w:hAnsi="Times New Roman" w:cs="Times New Roman"/>
          <w:sz w:val="24"/>
          <w:szCs w:val="24"/>
        </w:rPr>
        <w:t xml:space="preserve">estimate the impact of dykes on </w:t>
      </w:r>
      <w:r w:rsidR="00B30681">
        <w:rPr>
          <w:rFonts w:ascii="Times New Roman" w:hAnsi="Times New Roman" w:cs="Times New Roman"/>
          <w:sz w:val="24"/>
          <w:szCs w:val="24"/>
        </w:rPr>
        <w:t xml:space="preserve">high-value crop production, food security, and climatic resilience. </w:t>
      </w:r>
      <w:r w:rsidR="003D6606">
        <w:rPr>
          <w:rFonts w:ascii="Times New Roman" w:hAnsi="Times New Roman" w:cs="Times New Roman"/>
          <w:sz w:val="24"/>
          <w:szCs w:val="24"/>
        </w:rPr>
        <w:t xml:space="preserve">Since there is no randomization between beneficiaries and non-beneficiaries of </w:t>
      </w:r>
      <w:r w:rsidR="004930B0">
        <w:rPr>
          <w:rFonts w:ascii="Times New Roman" w:hAnsi="Times New Roman" w:cs="Times New Roman"/>
          <w:sz w:val="24"/>
          <w:szCs w:val="24"/>
        </w:rPr>
        <w:t>the intervention, we will rely on</w:t>
      </w:r>
      <w:r w:rsidR="009A7A6D">
        <w:rPr>
          <w:rFonts w:ascii="Times New Roman" w:hAnsi="Times New Roman" w:cs="Times New Roman"/>
          <w:sz w:val="24"/>
          <w:szCs w:val="24"/>
        </w:rPr>
        <w:t xml:space="preserve"> propensity score matching estimators and</w:t>
      </w:r>
      <w:r w:rsidR="004930B0">
        <w:rPr>
          <w:rFonts w:ascii="Times New Roman" w:hAnsi="Times New Roman" w:cs="Times New Roman"/>
          <w:sz w:val="24"/>
          <w:szCs w:val="24"/>
        </w:rPr>
        <w:t xml:space="preserve"> Inverse Probability Weighting Regression Adjustment (IPWRA) approach to estimat</w:t>
      </w:r>
      <w:r w:rsidR="00AF097D">
        <w:rPr>
          <w:rFonts w:ascii="Times New Roman" w:hAnsi="Times New Roman" w:cs="Times New Roman"/>
          <w:sz w:val="24"/>
          <w:szCs w:val="24"/>
        </w:rPr>
        <w:t xml:space="preserve">e the impact of dykes on economic outcomes (Woolridge 2010).  </w:t>
      </w:r>
    </w:p>
    <w:p w14:paraId="36C669B4" w14:textId="0E70942E" w:rsidR="00EF1497" w:rsidRDefault="00C309A5" w:rsidP="00CE41EF">
      <w:pPr>
        <w:rPr>
          <w:rFonts w:ascii="Times New Roman" w:hAnsi="Times New Roman" w:cs="Times New Roman"/>
          <w:sz w:val="24"/>
          <w:szCs w:val="24"/>
        </w:rPr>
      </w:pPr>
      <w:r>
        <w:rPr>
          <w:rFonts w:ascii="Times New Roman" w:hAnsi="Times New Roman" w:cs="Times New Roman"/>
          <w:sz w:val="24"/>
          <w:szCs w:val="24"/>
        </w:rPr>
        <w:t xml:space="preserve">But at the end line, </w:t>
      </w:r>
      <w:r w:rsidR="00E55984">
        <w:rPr>
          <w:rFonts w:ascii="Times New Roman" w:hAnsi="Times New Roman" w:cs="Times New Roman"/>
          <w:sz w:val="24"/>
          <w:szCs w:val="24"/>
        </w:rPr>
        <w:t xml:space="preserve">comparing </w:t>
      </w:r>
      <w:r w:rsidR="00E55984">
        <w:rPr>
          <w:rFonts w:ascii="Times New Roman" w:hAnsi="Times New Roman" w:cs="Times New Roman"/>
          <w:i/>
          <w:iCs/>
          <w:sz w:val="24"/>
          <w:szCs w:val="24"/>
        </w:rPr>
        <w:t>T1</w:t>
      </w:r>
      <w:r w:rsidR="00617710">
        <w:rPr>
          <w:rFonts w:ascii="Times New Roman" w:hAnsi="Times New Roman" w:cs="Times New Roman"/>
          <w:sz w:val="24"/>
          <w:szCs w:val="24"/>
        </w:rPr>
        <w:t xml:space="preserve"> vs</w:t>
      </w:r>
      <w:r w:rsidR="00617710" w:rsidRPr="00617710">
        <w:rPr>
          <w:rFonts w:ascii="Times New Roman" w:hAnsi="Times New Roman" w:cs="Times New Roman"/>
          <w:i/>
          <w:iCs/>
          <w:sz w:val="24"/>
          <w:szCs w:val="24"/>
        </w:rPr>
        <w:t xml:space="preserve"> </w:t>
      </w:r>
      <w:r w:rsidR="00E55984">
        <w:rPr>
          <w:rFonts w:ascii="Times New Roman" w:hAnsi="Times New Roman" w:cs="Times New Roman"/>
          <w:i/>
          <w:iCs/>
          <w:sz w:val="24"/>
          <w:szCs w:val="24"/>
        </w:rPr>
        <w:t>C</w:t>
      </w:r>
      <w:r w:rsidR="00617710">
        <w:rPr>
          <w:rFonts w:ascii="Times New Roman" w:hAnsi="Times New Roman" w:cs="Times New Roman"/>
          <w:i/>
          <w:iCs/>
          <w:sz w:val="24"/>
          <w:szCs w:val="24"/>
        </w:rPr>
        <w:t xml:space="preserve"> </w:t>
      </w:r>
      <w:r w:rsidR="00617710">
        <w:rPr>
          <w:rFonts w:ascii="Times New Roman" w:hAnsi="Times New Roman" w:cs="Times New Roman"/>
          <w:sz w:val="24"/>
          <w:szCs w:val="24"/>
        </w:rPr>
        <w:t xml:space="preserve">will give the impact of dyke introduction </w:t>
      </w:r>
      <w:r w:rsidR="00106BCA">
        <w:rPr>
          <w:rFonts w:ascii="Times New Roman" w:hAnsi="Times New Roman" w:cs="Times New Roman"/>
          <w:sz w:val="24"/>
          <w:szCs w:val="24"/>
        </w:rPr>
        <w:t>on farmer wellbeing</w:t>
      </w:r>
      <w:r w:rsidR="0012473F">
        <w:rPr>
          <w:rFonts w:ascii="Times New Roman" w:hAnsi="Times New Roman" w:cs="Times New Roman"/>
          <w:sz w:val="24"/>
          <w:szCs w:val="24"/>
        </w:rPr>
        <w:t xml:space="preserve">. </w:t>
      </w:r>
      <w:r w:rsidR="00FE2F0F">
        <w:rPr>
          <w:rFonts w:ascii="Times New Roman" w:hAnsi="Times New Roman" w:cs="Times New Roman"/>
          <w:sz w:val="24"/>
          <w:szCs w:val="24"/>
        </w:rPr>
        <w:t>We will use</w:t>
      </w:r>
      <w:r w:rsidR="00CD6337">
        <w:rPr>
          <w:rFonts w:ascii="Times New Roman" w:hAnsi="Times New Roman" w:cs="Times New Roman"/>
          <w:sz w:val="24"/>
          <w:szCs w:val="24"/>
        </w:rPr>
        <w:t xml:space="preserve"> the staggered</w:t>
      </w:r>
      <w:r w:rsidR="00FE2F0F">
        <w:rPr>
          <w:rFonts w:ascii="Times New Roman" w:hAnsi="Times New Roman" w:cs="Times New Roman"/>
          <w:sz w:val="24"/>
          <w:szCs w:val="24"/>
        </w:rPr>
        <w:t xml:space="preserve"> Difference-in-Difference design</w:t>
      </w:r>
      <w:r w:rsidR="00CD6337">
        <w:rPr>
          <w:rFonts w:ascii="Times New Roman" w:hAnsi="Times New Roman" w:cs="Times New Roman"/>
          <w:sz w:val="24"/>
          <w:szCs w:val="24"/>
        </w:rPr>
        <w:t xml:space="preserve"> </w:t>
      </w:r>
      <w:r w:rsidR="00CD6337" w:rsidRPr="00CD6337">
        <w:rPr>
          <w:rFonts w:ascii="Times New Roman" w:hAnsi="Times New Roman" w:cs="Times New Roman"/>
          <w:sz w:val="24"/>
          <w:szCs w:val="24"/>
        </w:rPr>
        <w:t xml:space="preserve">à la Callaway </w:t>
      </w:r>
      <w:r w:rsidR="00626519">
        <w:rPr>
          <w:rFonts w:ascii="Times New Roman" w:hAnsi="Times New Roman" w:cs="Times New Roman"/>
          <w:sz w:val="24"/>
          <w:szCs w:val="24"/>
        </w:rPr>
        <w:t xml:space="preserve">&amp; </w:t>
      </w:r>
      <w:r w:rsidR="00CD6337" w:rsidRPr="00CD6337">
        <w:rPr>
          <w:rFonts w:ascii="Times New Roman" w:hAnsi="Times New Roman" w:cs="Times New Roman"/>
          <w:sz w:val="24"/>
          <w:szCs w:val="24"/>
        </w:rPr>
        <w:t>Sant'Anna</w:t>
      </w:r>
      <w:r w:rsidR="00626519">
        <w:rPr>
          <w:rFonts w:ascii="Times New Roman" w:hAnsi="Times New Roman" w:cs="Times New Roman"/>
          <w:sz w:val="24"/>
          <w:szCs w:val="24"/>
        </w:rPr>
        <w:t xml:space="preserve"> (2021)</w:t>
      </w:r>
      <w:r w:rsidR="009A7A6D">
        <w:rPr>
          <w:rFonts w:ascii="Times New Roman" w:hAnsi="Times New Roman" w:cs="Times New Roman"/>
          <w:sz w:val="24"/>
          <w:szCs w:val="24"/>
        </w:rPr>
        <w:t xml:space="preserve">. </w:t>
      </w:r>
      <w:r w:rsidR="005E4E80">
        <w:rPr>
          <w:rFonts w:ascii="Times New Roman" w:hAnsi="Times New Roman" w:cs="Times New Roman"/>
          <w:sz w:val="24"/>
          <w:szCs w:val="24"/>
        </w:rPr>
        <w:t xml:space="preserve">Such an impact evaluation design provides us the </w:t>
      </w:r>
      <w:r w:rsidR="00E561DB">
        <w:rPr>
          <w:rFonts w:ascii="Times New Roman" w:hAnsi="Times New Roman" w:cs="Times New Roman"/>
          <w:sz w:val="24"/>
          <w:szCs w:val="24"/>
        </w:rPr>
        <w:t>opportunity to evaluate the effectiveness of dykes through a cross-sectional comparison (in the first year of data collection) and then</w:t>
      </w:r>
      <w:r w:rsidR="00B961CE">
        <w:rPr>
          <w:rFonts w:ascii="Times New Roman" w:hAnsi="Times New Roman" w:cs="Times New Roman"/>
          <w:sz w:val="24"/>
          <w:szCs w:val="24"/>
        </w:rPr>
        <w:t xml:space="preserve"> again allows us to validate these findings through a ‘phase-in’ </w:t>
      </w:r>
      <w:proofErr w:type="spellStart"/>
      <w:r w:rsidR="00B961CE">
        <w:rPr>
          <w:rFonts w:ascii="Times New Roman" w:hAnsi="Times New Roman" w:cs="Times New Roman"/>
          <w:sz w:val="24"/>
          <w:szCs w:val="24"/>
        </w:rPr>
        <w:t>DiD</w:t>
      </w:r>
      <w:proofErr w:type="spellEnd"/>
      <w:r w:rsidR="00B961CE">
        <w:rPr>
          <w:rFonts w:ascii="Times New Roman" w:hAnsi="Times New Roman" w:cs="Times New Roman"/>
          <w:sz w:val="24"/>
          <w:szCs w:val="24"/>
        </w:rPr>
        <w:t xml:space="preserve"> design</w:t>
      </w:r>
      <w:r w:rsidR="00626519">
        <w:rPr>
          <w:rFonts w:ascii="Times New Roman" w:hAnsi="Times New Roman" w:cs="Times New Roman"/>
          <w:sz w:val="24"/>
          <w:szCs w:val="24"/>
        </w:rPr>
        <w:t xml:space="preserve"> (contingent on second year of data collection as well as </w:t>
      </w:r>
      <w:r w:rsidR="00626519" w:rsidRPr="00626519">
        <w:rPr>
          <w:rFonts w:ascii="Times New Roman" w:hAnsi="Times New Roman" w:cs="Times New Roman"/>
          <w:i/>
          <w:iCs/>
          <w:sz w:val="24"/>
          <w:szCs w:val="24"/>
        </w:rPr>
        <w:t>T1</w:t>
      </w:r>
      <w:r w:rsidR="00626519">
        <w:rPr>
          <w:rFonts w:ascii="Times New Roman" w:hAnsi="Times New Roman" w:cs="Times New Roman"/>
          <w:sz w:val="24"/>
          <w:szCs w:val="24"/>
        </w:rPr>
        <w:t xml:space="preserve"> getting the treatment)</w:t>
      </w:r>
      <w:r w:rsidR="00B961CE">
        <w:rPr>
          <w:rFonts w:ascii="Times New Roman" w:hAnsi="Times New Roman" w:cs="Times New Roman"/>
          <w:sz w:val="24"/>
          <w:szCs w:val="24"/>
        </w:rPr>
        <w:t xml:space="preserve">, which is perhaps more powerful in establishing causal links between investment and outcomes. </w:t>
      </w:r>
    </w:p>
    <w:p w14:paraId="0127B237" w14:textId="35CBB227" w:rsidR="00FE2F0F" w:rsidRDefault="00FE2F0F" w:rsidP="00CE41EF">
      <w:pPr>
        <w:rPr>
          <w:rFonts w:ascii="Times New Roman" w:hAnsi="Times New Roman" w:cs="Times New Roman"/>
          <w:sz w:val="24"/>
          <w:szCs w:val="24"/>
        </w:rPr>
      </w:pPr>
      <w:r>
        <w:rPr>
          <w:rFonts w:ascii="Times New Roman" w:hAnsi="Times New Roman" w:cs="Times New Roman"/>
          <w:sz w:val="24"/>
          <w:szCs w:val="24"/>
        </w:rPr>
        <w:t xml:space="preserve">In Table 1, </w:t>
      </w:r>
      <w:r w:rsidR="00093ABD">
        <w:rPr>
          <w:rFonts w:ascii="Times New Roman" w:hAnsi="Times New Roman" w:cs="Times New Roman"/>
          <w:sz w:val="24"/>
          <w:szCs w:val="24"/>
        </w:rPr>
        <w:t>we provide the sample size calculations based on Bangladesh Integrated Household Survey (BIHS) 2018-19</w:t>
      </w:r>
      <w:r w:rsidR="00786E3E">
        <w:rPr>
          <w:rFonts w:ascii="Times New Roman" w:hAnsi="Times New Roman" w:cs="Times New Roman"/>
          <w:sz w:val="24"/>
          <w:szCs w:val="24"/>
        </w:rPr>
        <w:t xml:space="preserve"> (IFPRI 2020)</w:t>
      </w:r>
      <w:r w:rsidR="00093ABD">
        <w:rPr>
          <w:rFonts w:ascii="Times New Roman" w:hAnsi="Times New Roman" w:cs="Times New Roman"/>
          <w:sz w:val="24"/>
          <w:szCs w:val="24"/>
        </w:rPr>
        <w:t xml:space="preserve">. We </w:t>
      </w:r>
      <w:r w:rsidR="008747FB">
        <w:rPr>
          <w:rFonts w:ascii="Times New Roman" w:hAnsi="Times New Roman" w:cs="Times New Roman"/>
          <w:sz w:val="24"/>
          <w:szCs w:val="24"/>
        </w:rPr>
        <w:t>create</w:t>
      </w:r>
      <w:r w:rsidR="00093ABD">
        <w:rPr>
          <w:rFonts w:ascii="Times New Roman" w:hAnsi="Times New Roman" w:cs="Times New Roman"/>
          <w:sz w:val="24"/>
          <w:szCs w:val="24"/>
        </w:rPr>
        <w:t xml:space="preserve"> two indices of crop </w:t>
      </w:r>
      <w:r w:rsidR="00AE0E33">
        <w:rPr>
          <w:rFonts w:ascii="Times New Roman" w:hAnsi="Times New Roman" w:cs="Times New Roman"/>
          <w:sz w:val="24"/>
          <w:szCs w:val="24"/>
        </w:rPr>
        <w:t>diversification</w:t>
      </w:r>
      <w:r w:rsidR="008747FB">
        <w:rPr>
          <w:rFonts w:ascii="Times New Roman" w:hAnsi="Times New Roman" w:cs="Times New Roman"/>
          <w:sz w:val="24"/>
          <w:szCs w:val="24"/>
        </w:rPr>
        <w:t xml:space="preserve"> from the BIHS data</w:t>
      </w:r>
      <w:r w:rsidR="00AE0E33">
        <w:rPr>
          <w:rFonts w:ascii="Times New Roman" w:hAnsi="Times New Roman" w:cs="Times New Roman"/>
          <w:sz w:val="24"/>
          <w:szCs w:val="24"/>
        </w:rPr>
        <w:t>. The first is a Simpson index based on the share of income received from different crops</w:t>
      </w:r>
      <w:r w:rsidR="008747FB">
        <w:rPr>
          <w:rFonts w:ascii="Times New Roman" w:hAnsi="Times New Roman" w:cs="Times New Roman"/>
          <w:sz w:val="24"/>
          <w:szCs w:val="24"/>
        </w:rPr>
        <w:t xml:space="preserve"> (including </w:t>
      </w:r>
      <w:r w:rsidR="00AE0E33">
        <w:rPr>
          <w:rFonts w:ascii="Times New Roman" w:hAnsi="Times New Roman" w:cs="Times New Roman"/>
          <w:sz w:val="24"/>
          <w:szCs w:val="24"/>
        </w:rPr>
        <w:t>vegetables</w:t>
      </w:r>
      <w:r w:rsidR="008747FB">
        <w:rPr>
          <w:rFonts w:ascii="Times New Roman" w:hAnsi="Times New Roman" w:cs="Times New Roman"/>
          <w:sz w:val="24"/>
          <w:szCs w:val="24"/>
        </w:rPr>
        <w:t xml:space="preserve"> and </w:t>
      </w:r>
      <w:r w:rsidR="00AE0E33">
        <w:rPr>
          <w:rFonts w:ascii="Times New Roman" w:hAnsi="Times New Roman" w:cs="Times New Roman"/>
          <w:sz w:val="24"/>
          <w:szCs w:val="24"/>
        </w:rPr>
        <w:t>fruits</w:t>
      </w:r>
      <w:r w:rsidR="008747FB">
        <w:rPr>
          <w:rFonts w:ascii="Times New Roman" w:hAnsi="Times New Roman" w:cs="Times New Roman"/>
          <w:sz w:val="24"/>
          <w:szCs w:val="24"/>
        </w:rPr>
        <w:t>)</w:t>
      </w:r>
      <w:r w:rsidR="00806F3C">
        <w:rPr>
          <w:rFonts w:ascii="Times New Roman" w:hAnsi="Times New Roman" w:cs="Times New Roman"/>
          <w:sz w:val="24"/>
          <w:szCs w:val="24"/>
        </w:rPr>
        <w:t>. The second is the Standardized Weighted Average index based on</w:t>
      </w:r>
      <w:r w:rsidR="008747FB">
        <w:rPr>
          <w:rFonts w:ascii="Times New Roman" w:hAnsi="Times New Roman" w:cs="Times New Roman"/>
          <w:sz w:val="24"/>
          <w:szCs w:val="24"/>
        </w:rPr>
        <w:t xml:space="preserve"> the quantities of these crops </w:t>
      </w:r>
      <w:r w:rsidR="00BB16F8">
        <w:rPr>
          <w:rFonts w:ascii="Times New Roman" w:hAnsi="Times New Roman" w:cs="Times New Roman"/>
          <w:sz w:val="24"/>
          <w:szCs w:val="24"/>
        </w:rPr>
        <w:t xml:space="preserve">harvested by the households. We present the sample size calculations and </w:t>
      </w:r>
      <w:r w:rsidR="00542D76">
        <w:rPr>
          <w:rFonts w:ascii="Times New Roman" w:hAnsi="Times New Roman" w:cs="Times New Roman"/>
          <w:sz w:val="24"/>
          <w:szCs w:val="24"/>
        </w:rPr>
        <w:t xml:space="preserve">the associated </w:t>
      </w:r>
      <w:r w:rsidR="00BB16F8">
        <w:rPr>
          <w:rFonts w:ascii="Times New Roman" w:hAnsi="Times New Roman" w:cs="Times New Roman"/>
          <w:sz w:val="24"/>
          <w:szCs w:val="24"/>
        </w:rPr>
        <w:t xml:space="preserve">minimum detectable effect sizes (MDES) </w:t>
      </w:r>
      <w:r w:rsidR="008945AB">
        <w:rPr>
          <w:rFonts w:ascii="Times New Roman" w:hAnsi="Times New Roman" w:cs="Times New Roman"/>
          <w:sz w:val="24"/>
          <w:szCs w:val="24"/>
        </w:rPr>
        <w:t>in Table 1</w:t>
      </w:r>
      <w:r w:rsidR="00BB16F8">
        <w:rPr>
          <w:rFonts w:ascii="Times New Roman" w:hAnsi="Times New Roman" w:cs="Times New Roman"/>
          <w:sz w:val="24"/>
          <w:szCs w:val="24"/>
        </w:rPr>
        <w:t xml:space="preserve">.  </w:t>
      </w:r>
      <w:r w:rsidR="00806F3C">
        <w:rPr>
          <w:rFonts w:ascii="Times New Roman" w:hAnsi="Times New Roman" w:cs="Times New Roman"/>
          <w:sz w:val="24"/>
          <w:szCs w:val="24"/>
        </w:rPr>
        <w:t xml:space="preserve"> </w:t>
      </w:r>
      <w:r w:rsidR="00093ABD">
        <w:rPr>
          <w:rFonts w:ascii="Times New Roman" w:hAnsi="Times New Roman" w:cs="Times New Roman"/>
          <w:sz w:val="24"/>
          <w:szCs w:val="24"/>
        </w:rPr>
        <w:t xml:space="preserve"> </w:t>
      </w:r>
    </w:p>
    <w:p w14:paraId="683B4EB9" w14:textId="18F7A98F" w:rsidR="004E24C5" w:rsidRDefault="004E24C5" w:rsidP="00CE41EF">
      <w:pPr>
        <w:rPr>
          <w:rFonts w:ascii="Times New Roman" w:hAnsi="Times New Roman" w:cs="Times New Roman"/>
          <w:sz w:val="24"/>
          <w:szCs w:val="24"/>
        </w:rPr>
      </w:pPr>
      <w:r>
        <w:rPr>
          <w:rFonts w:ascii="Times New Roman" w:hAnsi="Times New Roman" w:cs="Times New Roman"/>
          <w:sz w:val="24"/>
          <w:szCs w:val="24"/>
        </w:rPr>
        <w:t xml:space="preserve">Procedure to estimate the </w:t>
      </w:r>
      <w:r w:rsidR="00316647">
        <w:rPr>
          <w:rFonts w:ascii="Times New Roman" w:hAnsi="Times New Roman" w:cs="Times New Roman"/>
          <w:sz w:val="24"/>
          <w:szCs w:val="24"/>
        </w:rPr>
        <w:t>sample sizes that will produce the desired MDE</w:t>
      </w:r>
      <w:r w:rsidR="00A658B4">
        <w:rPr>
          <w:rFonts w:ascii="Times New Roman" w:hAnsi="Times New Roman" w:cs="Times New Roman"/>
          <w:sz w:val="24"/>
          <w:szCs w:val="24"/>
        </w:rPr>
        <w:t>S</w:t>
      </w:r>
      <w:r>
        <w:rPr>
          <w:rFonts w:ascii="Times New Roman" w:hAnsi="Times New Roman" w:cs="Times New Roman"/>
          <w:sz w:val="24"/>
          <w:szCs w:val="24"/>
        </w:rPr>
        <w:t>:</w:t>
      </w:r>
    </w:p>
    <w:p w14:paraId="56D4A5ED" w14:textId="32761308" w:rsidR="00A864AF" w:rsidRDefault="00A864AF" w:rsidP="00A864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our power calculations, w</w:t>
      </w:r>
      <w:r w:rsidRPr="00AA5554">
        <w:rPr>
          <w:rFonts w:ascii="Times New Roman" w:hAnsi="Times New Roman" w:cs="Times New Roman"/>
          <w:sz w:val="24"/>
          <w:szCs w:val="24"/>
        </w:rPr>
        <w:t xml:space="preserve">e choose </w:t>
      </w:r>
      <w:r>
        <w:rPr>
          <w:rFonts w:ascii="Times New Roman" w:hAnsi="Times New Roman" w:cs="Times New Roman"/>
          <w:sz w:val="24"/>
          <w:szCs w:val="24"/>
        </w:rPr>
        <w:t>Simpson index of crop diversification</w:t>
      </w:r>
      <w:r w:rsidR="00632497">
        <w:rPr>
          <w:rFonts w:ascii="Times New Roman" w:hAnsi="Times New Roman" w:cs="Times New Roman"/>
          <w:sz w:val="24"/>
          <w:szCs w:val="24"/>
        </w:rPr>
        <w:t xml:space="preserve"> based on share of income from different c</w:t>
      </w:r>
      <w:r w:rsidR="00C34025">
        <w:rPr>
          <w:rFonts w:ascii="Times New Roman" w:hAnsi="Times New Roman" w:cs="Times New Roman"/>
          <w:sz w:val="24"/>
          <w:szCs w:val="24"/>
        </w:rPr>
        <w:t>rops</w:t>
      </w:r>
      <w:r w:rsidR="00A35F55">
        <w:rPr>
          <w:rFonts w:ascii="Times New Roman" w:hAnsi="Times New Roman" w:cs="Times New Roman"/>
          <w:sz w:val="24"/>
          <w:szCs w:val="24"/>
        </w:rPr>
        <w:t>.</w:t>
      </w:r>
      <w:r>
        <w:rPr>
          <w:rStyle w:val="FootnoteReference"/>
          <w:rFonts w:ascii="Times New Roman" w:hAnsi="Times New Roman" w:cs="Times New Roman"/>
          <w:sz w:val="24"/>
          <w:szCs w:val="24"/>
        </w:rPr>
        <w:footnoteReference w:id="2"/>
      </w:r>
      <w:r w:rsidRPr="00AA5554">
        <w:rPr>
          <w:rFonts w:ascii="Times New Roman" w:hAnsi="Times New Roman" w:cs="Times New Roman"/>
          <w:sz w:val="24"/>
          <w:szCs w:val="24"/>
        </w:rPr>
        <w:t xml:space="preserve"> </w:t>
      </w:r>
      <w:r w:rsidR="00BA0D66">
        <w:rPr>
          <w:rFonts w:ascii="Times New Roman" w:hAnsi="Times New Roman" w:cs="Times New Roman"/>
          <w:sz w:val="24"/>
          <w:szCs w:val="24"/>
        </w:rPr>
        <w:t>T</w:t>
      </w:r>
      <w:r w:rsidR="00F736D3">
        <w:rPr>
          <w:rFonts w:ascii="Times New Roman" w:hAnsi="Times New Roman" w:cs="Times New Roman"/>
          <w:sz w:val="24"/>
          <w:szCs w:val="24"/>
        </w:rPr>
        <w:t>he general formula for Simpson Index is:</w:t>
      </w:r>
    </w:p>
    <w:p w14:paraId="68715950" w14:textId="3EF9FEF5" w:rsidR="00F736D3" w:rsidRPr="005A1E25" w:rsidRDefault="00F736D3" w:rsidP="00F736D3">
      <w:pPr>
        <w:pStyle w:val="ListParagraph"/>
        <w:ind w:left="1080"/>
        <w:rPr>
          <w:rFonts w:ascii="Times New Roman" w:eastAsiaTheme="minorEastAsia" w:hAnsi="Times New Roman" w:cs="Times New Roman"/>
          <w:sz w:val="24"/>
          <w:szCs w:val="24"/>
        </w:rPr>
      </w:pPr>
      <m:oMathPara>
        <m:oMath>
          <m:r>
            <w:rPr>
              <w:rFonts w:ascii="Cambria Math" w:hAnsi="Cambria Math" w:cs="Times New Roman"/>
              <w:sz w:val="24"/>
              <w:szCs w:val="24"/>
            </w:rPr>
            <w:lastRenderedPageBreak/>
            <m:t xml:space="preserve">Simpson= 1-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I</m:t>
              </m:r>
            </m:sup>
            <m:e>
              <m:r>
                <w:rPr>
                  <w:rFonts w:ascii="Cambria Math" w:hAnsi="Cambria Math" w:cs="Times New Roman"/>
                  <w:sz w:val="24"/>
                  <w:szCs w:val="24"/>
                </w:rPr>
                <m:t>s</m:t>
              </m:r>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i</m:t>
                  </m:r>
                </m:sub>
                <m:sup>
                  <m:r>
                    <w:rPr>
                      <w:rFonts w:ascii="Cambria Math" w:hAnsi="Cambria Math" w:cs="Times New Roman"/>
                      <w:sz w:val="24"/>
                      <w:szCs w:val="24"/>
                    </w:rPr>
                    <m:t>2</m:t>
                  </m:r>
                </m:sup>
              </m:sSubSup>
            </m:e>
          </m:nary>
        </m:oMath>
      </m:oMathPara>
    </w:p>
    <w:p w14:paraId="6E266C91" w14:textId="76C4EB6D" w:rsidR="00A864AF" w:rsidRDefault="005A1E25" w:rsidP="00A35F55">
      <w:pPr>
        <w:pStyle w:val="ListParagraph"/>
        <w:ind w:left="1080"/>
        <w:rPr>
          <w:rFonts w:ascii="Times New Roman" w:hAnsi="Times New Roman" w:cs="Times New Roman"/>
          <w:sz w:val="24"/>
          <w:szCs w:val="24"/>
        </w:rPr>
      </w:pPr>
      <w:r>
        <w:rPr>
          <w:rFonts w:ascii="Times New Roman" w:hAnsi="Times New Roman" w:cs="Times New Roman"/>
          <w:sz w:val="24"/>
          <w:szCs w:val="24"/>
        </w:rPr>
        <w:t xml:space="preserve">where </w:t>
      </w:r>
      <w:proofErr w:type="spellStart"/>
      <w:r w:rsidRPr="00F94616">
        <w:rPr>
          <w:rFonts w:ascii="Times New Roman" w:hAnsi="Times New Roman" w:cs="Times New Roman"/>
          <w:i/>
          <w:iCs/>
          <w:sz w:val="24"/>
          <w:szCs w:val="24"/>
        </w:rPr>
        <w:t>sh</w:t>
      </w:r>
      <w:r w:rsidRPr="00F94616">
        <w:rPr>
          <w:rFonts w:ascii="Times New Roman" w:hAnsi="Times New Roman" w:cs="Times New Roman"/>
          <w:i/>
          <w:iCs/>
          <w:sz w:val="24"/>
          <w:szCs w:val="24"/>
          <w:vertAlign w:val="subscript"/>
        </w:rPr>
        <w:t>i</w:t>
      </w:r>
      <w:proofErr w:type="spellEnd"/>
      <w:r>
        <w:rPr>
          <w:rFonts w:ascii="Times New Roman" w:hAnsi="Times New Roman" w:cs="Times New Roman"/>
          <w:sz w:val="24"/>
          <w:szCs w:val="24"/>
        </w:rPr>
        <w:t xml:space="preserve"> is the income share of crop</w:t>
      </w:r>
      <w:r w:rsidR="00F94616">
        <w:rPr>
          <w:rFonts w:ascii="Times New Roman" w:hAnsi="Times New Roman" w:cs="Times New Roman"/>
          <w:sz w:val="24"/>
          <w:szCs w:val="24"/>
        </w:rPr>
        <w:t xml:space="preserve"> </w:t>
      </w:r>
      <w:proofErr w:type="spellStart"/>
      <w:r w:rsidR="00F94616">
        <w:rPr>
          <w:rFonts w:ascii="Times New Roman" w:hAnsi="Times New Roman" w:cs="Times New Roman"/>
          <w:i/>
          <w:iCs/>
          <w:sz w:val="24"/>
          <w:szCs w:val="24"/>
        </w:rPr>
        <w:t>i</w:t>
      </w:r>
      <w:proofErr w:type="spellEnd"/>
      <w:r>
        <w:rPr>
          <w:rFonts w:ascii="Times New Roman" w:hAnsi="Times New Roman" w:cs="Times New Roman"/>
          <w:sz w:val="24"/>
          <w:szCs w:val="24"/>
        </w:rPr>
        <w:t>, calculated over total household crop income.</w:t>
      </w:r>
      <w:r w:rsidR="00F94616">
        <w:rPr>
          <w:rFonts w:ascii="Times New Roman" w:hAnsi="Times New Roman" w:cs="Times New Roman"/>
          <w:sz w:val="24"/>
          <w:szCs w:val="24"/>
        </w:rPr>
        <w:t xml:space="preserve"> </w:t>
      </w:r>
      <w:r w:rsidR="00A864AF">
        <w:rPr>
          <w:rFonts w:ascii="Times New Roman" w:hAnsi="Times New Roman" w:cs="Times New Roman"/>
          <w:sz w:val="24"/>
          <w:szCs w:val="24"/>
        </w:rPr>
        <w:t>We seek power of 80 percent</w:t>
      </w:r>
      <w:r w:rsidR="00A864AF">
        <w:rPr>
          <w:rStyle w:val="FootnoteReference"/>
          <w:rFonts w:ascii="Times New Roman" w:hAnsi="Times New Roman" w:cs="Times New Roman"/>
          <w:sz w:val="24"/>
          <w:szCs w:val="24"/>
        </w:rPr>
        <w:footnoteReference w:id="3"/>
      </w:r>
      <w:r w:rsidR="00A864AF">
        <w:rPr>
          <w:rFonts w:ascii="Times New Roman" w:hAnsi="Times New Roman" w:cs="Times New Roman"/>
          <w:sz w:val="24"/>
          <w:szCs w:val="24"/>
        </w:rPr>
        <w:t xml:space="preserve"> and statistical significance of 5 percent.</w:t>
      </w:r>
      <w:r w:rsidR="00A864AF">
        <w:rPr>
          <w:rStyle w:val="FootnoteReference"/>
          <w:rFonts w:ascii="Times New Roman" w:hAnsi="Times New Roman" w:cs="Times New Roman"/>
          <w:sz w:val="24"/>
          <w:szCs w:val="24"/>
        </w:rPr>
        <w:footnoteReference w:id="4"/>
      </w:r>
      <w:r w:rsidR="00A864AF">
        <w:rPr>
          <w:rFonts w:ascii="Times New Roman" w:hAnsi="Times New Roman" w:cs="Times New Roman"/>
          <w:sz w:val="24"/>
          <w:szCs w:val="24"/>
        </w:rPr>
        <w:t xml:space="preserve"> </w:t>
      </w:r>
    </w:p>
    <w:p w14:paraId="3E51D40F" w14:textId="77777777" w:rsidR="00A35F55" w:rsidRDefault="00A35F55"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We seek power of 80 percent</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and statistical significance </w:t>
      </w:r>
      <m:oMath>
        <m:d>
          <m:dPr>
            <m:ctrlPr>
              <w:rPr>
                <w:rFonts w:ascii="Cambria Math" w:hAnsi="Cambria Math" w:cs="Times New Roman"/>
                <w:i/>
                <w:sz w:val="24"/>
                <w:szCs w:val="24"/>
              </w:rPr>
            </m:ctrlPr>
          </m:dPr>
          <m:e>
            <m:r>
              <w:rPr>
                <w:rFonts w:ascii="Cambria Math" w:hAnsi="Cambria Math" w:cs="Times New Roman"/>
                <w:sz w:val="24"/>
                <w:szCs w:val="24"/>
              </w:rPr>
              <m:t>α</m:t>
            </m:r>
          </m:e>
        </m:d>
      </m:oMath>
      <w:r>
        <w:rPr>
          <w:rFonts w:ascii="Times New Roman" w:hAnsi="Times New Roman" w:cs="Times New Roman"/>
          <w:sz w:val="24"/>
          <w:szCs w:val="24"/>
        </w:rPr>
        <w:t xml:space="preserve"> of 5 percent.</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Because part of our evaluation has </w:t>
      </w:r>
      <w:proofErr w:type="gramStart"/>
      <w:r>
        <w:rPr>
          <w:rFonts w:ascii="Times New Roman" w:hAnsi="Times New Roman" w:cs="Times New Roman"/>
          <w:sz w:val="24"/>
          <w:szCs w:val="24"/>
        </w:rPr>
        <w:t>differing</w:t>
      </w:r>
      <w:proofErr w:type="gramEnd"/>
      <w:r>
        <w:rPr>
          <w:rFonts w:ascii="Times New Roman" w:hAnsi="Times New Roman" w:cs="Times New Roman"/>
          <w:sz w:val="24"/>
          <w:szCs w:val="24"/>
        </w:rPr>
        <w:t xml:space="preserve"> treatment timing and a longitudinal structure, it is important to take into account the autocorrelation structure of cluster-level errors (AR1). AR1 is set at 0.4, which is a commonly accepted level of autocorrelation in the impact evaluation literature.</w:t>
      </w:r>
    </w:p>
    <w:p w14:paraId="058A5625" w14:textId="4FD1721F" w:rsidR="00A35F55" w:rsidRDefault="00A35F55"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MDES </w:t>
      </w:r>
      <w:r w:rsidR="00EE3790">
        <w:rPr>
          <w:rFonts w:ascii="Times New Roman" w:hAnsi="Times New Roman" w:cs="Times New Roman"/>
          <w:sz w:val="24"/>
          <w:szCs w:val="24"/>
        </w:rPr>
        <w:t>is varied</w:t>
      </w:r>
      <w:r>
        <w:rPr>
          <w:rFonts w:ascii="Times New Roman" w:hAnsi="Times New Roman" w:cs="Times New Roman"/>
          <w:sz w:val="24"/>
          <w:szCs w:val="24"/>
        </w:rPr>
        <w:t xml:space="preserve"> in the Schochet (2022) </w:t>
      </w:r>
      <w:r w:rsidRPr="008B3448">
        <w:rPr>
          <w:rFonts w:ascii="Times New Roman" w:hAnsi="Times New Roman" w:cs="Times New Roman"/>
          <w:i/>
          <w:iCs/>
          <w:sz w:val="24"/>
          <w:szCs w:val="24"/>
        </w:rPr>
        <w:t>Shiny</w:t>
      </w:r>
      <w:r>
        <w:rPr>
          <w:rFonts w:ascii="Times New Roman" w:hAnsi="Times New Roman" w:cs="Times New Roman"/>
          <w:sz w:val="24"/>
          <w:szCs w:val="24"/>
        </w:rPr>
        <w:t xml:space="preserve"> R app</w:t>
      </w:r>
      <w:r w:rsidR="00EE3790">
        <w:rPr>
          <w:rFonts w:ascii="Times New Roman" w:hAnsi="Times New Roman" w:cs="Times New Roman"/>
          <w:sz w:val="24"/>
          <w:szCs w:val="24"/>
        </w:rPr>
        <w:t xml:space="preserve"> with assuming two treatment timings</w:t>
      </w:r>
      <w:r>
        <w:rPr>
          <w:rFonts w:ascii="Times New Roman" w:hAnsi="Times New Roman" w:cs="Times New Roman"/>
          <w:sz w:val="24"/>
          <w:szCs w:val="24"/>
        </w:rPr>
        <w:t xml:space="preserve"> to </w:t>
      </w:r>
      <w:r w:rsidR="00EE3790">
        <w:rPr>
          <w:rFonts w:ascii="Times New Roman" w:hAnsi="Times New Roman" w:cs="Times New Roman"/>
          <w:sz w:val="24"/>
          <w:szCs w:val="24"/>
        </w:rPr>
        <w:t>estimate the number of observations required for the evaluation</w:t>
      </w:r>
      <w:r>
        <w:rPr>
          <w:rFonts w:ascii="Times New Roman" w:hAnsi="Times New Roman" w:cs="Times New Roman"/>
          <w:sz w:val="24"/>
          <w:szCs w:val="24"/>
        </w:rPr>
        <w:t>.</w:t>
      </w:r>
      <w:r w:rsidR="00EE3790">
        <w:rPr>
          <w:rFonts w:ascii="Times New Roman" w:hAnsi="Times New Roman" w:cs="Times New Roman"/>
          <w:sz w:val="24"/>
          <w:szCs w:val="24"/>
        </w:rPr>
        <w:t xml:space="preserve"> </w:t>
      </w:r>
    </w:p>
    <w:p w14:paraId="09DD3015" w14:textId="27178BFB" w:rsidR="00A35F55" w:rsidRDefault="00A35F55"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MDES are presented in SDs as well as in % of the sample mean.</w:t>
      </w:r>
    </w:p>
    <w:p w14:paraId="51D9DD44" w14:textId="77777777" w:rsidR="004E24C5" w:rsidRDefault="004E24C5" w:rsidP="00CE41EF">
      <w:pPr>
        <w:rPr>
          <w:rFonts w:ascii="Times New Roman" w:hAnsi="Times New Roman" w:cs="Times New Roman"/>
          <w:sz w:val="24"/>
          <w:szCs w:val="24"/>
        </w:rPr>
      </w:pPr>
    </w:p>
    <w:p w14:paraId="4EDE3D88" w14:textId="7B382AC6" w:rsidR="001A7C0C" w:rsidRPr="003A0EBC" w:rsidRDefault="00E54E32" w:rsidP="00E54E32">
      <w:pPr>
        <w:jc w:val="center"/>
        <w:rPr>
          <w:rFonts w:ascii="Times New Roman" w:hAnsi="Times New Roman" w:cs="Times New Roman"/>
          <w:b/>
          <w:bCs/>
          <w:sz w:val="24"/>
          <w:szCs w:val="24"/>
        </w:rPr>
      </w:pPr>
      <w:r w:rsidRPr="003A0EBC">
        <w:rPr>
          <w:rFonts w:ascii="Times New Roman" w:hAnsi="Times New Roman" w:cs="Times New Roman"/>
          <w:b/>
          <w:bCs/>
          <w:sz w:val="24"/>
          <w:szCs w:val="24"/>
        </w:rPr>
        <w:t>Table 1: Sample Size Calculations</w:t>
      </w:r>
      <w:r w:rsidR="00C11F0E" w:rsidRPr="003A0EBC">
        <w:rPr>
          <w:rFonts w:ascii="Times New Roman" w:hAnsi="Times New Roman" w:cs="Times New Roman"/>
          <w:b/>
          <w:bCs/>
          <w:sz w:val="24"/>
          <w:szCs w:val="24"/>
        </w:rPr>
        <w:t xml:space="preserve"> for Evaluating the Impact of Dykes on Economic Outcomes</w:t>
      </w:r>
      <w:r w:rsidRPr="003A0EBC">
        <w:rPr>
          <w:rFonts w:ascii="Times New Roman" w:hAnsi="Times New Roman" w:cs="Times New Roman"/>
          <w:b/>
          <w:bCs/>
          <w:sz w:val="24"/>
          <w:szCs w:val="24"/>
        </w:rPr>
        <w:t xml:space="preserve"> </w:t>
      </w:r>
      <w:r w:rsidR="00C11F0E" w:rsidRPr="003A0EBC">
        <w:rPr>
          <w:rFonts w:ascii="Times New Roman" w:hAnsi="Times New Roman" w:cs="Times New Roman"/>
          <w:b/>
          <w:bCs/>
          <w:sz w:val="24"/>
          <w:szCs w:val="24"/>
        </w:rPr>
        <w:t>b</w:t>
      </w:r>
      <w:r w:rsidRPr="003A0EBC">
        <w:rPr>
          <w:rFonts w:ascii="Times New Roman" w:hAnsi="Times New Roman" w:cs="Times New Roman"/>
          <w:b/>
          <w:bCs/>
          <w:sz w:val="24"/>
          <w:szCs w:val="24"/>
        </w:rPr>
        <w:t>ased on Bangladesh Integrated Household Survey</w:t>
      </w:r>
      <w:r w:rsidR="00A27F8B" w:rsidRPr="003A0EBC">
        <w:rPr>
          <w:rFonts w:ascii="Times New Roman" w:hAnsi="Times New Roman" w:cs="Times New Roman"/>
          <w:b/>
          <w:bCs/>
          <w:sz w:val="24"/>
          <w:szCs w:val="24"/>
        </w:rPr>
        <w:t xml:space="preserve"> 2018-19</w:t>
      </w:r>
    </w:p>
    <w:tbl>
      <w:tblPr>
        <w:tblStyle w:val="TableGrid"/>
        <w:tblW w:w="0" w:type="auto"/>
        <w:jc w:val="center"/>
        <w:tblLook w:val="04A0" w:firstRow="1" w:lastRow="0" w:firstColumn="1" w:lastColumn="0" w:noHBand="0" w:noVBand="1"/>
      </w:tblPr>
      <w:tblGrid>
        <w:gridCol w:w="1478"/>
        <w:gridCol w:w="1460"/>
        <w:gridCol w:w="1601"/>
        <w:gridCol w:w="1038"/>
      </w:tblGrid>
      <w:tr w:rsidR="00A35F55" w:rsidRPr="0088479D" w14:paraId="680CECEF" w14:textId="1706B3F4" w:rsidTr="00DD6909">
        <w:trPr>
          <w:trHeight w:val="625"/>
          <w:jc w:val="center"/>
        </w:trPr>
        <w:tc>
          <w:tcPr>
            <w:tcW w:w="5577" w:type="dxa"/>
            <w:gridSpan w:val="4"/>
          </w:tcPr>
          <w:p w14:paraId="4DBE11FC" w14:textId="77777777" w:rsidR="00A35F55" w:rsidRDefault="00A35F55" w:rsidP="001424F4">
            <w:pPr>
              <w:rPr>
                <w:rFonts w:ascii="Times New Roman" w:hAnsi="Times New Roman" w:cs="Times New Roman"/>
                <w:sz w:val="24"/>
                <w:szCs w:val="24"/>
              </w:rPr>
            </w:pPr>
            <w:r>
              <w:rPr>
                <w:rFonts w:ascii="Times New Roman" w:hAnsi="Times New Roman" w:cs="Times New Roman"/>
                <w:sz w:val="24"/>
                <w:szCs w:val="24"/>
              </w:rPr>
              <w:t>Outcome variable: Crop Diversification (Simpson index based on share of crop income from different crops)</w:t>
            </w:r>
          </w:p>
          <w:p w14:paraId="1CAE0C4F" w14:textId="77777777" w:rsidR="00A35F55" w:rsidRDefault="00A35F55" w:rsidP="001424F4">
            <w:pPr>
              <w:rPr>
                <w:rFonts w:ascii="Times New Roman" w:hAnsi="Times New Roman" w:cs="Times New Roman"/>
                <w:sz w:val="24"/>
                <w:szCs w:val="24"/>
              </w:rPr>
            </w:pPr>
          </w:p>
        </w:tc>
      </w:tr>
      <w:tr w:rsidR="00A35F55" w:rsidRPr="0088479D" w14:paraId="3F64E8AF" w14:textId="512ADE41" w:rsidTr="003B0BB6">
        <w:trPr>
          <w:trHeight w:val="625"/>
          <w:jc w:val="center"/>
        </w:trPr>
        <w:tc>
          <w:tcPr>
            <w:tcW w:w="1478" w:type="dxa"/>
          </w:tcPr>
          <w:p w14:paraId="077A490B" w14:textId="3A98D6A0" w:rsidR="00A35F55" w:rsidRPr="0088479D" w:rsidRDefault="00A35F55" w:rsidP="001A4C10">
            <w:pPr>
              <w:jc w:val="center"/>
              <w:rPr>
                <w:rFonts w:ascii="Times New Roman" w:hAnsi="Times New Roman" w:cs="Times New Roman"/>
                <w:sz w:val="24"/>
                <w:szCs w:val="24"/>
              </w:rPr>
            </w:pPr>
            <w:r>
              <w:rPr>
                <w:rFonts w:ascii="Times New Roman" w:hAnsi="Times New Roman" w:cs="Times New Roman"/>
                <w:sz w:val="24"/>
                <w:szCs w:val="24"/>
              </w:rPr>
              <w:t>Sample Size per group</w:t>
            </w:r>
          </w:p>
        </w:tc>
        <w:tc>
          <w:tcPr>
            <w:tcW w:w="1460" w:type="dxa"/>
          </w:tcPr>
          <w:p w14:paraId="070861E2" w14:textId="21378BF4" w:rsidR="00A35F55" w:rsidRPr="0088479D" w:rsidRDefault="00A35F55" w:rsidP="001A4C10">
            <w:pPr>
              <w:jc w:val="center"/>
              <w:rPr>
                <w:rFonts w:ascii="Times New Roman" w:hAnsi="Times New Roman" w:cs="Times New Roman"/>
                <w:sz w:val="24"/>
                <w:szCs w:val="24"/>
              </w:rPr>
            </w:pPr>
            <w:r>
              <w:rPr>
                <w:rFonts w:ascii="Times New Roman" w:hAnsi="Times New Roman" w:cs="Times New Roman"/>
                <w:sz w:val="24"/>
                <w:szCs w:val="24"/>
              </w:rPr>
              <w:t>Total Sample Size</w:t>
            </w:r>
          </w:p>
        </w:tc>
        <w:tc>
          <w:tcPr>
            <w:tcW w:w="1601" w:type="dxa"/>
          </w:tcPr>
          <w:p w14:paraId="7950E344" w14:textId="37F84153" w:rsidR="00A35F55" w:rsidRPr="0088479D" w:rsidRDefault="00A35F55" w:rsidP="001A4C10">
            <w:pPr>
              <w:jc w:val="center"/>
              <w:rPr>
                <w:rFonts w:ascii="Times New Roman" w:hAnsi="Times New Roman" w:cs="Times New Roman"/>
                <w:sz w:val="24"/>
                <w:szCs w:val="24"/>
              </w:rPr>
            </w:pPr>
            <w:r w:rsidRPr="0088479D">
              <w:rPr>
                <w:rFonts w:ascii="Times New Roman" w:hAnsi="Times New Roman" w:cs="Times New Roman"/>
                <w:sz w:val="24"/>
                <w:szCs w:val="24"/>
              </w:rPr>
              <w:t>MDES</w:t>
            </w:r>
            <w:r>
              <w:rPr>
                <w:rFonts w:ascii="Times New Roman" w:hAnsi="Times New Roman" w:cs="Times New Roman"/>
                <w:sz w:val="24"/>
                <w:szCs w:val="24"/>
              </w:rPr>
              <w:t xml:space="preserve"> (% increase in sample mean)</w:t>
            </w:r>
          </w:p>
        </w:tc>
        <w:tc>
          <w:tcPr>
            <w:tcW w:w="1038" w:type="dxa"/>
          </w:tcPr>
          <w:p w14:paraId="4095E5CC" w14:textId="0A3AA452" w:rsidR="00A35F55" w:rsidRDefault="00A35F55" w:rsidP="001A4C10">
            <w:pPr>
              <w:jc w:val="center"/>
              <w:rPr>
                <w:rFonts w:ascii="Times New Roman" w:hAnsi="Times New Roman" w:cs="Times New Roman"/>
                <w:sz w:val="24"/>
                <w:szCs w:val="24"/>
              </w:rPr>
            </w:pPr>
            <w:r>
              <w:rPr>
                <w:rFonts w:ascii="Times New Roman" w:hAnsi="Times New Roman" w:cs="Times New Roman"/>
                <w:sz w:val="24"/>
                <w:szCs w:val="24"/>
              </w:rPr>
              <w:t>MDES (in SDs)</w:t>
            </w:r>
          </w:p>
        </w:tc>
      </w:tr>
      <w:tr w:rsidR="00A35F55" w:rsidRPr="0088479D" w14:paraId="1DD258C0" w14:textId="77777777" w:rsidTr="003B0BB6">
        <w:trPr>
          <w:trHeight w:val="312"/>
          <w:jc w:val="center"/>
        </w:trPr>
        <w:tc>
          <w:tcPr>
            <w:tcW w:w="1478" w:type="dxa"/>
          </w:tcPr>
          <w:p w14:paraId="0FDF23ED" w14:textId="6ED14EF9" w:rsidR="00A35F55" w:rsidRPr="00BA24E4" w:rsidRDefault="00A35F55" w:rsidP="002C1F7D">
            <w:pPr>
              <w:jc w:val="center"/>
              <w:rPr>
                <w:rFonts w:ascii="Times New Roman" w:eastAsiaTheme="minorEastAsia" w:hAnsi="Times New Roman" w:cs="Times New Roman"/>
                <w:sz w:val="24"/>
                <w:szCs w:val="24"/>
              </w:rPr>
            </w:pPr>
            <w:r w:rsidRPr="00BD386D">
              <w:rPr>
                <w:rFonts w:ascii="Times New Roman" w:eastAsiaTheme="minorEastAsia" w:hAnsi="Times New Roman" w:cs="Times New Roman"/>
                <w:sz w:val="24"/>
                <w:szCs w:val="24"/>
              </w:rPr>
              <w:t>n = 2</w:t>
            </w:r>
            <w:r>
              <w:rPr>
                <w:rFonts w:ascii="Times New Roman" w:eastAsiaTheme="minorEastAsia" w:hAnsi="Times New Roman" w:cs="Times New Roman"/>
                <w:sz w:val="24"/>
                <w:szCs w:val="24"/>
              </w:rPr>
              <w:t>43</w:t>
            </w:r>
          </w:p>
        </w:tc>
        <w:tc>
          <w:tcPr>
            <w:tcW w:w="1460" w:type="dxa"/>
          </w:tcPr>
          <w:p w14:paraId="7E71E2CE" w14:textId="51DA679A" w:rsidR="00A35F55" w:rsidRPr="00BA24E4" w:rsidRDefault="00A35F55" w:rsidP="002C1F7D">
            <w:pPr>
              <w:jc w:val="center"/>
              <w:rPr>
                <w:rFonts w:ascii="Times New Roman" w:hAnsi="Times New Roman" w:cs="Times New Roman"/>
                <w:sz w:val="24"/>
                <w:szCs w:val="24"/>
              </w:rPr>
            </w:pPr>
            <w:r w:rsidRPr="00BD386D">
              <w:rPr>
                <w:rFonts w:ascii="Times New Roman" w:hAnsi="Times New Roman" w:cs="Times New Roman"/>
                <w:sz w:val="24"/>
                <w:szCs w:val="24"/>
              </w:rPr>
              <w:t xml:space="preserve">N = </w:t>
            </w:r>
            <w:r>
              <w:rPr>
                <w:rFonts w:ascii="Times New Roman" w:hAnsi="Times New Roman" w:cs="Times New Roman"/>
                <w:sz w:val="24"/>
                <w:szCs w:val="24"/>
              </w:rPr>
              <w:t>729</w:t>
            </w:r>
          </w:p>
        </w:tc>
        <w:tc>
          <w:tcPr>
            <w:tcW w:w="1601" w:type="dxa"/>
          </w:tcPr>
          <w:p w14:paraId="72170360" w14:textId="3712CC48" w:rsidR="00A35F55" w:rsidRPr="00BA24E4" w:rsidRDefault="00A35F55" w:rsidP="002C1F7D">
            <w:pPr>
              <w:jc w:val="center"/>
              <w:rPr>
                <w:rFonts w:ascii="Times New Roman" w:hAnsi="Times New Roman" w:cs="Times New Roman"/>
                <w:sz w:val="24"/>
                <w:szCs w:val="24"/>
              </w:rPr>
            </w:pPr>
            <w:r w:rsidRPr="00BD386D">
              <w:rPr>
                <w:rFonts w:ascii="Times New Roman" w:hAnsi="Times New Roman" w:cs="Times New Roman"/>
                <w:sz w:val="24"/>
                <w:szCs w:val="24"/>
              </w:rPr>
              <w:t>25%</w:t>
            </w:r>
          </w:p>
        </w:tc>
        <w:tc>
          <w:tcPr>
            <w:tcW w:w="1038" w:type="dxa"/>
          </w:tcPr>
          <w:p w14:paraId="08B31431" w14:textId="4548831B" w:rsidR="00A35F55" w:rsidRPr="00786A46" w:rsidRDefault="00A35F55" w:rsidP="002C1F7D">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0.25 SD</w:t>
            </w:r>
          </w:p>
        </w:tc>
      </w:tr>
      <w:tr w:rsidR="00A35F55" w:rsidRPr="0088479D" w14:paraId="402B1FEF" w14:textId="669EF466" w:rsidTr="003B0BB6">
        <w:trPr>
          <w:trHeight w:val="312"/>
          <w:jc w:val="center"/>
        </w:trPr>
        <w:tc>
          <w:tcPr>
            <w:tcW w:w="1478" w:type="dxa"/>
          </w:tcPr>
          <w:p w14:paraId="22EDDC7E" w14:textId="45BEA891" w:rsidR="00A35F55" w:rsidRPr="00F81206" w:rsidRDefault="00A35F55" w:rsidP="002C1F7D">
            <w:pPr>
              <w:jc w:val="center"/>
              <w:rPr>
                <w:rFonts w:ascii="Times New Roman" w:eastAsiaTheme="minorEastAsia" w:hAnsi="Times New Roman" w:cs="Times New Roman"/>
                <w:sz w:val="24"/>
                <w:szCs w:val="24"/>
              </w:rPr>
            </w:pPr>
            <w:r w:rsidRPr="00F81206">
              <w:rPr>
                <w:rFonts w:ascii="Times New Roman" w:eastAsiaTheme="minorEastAsia" w:hAnsi="Times New Roman" w:cs="Times New Roman"/>
                <w:sz w:val="24"/>
                <w:szCs w:val="24"/>
              </w:rPr>
              <w:t>n = 3</w:t>
            </w:r>
            <w:r>
              <w:rPr>
                <w:rFonts w:ascii="Times New Roman" w:eastAsiaTheme="minorEastAsia" w:hAnsi="Times New Roman" w:cs="Times New Roman"/>
                <w:sz w:val="24"/>
                <w:szCs w:val="24"/>
              </w:rPr>
              <w:t>32</w:t>
            </w:r>
          </w:p>
        </w:tc>
        <w:tc>
          <w:tcPr>
            <w:tcW w:w="1460" w:type="dxa"/>
          </w:tcPr>
          <w:p w14:paraId="70DE800D" w14:textId="7F379B73" w:rsidR="00A35F55" w:rsidRPr="00F81206" w:rsidRDefault="00A35F55" w:rsidP="002C1F7D">
            <w:pPr>
              <w:jc w:val="center"/>
              <w:rPr>
                <w:rFonts w:ascii="Times New Roman" w:hAnsi="Times New Roman" w:cs="Times New Roman"/>
                <w:sz w:val="24"/>
                <w:szCs w:val="24"/>
              </w:rPr>
            </w:pPr>
            <w:r w:rsidRPr="00F81206">
              <w:rPr>
                <w:rFonts w:ascii="Times New Roman" w:hAnsi="Times New Roman" w:cs="Times New Roman"/>
                <w:sz w:val="24"/>
                <w:szCs w:val="24"/>
              </w:rPr>
              <w:t>N = 9</w:t>
            </w:r>
            <w:r>
              <w:rPr>
                <w:rFonts w:ascii="Times New Roman" w:hAnsi="Times New Roman" w:cs="Times New Roman"/>
                <w:sz w:val="24"/>
                <w:szCs w:val="24"/>
              </w:rPr>
              <w:t>96</w:t>
            </w:r>
          </w:p>
        </w:tc>
        <w:tc>
          <w:tcPr>
            <w:tcW w:w="1601" w:type="dxa"/>
          </w:tcPr>
          <w:p w14:paraId="1A30A405" w14:textId="2CAA5479" w:rsidR="00A35F55" w:rsidRPr="00F81206" w:rsidRDefault="00A35F55" w:rsidP="002C1F7D">
            <w:pPr>
              <w:jc w:val="center"/>
              <w:rPr>
                <w:rFonts w:ascii="Times New Roman" w:hAnsi="Times New Roman" w:cs="Times New Roman"/>
                <w:sz w:val="24"/>
                <w:szCs w:val="24"/>
              </w:rPr>
            </w:pPr>
            <w:r w:rsidRPr="00F81206">
              <w:rPr>
                <w:rFonts w:ascii="Times New Roman" w:hAnsi="Times New Roman" w:cs="Times New Roman"/>
                <w:sz w:val="24"/>
                <w:szCs w:val="24"/>
              </w:rPr>
              <w:t>21%</w:t>
            </w:r>
          </w:p>
        </w:tc>
        <w:tc>
          <w:tcPr>
            <w:tcW w:w="1038" w:type="dxa"/>
          </w:tcPr>
          <w:p w14:paraId="1C4CC4DB" w14:textId="0C9C84B7" w:rsidR="00A35F55" w:rsidRPr="00F81206" w:rsidRDefault="00A35F55" w:rsidP="002C1F7D">
            <w:pPr>
              <w:jc w:val="center"/>
              <w:rPr>
                <w:rFonts w:ascii="Times New Roman" w:eastAsiaTheme="minorEastAsia" w:hAnsi="Times New Roman" w:cs="Times New Roman"/>
                <w:sz w:val="24"/>
                <w:szCs w:val="24"/>
              </w:rPr>
            </w:pPr>
            <w:r w:rsidRPr="00F81206">
              <w:rPr>
                <w:rFonts w:ascii="Times New Roman" w:eastAsiaTheme="minorEastAsia" w:hAnsi="Times New Roman" w:cs="Times New Roman"/>
                <w:sz w:val="24"/>
                <w:szCs w:val="24"/>
              </w:rPr>
              <w:t>0.20 SD</w:t>
            </w:r>
          </w:p>
        </w:tc>
      </w:tr>
      <w:tr w:rsidR="00A35F55" w:rsidRPr="0088479D" w14:paraId="304960F0" w14:textId="75D5DB74" w:rsidTr="003B0BB6">
        <w:trPr>
          <w:trHeight w:val="312"/>
          <w:jc w:val="center"/>
        </w:trPr>
        <w:tc>
          <w:tcPr>
            <w:tcW w:w="1478" w:type="dxa"/>
          </w:tcPr>
          <w:p w14:paraId="5F6FEF29" w14:textId="4D3A31B1" w:rsidR="00A35F55" w:rsidRPr="0012747B" w:rsidRDefault="00A35F55" w:rsidP="002C1F7D">
            <w:pPr>
              <w:jc w:val="center"/>
              <w:rPr>
                <w:rFonts w:ascii="Times New Roman" w:eastAsiaTheme="minorEastAsia" w:hAnsi="Times New Roman" w:cs="Times New Roman"/>
                <w:sz w:val="24"/>
                <w:szCs w:val="24"/>
              </w:rPr>
            </w:pPr>
            <w:r w:rsidRPr="00BA24E4">
              <w:rPr>
                <w:rFonts w:ascii="Times New Roman" w:eastAsiaTheme="minorEastAsia" w:hAnsi="Times New Roman" w:cs="Times New Roman"/>
                <w:sz w:val="24"/>
                <w:szCs w:val="24"/>
              </w:rPr>
              <w:t>n = 4</w:t>
            </w:r>
            <w:r>
              <w:rPr>
                <w:rFonts w:ascii="Times New Roman" w:eastAsiaTheme="minorEastAsia" w:hAnsi="Times New Roman" w:cs="Times New Roman"/>
                <w:sz w:val="24"/>
                <w:szCs w:val="24"/>
              </w:rPr>
              <w:t>59</w:t>
            </w:r>
          </w:p>
        </w:tc>
        <w:tc>
          <w:tcPr>
            <w:tcW w:w="1460" w:type="dxa"/>
          </w:tcPr>
          <w:p w14:paraId="258556AA" w14:textId="2AE13695" w:rsidR="00A35F55" w:rsidRPr="0012747B" w:rsidRDefault="00A35F55" w:rsidP="002C1F7D">
            <w:pPr>
              <w:jc w:val="center"/>
              <w:rPr>
                <w:rFonts w:ascii="Times New Roman" w:hAnsi="Times New Roman" w:cs="Times New Roman"/>
                <w:sz w:val="24"/>
                <w:szCs w:val="24"/>
              </w:rPr>
            </w:pPr>
            <w:r w:rsidRPr="00BA24E4">
              <w:rPr>
                <w:rFonts w:ascii="Times New Roman" w:hAnsi="Times New Roman" w:cs="Times New Roman"/>
                <w:sz w:val="24"/>
                <w:szCs w:val="24"/>
              </w:rPr>
              <w:t>N = 1</w:t>
            </w:r>
            <w:r>
              <w:rPr>
                <w:rFonts w:ascii="Times New Roman" w:hAnsi="Times New Roman" w:cs="Times New Roman"/>
                <w:sz w:val="24"/>
                <w:szCs w:val="24"/>
              </w:rPr>
              <w:t>377</w:t>
            </w:r>
          </w:p>
        </w:tc>
        <w:tc>
          <w:tcPr>
            <w:tcW w:w="1601" w:type="dxa"/>
          </w:tcPr>
          <w:p w14:paraId="6436F3F9" w14:textId="68286BE8" w:rsidR="00A35F55" w:rsidRPr="0012747B" w:rsidRDefault="00A35F55" w:rsidP="002C1F7D">
            <w:pPr>
              <w:jc w:val="center"/>
              <w:rPr>
                <w:rFonts w:ascii="Times New Roman" w:hAnsi="Times New Roman" w:cs="Times New Roman"/>
                <w:sz w:val="24"/>
                <w:szCs w:val="24"/>
              </w:rPr>
            </w:pPr>
            <w:r w:rsidRPr="00BA24E4">
              <w:rPr>
                <w:rFonts w:ascii="Times New Roman" w:hAnsi="Times New Roman" w:cs="Times New Roman"/>
                <w:sz w:val="24"/>
                <w:szCs w:val="24"/>
              </w:rPr>
              <w:t>17.5%</w:t>
            </w:r>
          </w:p>
        </w:tc>
        <w:tc>
          <w:tcPr>
            <w:tcW w:w="1038" w:type="dxa"/>
          </w:tcPr>
          <w:p w14:paraId="5387CD62" w14:textId="71C0A07C" w:rsidR="00A35F55" w:rsidRDefault="00A35F55" w:rsidP="002C1F7D">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0.17 SD</w:t>
            </w:r>
          </w:p>
        </w:tc>
      </w:tr>
      <w:tr w:rsidR="00A35F55" w:rsidRPr="0088479D" w14:paraId="1198AEBD" w14:textId="525BCCC3" w:rsidTr="007D5435">
        <w:trPr>
          <w:trHeight w:val="683"/>
          <w:jc w:val="center"/>
        </w:trPr>
        <w:tc>
          <w:tcPr>
            <w:tcW w:w="5577" w:type="dxa"/>
            <w:gridSpan w:val="4"/>
          </w:tcPr>
          <w:p w14:paraId="4D59BD3A" w14:textId="5DC18E66" w:rsidR="00A35F55" w:rsidRDefault="00A35F55" w:rsidP="002C1F7D">
            <w:pPr>
              <w:rPr>
                <w:rFonts w:ascii="Times New Roman" w:hAnsi="Times New Roman" w:cs="Times New Roman"/>
                <w:sz w:val="24"/>
                <w:szCs w:val="24"/>
              </w:rPr>
            </w:pPr>
            <w:r>
              <w:rPr>
                <w:rFonts w:ascii="Times New Roman" w:hAnsi="Times New Roman" w:cs="Times New Roman"/>
                <w:sz w:val="24"/>
                <w:szCs w:val="24"/>
              </w:rPr>
              <w:t>Mean = 0.28; SD = 0.26, power = 0.8, AR1 = 0.4</w:t>
            </w:r>
          </w:p>
        </w:tc>
      </w:tr>
    </w:tbl>
    <w:p w14:paraId="67ED30FF" w14:textId="77777777" w:rsidR="001A7C0C" w:rsidRDefault="001A7C0C" w:rsidP="00CE41EF">
      <w:pPr>
        <w:rPr>
          <w:rFonts w:ascii="Times New Roman" w:hAnsi="Times New Roman" w:cs="Times New Roman"/>
          <w:sz w:val="24"/>
          <w:szCs w:val="24"/>
        </w:rPr>
      </w:pPr>
    </w:p>
    <w:p w14:paraId="62FB892D" w14:textId="3321F159" w:rsidR="00B1279A" w:rsidRPr="003A0EBC" w:rsidRDefault="00930E10" w:rsidP="00CE41EF">
      <w:pPr>
        <w:rPr>
          <w:rFonts w:ascii="Times New Roman" w:hAnsi="Times New Roman" w:cs="Times New Roman"/>
          <w:b/>
          <w:bCs/>
          <w:sz w:val="24"/>
          <w:szCs w:val="24"/>
          <w:u w:val="single"/>
        </w:rPr>
      </w:pPr>
      <w:r>
        <w:rPr>
          <w:rFonts w:ascii="Times New Roman" w:hAnsi="Times New Roman" w:cs="Times New Roman"/>
          <w:b/>
          <w:bCs/>
          <w:sz w:val="24"/>
          <w:szCs w:val="24"/>
          <w:u w:val="single"/>
        </w:rPr>
        <w:t>Data Collection</w:t>
      </w:r>
      <w:r w:rsidR="00A372D5" w:rsidRPr="003A0EBC">
        <w:rPr>
          <w:rFonts w:ascii="Times New Roman" w:hAnsi="Times New Roman" w:cs="Times New Roman"/>
          <w:b/>
          <w:bCs/>
          <w:sz w:val="24"/>
          <w:szCs w:val="24"/>
          <w:u w:val="single"/>
        </w:rPr>
        <w:t>:</w:t>
      </w:r>
    </w:p>
    <w:p w14:paraId="61320866" w14:textId="3A653DFB" w:rsidR="00061AB6" w:rsidRDefault="00930E10" w:rsidP="00A372D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For this part, due to practical considerations, we will sample</w:t>
      </w:r>
      <w:r w:rsidR="00061AB6">
        <w:rPr>
          <w:rFonts w:ascii="Times New Roman" w:hAnsi="Times New Roman" w:cs="Times New Roman"/>
          <w:sz w:val="24"/>
          <w:szCs w:val="24"/>
        </w:rPr>
        <w:t>:</w:t>
      </w:r>
    </w:p>
    <w:p w14:paraId="3F8A5BBA" w14:textId="0A8D9458" w:rsidR="009D30B6" w:rsidRDefault="00061AB6" w:rsidP="00061AB6">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Comparison Group: </w:t>
      </w:r>
      <w:r w:rsidR="009D30B6">
        <w:rPr>
          <w:rFonts w:ascii="Times New Roman" w:hAnsi="Times New Roman" w:cs="Times New Roman"/>
          <w:sz w:val="24"/>
          <w:szCs w:val="24"/>
        </w:rPr>
        <w:t>3</w:t>
      </w:r>
      <w:r w:rsidR="00EF16B1">
        <w:rPr>
          <w:rFonts w:ascii="Times New Roman" w:hAnsi="Times New Roman" w:cs="Times New Roman"/>
          <w:sz w:val="24"/>
          <w:szCs w:val="24"/>
        </w:rPr>
        <w:t>30</w:t>
      </w:r>
      <w:r w:rsidR="009D30B6">
        <w:rPr>
          <w:rFonts w:ascii="Times New Roman" w:hAnsi="Times New Roman" w:cs="Times New Roman"/>
          <w:sz w:val="24"/>
          <w:szCs w:val="24"/>
        </w:rPr>
        <w:t xml:space="preserve"> observations</w:t>
      </w:r>
    </w:p>
    <w:p w14:paraId="201394E7" w14:textId="5078ADF3" w:rsidR="00A372D5" w:rsidRDefault="009D30B6" w:rsidP="00061AB6">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Transition Group: </w:t>
      </w:r>
      <w:r w:rsidR="00930E10">
        <w:rPr>
          <w:rFonts w:ascii="Times New Roman" w:hAnsi="Times New Roman" w:cs="Times New Roman"/>
          <w:sz w:val="24"/>
          <w:szCs w:val="24"/>
        </w:rPr>
        <w:t>270</w:t>
      </w:r>
      <w:r>
        <w:rPr>
          <w:rFonts w:ascii="Times New Roman" w:hAnsi="Times New Roman" w:cs="Times New Roman"/>
          <w:sz w:val="24"/>
          <w:szCs w:val="24"/>
        </w:rPr>
        <w:t xml:space="preserve"> observations</w:t>
      </w:r>
    </w:p>
    <w:p w14:paraId="4D09E0F3" w14:textId="7E5AC018" w:rsidR="009D30B6" w:rsidRDefault="009D30B6" w:rsidP="00061AB6">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lastRenderedPageBreak/>
        <w:t>Dyke Treatment group</w:t>
      </w:r>
      <w:r w:rsidR="007133ED">
        <w:rPr>
          <w:rFonts w:ascii="Times New Roman" w:hAnsi="Times New Roman" w:cs="Times New Roman"/>
          <w:sz w:val="24"/>
          <w:szCs w:val="24"/>
        </w:rPr>
        <w:t xml:space="preserve">: </w:t>
      </w:r>
      <w:r w:rsidR="00250C27">
        <w:rPr>
          <w:rFonts w:ascii="Times New Roman" w:hAnsi="Times New Roman" w:cs="Times New Roman"/>
          <w:sz w:val="24"/>
          <w:szCs w:val="24"/>
        </w:rPr>
        <w:t>300</w:t>
      </w:r>
      <w:r w:rsidR="007133ED">
        <w:rPr>
          <w:rFonts w:ascii="Times New Roman" w:hAnsi="Times New Roman" w:cs="Times New Roman"/>
          <w:sz w:val="24"/>
          <w:szCs w:val="24"/>
        </w:rPr>
        <w:t xml:space="preserve"> observations</w:t>
      </w:r>
    </w:p>
    <w:p w14:paraId="188EA71B" w14:textId="7774A206" w:rsidR="001B631D" w:rsidRDefault="001B631D" w:rsidP="00061AB6">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Total observations: 9</w:t>
      </w:r>
      <w:r w:rsidR="00930E10">
        <w:rPr>
          <w:rFonts w:ascii="Times New Roman" w:hAnsi="Times New Roman" w:cs="Times New Roman"/>
          <w:sz w:val="24"/>
          <w:szCs w:val="24"/>
        </w:rPr>
        <w:t>00</w:t>
      </w:r>
    </w:p>
    <w:p w14:paraId="0BBF68EC" w14:textId="77777777" w:rsidR="003A0EBC" w:rsidRPr="00A372D5" w:rsidRDefault="003A0EBC" w:rsidP="003A0EBC">
      <w:pPr>
        <w:pStyle w:val="ListParagraph"/>
        <w:rPr>
          <w:rFonts w:ascii="Times New Roman" w:hAnsi="Times New Roman" w:cs="Times New Roman"/>
          <w:sz w:val="24"/>
          <w:szCs w:val="24"/>
        </w:rPr>
      </w:pPr>
    </w:p>
    <w:p w14:paraId="78CC9349" w14:textId="66D2239F" w:rsidR="00CC2668" w:rsidRDefault="00CC2668" w:rsidP="00626519">
      <w:pPr>
        <w:pStyle w:val="Heading2"/>
        <w:numPr>
          <w:ilvl w:val="1"/>
          <w:numId w:val="8"/>
        </w:numPr>
        <w:ind w:left="648"/>
      </w:pPr>
      <w:r w:rsidRPr="006C1665">
        <w:t>Part (</w:t>
      </w:r>
      <w:r>
        <w:t>b</w:t>
      </w:r>
      <w:r w:rsidRPr="006C1665">
        <w:t xml:space="preserve">): The impact of </w:t>
      </w:r>
      <w:r>
        <w:t>Canals and Buried Pipes</w:t>
      </w:r>
      <w:r w:rsidRPr="006C1665">
        <w:t xml:space="preserve"> on Households’ Socioeconomic Outcomes</w:t>
      </w:r>
    </w:p>
    <w:p w14:paraId="4AAF9C73" w14:textId="77777777" w:rsidR="00B961CE" w:rsidRDefault="00B961CE" w:rsidP="00B961CE">
      <w:pPr>
        <w:rPr>
          <w:rFonts w:ascii="Times New Roman" w:hAnsi="Times New Roman" w:cs="Times New Roman"/>
          <w:sz w:val="24"/>
          <w:szCs w:val="24"/>
        </w:rPr>
      </w:pPr>
    </w:p>
    <w:p w14:paraId="32736958" w14:textId="7C711EB8" w:rsidR="003A0EBC" w:rsidRPr="00B961CE" w:rsidRDefault="00B961CE" w:rsidP="003A0EBC">
      <w:pPr>
        <w:rPr>
          <w:rFonts w:ascii="Times New Roman" w:hAnsi="Times New Roman" w:cs="Times New Roman"/>
          <w:sz w:val="24"/>
          <w:szCs w:val="24"/>
        </w:rPr>
      </w:pPr>
      <w:r w:rsidRPr="00B961CE">
        <w:rPr>
          <w:rFonts w:ascii="Times New Roman" w:hAnsi="Times New Roman" w:cs="Times New Roman"/>
          <w:sz w:val="24"/>
          <w:szCs w:val="24"/>
        </w:rPr>
        <w:t xml:space="preserve">To estimate the impact of </w:t>
      </w:r>
      <w:r>
        <w:rPr>
          <w:rFonts w:ascii="Times New Roman" w:hAnsi="Times New Roman" w:cs="Times New Roman"/>
          <w:sz w:val="24"/>
          <w:szCs w:val="24"/>
        </w:rPr>
        <w:t>canals and buried pipe infrastructures</w:t>
      </w:r>
      <w:r w:rsidRPr="00B961CE">
        <w:rPr>
          <w:rFonts w:ascii="Times New Roman" w:hAnsi="Times New Roman" w:cs="Times New Roman"/>
          <w:sz w:val="24"/>
          <w:szCs w:val="24"/>
        </w:rPr>
        <w:t xml:space="preserve"> on household</w:t>
      </w:r>
      <w:r>
        <w:rPr>
          <w:rFonts w:ascii="Times New Roman" w:hAnsi="Times New Roman" w:cs="Times New Roman"/>
          <w:sz w:val="24"/>
          <w:szCs w:val="24"/>
        </w:rPr>
        <w:t>s’</w:t>
      </w:r>
      <w:r w:rsidRPr="00B961CE">
        <w:rPr>
          <w:rFonts w:ascii="Times New Roman" w:hAnsi="Times New Roman" w:cs="Times New Roman"/>
          <w:sz w:val="24"/>
          <w:szCs w:val="24"/>
        </w:rPr>
        <w:t xml:space="preserve"> socioeconomic outcomes, we develop an impact evaluation design that relies on a </w:t>
      </w:r>
      <w:r w:rsidR="00A012CD">
        <w:rPr>
          <w:rFonts w:ascii="Times New Roman" w:hAnsi="Times New Roman" w:cs="Times New Roman"/>
          <w:sz w:val="24"/>
          <w:szCs w:val="24"/>
        </w:rPr>
        <w:t>canal</w:t>
      </w:r>
      <w:r w:rsidR="00930E10">
        <w:rPr>
          <w:rFonts w:ascii="Times New Roman" w:hAnsi="Times New Roman" w:cs="Times New Roman"/>
          <w:sz w:val="24"/>
          <w:szCs w:val="24"/>
        </w:rPr>
        <w:t xml:space="preserve"> and</w:t>
      </w:r>
      <w:r w:rsidR="00A012CD">
        <w:rPr>
          <w:rFonts w:ascii="Times New Roman" w:hAnsi="Times New Roman" w:cs="Times New Roman"/>
          <w:sz w:val="24"/>
          <w:szCs w:val="24"/>
        </w:rPr>
        <w:t xml:space="preserve"> buried pipes </w:t>
      </w:r>
      <w:r w:rsidRPr="00B961CE">
        <w:rPr>
          <w:rFonts w:ascii="Times New Roman" w:hAnsi="Times New Roman" w:cs="Times New Roman"/>
          <w:sz w:val="24"/>
          <w:szCs w:val="24"/>
        </w:rPr>
        <w:t xml:space="preserve">treatment </w:t>
      </w:r>
      <w:proofErr w:type="gramStart"/>
      <w:r w:rsidRPr="00B961CE">
        <w:rPr>
          <w:rFonts w:ascii="Times New Roman" w:hAnsi="Times New Roman" w:cs="Times New Roman"/>
          <w:sz w:val="24"/>
          <w:szCs w:val="24"/>
        </w:rPr>
        <w:t>group</w:t>
      </w:r>
      <w:r w:rsidR="00A012CD">
        <w:rPr>
          <w:rFonts w:ascii="Times New Roman" w:hAnsi="Times New Roman" w:cs="Times New Roman"/>
          <w:sz w:val="24"/>
          <w:szCs w:val="24"/>
        </w:rPr>
        <w:t>s</w:t>
      </w:r>
      <w:proofErr w:type="gramEnd"/>
      <w:r w:rsidRPr="00B961CE">
        <w:rPr>
          <w:rFonts w:ascii="Times New Roman" w:hAnsi="Times New Roman" w:cs="Times New Roman"/>
          <w:sz w:val="24"/>
          <w:szCs w:val="24"/>
        </w:rPr>
        <w:t>, and a comparison group. The definitions of these groups are provided below</w:t>
      </w:r>
      <w:r w:rsidR="00A012CD">
        <w:rPr>
          <w:rFonts w:ascii="Times New Roman" w:hAnsi="Times New Roman" w:cs="Times New Roman"/>
          <w:sz w:val="24"/>
          <w:szCs w:val="24"/>
        </w:rPr>
        <w:t>:</w:t>
      </w:r>
      <w:r w:rsidRPr="00B961CE">
        <w:rPr>
          <w:rFonts w:ascii="Times New Roman" w:hAnsi="Times New Roman" w:cs="Times New Roman"/>
          <w:sz w:val="24"/>
          <w:szCs w:val="24"/>
        </w:rPr>
        <w:t xml:space="preserve"> </w:t>
      </w:r>
    </w:p>
    <w:p w14:paraId="2DAAA02E" w14:textId="39AAF1A6" w:rsidR="006C7DD6" w:rsidRDefault="006C7DD6" w:rsidP="006C7DD6">
      <w:pPr>
        <w:rPr>
          <w:rFonts w:ascii="Times New Roman" w:hAnsi="Times New Roman" w:cs="Times New Roman"/>
          <w:sz w:val="24"/>
          <w:szCs w:val="24"/>
        </w:rPr>
      </w:pPr>
      <w:r w:rsidRPr="00557B56">
        <w:rPr>
          <w:rFonts w:ascii="Times New Roman" w:hAnsi="Times New Roman" w:cs="Times New Roman"/>
          <w:i/>
          <w:iCs/>
          <w:sz w:val="24"/>
          <w:szCs w:val="24"/>
        </w:rPr>
        <w:t>Co</w:t>
      </w:r>
      <w:r>
        <w:rPr>
          <w:rFonts w:ascii="Times New Roman" w:hAnsi="Times New Roman" w:cs="Times New Roman"/>
          <w:i/>
          <w:iCs/>
          <w:sz w:val="24"/>
          <w:szCs w:val="24"/>
        </w:rPr>
        <w:t>mparison</w:t>
      </w:r>
      <w:r w:rsidRPr="00557B56">
        <w:rPr>
          <w:rFonts w:ascii="Times New Roman" w:hAnsi="Times New Roman" w:cs="Times New Roman"/>
          <w:i/>
          <w:iCs/>
          <w:sz w:val="24"/>
          <w:szCs w:val="24"/>
        </w:rPr>
        <w:t xml:space="preserve"> group</w:t>
      </w:r>
      <w:r w:rsidRPr="00557B56">
        <w:rPr>
          <w:rFonts w:ascii="Times New Roman" w:hAnsi="Times New Roman" w:cs="Times New Roman"/>
          <w:sz w:val="24"/>
          <w:szCs w:val="24"/>
        </w:rPr>
        <w:t>:</w:t>
      </w:r>
      <w:r>
        <w:rPr>
          <w:rFonts w:ascii="Times New Roman" w:hAnsi="Times New Roman" w:cs="Times New Roman"/>
          <w:sz w:val="24"/>
          <w:szCs w:val="24"/>
        </w:rPr>
        <w:t xml:space="preserve"> </w:t>
      </w:r>
      <w:r w:rsidR="00566B60">
        <w:rPr>
          <w:rFonts w:ascii="Times New Roman" w:hAnsi="Times New Roman" w:cs="Times New Roman"/>
          <w:sz w:val="24"/>
          <w:szCs w:val="24"/>
        </w:rPr>
        <w:t>Households in cropl</w:t>
      </w:r>
      <w:r w:rsidR="00774F0D">
        <w:rPr>
          <w:rFonts w:ascii="Times New Roman" w:hAnsi="Times New Roman" w:cs="Times New Roman"/>
          <w:sz w:val="24"/>
          <w:szCs w:val="24"/>
        </w:rPr>
        <w:t>and parcels/villages</w:t>
      </w:r>
      <w:r>
        <w:rPr>
          <w:rFonts w:ascii="Times New Roman" w:hAnsi="Times New Roman" w:cs="Times New Roman"/>
          <w:sz w:val="24"/>
          <w:szCs w:val="24"/>
        </w:rPr>
        <w:t xml:space="preserve"> where canals</w:t>
      </w:r>
      <w:r w:rsidR="00930E10">
        <w:rPr>
          <w:rFonts w:ascii="Times New Roman" w:hAnsi="Times New Roman" w:cs="Times New Roman"/>
          <w:sz w:val="24"/>
          <w:szCs w:val="24"/>
        </w:rPr>
        <w:t xml:space="preserve"> and </w:t>
      </w:r>
      <w:r w:rsidR="00774F0D">
        <w:rPr>
          <w:rFonts w:ascii="Times New Roman" w:hAnsi="Times New Roman" w:cs="Times New Roman"/>
          <w:sz w:val="24"/>
          <w:szCs w:val="24"/>
        </w:rPr>
        <w:t>buried pipe</w:t>
      </w:r>
      <w:r>
        <w:rPr>
          <w:rFonts w:ascii="Times New Roman" w:hAnsi="Times New Roman" w:cs="Times New Roman"/>
          <w:sz w:val="24"/>
          <w:szCs w:val="24"/>
        </w:rPr>
        <w:t xml:space="preserve"> will NOT be built.</w:t>
      </w:r>
      <w:r w:rsidR="00715C0D">
        <w:rPr>
          <w:rFonts w:ascii="Times New Roman" w:hAnsi="Times New Roman" w:cs="Times New Roman"/>
          <w:sz w:val="24"/>
          <w:szCs w:val="24"/>
        </w:rPr>
        <w:t xml:space="preserve"> However, these cropland parcels are within the same </w:t>
      </w:r>
      <w:r w:rsidR="0081575B">
        <w:rPr>
          <w:rFonts w:ascii="Times New Roman" w:hAnsi="Times New Roman" w:cs="Times New Roman"/>
          <w:sz w:val="24"/>
          <w:szCs w:val="24"/>
        </w:rPr>
        <w:t>or adjacent mouzas</w:t>
      </w:r>
      <w:r w:rsidR="00017BE8">
        <w:rPr>
          <w:rStyle w:val="FootnoteReference"/>
          <w:rFonts w:ascii="Times New Roman" w:hAnsi="Times New Roman" w:cs="Times New Roman"/>
          <w:sz w:val="24"/>
          <w:szCs w:val="24"/>
        </w:rPr>
        <w:footnoteReference w:id="7"/>
      </w:r>
      <w:r w:rsidR="0081575B">
        <w:rPr>
          <w:rFonts w:ascii="Times New Roman" w:hAnsi="Times New Roman" w:cs="Times New Roman"/>
          <w:sz w:val="24"/>
          <w:szCs w:val="24"/>
        </w:rPr>
        <w:t xml:space="preserve"> where canals</w:t>
      </w:r>
      <w:r w:rsidR="00930E10">
        <w:rPr>
          <w:rFonts w:ascii="Times New Roman" w:hAnsi="Times New Roman" w:cs="Times New Roman"/>
          <w:sz w:val="24"/>
          <w:szCs w:val="24"/>
        </w:rPr>
        <w:t xml:space="preserve"> and</w:t>
      </w:r>
      <w:r w:rsidR="0081575B">
        <w:rPr>
          <w:rFonts w:ascii="Times New Roman" w:hAnsi="Times New Roman" w:cs="Times New Roman"/>
          <w:sz w:val="24"/>
          <w:szCs w:val="24"/>
        </w:rPr>
        <w:t xml:space="preserve"> buried pipes are built.</w:t>
      </w:r>
      <w:r w:rsidR="00930E10">
        <w:rPr>
          <w:rFonts w:ascii="Times New Roman" w:hAnsi="Times New Roman" w:cs="Times New Roman"/>
          <w:sz w:val="24"/>
          <w:szCs w:val="24"/>
        </w:rPr>
        <w:t xml:space="preserve"> Detailed data on the locations of canals and buried pipes was sourced from BADC and then mouza lists were developed in which these beneficiary water user groups existed. We also developed maps outlining the area where beneficiaries of canals or buried pipes could exist and comparison groups were chosen only outside these beneficiary areas, but within </w:t>
      </w:r>
      <w:r w:rsidR="00BE429A">
        <w:rPr>
          <w:rFonts w:ascii="Times New Roman" w:hAnsi="Times New Roman" w:cs="Times New Roman"/>
          <w:sz w:val="24"/>
          <w:szCs w:val="24"/>
        </w:rPr>
        <w:t>a</w:t>
      </w:r>
      <w:r w:rsidR="00930E10">
        <w:rPr>
          <w:rFonts w:ascii="Times New Roman" w:hAnsi="Times New Roman" w:cs="Times New Roman"/>
          <w:sz w:val="24"/>
          <w:szCs w:val="24"/>
        </w:rPr>
        <w:t xml:space="preserve"> </w:t>
      </w:r>
      <w:r w:rsidR="00BE429A">
        <w:rPr>
          <w:rFonts w:ascii="Times New Roman" w:hAnsi="Times New Roman" w:cs="Times New Roman"/>
          <w:sz w:val="24"/>
          <w:szCs w:val="24"/>
        </w:rPr>
        <w:t>proximate</w:t>
      </w:r>
      <w:r w:rsidR="00930E10">
        <w:rPr>
          <w:rFonts w:ascii="Times New Roman" w:hAnsi="Times New Roman" w:cs="Times New Roman"/>
          <w:sz w:val="24"/>
          <w:szCs w:val="24"/>
        </w:rPr>
        <w:t xml:space="preserve"> geographical location</w:t>
      </w:r>
      <w:r w:rsidR="00BE429A">
        <w:rPr>
          <w:rFonts w:ascii="Times New Roman" w:hAnsi="Times New Roman" w:cs="Times New Roman"/>
          <w:sz w:val="24"/>
          <w:szCs w:val="24"/>
        </w:rPr>
        <w:t xml:space="preserve">.  </w:t>
      </w:r>
      <w:r w:rsidR="0081575B">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FE92ADA" w14:textId="5302F125" w:rsidR="00017098" w:rsidRDefault="00017098" w:rsidP="006C7DD6">
      <w:pPr>
        <w:rPr>
          <w:rFonts w:ascii="Times New Roman" w:hAnsi="Times New Roman" w:cs="Times New Roman"/>
          <w:sz w:val="24"/>
          <w:szCs w:val="24"/>
        </w:rPr>
      </w:pPr>
      <w:r>
        <w:rPr>
          <w:rFonts w:ascii="Times New Roman" w:hAnsi="Times New Roman" w:cs="Times New Roman"/>
          <w:i/>
          <w:iCs/>
          <w:sz w:val="24"/>
          <w:szCs w:val="24"/>
        </w:rPr>
        <w:t>Canal treatment</w:t>
      </w:r>
      <w:r w:rsidR="006C7DD6" w:rsidRPr="00557B56">
        <w:rPr>
          <w:rFonts w:ascii="Times New Roman" w:hAnsi="Times New Roman" w:cs="Times New Roman"/>
          <w:i/>
          <w:iCs/>
          <w:sz w:val="24"/>
          <w:szCs w:val="24"/>
        </w:rPr>
        <w:t xml:space="preserve"> group</w:t>
      </w:r>
      <w:r w:rsidR="006C7DD6" w:rsidRPr="00557B56">
        <w:rPr>
          <w:rFonts w:ascii="Times New Roman" w:hAnsi="Times New Roman" w:cs="Times New Roman"/>
          <w:sz w:val="24"/>
          <w:szCs w:val="24"/>
        </w:rPr>
        <w:t>:</w:t>
      </w:r>
      <w:r w:rsidR="006C7DD6">
        <w:rPr>
          <w:rFonts w:ascii="Times New Roman" w:hAnsi="Times New Roman" w:cs="Times New Roman"/>
          <w:sz w:val="24"/>
          <w:szCs w:val="24"/>
        </w:rPr>
        <w:t xml:space="preserve"> Households</w:t>
      </w:r>
      <w:r w:rsidR="00566B60">
        <w:rPr>
          <w:rFonts w:ascii="Times New Roman" w:hAnsi="Times New Roman" w:cs="Times New Roman"/>
          <w:sz w:val="24"/>
          <w:szCs w:val="24"/>
        </w:rPr>
        <w:t xml:space="preserve"> in WUGs</w:t>
      </w:r>
      <w:r w:rsidR="00B1552E">
        <w:rPr>
          <w:rFonts w:ascii="Times New Roman" w:hAnsi="Times New Roman" w:cs="Times New Roman"/>
          <w:sz w:val="24"/>
          <w:szCs w:val="24"/>
        </w:rPr>
        <w:t>/cropland parcels</w:t>
      </w:r>
      <w:r w:rsidR="00566B60">
        <w:rPr>
          <w:rFonts w:ascii="Times New Roman" w:hAnsi="Times New Roman" w:cs="Times New Roman"/>
          <w:sz w:val="24"/>
          <w:szCs w:val="24"/>
        </w:rPr>
        <w:t xml:space="preserve"> </w:t>
      </w:r>
      <w:r w:rsidR="006C7DD6">
        <w:rPr>
          <w:rFonts w:ascii="Times New Roman" w:hAnsi="Times New Roman" w:cs="Times New Roman"/>
          <w:sz w:val="24"/>
          <w:szCs w:val="24"/>
        </w:rPr>
        <w:t xml:space="preserve">where </w:t>
      </w:r>
      <w:r>
        <w:rPr>
          <w:rFonts w:ascii="Times New Roman" w:hAnsi="Times New Roman" w:cs="Times New Roman"/>
          <w:sz w:val="24"/>
          <w:szCs w:val="24"/>
        </w:rPr>
        <w:t>canals</w:t>
      </w:r>
      <w:r w:rsidR="006C7DD6">
        <w:rPr>
          <w:rFonts w:ascii="Times New Roman" w:hAnsi="Times New Roman" w:cs="Times New Roman"/>
          <w:sz w:val="24"/>
          <w:szCs w:val="24"/>
        </w:rPr>
        <w:t xml:space="preserve"> are already built.</w:t>
      </w:r>
    </w:p>
    <w:p w14:paraId="0A65027A" w14:textId="235AFDDA" w:rsidR="00DE2D53" w:rsidRDefault="00DE2D53" w:rsidP="00DE2D53">
      <w:pPr>
        <w:rPr>
          <w:rFonts w:ascii="Times New Roman" w:hAnsi="Times New Roman" w:cs="Times New Roman"/>
          <w:sz w:val="24"/>
          <w:szCs w:val="24"/>
        </w:rPr>
      </w:pPr>
      <w:r>
        <w:rPr>
          <w:rFonts w:ascii="Times New Roman" w:hAnsi="Times New Roman" w:cs="Times New Roman"/>
          <w:i/>
          <w:iCs/>
          <w:sz w:val="24"/>
          <w:szCs w:val="24"/>
        </w:rPr>
        <w:t>Buried-pipe treatment</w:t>
      </w:r>
      <w:r w:rsidRPr="00557B56">
        <w:rPr>
          <w:rFonts w:ascii="Times New Roman" w:hAnsi="Times New Roman" w:cs="Times New Roman"/>
          <w:i/>
          <w:iCs/>
          <w:sz w:val="24"/>
          <w:szCs w:val="24"/>
        </w:rPr>
        <w:t xml:space="preserve"> group</w:t>
      </w:r>
      <w:r w:rsidRPr="00557B56">
        <w:rPr>
          <w:rFonts w:ascii="Times New Roman" w:hAnsi="Times New Roman" w:cs="Times New Roman"/>
          <w:sz w:val="24"/>
          <w:szCs w:val="24"/>
        </w:rPr>
        <w:t>:</w:t>
      </w:r>
      <w:r>
        <w:rPr>
          <w:rFonts w:ascii="Times New Roman" w:hAnsi="Times New Roman" w:cs="Times New Roman"/>
          <w:sz w:val="24"/>
          <w:szCs w:val="24"/>
        </w:rPr>
        <w:t xml:space="preserve"> Households in WUGs</w:t>
      </w:r>
      <w:r w:rsidR="00B1552E">
        <w:rPr>
          <w:rFonts w:ascii="Times New Roman" w:hAnsi="Times New Roman" w:cs="Times New Roman"/>
          <w:sz w:val="24"/>
          <w:szCs w:val="24"/>
        </w:rPr>
        <w:t>/cropland parcels</w:t>
      </w:r>
      <w:r>
        <w:rPr>
          <w:rFonts w:ascii="Times New Roman" w:hAnsi="Times New Roman" w:cs="Times New Roman"/>
          <w:sz w:val="24"/>
          <w:szCs w:val="24"/>
        </w:rPr>
        <w:t xml:space="preserve"> where </w:t>
      </w:r>
      <w:r w:rsidR="00780888">
        <w:rPr>
          <w:rFonts w:ascii="Times New Roman" w:hAnsi="Times New Roman" w:cs="Times New Roman"/>
          <w:sz w:val="24"/>
          <w:szCs w:val="24"/>
        </w:rPr>
        <w:t>buried-pipe</w:t>
      </w:r>
      <w:r>
        <w:rPr>
          <w:rFonts w:ascii="Times New Roman" w:hAnsi="Times New Roman" w:cs="Times New Roman"/>
          <w:sz w:val="24"/>
          <w:szCs w:val="24"/>
        </w:rPr>
        <w:t xml:space="preserve"> are already built.</w:t>
      </w:r>
    </w:p>
    <w:p w14:paraId="02949A0C" w14:textId="2230FACA" w:rsidR="00C5278F" w:rsidRDefault="00C5278F" w:rsidP="00C5278F">
      <w:pPr>
        <w:rPr>
          <w:rFonts w:ascii="Times New Roman" w:hAnsi="Times New Roman" w:cs="Times New Roman"/>
          <w:sz w:val="24"/>
          <w:szCs w:val="24"/>
        </w:rPr>
      </w:pPr>
      <w:r>
        <w:rPr>
          <w:rFonts w:ascii="Times New Roman" w:hAnsi="Times New Roman" w:cs="Times New Roman"/>
          <w:sz w:val="24"/>
          <w:szCs w:val="24"/>
        </w:rPr>
        <w:t xml:space="preserve">In Table </w:t>
      </w:r>
      <w:r w:rsidR="00094C2B">
        <w:rPr>
          <w:rFonts w:ascii="Times New Roman" w:hAnsi="Times New Roman" w:cs="Times New Roman"/>
          <w:sz w:val="24"/>
          <w:szCs w:val="24"/>
        </w:rPr>
        <w:t>2 and 3</w:t>
      </w:r>
      <w:r>
        <w:rPr>
          <w:rFonts w:ascii="Times New Roman" w:hAnsi="Times New Roman" w:cs="Times New Roman"/>
          <w:sz w:val="24"/>
          <w:szCs w:val="24"/>
        </w:rPr>
        <w:t>, we provide the sample size calculations based on Bangladesh Integrated Household Survey (BIHS) 2018-19</w:t>
      </w:r>
      <w:r w:rsidR="00A44C79">
        <w:rPr>
          <w:rFonts w:ascii="Times New Roman" w:hAnsi="Times New Roman" w:cs="Times New Roman"/>
          <w:sz w:val="24"/>
          <w:szCs w:val="24"/>
        </w:rPr>
        <w:t xml:space="preserve"> (IFPRI 2020)</w:t>
      </w:r>
      <w:r>
        <w:rPr>
          <w:rFonts w:ascii="Times New Roman" w:hAnsi="Times New Roman" w:cs="Times New Roman"/>
          <w:sz w:val="24"/>
          <w:szCs w:val="24"/>
        </w:rPr>
        <w:t xml:space="preserve">. </w:t>
      </w:r>
      <w:r w:rsidR="005825D6">
        <w:rPr>
          <w:rFonts w:ascii="Times New Roman" w:hAnsi="Times New Roman" w:cs="Times New Roman"/>
          <w:sz w:val="24"/>
          <w:szCs w:val="24"/>
        </w:rPr>
        <w:t>The sample size calculations are again based on the</w:t>
      </w:r>
      <w:r w:rsidR="00094C2B">
        <w:rPr>
          <w:rFonts w:ascii="Times New Roman" w:hAnsi="Times New Roman" w:cs="Times New Roman"/>
          <w:sz w:val="24"/>
          <w:szCs w:val="24"/>
        </w:rPr>
        <w:t xml:space="preserve"> Simpson Index </w:t>
      </w:r>
      <w:r w:rsidR="005825D6">
        <w:rPr>
          <w:rFonts w:ascii="Times New Roman" w:hAnsi="Times New Roman" w:cs="Times New Roman"/>
          <w:sz w:val="24"/>
          <w:szCs w:val="24"/>
        </w:rPr>
        <w:t>and the</w:t>
      </w:r>
      <w:r w:rsidR="00094C2B">
        <w:rPr>
          <w:rFonts w:ascii="Times New Roman" w:hAnsi="Times New Roman" w:cs="Times New Roman"/>
          <w:sz w:val="24"/>
          <w:szCs w:val="24"/>
        </w:rPr>
        <w:t xml:space="preserve"> Standardized Weighted Average index</w:t>
      </w:r>
      <w:r w:rsidR="005825D6">
        <w:rPr>
          <w:rFonts w:ascii="Times New Roman" w:hAnsi="Times New Roman" w:cs="Times New Roman"/>
          <w:sz w:val="24"/>
          <w:szCs w:val="24"/>
        </w:rPr>
        <w:t xml:space="preserve"> of crop diversification (Table 2 and Table 3, respectively)</w:t>
      </w:r>
      <w:r>
        <w:rPr>
          <w:rFonts w:ascii="Times New Roman" w:hAnsi="Times New Roman" w:cs="Times New Roman"/>
          <w:sz w:val="24"/>
          <w:szCs w:val="24"/>
        </w:rPr>
        <w:t xml:space="preserve">.    </w:t>
      </w:r>
    </w:p>
    <w:p w14:paraId="40CAA8CC" w14:textId="3CA94091" w:rsidR="009D5E32" w:rsidRDefault="009D5E32" w:rsidP="009D5E32">
      <w:pPr>
        <w:rPr>
          <w:rFonts w:ascii="Times New Roman" w:hAnsi="Times New Roman" w:cs="Times New Roman"/>
          <w:sz w:val="24"/>
          <w:szCs w:val="24"/>
        </w:rPr>
      </w:pPr>
      <w:r>
        <w:rPr>
          <w:rFonts w:ascii="Times New Roman" w:hAnsi="Times New Roman" w:cs="Times New Roman"/>
          <w:sz w:val="24"/>
          <w:szCs w:val="24"/>
        </w:rPr>
        <w:t>Procedure to</w:t>
      </w:r>
      <w:r w:rsidR="00772336">
        <w:rPr>
          <w:rFonts w:ascii="Times New Roman" w:hAnsi="Times New Roman" w:cs="Times New Roman"/>
          <w:sz w:val="24"/>
          <w:szCs w:val="24"/>
        </w:rPr>
        <w:t xml:space="preserve"> estimate</w:t>
      </w:r>
      <w:r>
        <w:rPr>
          <w:rFonts w:ascii="Times New Roman" w:hAnsi="Times New Roman" w:cs="Times New Roman"/>
          <w:sz w:val="24"/>
          <w:szCs w:val="24"/>
        </w:rPr>
        <w:t xml:space="preserve"> the MDES for different number of comparison and </w:t>
      </w:r>
      <w:r w:rsidR="00772336">
        <w:rPr>
          <w:rFonts w:ascii="Times New Roman" w:hAnsi="Times New Roman" w:cs="Times New Roman"/>
          <w:sz w:val="24"/>
          <w:szCs w:val="24"/>
        </w:rPr>
        <w:t>treatment clusters and cluster sizes are given below</w:t>
      </w:r>
      <w:r>
        <w:rPr>
          <w:rFonts w:ascii="Times New Roman" w:hAnsi="Times New Roman" w:cs="Times New Roman"/>
          <w:sz w:val="24"/>
          <w:szCs w:val="24"/>
        </w:rPr>
        <w:t>:</w:t>
      </w:r>
    </w:p>
    <w:p w14:paraId="28F6D59E" w14:textId="77777777" w:rsidR="003A0EBC" w:rsidRDefault="003A0EBC" w:rsidP="009D5E32">
      <w:pPr>
        <w:rPr>
          <w:rFonts w:ascii="Times New Roman" w:hAnsi="Times New Roman" w:cs="Times New Roman"/>
          <w:sz w:val="24"/>
          <w:szCs w:val="24"/>
        </w:rPr>
      </w:pPr>
    </w:p>
    <w:p w14:paraId="6E0E74F3" w14:textId="77777777" w:rsidR="000F4DC6" w:rsidRDefault="000F4DC6"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 our power calculations, w</w:t>
      </w:r>
      <w:r w:rsidRPr="00AA5554">
        <w:rPr>
          <w:rFonts w:ascii="Times New Roman" w:hAnsi="Times New Roman" w:cs="Times New Roman"/>
          <w:sz w:val="24"/>
          <w:szCs w:val="24"/>
        </w:rPr>
        <w:t xml:space="preserve">e choose two </w:t>
      </w:r>
      <w:r>
        <w:rPr>
          <w:rFonts w:ascii="Times New Roman" w:hAnsi="Times New Roman" w:cs="Times New Roman"/>
          <w:sz w:val="24"/>
          <w:szCs w:val="24"/>
        </w:rPr>
        <w:t>indicators of crop diversification</w:t>
      </w:r>
      <w:r w:rsidRPr="00AA5554">
        <w:rPr>
          <w:rFonts w:ascii="Times New Roman" w:hAnsi="Times New Roman" w:cs="Times New Roman"/>
          <w:sz w:val="24"/>
          <w:szCs w:val="24"/>
        </w:rPr>
        <w:t xml:space="preserve"> that are of primary importance in this setting: (a) </w:t>
      </w:r>
      <w:r>
        <w:rPr>
          <w:rFonts w:ascii="Times New Roman" w:hAnsi="Times New Roman" w:cs="Times New Roman"/>
          <w:sz w:val="24"/>
          <w:szCs w:val="24"/>
        </w:rPr>
        <w:t>Simpson index of crop diversification based on share of income from different crops</w:t>
      </w:r>
      <w:r w:rsidRPr="00AA5554">
        <w:rPr>
          <w:rFonts w:ascii="Times New Roman" w:hAnsi="Times New Roman" w:cs="Times New Roman"/>
          <w:sz w:val="24"/>
          <w:szCs w:val="24"/>
        </w:rPr>
        <w:t xml:space="preserve"> and (b)</w:t>
      </w:r>
      <w:r>
        <w:rPr>
          <w:rFonts w:ascii="Times New Roman" w:hAnsi="Times New Roman" w:cs="Times New Roman"/>
          <w:sz w:val="24"/>
          <w:szCs w:val="24"/>
        </w:rPr>
        <w:t xml:space="preserve"> Standardized Weighted Average Index a la Anderson (2008) of crop diversification based on quantities of produce harvested</w:t>
      </w:r>
      <w:r w:rsidRPr="00AA5554">
        <w:rPr>
          <w:rFonts w:ascii="Times New Roman" w:hAnsi="Times New Roman" w:cs="Times New Roman"/>
          <w:sz w:val="24"/>
          <w:szCs w:val="24"/>
        </w:rPr>
        <w:t>.</w:t>
      </w:r>
      <w:r>
        <w:rPr>
          <w:rStyle w:val="FootnoteReference"/>
          <w:rFonts w:ascii="Times New Roman" w:hAnsi="Times New Roman" w:cs="Times New Roman"/>
          <w:sz w:val="24"/>
          <w:szCs w:val="24"/>
        </w:rPr>
        <w:footnoteReference w:id="8"/>
      </w:r>
      <w:r w:rsidRPr="00AA5554">
        <w:rPr>
          <w:rFonts w:ascii="Times New Roman" w:hAnsi="Times New Roman" w:cs="Times New Roman"/>
          <w:sz w:val="24"/>
          <w:szCs w:val="24"/>
        </w:rPr>
        <w:t xml:space="preserve"> </w:t>
      </w:r>
      <w:r>
        <w:rPr>
          <w:rFonts w:ascii="Times New Roman" w:hAnsi="Times New Roman" w:cs="Times New Roman"/>
          <w:sz w:val="24"/>
          <w:szCs w:val="24"/>
        </w:rPr>
        <w:t>The general formula for Simpson Index is:</w:t>
      </w:r>
    </w:p>
    <w:p w14:paraId="3BA96FD6" w14:textId="77777777" w:rsidR="000F4DC6" w:rsidRPr="005A1E25" w:rsidRDefault="000F4DC6" w:rsidP="000F4DC6">
      <w:pPr>
        <w:pStyle w:val="ListParagraph"/>
        <w:ind w:left="1080"/>
        <w:rPr>
          <w:rFonts w:ascii="Times New Roman" w:eastAsiaTheme="minorEastAsia" w:hAnsi="Times New Roman" w:cs="Times New Roman"/>
          <w:sz w:val="24"/>
          <w:szCs w:val="24"/>
        </w:rPr>
      </w:pPr>
      <m:oMathPara>
        <m:oMath>
          <m:r>
            <w:rPr>
              <w:rFonts w:ascii="Cambria Math" w:hAnsi="Cambria Math" w:cs="Times New Roman"/>
              <w:sz w:val="24"/>
              <w:szCs w:val="24"/>
            </w:rPr>
            <m:t xml:space="preserve">Simpson= 1-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I</m:t>
              </m:r>
            </m:sup>
            <m:e>
              <m:r>
                <w:rPr>
                  <w:rFonts w:ascii="Cambria Math" w:hAnsi="Cambria Math" w:cs="Times New Roman"/>
                  <w:sz w:val="24"/>
                  <w:szCs w:val="24"/>
                </w:rPr>
                <m:t>s</m:t>
              </m:r>
              <m:sSubSup>
                <m:sSubSupPr>
                  <m:ctrlPr>
                    <w:rPr>
                      <w:rFonts w:ascii="Cambria Math" w:hAnsi="Cambria Math" w:cs="Times New Roman"/>
                      <w:i/>
                      <w:sz w:val="24"/>
                      <w:szCs w:val="24"/>
                    </w:rPr>
                  </m:ctrlPr>
                </m:sSubSupPr>
                <m:e>
                  <m:r>
                    <w:rPr>
                      <w:rFonts w:ascii="Cambria Math" w:hAnsi="Cambria Math" w:cs="Times New Roman"/>
                      <w:sz w:val="24"/>
                      <w:szCs w:val="24"/>
                    </w:rPr>
                    <m:t>h</m:t>
                  </m:r>
                </m:e>
                <m:sub>
                  <m:r>
                    <w:rPr>
                      <w:rFonts w:ascii="Cambria Math" w:hAnsi="Cambria Math" w:cs="Times New Roman"/>
                      <w:sz w:val="24"/>
                      <w:szCs w:val="24"/>
                    </w:rPr>
                    <m:t>i</m:t>
                  </m:r>
                </m:sub>
                <m:sup>
                  <m:r>
                    <w:rPr>
                      <w:rFonts w:ascii="Cambria Math" w:hAnsi="Cambria Math" w:cs="Times New Roman"/>
                      <w:sz w:val="24"/>
                      <w:szCs w:val="24"/>
                    </w:rPr>
                    <m:t>2</m:t>
                  </m:r>
                </m:sup>
              </m:sSubSup>
            </m:e>
          </m:nary>
        </m:oMath>
      </m:oMathPara>
    </w:p>
    <w:p w14:paraId="6E342B66" w14:textId="59DCC25C" w:rsidR="000F4DC6" w:rsidRDefault="000F4DC6" w:rsidP="000F4DC6">
      <w:pPr>
        <w:pStyle w:val="ListParagraph"/>
        <w:ind w:left="1080"/>
        <w:rPr>
          <w:rFonts w:ascii="Times New Roman" w:hAnsi="Times New Roman" w:cs="Times New Roman"/>
          <w:sz w:val="24"/>
          <w:szCs w:val="24"/>
        </w:rPr>
      </w:pPr>
      <w:r>
        <w:rPr>
          <w:rFonts w:ascii="Times New Roman" w:hAnsi="Times New Roman" w:cs="Times New Roman"/>
          <w:sz w:val="24"/>
          <w:szCs w:val="24"/>
        </w:rPr>
        <w:lastRenderedPageBreak/>
        <w:t xml:space="preserve">where </w:t>
      </w:r>
      <w:proofErr w:type="spellStart"/>
      <w:r w:rsidRPr="00F94616">
        <w:rPr>
          <w:rFonts w:ascii="Times New Roman" w:hAnsi="Times New Roman" w:cs="Times New Roman"/>
          <w:i/>
          <w:iCs/>
          <w:sz w:val="24"/>
          <w:szCs w:val="24"/>
        </w:rPr>
        <w:t>sh</w:t>
      </w:r>
      <w:r w:rsidRPr="00F94616">
        <w:rPr>
          <w:rFonts w:ascii="Times New Roman" w:hAnsi="Times New Roman" w:cs="Times New Roman"/>
          <w:i/>
          <w:iCs/>
          <w:sz w:val="24"/>
          <w:szCs w:val="24"/>
          <w:vertAlign w:val="subscript"/>
        </w:rPr>
        <w:t>i</w:t>
      </w:r>
      <w:proofErr w:type="spellEnd"/>
      <w:r>
        <w:rPr>
          <w:rFonts w:ascii="Times New Roman" w:hAnsi="Times New Roman" w:cs="Times New Roman"/>
          <w:sz w:val="24"/>
          <w:szCs w:val="24"/>
        </w:rPr>
        <w:t xml:space="preserve"> is the income share of crop </w:t>
      </w:r>
      <w:proofErr w:type="spellStart"/>
      <w:r>
        <w:rPr>
          <w:rFonts w:ascii="Times New Roman" w:hAnsi="Times New Roman" w:cs="Times New Roman"/>
          <w:i/>
          <w:iCs/>
          <w:sz w:val="24"/>
          <w:szCs w:val="24"/>
        </w:rPr>
        <w:t>i</w:t>
      </w:r>
      <w:proofErr w:type="spellEnd"/>
      <w:r>
        <w:rPr>
          <w:rFonts w:ascii="Times New Roman" w:hAnsi="Times New Roman" w:cs="Times New Roman"/>
          <w:sz w:val="24"/>
          <w:szCs w:val="24"/>
        </w:rPr>
        <w:t>, calculated over total household crop income. The standardized weighted average approach is based on Anderson (2008) and estimated using the ‘</w:t>
      </w:r>
      <w:proofErr w:type="spellStart"/>
      <w:r w:rsidRPr="00B47BE9">
        <w:rPr>
          <w:rFonts w:ascii="Times New Roman" w:hAnsi="Times New Roman" w:cs="Times New Roman"/>
          <w:i/>
          <w:iCs/>
          <w:sz w:val="24"/>
          <w:szCs w:val="24"/>
        </w:rPr>
        <w:t>swindex</w:t>
      </w:r>
      <w:proofErr w:type="spellEnd"/>
      <w:r>
        <w:rPr>
          <w:rFonts w:ascii="Times New Roman" w:hAnsi="Times New Roman" w:cs="Times New Roman"/>
          <w:i/>
          <w:iCs/>
          <w:sz w:val="24"/>
          <w:szCs w:val="24"/>
        </w:rPr>
        <w:t>’</w:t>
      </w:r>
      <w:r>
        <w:rPr>
          <w:rFonts w:ascii="Times New Roman" w:hAnsi="Times New Roman" w:cs="Times New Roman"/>
          <w:sz w:val="24"/>
          <w:szCs w:val="24"/>
        </w:rPr>
        <w:t xml:space="preserve"> command in STATA</w:t>
      </w:r>
      <w:r w:rsidR="00B557DF">
        <w:rPr>
          <w:rFonts w:ascii="Times New Roman" w:hAnsi="Times New Roman" w:cs="Times New Roman"/>
          <w:sz w:val="24"/>
          <w:szCs w:val="24"/>
        </w:rPr>
        <w:t xml:space="preserve"> (Schwab et al. 2020)</w:t>
      </w:r>
      <w:r>
        <w:rPr>
          <w:rFonts w:ascii="Times New Roman" w:hAnsi="Times New Roman" w:cs="Times New Roman"/>
          <w:sz w:val="24"/>
          <w:szCs w:val="24"/>
        </w:rPr>
        <w:t xml:space="preserve">.   </w:t>
      </w:r>
    </w:p>
    <w:p w14:paraId="6271CCE8" w14:textId="7D63718A" w:rsidR="000F4DC6" w:rsidRDefault="000F4DC6"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We seek power of 80 percent</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and statistical significance</w:t>
      </w:r>
      <w:r w:rsidR="008D3D7B">
        <w:rPr>
          <w:rFonts w:ascii="Times New Roman" w:hAnsi="Times New Roman" w:cs="Times New Roman"/>
          <w:sz w:val="24"/>
          <w:szCs w:val="24"/>
        </w:rPr>
        <w:t xml:space="preserve"> </w:t>
      </w:r>
      <m:oMath>
        <m:d>
          <m:dPr>
            <m:ctrlPr>
              <w:rPr>
                <w:rFonts w:ascii="Cambria Math" w:hAnsi="Cambria Math" w:cs="Times New Roman"/>
                <w:i/>
                <w:sz w:val="24"/>
                <w:szCs w:val="24"/>
              </w:rPr>
            </m:ctrlPr>
          </m:dPr>
          <m:e>
            <m:r>
              <w:rPr>
                <w:rFonts w:ascii="Cambria Math" w:hAnsi="Cambria Math" w:cs="Times New Roman"/>
                <w:sz w:val="24"/>
                <w:szCs w:val="24"/>
              </w:rPr>
              <m:t>α</m:t>
            </m:r>
          </m:e>
        </m:d>
      </m:oMath>
      <w:r>
        <w:rPr>
          <w:rFonts w:ascii="Times New Roman" w:hAnsi="Times New Roman" w:cs="Times New Roman"/>
          <w:sz w:val="24"/>
          <w:szCs w:val="24"/>
        </w:rPr>
        <w:t xml:space="preserve"> of 5 percent.</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w:t>
      </w:r>
      <w:r w:rsidR="003A1925">
        <w:rPr>
          <w:rFonts w:ascii="Times New Roman" w:hAnsi="Times New Roman" w:cs="Times New Roman"/>
          <w:sz w:val="24"/>
          <w:szCs w:val="24"/>
        </w:rPr>
        <w:t>B</w:t>
      </w:r>
      <w:r w:rsidR="00620706">
        <w:rPr>
          <w:rFonts w:ascii="Times New Roman" w:hAnsi="Times New Roman" w:cs="Times New Roman"/>
          <w:sz w:val="24"/>
          <w:szCs w:val="24"/>
        </w:rPr>
        <w:t xml:space="preserve">ecause part of our evaluation has </w:t>
      </w:r>
      <w:proofErr w:type="gramStart"/>
      <w:r w:rsidR="0008460A">
        <w:rPr>
          <w:rFonts w:ascii="Times New Roman" w:hAnsi="Times New Roman" w:cs="Times New Roman"/>
          <w:sz w:val="24"/>
          <w:szCs w:val="24"/>
        </w:rPr>
        <w:t>differing</w:t>
      </w:r>
      <w:proofErr w:type="gramEnd"/>
      <w:r w:rsidR="0008460A">
        <w:rPr>
          <w:rFonts w:ascii="Times New Roman" w:hAnsi="Times New Roman" w:cs="Times New Roman"/>
          <w:sz w:val="24"/>
          <w:szCs w:val="24"/>
        </w:rPr>
        <w:t xml:space="preserve"> treatment timing</w:t>
      </w:r>
      <w:r w:rsidR="003A1925">
        <w:rPr>
          <w:rFonts w:ascii="Times New Roman" w:hAnsi="Times New Roman" w:cs="Times New Roman"/>
          <w:sz w:val="24"/>
          <w:szCs w:val="24"/>
        </w:rPr>
        <w:t xml:space="preserve"> and a longitudinal structure</w:t>
      </w:r>
      <w:r w:rsidR="0008460A">
        <w:rPr>
          <w:rFonts w:ascii="Times New Roman" w:hAnsi="Times New Roman" w:cs="Times New Roman"/>
          <w:sz w:val="24"/>
          <w:szCs w:val="24"/>
        </w:rPr>
        <w:t xml:space="preserve">, it is important to take into account the </w:t>
      </w:r>
      <w:r w:rsidR="008D3D7B">
        <w:rPr>
          <w:rFonts w:ascii="Times New Roman" w:hAnsi="Times New Roman" w:cs="Times New Roman"/>
          <w:sz w:val="24"/>
          <w:szCs w:val="24"/>
        </w:rPr>
        <w:t xml:space="preserve">autocorrelation structure of cluster-level errors (AR1). </w:t>
      </w:r>
      <w:r w:rsidR="003A1925">
        <w:rPr>
          <w:rFonts w:ascii="Times New Roman" w:hAnsi="Times New Roman" w:cs="Times New Roman"/>
          <w:sz w:val="24"/>
          <w:szCs w:val="24"/>
        </w:rPr>
        <w:t>AR1 is</w:t>
      </w:r>
      <w:r w:rsidR="008D3D7B">
        <w:rPr>
          <w:rFonts w:ascii="Times New Roman" w:hAnsi="Times New Roman" w:cs="Times New Roman"/>
          <w:sz w:val="24"/>
          <w:szCs w:val="24"/>
        </w:rPr>
        <w:t xml:space="preserve"> set at </w:t>
      </w:r>
      <w:r w:rsidR="0003778B">
        <w:rPr>
          <w:rFonts w:ascii="Times New Roman" w:hAnsi="Times New Roman" w:cs="Times New Roman"/>
          <w:sz w:val="24"/>
          <w:szCs w:val="24"/>
        </w:rPr>
        <w:t>0.4</w:t>
      </w:r>
      <w:r w:rsidR="005B6A32">
        <w:rPr>
          <w:rFonts w:ascii="Times New Roman" w:hAnsi="Times New Roman" w:cs="Times New Roman"/>
          <w:sz w:val="24"/>
          <w:szCs w:val="24"/>
        </w:rPr>
        <w:t xml:space="preserve">, which is a commonly accepted level of autocorrelation in </w:t>
      </w:r>
      <w:r w:rsidR="00045751">
        <w:rPr>
          <w:rFonts w:ascii="Times New Roman" w:hAnsi="Times New Roman" w:cs="Times New Roman"/>
          <w:sz w:val="24"/>
          <w:szCs w:val="24"/>
        </w:rPr>
        <w:t>the impact evaluation literature</w:t>
      </w:r>
      <w:r w:rsidR="00871942">
        <w:rPr>
          <w:rFonts w:ascii="Times New Roman" w:hAnsi="Times New Roman" w:cs="Times New Roman"/>
          <w:sz w:val="24"/>
          <w:szCs w:val="24"/>
        </w:rPr>
        <w:t>.</w:t>
      </w:r>
    </w:p>
    <w:p w14:paraId="4B0D35A8" w14:textId="77777777" w:rsidR="00E00561" w:rsidRDefault="00E00561"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intracluster</w:t>
      </w:r>
      <w:proofErr w:type="spellEnd"/>
      <w:r>
        <w:rPr>
          <w:rFonts w:ascii="Times New Roman" w:hAnsi="Times New Roman" w:cs="Times New Roman"/>
          <w:sz w:val="24"/>
          <w:szCs w:val="24"/>
        </w:rPr>
        <w:t xml:space="preserve"> correlation (ICC) is calculated using the ‘</w:t>
      </w:r>
      <w:proofErr w:type="spellStart"/>
      <w:r w:rsidRPr="00D762BE">
        <w:rPr>
          <w:rFonts w:ascii="Times New Roman" w:hAnsi="Times New Roman" w:cs="Times New Roman"/>
          <w:i/>
          <w:iCs/>
          <w:sz w:val="24"/>
          <w:szCs w:val="24"/>
        </w:rPr>
        <w:t>loneway</w:t>
      </w:r>
      <w:proofErr w:type="spellEnd"/>
      <w:r>
        <w:rPr>
          <w:rFonts w:ascii="Times New Roman" w:hAnsi="Times New Roman" w:cs="Times New Roman"/>
          <w:sz w:val="24"/>
          <w:szCs w:val="24"/>
        </w:rPr>
        <w:t>’ STATA command.</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p>
    <w:p w14:paraId="3DBC93A6" w14:textId="77777777" w:rsidR="00AA7D05" w:rsidRDefault="006D1690"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number of comparison and ‘transition’ group clusters are fixed at 30 each. Then number of treatment clusters and cluster sizes are varied </w:t>
      </w:r>
      <w:r w:rsidR="008B3448">
        <w:rPr>
          <w:rFonts w:ascii="Times New Roman" w:hAnsi="Times New Roman" w:cs="Times New Roman"/>
          <w:sz w:val="24"/>
          <w:szCs w:val="24"/>
        </w:rPr>
        <w:t>in the Schochet (</w:t>
      </w:r>
      <w:r>
        <w:rPr>
          <w:rFonts w:ascii="Times New Roman" w:hAnsi="Times New Roman" w:cs="Times New Roman"/>
          <w:sz w:val="24"/>
          <w:szCs w:val="24"/>
        </w:rPr>
        <w:t xml:space="preserve">Number of treatment clusters information is fed into the </w:t>
      </w:r>
      <w:r w:rsidR="008B3448">
        <w:rPr>
          <w:rFonts w:ascii="Times New Roman" w:hAnsi="Times New Roman" w:cs="Times New Roman"/>
          <w:sz w:val="24"/>
          <w:szCs w:val="24"/>
        </w:rPr>
        <w:t xml:space="preserve">Schochet (2022) </w:t>
      </w:r>
      <w:r w:rsidR="008B3448" w:rsidRPr="008B3448">
        <w:rPr>
          <w:rFonts w:ascii="Times New Roman" w:hAnsi="Times New Roman" w:cs="Times New Roman"/>
          <w:i/>
          <w:iCs/>
          <w:sz w:val="24"/>
          <w:szCs w:val="24"/>
        </w:rPr>
        <w:t>Shiny</w:t>
      </w:r>
      <w:r w:rsidR="008B3448">
        <w:rPr>
          <w:rFonts w:ascii="Times New Roman" w:hAnsi="Times New Roman" w:cs="Times New Roman"/>
          <w:sz w:val="24"/>
          <w:szCs w:val="24"/>
        </w:rPr>
        <w:t xml:space="preserve"> R app to estimate the minimum detectable effect size.</w:t>
      </w:r>
    </w:p>
    <w:p w14:paraId="18D5E18D" w14:textId="7754369C" w:rsidR="001A7C0C" w:rsidRPr="00626519" w:rsidRDefault="00AA7D05" w:rsidP="00A35F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MDES are presented in SDs as well as in % of the sample mean. </w:t>
      </w:r>
      <w:r w:rsidR="008B3448">
        <w:rPr>
          <w:rFonts w:ascii="Times New Roman" w:hAnsi="Times New Roman" w:cs="Times New Roman"/>
          <w:sz w:val="24"/>
          <w:szCs w:val="24"/>
        </w:rPr>
        <w:t xml:space="preserve"> </w:t>
      </w:r>
    </w:p>
    <w:p w14:paraId="61142F6D" w14:textId="0C23D73B" w:rsidR="007F6C69" w:rsidRPr="003A0EBC" w:rsidRDefault="007F6C69" w:rsidP="007F6C69">
      <w:pPr>
        <w:jc w:val="center"/>
        <w:rPr>
          <w:rFonts w:ascii="Times New Roman" w:hAnsi="Times New Roman" w:cs="Times New Roman"/>
          <w:b/>
          <w:bCs/>
          <w:sz w:val="24"/>
          <w:szCs w:val="24"/>
        </w:rPr>
      </w:pPr>
      <w:r w:rsidRPr="003A0EBC">
        <w:rPr>
          <w:rFonts w:ascii="Times New Roman" w:hAnsi="Times New Roman" w:cs="Times New Roman"/>
          <w:b/>
          <w:bCs/>
          <w:sz w:val="24"/>
          <w:szCs w:val="24"/>
        </w:rPr>
        <w:t>Table 2: Sample Size Calculations Based on Bangladesh Integrated Household Survey</w:t>
      </w:r>
      <w:r w:rsidR="003A0EBC">
        <w:rPr>
          <w:rFonts w:ascii="Times New Roman" w:hAnsi="Times New Roman" w:cs="Times New Roman"/>
          <w:b/>
          <w:bCs/>
          <w:sz w:val="24"/>
          <w:szCs w:val="24"/>
        </w:rPr>
        <w:t xml:space="preserve"> 2018-19</w:t>
      </w:r>
    </w:p>
    <w:tbl>
      <w:tblPr>
        <w:tblStyle w:val="TableGrid"/>
        <w:tblW w:w="0" w:type="auto"/>
        <w:jc w:val="center"/>
        <w:tblLook w:val="04A0" w:firstRow="1" w:lastRow="0" w:firstColumn="1" w:lastColumn="0" w:noHBand="0" w:noVBand="1"/>
      </w:tblPr>
      <w:tblGrid>
        <w:gridCol w:w="1737"/>
        <w:gridCol w:w="1922"/>
        <w:gridCol w:w="1923"/>
        <w:gridCol w:w="1899"/>
        <w:gridCol w:w="1869"/>
      </w:tblGrid>
      <w:tr w:rsidR="007F6C69" w:rsidRPr="0088479D" w14:paraId="19667BBA" w14:textId="77777777" w:rsidTr="009F2B88">
        <w:trPr>
          <w:trHeight w:val="678"/>
          <w:jc w:val="center"/>
        </w:trPr>
        <w:tc>
          <w:tcPr>
            <w:tcW w:w="9350" w:type="dxa"/>
            <w:gridSpan w:val="5"/>
          </w:tcPr>
          <w:p w14:paraId="5E6C4CC6" w14:textId="77777777" w:rsidR="007F6C69" w:rsidRDefault="007F6C69" w:rsidP="009F2B88">
            <w:pPr>
              <w:rPr>
                <w:rFonts w:ascii="Times New Roman" w:hAnsi="Times New Roman" w:cs="Times New Roman"/>
                <w:sz w:val="24"/>
                <w:szCs w:val="24"/>
              </w:rPr>
            </w:pPr>
            <w:r>
              <w:rPr>
                <w:rFonts w:ascii="Times New Roman" w:hAnsi="Times New Roman" w:cs="Times New Roman"/>
                <w:sz w:val="24"/>
                <w:szCs w:val="24"/>
              </w:rPr>
              <w:t>Outcome variable: Crop Diversification (</w:t>
            </w:r>
            <w:r w:rsidRPr="00A76D98">
              <w:rPr>
                <w:rFonts w:ascii="Times New Roman" w:hAnsi="Times New Roman" w:cs="Times New Roman"/>
                <w:b/>
                <w:bCs/>
                <w:sz w:val="24"/>
                <w:szCs w:val="24"/>
              </w:rPr>
              <w:t>Simpson index</w:t>
            </w:r>
            <w:r>
              <w:rPr>
                <w:rFonts w:ascii="Times New Roman" w:hAnsi="Times New Roman" w:cs="Times New Roman"/>
                <w:sz w:val="24"/>
                <w:szCs w:val="24"/>
              </w:rPr>
              <w:t xml:space="preserve"> based on shares of crop income from different crops)</w:t>
            </w:r>
          </w:p>
          <w:p w14:paraId="7BCA4282" w14:textId="77777777" w:rsidR="007F6C69" w:rsidRDefault="007F6C69" w:rsidP="009F2B88">
            <w:pPr>
              <w:rPr>
                <w:rFonts w:ascii="Times New Roman" w:hAnsi="Times New Roman" w:cs="Times New Roman"/>
                <w:sz w:val="24"/>
                <w:szCs w:val="24"/>
              </w:rPr>
            </w:pPr>
          </w:p>
        </w:tc>
      </w:tr>
      <w:tr w:rsidR="007F6C69" w:rsidRPr="0088479D" w14:paraId="3B992FF2" w14:textId="77777777" w:rsidTr="009F2B88">
        <w:trPr>
          <w:trHeight w:val="678"/>
          <w:jc w:val="center"/>
        </w:trPr>
        <w:tc>
          <w:tcPr>
            <w:tcW w:w="1737" w:type="dxa"/>
          </w:tcPr>
          <w:p w14:paraId="0BA543D9" w14:textId="77777777" w:rsidR="007F6C69" w:rsidRDefault="007F6C69" w:rsidP="009F2B88">
            <w:pPr>
              <w:jc w:val="center"/>
              <w:rPr>
                <w:rFonts w:ascii="Times New Roman" w:hAnsi="Times New Roman" w:cs="Times New Roman"/>
                <w:sz w:val="24"/>
                <w:szCs w:val="24"/>
              </w:rPr>
            </w:pPr>
            <w:r>
              <w:rPr>
                <w:rFonts w:ascii="Times New Roman" w:hAnsi="Times New Roman" w:cs="Times New Roman"/>
                <w:sz w:val="24"/>
                <w:szCs w:val="24"/>
              </w:rPr>
              <w:t>Number of clusters per treatment arm (k)</w:t>
            </w:r>
          </w:p>
        </w:tc>
        <w:tc>
          <w:tcPr>
            <w:tcW w:w="1922" w:type="dxa"/>
          </w:tcPr>
          <w:p w14:paraId="5E2894ED" w14:textId="77777777" w:rsidR="007F6C69" w:rsidRPr="0088479D" w:rsidRDefault="007F6C69" w:rsidP="009F2B88">
            <w:pPr>
              <w:rPr>
                <w:rFonts w:ascii="Times New Roman" w:hAnsi="Times New Roman" w:cs="Times New Roman"/>
                <w:sz w:val="24"/>
                <w:szCs w:val="24"/>
              </w:rPr>
            </w:pPr>
            <w:r>
              <w:rPr>
                <w:rFonts w:ascii="Times New Roman" w:hAnsi="Times New Roman" w:cs="Times New Roman"/>
                <w:sz w:val="24"/>
                <w:szCs w:val="24"/>
              </w:rPr>
              <w:t>Number of households per cluster (n)</w:t>
            </w:r>
          </w:p>
        </w:tc>
        <w:tc>
          <w:tcPr>
            <w:tcW w:w="1923" w:type="dxa"/>
          </w:tcPr>
          <w:p w14:paraId="55E631AC" w14:textId="77777777" w:rsidR="007F6C69" w:rsidRPr="0088479D" w:rsidRDefault="007F6C69" w:rsidP="009F2B88">
            <w:pPr>
              <w:jc w:val="center"/>
              <w:rPr>
                <w:rFonts w:ascii="Times New Roman" w:hAnsi="Times New Roman" w:cs="Times New Roman"/>
                <w:sz w:val="24"/>
                <w:szCs w:val="24"/>
              </w:rPr>
            </w:pPr>
            <w:r>
              <w:rPr>
                <w:rFonts w:ascii="Times New Roman" w:hAnsi="Times New Roman" w:cs="Times New Roman"/>
                <w:sz w:val="24"/>
                <w:szCs w:val="24"/>
              </w:rPr>
              <w:t>Total Sample Size* (N)</w:t>
            </w:r>
          </w:p>
        </w:tc>
        <w:tc>
          <w:tcPr>
            <w:tcW w:w="1899" w:type="dxa"/>
          </w:tcPr>
          <w:p w14:paraId="7B0C6AB3" w14:textId="77777777" w:rsidR="007F6C69" w:rsidRPr="0088479D" w:rsidRDefault="007F6C69" w:rsidP="009F2B88">
            <w:pPr>
              <w:jc w:val="center"/>
              <w:rPr>
                <w:rFonts w:ascii="Times New Roman" w:hAnsi="Times New Roman" w:cs="Times New Roman"/>
                <w:sz w:val="24"/>
                <w:szCs w:val="24"/>
              </w:rPr>
            </w:pPr>
            <w:r w:rsidRPr="0088479D">
              <w:rPr>
                <w:rFonts w:ascii="Times New Roman" w:hAnsi="Times New Roman" w:cs="Times New Roman"/>
                <w:sz w:val="24"/>
                <w:szCs w:val="24"/>
              </w:rPr>
              <w:t>MDES</w:t>
            </w:r>
            <w:r>
              <w:rPr>
                <w:rFonts w:ascii="Times New Roman" w:hAnsi="Times New Roman" w:cs="Times New Roman"/>
                <w:sz w:val="24"/>
                <w:szCs w:val="24"/>
              </w:rPr>
              <w:t xml:space="preserve"> in SDs</w:t>
            </w:r>
          </w:p>
        </w:tc>
        <w:tc>
          <w:tcPr>
            <w:tcW w:w="1869" w:type="dxa"/>
          </w:tcPr>
          <w:p w14:paraId="26663F5A" w14:textId="77777777" w:rsidR="007F6C69" w:rsidRPr="0088479D" w:rsidRDefault="007F6C69" w:rsidP="009F2B88">
            <w:pPr>
              <w:jc w:val="center"/>
              <w:rPr>
                <w:rFonts w:ascii="Times New Roman" w:hAnsi="Times New Roman" w:cs="Times New Roman"/>
                <w:sz w:val="24"/>
                <w:szCs w:val="24"/>
              </w:rPr>
            </w:pPr>
            <w:r>
              <w:rPr>
                <w:rFonts w:ascii="Times New Roman" w:hAnsi="Times New Roman" w:cs="Times New Roman"/>
                <w:sz w:val="24"/>
                <w:szCs w:val="24"/>
              </w:rPr>
              <w:t>MDES (in % of sample mean)</w:t>
            </w:r>
          </w:p>
        </w:tc>
      </w:tr>
      <w:tr w:rsidR="007F6C69" w:rsidRPr="0088479D" w14:paraId="05A23323" w14:textId="77777777" w:rsidTr="009F2B88">
        <w:trPr>
          <w:trHeight w:val="357"/>
          <w:jc w:val="center"/>
        </w:trPr>
        <w:tc>
          <w:tcPr>
            <w:tcW w:w="1737" w:type="dxa"/>
          </w:tcPr>
          <w:p w14:paraId="7ED11EFE" w14:textId="77777777" w:rsidR="007F6C69" w:rsidRDefault="007F6C69" w:rsidP="009F2B88">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30</w:t>
            </w:r>
          </w:p>
        </w:tc>
        <w:tc>
          <w:tcPr>
            <w:tcW w:w="1922" w:type="dxa"/>
          </w:tcPr>
          <w:p w14:paraId="379EEC70" w14:textId="77777777" w:rsidR="007F6C69" w:rsidRDefault="007F6C69" w:rsidP="009F2B88">
            <w:pPr>
              <w:jc w:val="center"/>
              <w:rPr>
                <w:rFonts w:ascii="Times New Roman" w:hAnsi="Times New Roman" w:cs="Times New Roman"/>
                <w:sz w:val="24"/>
                <w:szCs w:val="24"/>
              </w:rPr>
            </w:pPr>
            <w:r>
              <w:rPr>
                <w:rFonts w:ascii="Times New Roman" w:hAnsi="Times New Roman" w:cs="Times New Roman"/>
                <w:sz w:val="24"/>
                <w:szCs w:val="24"/>
              </w:rPr>
              <w:t>16</w:t>
            </w:r>
          </w:p>
        </w:tc>
        <w:tc>
          <w:tcPr>
            <w:tcW w:w="1923" w:type="dxa"/>
          </w:tcPr>
          <w:p w14:paraId="66E14965" w14:textId="77777777" w:rsidR="007F6C69" w:rsidRDefault="007F6C69" w:rsidP="009F2B88">
            <w:pPr>
              <w:jc w:val="center"/>
              <w:rPr>
                <w:rFonts w:ascii="Times New Roman" w:hAnsi="Times New Roman" w:cs="Times New Roman"/>
                <w:sz w:val="24"/>
                <w:szCs w:val="24"/>
              </w:rPr>
            </w:pPr>
            <w:r>
              <w:rPr>
                <w:rFonts w:ascii="Times New Roman" w:hAnsi="Times New Roman" w:cs="Times New Roman"/>
                <w:sz w:val="24"/>
                <w:szCs w:val="24"/>
              </w:rPr>
              <w:t>N = 2400</w:t>
            </w:r>
          </w:p>
        </w:tc>
        <w:tc>
          <w:tcPr>
            <w:tcW w:w="1899" w:type="dxa"/>
          </w:tcPr>
          <w:p w14:paraId="6BC9972F" w14:textId="77777777" w:rsidR="007F6C69" w:rsidRDefault="007F6C69" w:rsidP="009F2B88">
            <w:pPr>
              <w:jc w:val="center"/>
              <w:rPr>
                <w:rFonts w:ascii="Times New Roman" w:hAnsi="Times New Roman" w:cs="Times New Roman"/>
                <w:sz w:val="24"/>
                <w:szCs w:val="24"/>
              </w:rPr>
            </w:pPr>
            <w:r>
              <w:rPr>
                <w:rFonts w:ascii="Times New Roman" w:hAnsi="Times New Roman" w:cs="Times New Roman"/>
                <w:sz w:val="24"/>
                <w:szCs w:val="24"/>
              </w:rPr>
              <w:t>0.31 SD</w:t>
            </w:r>
          </w:p>
        </w:tc>
        <w:tc>
          <w:tcPr>
            <w:tcW w:w="1869" w:type="dxa"/>
          </w:tcPr>
          <w:p w14:paraId="2FB9CAB4" w14:textId="77777777" w:rsidR="007F6C69" w:rsidRDefault="007F6C69" w:rsidP="009F2B88">
            <w:pPr>
              <w:jc w:val="center"/>
              <w:rPr>
                <w:rFonts w:ascii="Times New Roman" w:hAnsi="Times New Roman" w:cs="Times New Roman"/>
                <w:sz w:val="24"/>
                <w:szCs w:val="24"/>
              </w:rPr>
            </w:pPr>
            <w:r>
              <w:rPr>
                <w:rFonts w:ascii="Times New Roman" w:hAnsi="Times New Roman" w:cs="Times New Roman"/>
                <w:sz w:val="24"/>
                <w:szCs w:val="24"/>
              </w:rPr>
              <w:t>28.4%</w:t>
            </w:r>
          </w:p>
        </w:tc>
      </w:tr>
      <w:tr w:rsidR="007F6C69" w:rsidRPr="0088479D" w14:paraId="394F068E" w14:textId="77777777" w:rsidTr="009F2B88">
        <w:trPr>
          <w:trHeight w:val="338"/>
          <w:jc w:val="center"/>
        </w:trPr>
        <w:tc>
          <w:tcPr>
            <w:tcW w:w="1737" w:type="dxa"/>
          </w:tcPr>
          <w:p w14:paraId="3A906DBA" w14:textId="77777777" w:rsidR="007F6C69" w:rsidRPr="003B1C94" w:rsidRDefault="007F6C69" w:rsidP="009F2B88">
            <w:pPr>
              <w:jc w:val="center"/>
              <w:rPr>
                <w:rFonts w:ascii="Times New Roman" w:eastAsiaTheme="minorEastAsia" w:hAnsi="Times New Roman" w:cs="Times New Roman"/>
                <w:sz w:val="24"/>
                <w:szCs w:val="24"/>
              </w:rPr>
            </w:pPr>
            <w:r w:rsidRPr="003B1C94">
              <w:rPr>
                <w:rFonts w:ascii="Times New Roman" w:eastAsiaTheme="minorEastAsia" w:hAnsi="Times New Roman" w:cs="Times New Roman"/>
                <w:sz w:val="24"/>
                <w:szCs w:val="24"/>
              </w:rPr>
              <w:t>30</w:t>
            </w:r>
          </w:p>
        </w:tc>
        <w:tc>
          <w:tcPr>
            <w:tcW w:w="1922" w:type="dxa"/>
          </w:tcPr>
          <w:p w14:paraId="51CE5242" w14:textId="77777777" w:rsidR="007F6C69" w:rsidRPr="003B1C94" w:rsidRDefault="007F6C69" w:rsidP="009F2B88">
            <w:pPr>
              <w:jc w:val="center"/>
              <w:rPr>
                <w:rFonts w:ascii="Times New Roman" w:hAnsi="Times New Roman" w:cs="Times New Roman"/>
                <w:sz w:val="24"/>
                <w:szCs w:val="24"/>
              </w:rPr>
            </w:pPr>
            <w:r w:rsidRPr="003B1C94">
              <w:rPr>
                <w:rFonts w:ascii="Times New Roman" w:hAnsi="Times New Roman" w:cs="Times New Roman"/>
                <w:sz w:val="24"/>
                <w:szCs w:val="24"/>
              </w:rPr>
              <w:t>15</w:t>
            </w:r>
          </w:p>
        </w:tc>
        <w:tc>
          <w:tcPr>
            <w:tcW w:w="1923" w:type="dxa"/>
          </w:tcPr>
          <w:p w14:paraId="73369812" w14:textId="77777777" w:rsidR="007F6C69" w:rsidRPr="003B1C94" w:rsidRDefault="007F6C69" w:rsidP="009F2B88">
            <w:pPr>
              <w:jc w:val="center"/>
              <w:rPr>
                <w:rFonts w:ascii="Times New Roman" w:hAnsi="Times New Roman" w:cs="Times New Roman"/>
                <w:sz w:val="24"/>
                <w:szCs w:val="24"/>
              </w:rPr>
            </w:pPr>
            <w:r w:rsidRPr="003B1C94">
              <w:rPr>
                <w:rFonts w:ascii="Times New Roman" w:hAnsi="Times New Roman" w:cs="Times New Roman"/>
                <w:sz w:val="24"/>
                <w:szCs w:val="24"/>
              </w:rPr>
              <w:t>N = 2</w:t>
            </w:r>
            <w:r>
              <w:rPr>
                <w:rFonts w:ascii="Times New Roman" w:hAnsi="Times New Roman" w:cs="Times New Roman"/>
                <w:sz w:val="24"/>
                <w:szCs w:val="24"/>
              </w:rPr>
              <w:t>25</w:t>
            </w:r>
            <w:r w:rsidRPr="003B1C94">
              <w:rPr>
                <w:rFonts w:ascii="Times New Roman" w:hAnsi="Times New Roman" w:cs="Times New Roman"/>
                <w:sz w:val="24"/>
                <w:szCs w:val="24"/>
              </w:rPr>
              <w:t>0</w:t>
            </w:r>
          </w:p>
        </w:tc>
        <w:tc>
          <w:tcPr>
            <w:tcW w:w="1899" w:type="dxa"/>
          </w:tcPr>
          <w:p w14:paraId="1074F28A" w14:textId="77777777" w:rsidR="007F6C69" w:rsidRPr="003B1C94" w:rsidRDefault="007F6C69" w:rsidP="009F2B88">
            <w:pPr>
              <w:jc w:val="center"/>
              <w:rPr>
                <w:rFonts w:ascii="Times New Roman" w:hAnsi="Times New Roman" w:cs="Times New Roman"/>
                <w:sz w:val="24"/>
                <w:szCs w:val="24"/>
              </w:rPr>
            </w:pPr>
            <w:r w:rsidRPr="003B1C94">
              <w:rPr>
                <w:rFonts w:ascii="Times New Roman" w:hAnsi="Times New Roman" w:cs="Times New Roman"/>
                <w:sz w:val="24"/>
                <w:szCs w:val="24"/>
              </w:rPr>
              <w:t>0.</w:t>
            </w:r>
            <w:r>
              <w:rPr>
                <w:rFonts w:ascii="Times New Roman" w:hAnsi="Times New Roman" w:cs="Times New Roman"/>
                <w:sz w:val="24"/>
                <w:szCs w:val="24"/>
              </w:rPr>
              <w:t>31 SD</w:t>
            </w:r>
          </w:p>
        </w:tc>
        <w:tc>
          <w:tcPr>
            <w:tcW w:w="1869" w:type="dxa"/>
          </w:tcPr>
          <w:p w14:paraId="71893F51" w14:textId="77777777" w:rsidR="007F6C69" w:rsidRPr="003B1C94" w:rsidRDefault="007F6C69" w:rsidP="009F2B88">
            <w:pPr>
              <w:jc w:val="center"/>
              <w:rPr>
                <w:rFonts w:ascii="Times New Roman" w:hAnsi="Times New Roman" w:cs="Times New Roman"/>
                <w:sz w:val="24"/>
                <w:szCs w:val="24"/>
              </w:rPr>
            </w:pPr>
            <w:r>
              <w:rPr>
                <w:rFonts w:ascii="Times New Roman" w:hAnsi="Times New Roman" w:cs="Times New Roman"/>
                <w:sz w:val="24"/>
                <w:szCs w:val="24"/>
              </w:rPr>
              <w:t>28.4%</w:t>
            </w:r>
          </w:p>
        </w:tc>
      </w:tr>
      <w:tr w:rsidR="007F6C69" w:rsidRPr="0088479D" w14:paraId="4D4A43B3" w14:textId="77777777" w:rsidTr="009F2B88">
        <w:trPr>
          <w:trHeight w:val="338"/>
          <w:jc w:val="center"/>
        </w:trPr>
        <w:tc>
          <w:tcPr>
            <w:tcW w:w="1737" w:type="dxa"/>
          </w:tcPr>
          <w:p w14:paraId="27BB4071" w14:textId="77777777" w:rsidR="007F6C69" w:rsidRPr="00F81206" w:rsidRDefault="007F6C69" w:rsidP="009F2B88">
            <w:pPr>
              <w:jc w:val="center"/>
              <w:rPr>
                <w:rFonts w:ascii="Times New Roman" w:eastAsiaTheme="minorEastAsia" w:hAnsi="Times New Roman" w:cs="Times New Roman"/>
                <w:sz w:val="24"/>
                <w:szCs w:val="24"/>
              </w:rPr>
            </w:pPr>
            <w:r w:rsidRPr="00F81206">
              <w:rPr>
                <w:rFonts w:ascii="Times New Roman" w:eastAsiaTheme="minorEastAsia" w:hAnsi="Times New Roman" w:cs="Times New Roman"/>
                <w:sz w:val="24"/>
                <w:szCs w:val="24"/>
              </w:rPr>
              <w:t>35</w:t>
            </w:r>
          </w:p>
        </w:tc>
        <w:tc>
          <w:tcPr>
            <w:tcW w:w="1922" w:type="dxa"/>
          </w:tcPr>
          <w:p w14:paraId="55A3F422"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15</w:t>
            </w:r>
          </w:p>
        </w:tc>
        <w:tc>
          <w:tcPr>
            <w:tcW w:w="1923" w:type="dxa"/>
          </w:tcPr>
          <w:p w14:paraId="0DD9A854"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N = 2475</w:t>
            </w:r>
          </w:p>
        </w:tc>
        <w:tc>
          <w:tcPr>
            <w:tcW w:w="1899" w:type="dxa"/>
          </w:tcPr>
          <w:p w14:paraId="721B482C"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0.29 SD</w:t>
            </w:r>
          </w:p>
        </w:tc>
        <w:tc>
          <w:tcPr>
            <w:tcW w:w="1869" w:type="dxa"/>
          </w:tcPr>
          <w:p w14:paraId="1BACBFE4" w14:textId="5E1CD9CD"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2</w:t>
            </w:r>
            <w:r w:rsidR="00CD457A" w:rsidRPr="00F81206">
              <w:rPr>
                <w:rFonts w:ascii="Times New Roman" w:hAnsi="Times New Roman" w:cs="Times New Roman"/>
                <w:sz w:val="24"/>
                <w:szCs w:val="24"/>
              </w:rPr>
              <w:t>6</w:t>
            </w:r>
            <w:r w:rsidRPr="00F81206">
              <w:rPr>
                <w:rFonts w:ascii="Times New Roman" w:hAnsi="Times New Roman" w:cs="Times New Roman"/>
                <w:sz w:val="24"/>
                <w:szCs w:val="24"/>
              </w:rPr>
              <w:t>.</w:t>
            </w:r>
            <w:r w:rsidR="00CD457A" w:rsidRPr="00F81206">
              <w:rPr>
                <w:rFonts w:ascii="Times New Roman" w:hAnsi="Times New Roman" w:cs="Times New Roman"/>
                <w:sz w:val="24"/>
                <w:szCs w:val="24"/>
              </w:rPr>
              <w:t>6</w:t>
            </w:r>
            <w:r w:rsidRPr="00F81206">
              <w:rPr>
                <w:rFonts w:ascii="Times New Roman" w:hAnsi="Times New Roman" w:cs="Times New Roman"/>
                <w:sz w:val="24"/>
                <w:szCs w:val="24"/>
              </w:rPr>
              <w:t>%</w:t>
            </w:r>
          </w:p>
        </w:tc>
      </w:tr>
      <w:tr w:rsidR="007F6C69" w:rsidRPr="0088479D" w14:paraId="0540CDCF" w14:textId="77777777" w:rsidTr="009F2B88">
        <w:trPr>
          <w:trHeight w:val="338"/>
          <w:jc w:val="center"/>
        </w:trPr>
        <w:tc>
          <w:tcPr>
            <w:tcW w:w="1737" w:type="dxa"/>
          </w:tcPr>
          <w:p w14:paraId="35141ADF" w14:textId="77777777" w:rsidR="007F6C69" w:rsidRPr="00F81206" w:rsidRDefault="007F6C69" w:rsidP="009F2B88">
            <w:pPr>
              <w:jc w:val="center"/>
              <w:rPr>
                <w:rFonts w:ascii="Times New Roman" w:eastAsiaTheme="minorEastAsia" w:hAnsi="Times New Roman" w:cs="Times New Roman"/>
                <w:sz w:val="24"/>
                <w:szCs w:val="24"/>
              </w:rPr>
            </w:pPr>
            <w:r w:rsidRPr="00F81206">
              <w:rPr>
                <w:rFonts w:ascii="Times New Roman" w:eastAsiaTheme="minorEastAsia" w:hAnsi="Times New Roman" w:cs="Times New Roman"/>
                <w:sz w:val="24"/>
                <w:szCs w:val="24"/>
              </w:rPr>
              <w:t>35</w:t>
            </w:r>
          </w:p>
        </w:tc>
        <w:tc>
          <w:tcPr>
            <w:tcW w:w="1922" w:type="dxa"/>
          </w:tcPr>
          <w:p w14:paraId="5F57A59E"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14</w:t>
            </w:r>
          </w:p>
        </w:tc>
        <w:tc>
          <w:tcPr>
            <w:tcW w:w="1923" w:type="dxa"/>
          </w:tcPr>
          <w:p w14:paraId="4079789D"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N = 2310</w:t>
            </w:r>
          </w:p>
        </w:tc>
        <w:tc>
          <w:tcPr>
            <w:tcW w:w="1899" w:type="dxa"/>
          </w:tcPr>
          <w:p w14:paraId="0F14ED30"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0.30 SD</w:t>
            </w:r>
          </w:p>
        </w:tc>
        <w:tc>
          <w:tcPr>
            <w:tcW w:w="1869" w:type="dxa"/>
          </w:tcPr>
          <w:p w14:paraId="30DC0F39"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28.1%</w:t>
            </w:r>
          </w:p>
        </w:tc>
      </w:tr>
      <w:tr w:rsidR="007F6C69" w:rsidRPr="0088479D" w14:paraId="697C40D6" w14:textId="77777777" w:rsidTr="009F2B88">
        <w:trPr>
          <w:trHeight w:val="338"/>
          <w:jc w:val="center"/>
        </w:trPr>
        <w:tc>
          <w:tcPr>
            <w:tcW w:w="1737" w:type="dxa"/>
          </w:tcPr>
          <w:p w14:paraId="22243859" w14:textId="77777777" w:rsidR="007F6C69" w:rsidRPr="00F81206" w:rsidRDefault="007F6C69" w:rsidP="009F2B88">
            <w:pPr>
              <w:jc w:val="center"/>
              <w:rPr>
                <w:rFonts w:ascii="Times New Roman" w:eastAsiaTheme="minorEastAsia" w:hAnsi="Times New Roman" w:cs="Times New Roman"/>
                <w:sz w:val="24"/>
                <w:szCs w:val="24"/>
              </w:rPr>
            </w:pPr>
            <w:r w:rsidRPr="00F81206">
              <w:rPr>
                <w:rFonts w:ascii="Times New Roman" w:eastAsiaTheme="minorEastAsia" w:hAnsi="Times New Roman" w:cs="Times New Roman"/>
                <w:sz w:val="24"/>
                <w:szCs w:val="24"/>
              </w:rPr>
              <w:t>40</w:t>
            </w:r>
          </w:p>
        </w:tc>
        <w:tc>
          <w:tcPr>
            <w:tcW w:w="1922" w:type="dxa"/>
          </w:tcPr>
          <w:p w14:paraId="62926002"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13</w:t>
            </w:r>
          </w:p>
        </w:tc>
        <w:tc>
          <w:tcPr>
            <w:tcW w:w="1923" w:type="dxa"/>
          </w:tcPr>
          <w:p w14:paraId="247A16FA"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N = 2340</w:t>
            </w:r>
          </w:p>
        </w:tc>
        <w:tc>
          <w:tcPr>
            <w:tcW w:w="1899" w:type="dxa"/>
          </w:tcPr>
          <w:p w14:paraId="7AD03E06"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0.29 SD</w:t>
            </w:r>
          </w:p>
        </w:tc>
        <w:tc>
          <w:tcPr>
            <w:tcW w:w="1869" w:type="dxa"/>
          </w:tcPr>
          <w:p w14:paraId="21E857C7" w14:textId="77777777" w:rsidR="007F6C69" w:rsidRPr="00F81206" w:rsidRDefault="007F6C69" w:rsidP="009F2B88">
            <w:pPr>
              <w:jc w:val="center"/>
              <w:rPr>
                <w:rFonts w:ascii="Times New Roman" w:hAnsi="Times New Roman" w:cs="Times New Roman"/>
                <w:sz w:val="24"/>
                <w:szCs w:val="24"/>
              </w:rPr>
            </w:pPr>
            <w:r w:rsidRPr="00F81206">
              <w:rPr>
                <w:rFonts w:ascii="Times New Roman" w:hAnsi="Times New Roman" w:cs="Times New Roman"/>
                <w:sz w:val="24"/>
                <w:szCs w:val="24"/>
              </w:rPr>
              <w:t>26.6%</w:t>
            </w:r>
          </w:p>
        </w:tc>
      </w:tr>
      <w:tr w:rsidR="007F6C69" w:rsidRPr="0088479D" w14:paraId="2128DE3C" w14:textId="77777777" w:rsidTr="009F2B88">
        <w:trPr>
          <w:trHeight w:val="741"/>
          <w:jc w:val="center"/>
        </w:trPr>
        <w:tc>
          <w:tcPr>
            <w:tcW w:w="9350" w:type="dxa"/>
            <w:gridSpan w:val="5"/>
          </w:tcPr>
          <w:p w14:paraId="7AF3B13D" w14:textId="74A1663E" w:rsidR="009A3BF4" w:rsidRDefault="007F6C69" w:rsidP="009F2B88">
            <w:pPr>
              <w:rPr>
                <w:rFonts w:ascii="Times New Roman" w:hAnsi="Times New Roman" w:cs="Times New Roman"/>
                <w:sz w:val="24"/>
                <w:szCs w:val="24"/>
              </w:rPr>
            </w:pPr>
            <w:r>
              <w:rPr>
                <w:rFonts w:ascii="Times New Roman" w:hAnsi="Times New Roman" w:cs="Times New Roman"/>
                <w:sz w:val="24"/>
                <w:szCs w:val="24"/>
              </w:rPr>
              <w:t xml:space="preserve">*Assuming 30 parcels of pure comparison group and 30 clusters/parcels of “transition group” </w:t>
            </w:r>
            <w:r w:rsidRPr="00797014">
              <w:rPr>
                <w:rFonts w:ascii="Times New Roman" w:hAnsi="Times New Roman" w:cs="Times New Roman"/>
                <w:i/>
                <w:iCs/>
                <w:sz w:val="24"/>
                <w:szCs w:val="24"/>
              </w:rPr>
              <w:t>for each iteration</w:t>
            </w:r>
            <w:r>
              <w:rPr>
                <w:rFonts w:ascii="Times New Roman" w:hAnsi="Times New Roman" w:cs="Times New Roman"/>
                <w:sz w:val="24"/>
                <w:szCs w:val="24"/>
              </w:rPr>
              <w:t xml:space="preserve">. Transition group is where we expect the canals to be built in 2023/24. </w:t>
            </w:r>
          </w:p>
          <w:p w14:paraId="762FC1C0" w14:textId="48ACB590" w:rsidR="007F6C69" w:rsidRDefault="007F6C69" w:rsidP="009F2B88">
            <w:pPr>
              <w:rPr>
                <w:rFonts w:ascii="Times New Roman" w:hAnsi="Times New Roman" w:cs="Times New Roman"/>
                <w:sz w:val="24"/>
                <w:szCs w:val="24"/>
              </w:rPr>
            </w:pPr>
            <w:r>
              <w:rPr>
                <w:rFonts w:ascii="Times New Roman" w:hAnsi="Times New Roman" w:cs="Times New Roman"/>
                <w:sz w:val="24"/>
                <w:szCs w:val="24"/>
              </w:rPr>
              <w:t xml:space="preserve">Mean = 0.28; SD = 0.26, power = 0.8, </w:t>
            </w:r>
            <m:oMath>
              <m:r>
                <w:rPr>
                  <w:rFonts w:ascii="Cambria Math" w:hAnsi="Cambria Math" w:cs="Times New Roman"/>
                  <w:sz w:val="24"/>
                  <w:szCs w:val="24"/>
                </w:rPr>
                <m:t>α</m:t>
              </m:r>
            </m:oMath>
            <w:r w:rsidR="0003778B">
              <w:rPr>
                <w:rFonts w:ascii="Times New Roman" w:eastAsiaTheme="minorEastAsia" w:hAnsi="Times New Roman" w:cs="Times New Roman"/>
                <w:sz w:val="24"/>
                <w:szCs w:val="24"/>
              </w:rPr>
              <w:t xml:space="preserve"> = 0.05, </w:t>
            </w:r>
            <w:r>
              <w:rPr>
                <w:rFonts w:ascii="Times New Roman" w:hAnsi="Times New Roman" w:cs="Times New Roman"/>
                <w:sz w:val="24"/>
                <w:szCs w:val="24"/>
              </w:rPr>
              <w:t>ICC = 0.19, and AR1 = 0.4</w:t>
            </w:r>
          </w:p>
        </w:tc>
      </w:tr>
    </w:tbl>
    <w:p w14:paraId="7F0AEC32" w14:textId="77777777" w:rsidR="007F6C69" w:rsidRPr="00557B56" w:rsidRDefault="007F6C69" w:rsidP="00CE41EF">
      <w:pPr>
        <w:rPr>
          <w:rFonts w:ascii="Times New Roman" w:hAnsi="Times New Roman" w:cs="Times New Roman"/>
          <w:sz w:val="24"/>
          <w:szCs w:val="24"/>
        </w:rPr>
      </w:pPr>
    </w:p>
    <w:p w14:paraId="559F6B21" w14:textId="32FFB1D3" w:rsidR="006930BF" w:rsidRPr="005B782D" w:rsidRDefault="006930BF" w:rsidP="006930BF">
      <w:pPr>
        <w:jc w:val="center"/>
        <w:rPr>
          <w:rFonts w:ascii="Times New Roman" w:hAnsi="Times New Roman" w:cs="Times New Roman"/>
          <w:b/>
          <w:bCs/>
          <w:sz w:val="24"/>
          <w:szCs w:val="24"/>
        </w:rPr>
      </w:pPr>
      <w:r w:rsidRPr="005B782D">
        <w:rPr>
          <w:rFonts w:ascii="Times New Roman" w:hAnsi="Times New Roman" w:cs="Times New Roman"/>
          <w:b/>
          <w:bCs/>
          <w:sz w:val="24"/>
          <w:szCs w:val="24"/>
        </w:rPr>
        <w:t xml:space="preserve">Table </w:t>
      </w:r>
      <w:r w:rsidR="007F6C69" w:rsidRPr="005B782D">
        <w:rPr>
          <w:rFonts w:ascii="Times New Roman" w:hAnsi="Times New Roman" w:cs="Times New Roman"/>
          <w:b/>
          <w:bCs/>
          <w:sz w:val="24"/>
          <w:szCs w:val="24"/>
        </w:rPr>
        <w:t>3</w:t>
      </w:r>
      <w:r w:rsidRPr="005B782D">
        <w:rPr>
          <w:rFonts w:ascii="Times New Roman" w:hAnsi="Times New Roman" w:cs="Times New Roman"/>
          <w:b/>
          <w:bCs/>
          <w:sz w:val="24"/>
          <w:szCs w:val="24"/>
        </w:rPr>
        <w:t>: Sample Size Calculations Based on Bangladesh Integrated Household Survey</w:t>
      </w:r>
      <w:r w:rsidR="00540F10" w:rsidRPr="005B782D">
        <w:rPr>
          <w:rFonts w:ascii="Times New Roman" w:hAnsi="Times New Roman" w:cs="Times New Roman"/>
          <w:b/>
          <w:bCs/>
          <w:sz w:val="24"/>
          <w:szCs w:val="24"/>
        </w:rPr>
        <w:t xml:space="preserve"> </w:t>
      </w:r>
      <w:r w:rsidR="005B782D" w:rsidRPr="005B782D">
        <w:rPr>
          <w:rFonts w:ascii="Times New Roman" w:hAnsi="Times New Roman" w:cs="Times New Roman"/>
          <w:b/>
          <w:bCs/>
          <w:sz w:val="24"/>
          <w:szCs w:val="24"/>
        </w:rPr>
        <w:t>2018-19</w:t>
      </w:r>
    </w:p>
    <w:tbl>
      <w:tblPr>
        <w:tblStyle w:val="TableGrid"/>
        <w:tblW w:w="0" w:type="auto"/>
        <w:jc w:val="center"/>
        <w:tblLook w:val="04A0" w:firstRow="1" w:lastRow="0" w:firstColumn="1" w:lastColumn="0" w:noHBand="0" w:noVBand="1"/>
      </w:tblPr>
      <w:tblGrid>
        <w:gridCol w:w="1767"/>
        <w:gridCol w:w="1952"/>
        <w:gridCol w:w="1970"/>
        <w:gridCol w:w="1948"/>
      </w:tblGrid>
      <w:tr w:rsidR="00EC5EEB" w:rsidRPr="0088479D" w14:paraId="16381F21" w14:textId="77777777" w:rsidTr="00EC5EEB">
        <w:trPr>
          <w:trHeight w:val="678"/>
          <w:jc w:val="center"/>
        </w:trPr>
        <w:tc>
          <w:tcPr>
            <w:tcW w:w="7637" w:type="dxa"/>
            <w:gridSpan w:val="4"/>
          </w:tcPr>
          <w:p w14:paraId="4A1B4C8F" w14:textId="0F64EEF5" w:rsidR="00EC5EEB" w:rsidRDefault="00EC5EEB" w:rsidP="009F2B88">
            <w:pPr>
              <w:rPr>
                <w:rFonts w:ascii="Times New Roman" w:hAnsi="Times New Roman" w:cs="Times New Roman"/>
                <w:sz w:val="24"/>
                <w:szCs w:val="24"/>
              </w:rPr>
            </w:pPr>
            <w:r>
              <w:rPr>
                <w:rFonts w:ascii="Times New Roman" w:hAnsi="Times New Roman" w:cs="Times New Roman"/>
                <w:sz w:val="24"/>
                <w:szCs w:val="24"/>
              </w:rPr>
              <w:t>Outcome variable: Crop Production diversification (Standardized Weighted Average index based on share of total quantities harvested)</w:t>
            </w:r>
          </w:p>
          <w:p w14:paraId="1454D9E7" w14:textId="77777777" w:rsidR="00EC5EEB" w:rsidRPr="0088479D" w:rsidRDefault="00EC5EEB" w:rsidP="009F2B88">
            <w:pPr>
              <w:jc w:val="center"/>
              <w:rPr>
                <w:rFonts w:ascii="Times New Roman" w:hAnsi="Times New Roman" w:cs="Times New Roman"/>
                <w:sz w:val="24"/>
                <w:szCs w:val="24"/>
              </w:rPr>
            </w:pPr>
          </w:p>
        </w:tc>
      </w:tr>
      <w:tr w:rsidR="00EC5EEB" w:rsidRPr="0088479D" w14:paraId="63782779" w14:textId="77777777" w:rsidTr="0079360D">
        <w:trPr>
          <w:trHeight w:val="678"/>
          <w:jc w:val="center"/>
        </w:trPr>
        <w:tc>
          <w:tcPr>
            <w:tcW w:w="1767" w:type="dxa"/>
          </w:tcPr>
          <w:p w14:paraId="44AE5675" w14:textId="647A9EC2" w:rsidR="00EC5EEB" w:rsidRDefault="00EC5EEB" w:rsidP="009F2B88">
            <w:pPr>
              <w:jc w:val="center"/>
              <w:rPr>
                <w:rFonts w:ascii="Times New Roman" w:hAnsi="Times New Roman" w:cs="Times New Roman"/>
                <w:sz w:val="24"/>
                <w:szCs w:val="24"/>
              </w:rPr>
            </w:pPr>
            <w:r>
              <w:rPr>
                <w:rFonts w:ascii="Times New Roman" w:hAnsi="Times New Roman" w:cs="Times New Roman"/>
                <w:sz w:val="24"/>
                <w:szCs w:val="24"/>
              </w:rPr>
              <w:t>Number of clusters per treatment arm</w:t>
            </w:r>
            <w:r w:rsidR="00AE2372">
              <w:rPr>
                <w:rFonts w:ascii="Times New Roman" w:hAnsi="Times New Roman" w:cs="Times New Roman"/>
                <w:sz w:val="24"/>
                <w:szCs w:val="24"/>
              </w:rPr>
              <w:t xml:space="preserve"> (k)</w:t>
            </w:r>
          </w:p>
        </w:tc>
        <w:tc>
          <w:tcPr>
            <w:tcW w:w="1952" w:type="dxa"/>
          </w:tcPr>
          <w:p w14:paraId="4FCCC65D" w14:textId="6A0A6586" w:rsidR="00EC5EEB" w:rsidRPr="0088479D" w:rsidRDefault="00252912" w:rsidP="00252912">
            <w:pPr>
              <w:rPr>
                <w:rFonts w:ascii="Times New Roman" w:hAnsi="Times New Roman" w:cs="Times New Roman"/>
                <w:sz w:val="24"/>
                <w:szCs w:val="24"/>
              </w:rPr>
            </w:pPr>
            <w:r>
              <w:rPr>
                <w:rFonts w:ascii="Times New Roman" w:hAnsi="Times New Roman" w:cs="Times New Roman"/>
                <w:sz w:val="24"/>
                <w:szCs w:val="24"/>
              </w:rPr>
              <w:t>Number of households per cluster</w:t>
            </w:r>
            <w:r w:rsidR="00AE2372">
              <w:rPr>
                <w:rFonts w:ascii="Times New Roman" w:hAnsi="Times New Roman" w:cs="Times New Roman"/>
                <w:sz w:val="24"/>
                <w:szCs w:val="24"/>
              </w:rPr>
              <w:t xml:space="preserve"> (n)</w:t>
            </w:r>
          </w:p>
        </w:tc>
        <w:tc>
          <w:tcPr>
            <w:tcW w:w="1970" w:type="dxa"/>
          </w:tcPr>
          <w:p w14:paraId="7DE2CAE1" w14:textId="4CA338B7" w:rsidR="00EC5EEB" w:rsidRPr="0088479D" w:rsidRDefault="00EC5EEB" w:rsidP="009F2B88">
            <w:pPr>
              <w:jc w:val="center"/>
              <w:rPr>
                <w:rFonts w:ascii="Times New Roman" w:hAnsi="Times New Roman" w:cs="Times New Roman"/>
                <w:sz w:val="24"/>
                <w:szCs w:val="24"/>
              </w:rPr>
            </w:pPr>
            <w:r>
              <w:rPr>
                <w:rFonts w:ascii="Times New Roman" w:hAnsi="Times New Roman" w:cs="Times New Roman"/>
                <w:sz w:val="24"/>
                <w:szCs w:val="24"/>
              </w:rPr>
              <w:t>Total Sample Size</w:t>
            </w:r>
            <w:r w:rsidR="0079360D">
              <w:rPr>
                <w:rFonts w:ascii="Times New Roman" w:hAnsi="Times New Roman" w:cs="Times New Roman"/>
                <w:sz w:val="24"/>
                <w:szCs w:val="24"/>
              </w:rPr>
              <w:t>*</w:t>
            </w:r>
            <w:r w:rsidR="00AE2372">
              <w:rPr>
                <w:rFonts w:ascii="Times New Roman" w:hAnsi="Times New Roman" w:cs="Times New Roman"/>
                <w:sz w:val="24"/>
                <w:szCs w:val="24"/>
              </w:rPr>
              <w:t xml:space="preserve"> (N)</w:t>
            </w:r>
          </w:p>
        </w:tc>
        <w:tc>
          <w:tcPr>
            <w:tcW w:w="1948" w:type="dxa"/>
          </w:tcPr>
          <w:p w14:paraId="008E0590" w14:textId="77777777" w:rsidR="00EC5EEB" w:rsidRPr="0088479D" w:rsidRDefault="00EC5EEB" w:rsidP="009F2B88">
            <w:pPr>
              <w:jc w:val="center"/>
              <w:rPr>
                <w:rFonts w:ascii="Times New Roman" w:hAnsi="Times New Roman" w:cs="Times New Roman"/>
                <w:sz w:val="24"/>
                <w:szCs w:val="24"/>
              </w:rPr>
            </w:pPr>
            <w:r w:rsidRPr="0088479D">
              <w:rPr>
                <w:rFonts w:ascii="Times New Roman" w:hAnsi="Times New Roman" w:cs="Times New Roman"/>
                <w:sz w:val="24"/>
                <w:szCs w:val="24"/>
              </w:rPr>
              <w:t>MDES</w:t>
            </w:r>
            <w:r>
              <w:rPr>
                <w:rFonts w:ascii="Times New Roman" w:hAnsi="Times New Roman" w:cs="Times New Roman"/>
                <w:sz w:val="24"/>
                <w:szCs w:val="24"/>
              </w:rPr>
              <w:t xml:space="preserve"> (in SDs)</w:t>
            </w:r>
          </w:p>
        </w:tc>
      </w:tr>
      <w:tr w:rsidR="00EC5EEB" w:rsidRPr="0088479D" w14:paraId="11DB3DCC" w14:textId="77777777" w:rsidTr="0079360D">
        <w:trPr>
          <w:trHeight w:val="357"/>
          <w:jc w:val="center"/>
        </w:trPr>
        <w:tc>
          <w:tcPr>
            <w:tcW w:w="1767" w:type="dxa"/>
          </w:tcPr>
          <w:p w14:paraId="26EE0B84" w14:textId="0E6E1AC9" w:rsidR="00EC5EEB" w:rsidRDefault="00EC5EEB" w:rsidP="009F2B88">
            <w:pPr>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30</w:t>
            </w:r>
          </w:p>
        </w:tc>
        <w:tc>
          <w:tcPr>
            <w:tcW w:w="1952" w:type="dxa"/>
          </w:tcPr>
          <w:p w14:paraId="10D3FF49" w14:textId="435874B9" w:rsidR="00EC5EEB" w:rsidRDefault="00AE2372" w:rsidP="009F2B88">
            <w:pPr>
              <w:jc w:val="center"/>
              <w:rPr>
                <w:rFonts w:ascii="Times New Roman" w:hAnsi="Times New Roman" w:cs="Times New Roman"/>
                <w:sz w:val="24"/>
                <w:szCs w:val="24"/>
              </w:rPr>
            </w:pPr>
            <w:r>
              <w:rPr>
                <w:rFonts w:ascii="Times New Roman" w:hAnsi="Times New Roman" w:cs="Times New Roman"/>
                <w:sz w:val="24"/>
                <w:szCs w:val="24"/>
              </w:rPr>
              <w:t>1</w:t>
            </w:r>
            <w:r w:rsidR="00DF0872">
              <w:rPr>
                <w:rFonts w:ascii="Times New Roman" w:hAnsi="Times New Roman" w:cs="Times New Roman"/>
                <w:sz w:val="24"/>
                <w:szCs w:val="24"/>
              </w:rPr>
              <w:t>6</w:t>
            </w:r>
          </w:p>
        </w:tc>
        <w:tc>
          <w:tcPr>
            <w:tcW w:w="1970" w:type="dxa"/>
          </w:tcPr>
          <w:p w14:paraId="2FF54892" w14:textId="6340AF72" w:rsidR="00EC5EEB" w:rsidRDefault="00EC5EEB" w:rsidP="009F2B88">
            <w:pPr>
              <w:jc w:val="center"/>
              <w:rPr>
                <w:rFonts w:ascii="Times New Roman" w:hAnsi="Times New Roman" w:cs="Times New Roman"/>
                <w:sz w:val="24"/>
                <w:szCs w:val="24"/>
              </w:rPr>
            </w:pPr>
            <w:r>
              <w:rPr>
                <w:rFonts w:ascii="Times New Roman" w:hAnsi="Times New Roman" w:cs="Times New Roman"/>
                <w:sz w:val="24"/>
                <w:szCs w:val="24"/>
              </w:rPr>
              <w:t xml:space="preserve">N = </w:t>
            </w:r>
            <w:r w:rsidR="00EA43B8">
              <w:rPr>
                <w:rFonts w:ascii="Times New Roman" w:hAnsi="Times New Roman" w:cs="Times New Roman"/>
                <w:sz w:val="24"/>
                <w:szCs w:val="24"/>
              </w:rPr>
              <w:t>2</w:t>
            </w:r>
            <w:r w:rsidR="004238CA">
              <w:rPr>
                <w:rFonts w:ascii="Times New Roman" w:hAnsi="Times New Roman" w:cs="Times New Roman"/>
                <w:sz w:val="24"/>
                <w:szCs w:val="24"/>
              </w:rPr>
              <w:t>400</w:t>
            </w:r>
          </w:p>
        </w:tc>
        <w:tc>
          <w:tcPr>
            <w:tcW w:w="1948" w:type="dxa"/>
          </w:tcPr>
          <w:p w14:paraId="6FEDD397" w14:textId="2BF0DE7C" w:rsidR="00EC5EEB" w:rsidRDefault="00EC5EEB" w:rsidP="009F2B88">
            <w:pPr>
              <w:jc w:val="center"/>
              <w:rPr>
                <w:rFonts w:ascii="Times New Roman" w:hAnsi="Times New Roman" w:cs="Times New Roman"/>
                <w:sz w:val="24"/>
                <w:szCs w:val="24"/>
              </w:rPr>
            </w:pPr>
            <w:r>
              <w:rPr>
                <w:rFonts w:ascii="Times New Roman" w:hAnsi="Times New Roman" w:cs="Times New Roman"/>
                <w:sz w:val="24"/>
                <w:szCs w:val="24"/>
              </w:rPr>
              <w:t>0.</w:t>
            </w:r>
            <w:r w:rsidR="005A35EC">
              <w:rPr>
                <w:rFonts w:ascii="Times New Roman" w:hAnsi="Times New Roman" w:cs="Times New Roman"/>
                <w:sz w:val="24"/>
                <w:szCs w:val="24"/>
              </w:rPr>
              <w:t>2</w:t>
            </w:r>
            <w:r w:rsidR="00744821">
              <w:rPr>
                <w:rFonts w:ascii="Times New Roman" w:hAnsi="Times New Roman" w:cs="Times New Roman"/>
                <w:sz w:val="24"/>
                <w:szCs w:val="24"/>
              </w:rPr>
              <w:t>5</w:t>
            </w:r>
            <w:r>
              <w:rPr>
                <w:rFonts w:ascii="Times New Roman" w:hAnsi="Times New Roman" w:cs="Times New Roman"/>
                <w:sz w:val="24"/>
                <w:szCs w:val="24"/>
              </w:rPr>
              <w:t xml:space="preserve"> SD</w:t>
            </w:r>
          </w:p>
        </w:tc>
      </w:tr>
      <w:tr w:rsidR="00AB0411" w:rsidRPr="0088479D" w14:paraId="356FAD7B" w14:textId="77777777" w:rsidTr="0079360D">
        <w:trPr>
          <w:trHeight w:val="338"/>
          <w:jc w:val="center"/>
        </w:trPr>
        <w:tc>
          <w:tcPr>
            <w:tcW w:w="1767" w:type="dxa"/>
          </w:tcPr>
          <w:p w14:paraId="6E44C53D" w14:textId="0983E6C1" w:rsidR="00AB0411" w:rsidRPr="005D3A21" w:rsidRDefault="00AB0411" w:rsidP="00AB0411">
            <w:pPr>
              <w:jc w:val="center"/>
              <w:rPr>
                <w:rFonts w:ascii="Times New Roman" w:eastAsiaTheme="minorEastAsia" w:hAnsi="Times New Roman" w:cs="Times New Roman"/>
                <w:sz w:val="24"/>
                <w:szCs w:val="24"/>
              </w:rPr>
            </w:pPr>
            <w:r w:rsidRPr="005D3A21">
              <w:rPr>
                <w:rFonts w:ascii="Times New Roman" w:eastAsiaTheme="minorEastAsia" w:hAnsi="Times New Roman" w:cs="Times New Roman"/>
                <w:sz w:val="24"/>
                <w:szCs w:val="24"/>
              </w:rPr>
              <w:t>30</w:t>
            </w:r>
          </w:p>
        </w:tc>
        <w:tc>
          <w:tcPr>
            <w:tcW w:w="1952" w:type="dxa"/>
          </w:tcPr>
          <w:p w14:paraId="5A3D8ACC" w14:textId="3E4125C2" w:rsidR="00AB0411" w:rsidRPr="005D3A21" w:rsidRDefault="00AB0411" w:rsidP="00AB0411">
            <w:pPr>
              <w:jc w:val="center"/>
              <w:rPr>
                <w:rFonts w:ascii="Times New Roman" w:hAnsi="Times New Roman" w:cs="Times New Roman"/>
                <w:sz w:val="24"/>
                <w:szCs w:val="24"/>
              </w:rPr>
            </w:pPr>
            <w:r w:rsidRPr="005D3A21">
              <w:rPr>
                <w:rFonts w:ascii="Times New Roman" w:hAnsi="Times New Roman" w:cs="Times New Roman"/>
                <w:sz w:val="24"/>
                <w:szCs w:val="24"/>
              </w:rPr>
              <w:t>1</w:t>
            </w:r>
            <w:r w:rsidR="005A35EC" w:rsidRPr="005D3A21">
              <w:rPr>
                <w:rFonts w:ascii="Times New Roman" w:hAnsi="Times New Roman" w:cs="Times New Roman"/>
                <w:sz w:val="24"/>
                <w:szCs w:val="24"/>
              </w:rPr>
              <w:t>5</w:t>
            </w:r>
          </w:p>
        </w:tc>
        <w:tc>
          <w:tcPr>
            <w:tcW w:w="1970" w:type="dxa"/>
          </w:tcPr>
          <w:p w14:paraId="06028F73" w14:textId="209C46F3" w:rsidR="00AB0411" w:rsidRPr="005D3A21" w:rsidRDefault="00887360" w:rsidP="00AB0411">
            <w:pPr>
              <w:jc w:val="center"/>
              <w:rPr>
                <w:rFonts w:ascii="Times New Roman" w:hAnsi="Times New Roman" w:cs="Times New Roman"/>
                <w:sz w:val="24"/>
                <w:szCs w:val="24"/>
              </w:rPr>
            </w:pPr>
            <w:r w:rsidRPr="005D3A21">
              <w:rPr>
                <w:rFonts w:ascii="Times New Roman" w:hAnsi="Times New Roman" w:cs="Times New Roman"/>
                <w:sz w:val="24"/>
                <w:szCs w:val="24"/>
              </w:rPr>
              <w:t>N = 2</w:t>
            </w:r>
            <w:r w:rsidR="004238CA" w:rsidRPr="005D3A21">
              <w:rPr>
                <w:rFonts w:ascii="Times New Roman" w:hAnsi="Times New Roman" w:cs="Times New Roman"/>
                <w:sz w:val="24"/>
                <w:szCs w:val="24"/>
              </w:rPr>
              <w:t>250</w:t>
            </w:r>
          </w:p>
        </w:tc>
        <w:tc>
          <w:tcPr>
            <w:tcW w:w="1948" w:type="dxa"/>
          </w:tcPr>
          <w:p w14:paraId="2B45F25D" w14:textId="1A438483" w:rsidR="00AB0411" w:rsidRPr="005D3A21" w:rsidRDefault="00AB0411" w:rsidP="00AB0411">
            <w:pPr>
              <w:jc w:val="center"/>
              <w:rPr>
                <w:rFonts w:ascii="Times New Roman" w:hAnsi="Times New Roman" w:cs="Times New Roman"/>
                <w:sz w:val="24"/>
                <w:szCs w:val="24"/>
              </w:rPr>
            </w:pPr>
            <w:r w:rsidRPr="005D3A21">
              <w:rPr>
                <w:rFonts w:ascii="Times New Roman" w:hAnsi="Times New Roman" w:cs="Times New Roman"/>
                <w:sz w:val="24"/>
                <w:szCs w:val="24"/>
              </w:rPr>
              <w:t>0.2</w:t>
            </w:r>
            <w:r w:rsidR="00ED1021" w:rsidRPr="005D3A21">
              <w:rPr>
                <w:rFonts w:ascii="Times New Roman" w:hAnsi="Times New Roman" w:cs="Times New Roman"/>
                <w:sz w:val="24"/>
                <w:szCs w:val="24"/>
              </w:rPr>
              <w:t>5</w:t>
            </w:r>
            <w:r w:rsidRPr="005D3A21">
              <w:rPr>
                <w:rFonts w:ascii="Times New Roman" w:hAnsi="Times New Roman" w:cs="Times New Roman"/>
                <w:sz w:val="24"/>
                <w:szCs w:val="24"/>
              </w:rPr>
              <w:t xml:space="preserve"> SD</w:t>
            </w:r>
          </w:p>
        </w:tc>
      </w:tr>
      <w:tr w:rsidR="00AB0411" w:rsidRPr="0088479D" w14:paraId="1982E5D7" w14:textId="77777777" w:rsidTr="0079360D">
        <w:trPr>
          <w:trHeight w:val="338"/>
          <w:jc w:val="center"/>
        </w:trPr>
        <w:tc>
          <w:tcPr>
            <w:tcW w:w="1767" w:type="dxa"/>
          </w:tcPr>
          <w:p w14:paraId="19722E2C" w14:textId="366CDCA4" w:rsidR="00AB0411" w:rsidRPr="005D3A21" w:rsidRDefault="00887360" w:rsidP="00AB0411">
            <w:pPr>
              <w:jc w:val="center"/>
              <w:rPr>
                <w:rFonts w:ascii="Times New Roman" w:eastAsiaTheme="minorEastAsia" w:hAnsi="Times New Roman" w:cs="Times New Roman"/>
                <w:sz w:val="24"/>
                <w:szCs w:val="24"/>
              </w:rPr>
            </w:pPr>
            <w:r w:rsidRPr="005D3A21">
              <w:rPr>
                <w:rFonts w:ascii="Times New Roman" w:eastAsiaTheme="minorEastAsia" w:hAnsi="Times New Roman" w:cs="Times New Roman"/>
                <w:sz w:val="24"/>
                <w:szCs w:val="24"/>
              </w:rPr>
              <w:t>3</w:t>
            </w:r>
            <w:r w:rsidR="00ED1021" w:rsidRPr="005D3A21">
              <w:rPr>
                <w:rFonts w:ascii="Times New Roman" w:eastAsiaTheme="minorEastAsia" w:hAnsi="Times New Roman" w:cs="Times New Roman"/>
                <w:sz w:val="24"/>
                <w:szCs w:val="24"/>
              </w:rPr>
              <w:t>5</w:t>
            </w:r>
          </w:p>
        </w:tc>
        <w:tc>
          <w:tcPr>
            <w:tcW w:w="1952" w:type="dxa"/>
          </w:tcPr>
          <w:p w14:paraId="56465810" w14:textId="0B4B67A2" w:rsidR="00AB0411" w:rsidRPr="005D3A21" w:rsidRDefault="00FE0F62" w:rsidP="00AB0411">
            <w:pPr>
              <w:jc w:val="center"/>
              <w:rPr>
                <w:rFonts w:ascii="Times New Roman" w:hAnsi="Times New Roman" w:cs="Times New Roman"/>
                <w:sz w:val="24"/>
                <w:szCs w:val="24"/>
              </w:rPr>
            </w:pPr>
            <w:r w:rsidRPr="005D3A21">
              <w:rPr>
                <w:rFonts w:ascii="Times New Roman" w:hAnsi="Times New Roman" w:cs="Times New Roman"/>
                <w:sz w:val="24"/>
                <w:szCs w:val="24"/>
              </w:rPr>
              <w:t>15</w:t>
            </w:r>
          </w:p>
        </w:tc>
        <w:tc>
          <w:tcPr>
            <w:tcW w:w="1970" w:type="dxa"/>
          </w:tcPr>
          <w:p w14:paraId="63AD51CD" w14:textId="421DD72F" w:rsidR="00AB0411" w:rsidRPr="005D3A21" w:rsidRDefault="00AB0411" w:rsidP="00AB0411">
            <w:pPr>
              <w:jc w:val="center"/>
              <w:rPr>
                <w:rFonts w:ascii="Times New Roman" w:hAnsi="Times New Roman" w:cs="Times New Roman"/>
                <w:sz w:val="24"/>
                <w:szCs w:val="24"/>
              </w:rPr>
            </w:pPr>
            <w:r w:rsidRPr="005D3A21">
              <w:rPr>
                <w:rFonts w:ascii="Times New Roman" w:hAnsi="Times New Roman" w:cs="Times New Roman"/>
                <w:sz w:val="24"/>
                <w:szCs w:val="24"/>
              </w:rPr>
              <w:t xml:space="preserve">N = </w:t>
            </w:r>
            <w:r w:rsidR="00FE0F62" w:rsidRPr="005D3A21">
              <w:rPr>
                <w:rFonts w:ascii="Times New Roman" w:hAnsi="Times New Roman" w:cs="Times New Roman"/>
                <w:sz w:val="24"/>
                <w:szCs w:val="24"/>
              </w:rPr>
              <w:t>2</w:t>
            </w:r>
            <w:r w:rsidR="00ED1021" w:rsidRPr="005D3A21">
              <w:rPr>
                <w:rFonts w:ascii="Times New Roman" w:hAnsi="Times New Roman" w:cs="Times New Roman"/>
                <w:sz w:val="24"/>
                <w:szCs w:val="24"/>
              </w:rPr>
              <w:t>475</w:t>
            </w:r>
          </w:p>
        </w:tc>
        <w:tc>
          <w:tcPr>
            <w:tcW w:w="1948" w:type="dxa"/>
          </w:tcPr>
          <w:p w14:paraId="0B280635" w14:textId="5DE07D5A" w:rsidR="00AB0411" w:rsidRPr="005D3A21" w:rsidRDefault="00AB0411" w:rsidP="00AB0411">
            <w:pPr>
              <w:jc w:val="center"/>
              <w:rPr>
                <w:rFonts w:ascii="Times New Roman" w:hAnsi="Times New Roman" w:cs="Times New Roman"/>
                <w:sz w:val="24"/>
                <w:szCs w:val="24"/>
              </w:rPr>
            </w:pPr>
            <w:r w:rsidRPr="005D3A21">
              <w:rPr>
                <w:rFonts w:ascii="Times New Roman" w:hAnsi="Times New Roman" w:cs="Times New Roman"/>
                <w:sz w:val="24"/>
                <w:szCs w:val="24"/>
              </w:rPr>
              <w:t>0.2</w:t>
            </w:r>
            <w:r w:rsidR="00561438" w:rsidRPr="005D3A21">
              <w:rPr>
                <w:rFonts w:ascii="Times New Roman" w:hAnsi="Times New Roman" w:cs="Times New Roman"/>
                <w:sz w:val="24"/>
                <w:szCs w:val="24"/>
              </w:rPr>
              <w:t>4</w:t>
            </w:r>
            <w:r w:rsidRPr="005D3A21">
              <w:rPr>
                <w:rFonts w:ascii="Times New Roman" w:hAnsi="Times New Roman" w:cs="Times New Roman"/>
                <w:sz w:val="24"/>
                <w:szCs w:val="24"/>
              </w:rPr>
              <w:t xml:space="preserve"> SD</w:t>
            </w:r>
          </w:p>
        </w:tc>
      </w:tr>
      <w:tr w:rsidR="00FE0F62" w:rsidRPr="0088479D" w14:paraId="062E78DA" w14:textId="77777777" w:rsidTr="0079360D">
        <w:trPr>
          <w:trHeight w:val="338"/>
          <w:jc w:val="center"/>
        </w:trPr>
        <w:tc>
          <w:tcPr>
            <w:tcW w:w="1767" w:type="dxa"/>
          </w:tcPr>
          <w:p w14:paraId="649D4FA0" w14:textId="567A21B8" w:rsidR="00FE0F62" w:rsidRPr="005D3A21" w:rsidRDefault="00561438" w:rsidP="00AB0411">
            <w:pPr>
              <w:jc w:val="center"/>
              <w:rPr>
                <w:rFonts w:ascii="Times New Roman" w:eastAsiaTheme="minorEastAsia" w:hAnsi="Times New Roman" w:cs="Times New Roman"/>
                <w:sz w:val="24"/>
                <w:szCs w:val="24"/>
              </w:rPr>
            </w:pPr>
            <w:r w:rsidRPr="005D3A21">
              <w:rPr>
                <w:rFonts w:ascii="Times New Roman" w:eastAsiaTheme="minorEastAsia" w:hAnsi="Times New Roman" w:cs="Times New Roman"/>
                <w:sz w:val="24"/>
                <w:szCs w:val="24"/>
              </w:rPr>
              <w:t>35</w:t>
            </w:r>
          </w:p>
        </w:tc>
        <w:tc>
          <w:tcPr>
            <w:tcW w:w="1952" w:type="dxa"/>
          </w:tcPr>
          <w:p w14:paraId="0204A2D7" w14:textId="27CEB3DE" w:rsidR="00FE0F62" w:rsidRPr="005D3A21" w:rsidRDefault="00DB5401" w:rsidP="00AB0411">
            <w:pPr>
              <w:jc w:val="center"/>
              <w:rPr>
                <w:rFonts w:ascii="Times New Roman" w:hAnsi="Times New Roman" w:cs="Times New Roman"/>
                <w:sz w:val="24"/>
                <w:szCs w:val="24"/>
              </w:rPr>
            </w:pPr>
            <w:r w:rsidRPr="005D3A21">
              <w:rPr>
                <w:rFonts w:ascii="Times New Roman" w:hAnsi="Times New Roman" w:cs="Times New Roman"/>
                <w:sz w:val="24"/>
                <w:szCs w:val="24"/>
              </w:rPr>
              <w:t>1</w:t>
            </w:r>
            <w:r w:rsidR="00561438" w:rsidRPr="005D3A21">
              <w:rPr>
                <w:rFonts w:ascii="Times New Roman" w:hAnsi="Times New Roman" w:cs="Times New Roman"/>
                <w:sz w:val="24"/>
                <w:szCs w:val="24"/>
              </w:rPr>
              <w:t>4</w:t>
            </w:r>
          </w:p>
        </w:tc>
        <w:tc>
          <w:tcPr>
            <w:tcW w:w="1970" w:type="dxa"/>
          </w:tcPr>
          <w:p w14:paraId="06E7D34C" w14:textId="64B42272" w:rsidR="00FE0F62" w:rsidRPr="005D3A21" w:rsidRDefault="00DB5401" w:rsidP="00AB0411">
            <w:pPr>
              <w:jc w:val="center"/>
              <w:rPr>
                <w:rFonts w:ascii="Times New Roman" w:hAnsi="Times New Roman" w:cs="Times New Roman"/>
                <w:sz w:val="24"/>
                <w:szCs w:val="24"/>
              </w:rPr>
            </w:pPr>
            <w:r w:rsidRPr="005D3A21">
              <w:rPr>
                <w:rFonts w:ascii="Times New Roman" w:hAnsi="Times New Roman" w:cs="Times New Roman"/>
                <w:sz w:val="24"/>
                <w:szCs w:val="24"/>
              </w:rPr>
              <w:t xml:space="preserve">N = </w:t>
            </w:r>
            <w:r w:rsidR="00D040F7" w:rsidRPr="005D3A21">
              <w:rPr>
                <w:rFonts w:ascii="Times New Roman" w:hAnsi="Times New Roman" w:cs="Times New Roman"/>
                <w:sz w:val="24"/>
                <w:szCs w:val="24"/>
              </w:rPr>
              <w:t>2</w:t>
            </w:r>
            <w:r w:rsidR="00A553D1" w:rsidRPr="005D3A21">
              <w:rPr>
                <w:rFonts w:ascii="Times New Roman" w:hAnsi="Times New Roman" w:cs="Times New Roman"/>
                <w:sz w:val="24"/>
                <w:szCs w:val="24"/>
              </w:rPr>
              <w:t>310</w:t>
            </w:r>
          </w:p>
        </w:tc>
        <w:tc>
          <w:tcPr>
            <w:tcW w:w="1948" w:type="dxa"/>
          </w:tcPr>
          <w:p w14:paraId="06A1BF24" w14:textId="53C24B3B" w:rsidR="00FE0F62" w:rsidRPr="005D3A21" w:rsidRDefault="002F574E" w:rsidP="00AB0411">
            <w:pPr>
              <w:jc w:val="center"/>
              <w:rPr>
                <w:rFonts w:ascii="Times New Roman" w:hAnsi="Times New Roman" w:cs="Times New Roman"/>
                <w:sz w:val="24"/>
                <w:szCs w:val="24"/>
              </w:rPr>
            </w:pPr>
            <w:r w:rsidRPr="005D3A21">
              <w:rPr>
                <w:rFonts w:ascii="Times New Roman" w:hAnsi="Times New Roman" w:cs="Times New Roman"/>
                <w:sz w:val="24"/>
                <w:szCs w:val="24"/>
              </w:rPr>
              <w:t>0.2</w:t>
            </w:r>
            <w:r w:rsidR="00A553D1" w:rsidRPr="005D3A21">
              <w:rPr>
                <w:rFonts w:ascii="Times New Roman" w:hAnsi="Times New Roman" w:cs="Times New Roman"/>
                <w:sz w:val="24"/>
                <w:szCs w:val="24"/>
              </w:rPr>
              <w:t>4</w:t>
            </w:r>
            <w:r w:rsidR="003B1C94" w:rsidRPr="005D3A21">
              <w:rPr>
                <w:rFonts w:ascii="Times New Roman" w:hAnsi="Times New Roman" w:cs="Times New Roman"/>
                <w:sz w:val="24"/>
                <w:szCs w:val="24"/>
              </w:rPr>
              <w:t xml:space="preserve"> SD</w:t>
            </w:r>
          </w:p>
        </w:tc>
      </w:tr>
      <w:tr w:rsidR="00AB0411" w:rsidRPr="0088479D" w14:paraId="478254F5" w14:textId="77777777" w:rsidTr="00626D68">
        <w:trPr>
          <w:trHeight w:val="741"/>
          <w:jc w:val="center"/>
        </w:trPr>
        <w:tc>
          <w:tcPr>
            <w:tcW w:w="7637" w:type="dxa"/>
            <w:gridSpan w:val="4"/>
          </w:tcPr>
          <w:p w14:paraId="753A2326" w14:textId="7FE05D61" w:rsidR="00FF3450" w:rsidRDefault="009B5C32" w:rsidP="00AB0411">
            <w:pPr>
              <w:rPr>
                <w:rFonts w:ascii="Times New Roman" w:hAnsi="Times New Roman" w:cs="Times New Roman"/>
                <w:sz w:val="24"/>
                <w:szCs w:val="24"/>
              </w:rPr>
            </w:pPr>
            <w:r>
              <w:rPr>
                <w:rFonts w:ascii="Times New Roman" w:hAnsi="Times New Roman" w:cs="Times New Roman"/>
                <w:sz w:val="24"/>
                <w:szCs w:val="24"/>
              </w:rPr>
              <w:t>*</w:t>
            </w:r>
            <w:r w:rsidR="00AB0411">
              <w:rPr>
                <w:rFonts w:ascii="Times New Roman" w:hAnsi="Times New Roman" w:cs="Times New Roman"/>
                <w:sz w:val="24"/>
                <w:szCs w:val="24"/>
              </w:rPr>
              <w:t xml:space="preserve">Assuming </w:t>
            </w:r>
            <w:r w:rsidR="007C4ED2">
              <w:rPr>
                <w:rFonts w:ascii="Times New Roman" w:hAnsi="Times New Roman" w:cs="Times New Roman"/>
                <w:sz w:val="24"/>
                <w:szCs w:val="24"/>
              </w:rPr>
              <w:t>30</w:t>
            </w:r>
            <w:r w:rsidR="00AB0411">
              <w:rPr>
                <w:rFonts w:ascii="Times New Roman" w:hAnsi="Times New Roman" w:cs="Times New Roman"/>
                <w:sz w:val="24"/>
                <w:szCs w:val="24"/>
              </w:rPr>
              <w:t xml:space="preserve"> clusters of pure comparison group and </w:t>
            </w:r>
            <w:r w:rsidR="007C4ED2">
              <w:rPr>
                <w:rFonts w:ascii="Times New Roman" w:hAnsi="Times New Roman" w:cs="Times New Roman"/>
                <w:sz w:val="24"/>
                <w:szCs w:val="24"/>
              </w:rPr>
              <w:t>30</w:t>
            </w:r>
            <w:r w:rsidR="00AB0411">
              <w:rPr>
                <w:rFonts w:ascii="Times New Roman" w:hAnsi="Times New Roman" w:cs="Times New Roman"/>
                <w:sz w:val="24"/>
                <w:szCs w:val="24"/>
              </w:rPr>
              <w:t xml:space="preserve"> clusters of </w:t>
            </w:r>
            <w:r w:rsidR="00FF3450">
              <w:rPr>
                <w:rFonts w:ascii="Times New Roman" w:hAnsi="Times New Roman" w:cs="Times New Roman"/>
                <w:sz w:val="24"/>
                <w:szCs w:val="24"/>
              </w:rPr>
              <w:t>“transit</w:t>
            </w:r>
            <w:r w:rsidR="007C4ED2">
              <w:rPr>
                <w:rFonts w:ascii="Times New Roman" w:hAnsi="Times New Roman" w:cs="Times New Roman"/>
                <w:sz w:val="24"/>
                <w:szCs w:val="24"/>
              </w:rPr>
              <w:t>ion</w:t>
            </w:r>
            <w:r w:rsidR="00FF3450">
              <w:rPr>
                <w:rFonts w:ascii="Times New Roman" w:hAnsi="Times New Roman" w:cs="Times New Roman"/>
                <w:sz w:val="24"/>
                <w:szCs w:val="24"/>
              </w:rPr>
              <w:t xml:space="preserve"> group”</w:t>
            </w:r>
            <w:r w:rsidR="005427CD">
              <w:rPr>
                <w:rFonts w:ascii="Times New Roman" w:hAnsi="Times New Roman" w:cs="Times New Roman"/>
                <w:sz w:val="24"/>
                <w:szCs w:val="24"/>
              </w:rPr>
              <w:t xml:space="preserve"> </w:t>
            </w:r>
            <w:r w:rsidR="005427CD" w:rsidRPr="00C11289">
              <w:rPr>
                <w:rFonts w:ascii="Times New Roman" w:hAnsi="Times New Roman" w:cs="Times New Roman"/>
                <w:i/>
                <w:iCs/>
                <w:sz w:val="24"/>
                <w:szCs w:val="24"/>
              </w:rPr>
              <w:t>in all iterations</w:t>
            </w:r>
            <w:r w:rsidR="00FF3450">
              <w:rPr>
                <w:rFonts w:ascii="Times New Roman" w:hAnsi="Times New Roman" w:cs="Times New Roman"/>
                <w:sz w:val="24"/>
                <w:szCs w:val="24"/>
              </w:rPr>
              <w:t>. Transit</w:t>
            </w:r>
            <w:r w:rsidR="007C4ED2">
              <w:rPr>
                <w:rFonts w:ascii="Times New Roman" w:hAnsi="Times New Roman" w:cs="Times New Roman"/>
                <w:sz w:val="24"/>
                <w:szCs w:val="24"/>
              </w:rPr>
              <w:t>ion</w:t>
            </w:r>
            <w:r w:rsidR="00FF3450">
              <w:rPr>
                <w:rFonts w:ascii="Times New Roman" w:hAnsi="Times New Roman" w:cs="Times New Roman"/>
                <w:sz w:val="24"/>
                <w:szCs w:val="24"/>
              </w:rPr>
              <w:t xml:space="preserve"> group is where we expect the canals to be built in 2023/24. </w:t>
            </w:r>
          </w:p>
          <w:p w14:paraId="2BC88AD2" w14:textId="6BC0AACF" w:rsidR="00AB0411" w:rsidRDefault="00AB0411" w:rsidP="00AB0411">
            <w:pPr>
              <w:rPr>
                <w:rFonts w:ascii="Times New Roman" w:hAnsi="Times New Roman" w:cs="Times New Roman"/>
                <w:sz w:val="24"/>
                <w:szCs w:val="24"/>
              </w:rPr>
            </w:pPr>
            <w:r>
              <w:rPr>
                <w:rFonts w:ascii="Times New Roman" w:hAnsi="Times New Roman" w:cs="Times New Roman"/>
                <w:sz w:val="24"/>
                <w:szCs w:val="24"/>
              </w:rPr>
              <w:t>Mean = 0; SD = 1</w:t>
            </w:r>
            <w:r w:rsidR="00EA43B8">
              <w:rPr>
                <w:rFonts w:ascii="Times New Roman" w:hAnsi="Times New Roman" w:cs="Times New Roman"/>
                <w:sz w:val="24"/>
                <w:szCs w:val="24"/>
              </w:rPr>
              <w:t xml:space="preserve">, </w:t>
            </w:r>
            <w:r w:rsidR="005A35EC">
              <w:rPr>
                <w:rFonts w:ascii="Times New Roman" w:hAnsi="Times New Roman" w:cs="Times New Roman"/>
                <w:sz w:val="24"/>
                <w:szCs w:val="24"/>
              </w:rPr>
              <w:t>power = 0.8</w:t>
            </w:r>
            <w:r w:rsidR="00A76D98">
              <w:rPr>
                <w:rFonts w:ascii="Times New Roman" w:hAnsi="Times New Roman" w:cs="Times New Roman"/>
                <w:sz w:val="24"/>
                <w:szCs w:val="24"/>
              </w:rPr>
              <w:t>,</w:t>
            </w:r>
            <w:r w:rsidR="00EA43B8">
              <w:rPr>
                <w:rFonts w:ascii="Times New Roman" w:hAnsi="Times New Roman" w:cs="Times New Roman"/>
                <w:sz w:val="24"/>
                <w:szCs w:val="24"/>
              </w:rPr>
              <w:t xml:space="preserve"> ICC = 0.10</w:t>
            </w:r>
            <w:r w:rsidR="004E27F3">
              <w:rPr>
                <w:rFonts w:ascii="Times New Roman" w:hAnsi="Times New Roman" w:cs="Times New Roman"/>
                <w:sz w:val="24"/>
                <w:szCs w:val="24"/>
              </w:rPr>
              <w:t>,</w:t>
            </w:r>
            <w:r w:rsidR="004E27F3">
              <w:rPr>
                <w:rFonts w:ascii="Cambria Math" w:hAnsi="Cambria Math" w:cs="Times New Roman"/>
                <w:i/>
                <w:sz w:val="24"/>
                <w:szCs w:val="24"/>
              </w:rPr>
              <w:t xml:space="preserve"> </w:t>
            </w:r>
            <m:oMath>
              <m:r>
                <w:rPr>
                  <w:rFonts w:ascii="Cambria Math" w:hAnsi="Cambria Math" w:cs="Times New Roman"/>
                  <w:sz w:val="24"/>
                  <w:szCs w:val="24"/>
                </w:rPr>
                <m:t>α</m:t>
              </m:r>
            </m:oMath>
            <w:r w:rsidR="004E27F3">
              <w:rPr>
                <w:rFonts w:ascii="Times New Roman" w:eastAsiaTheme="minorEastAsia" w:hAnsi="Times New Roman" w:cs="Times New Roman"/>
                <w:sz w:val="24"/>
                <w:szCs w:val="24"/>
              </w:rPr>
              <w:t xml:space="preserve"> = 0.05</w:t>
            </w:r>
            <w:r w:rsidR="00A76D98">
              <w:rPr>
                <w:rFonts w:ascii="Times New Roman" w:hAnsi="Times New Roman" w:cs="Times New Roman"/>
                <w:sz w:val="24"/>
                <w:szCs w:val="24"/>
              </w:rPr>
              <w:t>, and AR1 = 0.4</w:t>
            </w:r>
          </w:p>
        </w:tc>
      </w:tr>
    </w:tbl>
    <w:p w14:paraId="580CE19E" w14:textId="225CC448" w:rsidR="00506243" w:rsidRDefault="00506243">
      <w:pPr>
        <w:rPr>
          <w:b/>
          <w:bCs/>
        </w:rPr>
      </w:pPr>
    </w:p>
    <w:p w14:paraId="23D562EF" w14:textId="1A5A5F71" w:rsidR="00782862" w:rsidRPr="00782862" w:rsidRDefault="00C844DA">
      <w:pPr>
        <w:rPr>
          <w:rFonts w:ascii="Times New Roman" w:hAnsi="Times New Roman" w:cs="Times New Roman"/>
          <w:sz w:val="24"/>
          <w:szCs w:val="24"/>
          <w:u w:val="single"/>
        </w:rPr>
      </w:pPr>
      <w:r>
        <w:rPr>
          <w:rFonts w:ascii="Times New Roman" w:hAnsi="Times New Roman" w:cs="Times New Roman"/>
          <w:b/>
          <w:bCs/>
          <w:sz w:val="24"/>
          <w:szCs w:val="24"/>
          <w:u w:val="single"/>
        </w:rPr>
        <w:t>Data Collection</w:t>
      </w:r>
      <w:r w:rsidR="00782862" w:rsidRPr="009B2802">
        <w:rPr>
          <w:rFonts w:ascii="Times New Roman" w:hAnsi="Times New Roman" w:cs="Times New Roman"/>
          <w:sz w:val="24"/>
          <w:szCs w:val="24"/>
          <w:u w:val="single"/>
        </w:rPr>
        <w:t>:</w:t>
      </w:r>
    </w:p>
    <w:p w14:paraId="17588E66" w14:textId="77777777" w:rsidR="00C844DA" w:rsidRDefault="00C844DA" w:rsidP="00D52A67">
      <w:pPr>
        <w:rPr>
          <w:rFonts w:ascii="Times New Roman" w:hAnsi="Times New Roman" w:cs="Times New Roman"/>
          <w:i/>
          <w:iCs/>
          <w:sz w:val="24"/>
          <w:szCs w:val="24"/>
        </w:rPr>
      </w:pPr>
      <w:proofErr w:type="gramStart"/>
      <w:r>
        <w:rPr>
          <w:rFonts w:ascii="Times New Roman" w:hAnsi="Times New Roman" w:cs="Times New Roman"/>
          <w:i/>
          <w:iCs/>
          <w:sz w:val="24"/>
          <w:szCs w:val="24"/>
        </w:rPr>
        <w:t>Taking into account</w:t>
      </w:r>
      <w:proofErr w:type="gramEnd"/>
      <w:r>
        <w:rPr>
          <w:rFonts w:ascii="Times New Roman" w:hAnsi="Times New Roman" w:cs="Times New Roman"/>
          <w:i/>
          <w:iCs/>
          <w:sz w:val="24"/>
          <w:szCs w:val="24"/>
        </w:rPr>
        <w:t xml:space="preserve"> the considerations from power calculations and practical considerations, the sampling was done as under: </w:t>
      </w:r>
    </w:p>
    <w:p w14:paraId="3F4FEA7F" w14:textId="17651449" w:rsidR="00D52A67" w:rsidRDefault="00D52A67" w:rsidP="00D52A67">
      <w:pPr>
        <w:rPr>
          <w:rFonts w:ascii="Times New Roman" w:hAnsi="Times New Roman" w:cs="Times New Roman"/>
          <w:sz w:val="24"/>
          <w:szCs w:val="24"/>
        </w:rPr>
      </w:pPr>
      <w:r w:rsidRPr="00557B56">
        <w:rPr>
          <w:rFonts w:ascii="Times New Roman" w:hAnsi="Times New Roman" w:cs="Times New Roman"/>
          <w:i/>
          <w:iCs/>
          <w:sz w:val="24"/>
          <w:szCs w:val="24"/>
        </w:rPr>
        <w:t>Co</w:t>
      </w:r>
      <w:r>
        <w:rPr>
          <w:rFonts w:ascii="Times New Roman" w:hAnsi="Times New Roman" w:cs="Times New Roman"/>
          <w:i/>
          <w:iCs/>
          <w:sz w:val="24"/>
          <w:szCs w:val="24"/>
        </w:rPr>
        <w:t>mparison</w:t>
      </w:r>
      <w:r w:rsidRPr="00557B56">
        <w:rPr>
          <w:rFonts w:ascii="Times New Roman" w:hAnsi="Times New Roman" w:cs="Times New Roman"/>
          <w:i/>
          <w:iCs/>
          <w:sz w:val="24"/>
          <w:szCs w:val="24"/>
        </w:rPr>
        <w:t xml:space="preserve"> group</w:t>
      </w:r>
      <w:r w:rsidRPr="00557B56">
        <w:rPr>
          <w:rFonts w:ascii="Times New Roman" w:hAnsi="Times New Roman" w:cs="Times New Roman"/>
          <w:sz w:val="24"/>
          <w:szCs w:val="24"/>
        </w:rPr>
        <w:t>:</w:t>
      </w:r>
      <w:r>
        <w:rPr>
          <w:rFonts w:ascii="Times New Roman" w:hAnsi="Times New Roman" w:cs="Times New Roman"/>
          <w:sz w:val="24"/>
          <w:szCs w:val="24"/>
        </w:rPr>
        <w:t xml:space="preserve"> </w:t>
      </w:r>
      <w:r w:rsidR="00C844DA">
        <w:rPr>
          <w:rFonts w:ascii="Times New Roman" w:hAnsi="Times New Roman" w:cs="Times New Roman"/>
          <w:sz w:val="24"/>
          <w:szCs w:val="24"/>
        </w:rPr>
        <w:t>40</w:t>
      </w:r>
      <w:r>
        <w:rPr>
          <w:rFonts w:ascii="Times New Roman" w:hAnsi="Times New Roman" w:cs="Times New Roman"/>
          <w:sz w:val="24"/>
          <w:szCs w:val="24"/>
        </w:rPr>
        <w:t xml:space="preserve"> </w:t>
      </w:r>
      <w:r w:rsidR="005177C9">
        <w:rPr>
          <w:rFonts w:ascii="Times New Roman" w:hAnsi="Times New Roman" w:cs="Times New Roman"/>
          <w:sz w:val="24"/>
          <w:szCs w:val="24"/>
        </w:rPr>
        <w:t>cropland parcels</w:t>
      </w:r>
      <w:r w:rsidR="0081575B">
        <w:rPr>
          <w:rFonts w:ascii="Times New Roman" w:hAnsi="Times New Roman" w:cs="Times New Roman"/>
          <w:sz w:val="24"/>
          <w:szCs w:val="24"/>
        </w:rPr>
        <w:t>/groups</w:t>
      </w:r>
      <w:r w:rsidR="005177C9">
        <w:rPr>
          <w:rFonts w:ascii="Times New Roman" w:hAnsi="Times New Roman" w:cs="Times New Roman"/>
          <w:sz w:val="24"/>
          <w:szCs w:val="24"/>
        </w:rPr>
        <w:t xml:space="preserve"> with </w:t>
      </w:r>
      <w:r w:rsidR="00C844DA">
        <w:rPr>
          <w:rFonts w:ascii="Times New Roman" w:hAnsi="Times New Roman" w:cs="Times New Roman"/>
          <w:sz w:val="24"/>
          <w:szCs w:val="24"/>
        </w:rPr>
        <w:t>21</w:t>
      </w:r>
      <w:r w:rsidR="005177C9">
        <w:rPr>
          <w:rFonts w:ascii="Times New Roman" w:hAnsi="Times New Roman" w:cs="Times New Roman"/>
          <w:sz w:val="24"/>
          <w:szCs w:val="24"/>
        </w:rPr>
        <w:t xml:space="preserve"> HHs within each parcel = </w:t>
      </w:r>
      <w:r w:rsidR="00C844DA">
        <w:rPr>
          <w:rFonts w:ascii="Times New Roman" w:hAnsi="Times New Roman" w:cs="Times New Roman"/>
          <w:sz w:val="24"/>
          <w:szCs w:val="24"/>
        </w:rPr>
        <w:t>840</w:t>
      </w:r>
      <w:r w:rsidR="00303EB9">
        <w:rPr>
          <w:rFonts w:ascii="Times New Roman" w:hAnsi="Times New Roman" w:cs="Times New Roman"/>
          <w:sz w:val="24"/>
          <w:szCs w:val="24"/>
        </w:rPr>
        <w:t xml:space="preserve"> observations</w:t>
      </w:r>
      <w:r>
        <w:rPr>
          <w:rFonts w:ascii="Times New Roman" w:hAnsi="Times New Roman" w:cs="Times New Roman"/>
          <w:sz w:val="24"/>
          <w:szCs w:val="24"/>
        </w:rPr>
        <w:t xml:space="preserve">. </w:t>
      </w:r>
    </w:p>
    <w:p w14:paraId="7D1DDA72" w14:textId="3DE7D4F3" w:rsidR="00D52A67" w:rsidRDefault="00D52A67" w:rsidP="00D52A67">
      <w:pPr>
        <w:rPr>
          <w:rFonts w:ascii="Times New Roman" w:hAnsi="Times New Roman" w:cs="Times New Roman"/>
          <w:sz w:val="24"/>
          <w:szCs w:val="24"/>
        </w:rPr>
      </w:pPr>
      <w:r>
        <w:rPr>
          <w:rFonts w:ascii="Times New Roman" w:hAnsi="Times New Roman" w:cs="Times New Roman"/>
          <w:i/>
          <w:iCs/>
          <w:sz w:val="24"/>
          <w:szCs w:val="24"/>
        </w:rPr>
        <w:t>Canal treatment</w:t>
      </w:r>
      <w:r w:rsidRPr="00557B56">
        <w:rPr>
          <w:rFonts w:ascii="Times New Roman" w:hAnsi="Times New Roman" w:cs="Times New Roman"/>
          <w:i/>
          <w:iCs/>
          <w:sz w:val="24"/>
          <w:szCs w:val="24"/>
        </w:rPr>
        <w:t xml:space="preserve"> group</w:t>
      </w:r>
      <w:r w:rsidRPr="00557B56">
        <w:rPr>
          <w:rFonts w:ascii="Times New Roman" w:hAnsi="Times New Roman" w:cs="Times New Roman"/>
          <w:sz w:val="24"/>
          <w:szCs w:val="24"/>
        </w:rPr>
        <w:t>:</w:t>
      </w:r>
      <w:r w:rsidR="00AF3374">
        <w:rPr>
          <w:rFonts w:ascii="Times New Roman" w:hAnsi="Times New Roman" w:cs="Times New Roman"/>
          <w:sz w:val="24"/>
          <w:szCs w:val="24"/>
        </w:rPr>
        <w:t xml:space="preserve"> </w:t>
      </w:r>
      <w:r w:rsidR="001943EE">
        <w:rPr>
          <w:rFonts w:ascii="Times New Roman" w:hAnsi="Times New Roman" w:cs="Times New Roman"/>
          <w:sz w:val="24"/>
          <w:szCs w:val="24"/>
        </w:rPr>
        <w:t>40</w:t>
      </w:r>
      <w:r w:rsidR="00AF3374">
        <w:rPr>
          <w:rFonts w:ascii="Times New Roman" w:hAnsi="Times New Roman" w:cs="Times New Roman"/>
          <w:sz w:val="24"/>
          <w:szCs w:val="24"/>
        </w:rPr>
        <w:t xml:space="preserve"> WUGs with </w:t>
      </w:r>
      <w:r w:rsidR="00C844DA">
        <w:rPr>
          <w:rFonts w:ascii="Times New Roman" w:hAnsi="Times New Roman" w:cs="Times New Roman"/>
          <w:sz w:val="24"/>
          <w:szCs w:val="24"/>
        </w:rPr>
        <w:t>19</w:t>
      </w:r>
      <w:r w:rsidR="00AF3374">
        <w:rPr>
          <w:rFonts w:ascii="Times New Roman" w:hAnsi="Times New Roman" w:cs="Times New Roman"/>
          <w:sz w:val="24"/>
          <w:szCs w:val="24"/>
        </w:rPr>
        <w:t xml:space="preserve"> HHs within each WUG </w:t>
      </w:r>
      <w:r w:rsidR="00F350B1">
        <w:rPr>
          <w:rFonts w:ascii="Times New Roman" w:hAnsi="Times New Roman" w:cs="Times New Roman"/>
          <w:sz w:val="24"/>
          <w:szCs w:val="24"/>
        </w:rPr>
        <w:t xml:space="preserve">= </w:t>
      </w:r>
      <w:r w:rsidR="00C844DA">
        <w:rPr>
          <w:rFonts w:ascii="Times New Roman" w:hAnsi="Times New Roman" w:cs="Times New Roman"/>
          <w:sz w:val="24"/>
          <w:szCs w:val="24"/>
        </w:rPr>
        <w:t>760</w:t>
      </w:r>
      <w:r w:rsidR="00F350B1">
        <w:rPr>
          <w:rFonts w:ascii="Times New Roman" w:hAnsi="Times New Roman" w:cs="Times New Roman"/>
          <w:sz w:val="24"/>
          <w:szCs w:val="24"/>
        </w:rPr>
        <w:t xml:space="preserve"> observations</w:t>
      </w:r>
      <w:r>
        <w:rPr>
          <w:rFonts w:ascii="Times New Roman" w:hAnsi="Times New Roman" w:cs="Times New Roman"/>
          <w:sz w:val="24"/>
          <w:szCs w:val="24"/>
        </w:rPr>
        <w:t>.</w:t>
      </w:r>
    </w:p>
    <w:p w14:paraId="0A6F4E36" w14:textId="4E803B02" w:rsidR="00253CA0" w:rsidRDefault="00D52A67" w:rsidP="00D52A67">
      <w:pPr>
        <w:rPr>
          <w:rFonts w:ascii="Times New Roman" w:hAnsi="Times New Roman" w:cs="Times New Roman"/>
          <w:sz w:val="24"/>
          <w:szCs w:val="24"/>
        </w:rPr>
      </w:pPr>
      <w:r>
        <w:rPr>
          <w:rFonts w:ascii="Times New Roman" w:hAnsi="Times New Roman" w:cs="Times New Roman"/>
          <w:i/>
          <w:iCs/>
          <w:sz w:val="24"/>
          <w:szCs w:val="24"/>
        </w:rPr>
        <w:t>Buried-pipe treatment</w:t>
      </w:r>
      <w:r w:rsidRPr="00557B56">
        <w:rPr>
          <w:rFonts w:ascii="Times New Roman" w:hAnsi="Times New Roman" w:cs="Times New Roman"/>
          <w:i/>
          <w:iCs/>
          <w:sz w:val="24"/>
          <w:szCs w:val="24"/>
        </w:rPr>
        <w:t xml:space="preserve"> group</w:t>
      </w:r>
      <w:r w:rsidRPr="00557B56">
        <w:rPr>
          <w:rFonts w:ascii="Times New Roman" w:hAnsi="Times New Roman" w:cs="Times New Roman"/>
          <w:sz w:val="24"/>
          <w:szCs w:val="24"/>
        </w:rPr>
        <w:t>:</w:t>
      </w:r>
      <w:r>
        <w:rPr>
          <w:rFonts w:ascii="Times New Roman" w:hAnsi="Times New Roman" w:cs="Times New Roman"/>
          <w:sz w:val="24"/>
          <w:szCs w:val="24"/>
        </w:rPr>
        <w:t xml:space="preserve"> </w:t>
      </w:r>
      <w:r w:rsidR="001943EE">
        <w:rPr>
          <w:rFonts w:ascii="Times New Roman" w:hAnsi="Times New Roman" w:cs="Times New Roman"/>
          <w:sz w:val="24"/>
          <w:szCs w:val="24"/>
        </w:rPr>
        <w:t>40</w:t>
      </w:r>
      <w:r w:rsidR="00F350B1">
        <w:rPr>
          <w:rFonts w:ascii="Times New Roman" w:hAnsi="Times New Roman" w:cs="Times New Roman"/>
          <w:sz w:val="24"/>
          <w:szCs w:val="24"/>
        </w:rPr>
        <w:t xml:space="preserve"> WUGs with </w:t>
      </w:r>
      <w:r w:rsidR="00C844DA">
        <w:rPr>
          <w:rFonts w:ascii="Times New Roman" w:hAnsi="Times New Roman" w:cs="Times New Roman"/>
          <w:sz w:val="24"/>
          <w:szCs w:val="24"/>
        </w:rPr>
        <w:t>19</w:t>
      </w:r>
      <w:r w:rsidR="00F350B1">
        <w:rPr>
          <w:rFonts w:ascii="Times New Roman" w:hAnsi="Times New Roman" w:cs="Times New Roman"/>
          <w:sz w:val="24"/>
          <w:szCs w:val="24"/>
        </w:rPr>
        <w:t xml:space="preserve"> HHs within each WUG = </w:t>
      </w:r>
      <w:r w:rsidR="00C844DA">
        <w:rPr>
          <w:rFonts w:ascii="Times New Roman" w:hAnsi="Times New Roman" w:cs="Times New Roman"/>
          <w:sz w:val="24"/>
          <w:szCs w:val="24"/>
        </w:rPr>
        <w:t>760</w:t>
      </w:r>
      <w:r w:rsidR="00F350B1">
        <w:rPr>
          <w:rFonts w:ascii="Times New Roman" w:hAnsi="Times New Roman" w:cs="Times New Roman"/>
          <w:sz w:val="24"/>
          <w:szCs w:val="24"/>
        </w:rPr>
        <w:t xml:space="preserve"> observations</w:t>
      </w:r>
      <w:r>
        <w:rPr>
          <w:rFonts w:ascii="Times New Roman" w:hAnsi="Times New Roman" w:cs="Times New Roman"/>
          <w:sz w:val="24"/>
          <w:szCs w:val="24"/>
        </w:rPr>
        <w:t>.</w:t>
      </w:r>
    </w:p>
    <w:p w14:paraId="7597EF5C" w14:textId="74C7AAF1" w:rsidR="00A7109D" w:rsidRDefault="00A7109D" w:rsidP="00D52A67">
      <w:pPr>
        <w:rPr>
          <w:rFonts w:ascii="Times New Roman" w:hAnsi="Times New Roman" w:cs="Times New Roman"/>
          <w:sz w:val="24"/>
          <w:szCs w:val="24"/>
        </w:rPr>
      </w:pPr>
      <w:r>
        <w:rPr>
          <w:rFonts w:ascii="Times New Roman" w:hAnsi="Times New Roman" w:cs="Times New Roman"/>
          <w:sz w:val="24"/>
          <w:szCs w:val="24"/>
        </w:rPr>
        <w:t>Total</w:t>
      </w:r>
      <w:r w:rsidR="00325D29">
        <w:rPr>
          <w:rFonts w:ascii="Times New Roman" w:hAnsi="Times New Roman" w:cs="Times New Roman"/>
          <w:sz w:val="24"/>
          <w:szCs w:val="24"/>
        </w:rPr>
        <w:t xml:space="preserve"> Observations = 2</w:t>
      </w:r>
      <w:r w:rsidR="00C844DA">
        <w:rPr>
          <w:rFonts w:ascii="Times New Roman" w:hAnsi="Times New Roman" w:cs="Times New Roman"/>
          <w:sz w:val="24"/>
          <w:szCs w:val="24"/>
        </w:rPr>
        <w:t>360 observations</w:t>
      </w:r>
    </w:p>
    <w:p w14:paraId="55FEE26F" w14:textId="77777777" w:rsidR="003A0EBC" w:rsidRDefault="003A0EBC" w:rsidP="00D52A67">
      <w:pPr>
        <w:rPr>
          <w:rFonts w:ascii="Times New Roman" w:hAnsi="Times New Roman" w:cs="Times New Roman"/>
          <w:sz w:val="24"/>
          <w:szCs w:val="24"/>
        </w:rPr>
      </w:pPr>
    </w:p>
    <w:p w14:paraId="4418A4B9" w14:textId="4B13FD8B" w:rsidR="004E1D7C" w:rsidRDefault="00626519" w:rsidP="004E1D7C">
      <w:pPr>
        <w:pStyle w:val="Heading1"/>
        <w:numPr>
          <w:ilvl w:val="0"/>
          <w:numId w:val="6"/>
        </w:numPr>
      </w:pPr>
      <w:r>
        <w:t>Estimation Strategy for Dykes Evaluation</w:t>
      </w:r>
      <w:r w:rsidR="004E1D7C">
        <w:t xml:space="preserve"> </w:t>
      </w:r>
    </w:p>
    <w:p w14:paraId="2732F5EB" w14:textId="0E6143DD" w:rsidR="00626519" w:rsidRDefault="00626519" w:rsidP="00366D43">
      <w:r>
        <w:t>In Year 1 of data collection:</w:t>
      </w:r>
    </w:p>
    <w:p w14:paraId="20E8213C" w14:textId="1D96E961" w:rsidR="00AF3FEB" w:rsidRDefault="00626519" w:rsidP="00366D43">
      <w:r>
        <w:t xml:space="preserve">We will estimate the following </w:t>
      </w:r>
      <w:r w:rsidR="00AF3FEB">
        <w:t>type of equation using the inverse-probability weighting approach (IPWRA) to balance for any observed, cross-sectional differences in the treatment and comparison groups:</w:t>
      </w:r>
      <w:r w:rsidR="00771646">
        <w:rPr>
          <w:rStyle w:val="FootnoteReference"/>
        </w:rPr>
        <w:footnoteReference w:id="12"/>
      </w:r>
      <w:r w:rsidR="00AF3FEB">
        <w:t xml:space="preserve"> </w:t>
      </w:r>
    </w:p>
    <w:p w14:paraId="4C75CAB3" w14:textId="2520557F" w:rsidR="00366D43" w:rsidRDefault="00000000" w:rsidP="00366D43">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=α+βDyke</m:t>
        </m:r>
        <m:sSub>
          <m:sSubPr>
            <m:ctrlPr>
              <w:rPr>
                <w:rFonts w:ascii="Cambria Math" w:hAnsi="Cambria Math"/>
                <w:i/>
              </w:rPr>
            </m:ctrlPr>
          </m:sSubPr>
          <m:e>
            <m:r>
              <w:rPr>
                <w:rFonts w:ascii="Cambria Math" w:hAnsi="Cambria Math"/>
              </w:rPr>
              <m:t>s</m:t>
            </m:r>
          </m:e>
          <m:sub>
            <m:r>
              <w:rPr>
                <w:rFonts w:ascii="Cambria Math" w:hAnsi="Cambria Math"/>
              </w:rPr>
              <m:t>ij</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ij</m:t>
            </m:r>
          </m:sub>
        </m:sSub>
      </m:oMath>
      <w:r w:rsidR="00366D43">
        <w:t xml:space="preserve"> </w:t>
      </w:r>
    </w:p>
    <w:p w14:paraId="19FA2FA1" w14:textId="6C35C205" w:rsidR="00B93660" w:rsidRDefault="00AF3FEB" w:rsidP="00366D43">
      <w:pPr>
        <w:rPr>
          <w:rFonts w:eastAsiaTheme="minorEastAsia"/>
        </w:rPr>
      </w:pPr>
      <w:r>
        <w:lastRenderedPageBreak/>
        <w:t xml:space="preserve">Where </w:t>
      </w:r>
      <m:oMath>
        <m:sSub>
          <m:sSubPr>
            <m:ctrlPr>
              <w:rPr>
                <w:rFonts w:ascii="Cambria Math" w:hAnsi="Cambria Math"/>
                <w:i/>
              </w:rPr>
            </m:ctrlPr>
          </m:sSubPr>
          <m:e>
            <m:r>
              <w:rPr>
                <w:rFonts w:ascii="Cambria Math" w:hAnsi="Cambria Math"/>
              </w:rPr>
              <m:t>Y</m:t>
            </m:r>
          </m:e>
          <m:sub>
            <m:r>
              <w:rPr>
                <w:rFonts w:ascii="Cambria Math" w:hAnsi="Cambria Math"/>
              </w:rPr>
              <m:t>ij</m:t>
            </m:r>
          </m:sub>
        </m:sSub>
      </m:oMath>
      <w:r>
        <w:rPr>
          <w:rFonts w:eastAsiaTheme="minorEastAsia"/>
        </w:rPr>
        <w:t xml:space="preserve"> are outcomes as outlined in section 2.1</w:t>
      </w:r>
      <w:r w:rsidR="00B93660">
        <w:rPr>
          <w:rFonts w:eastAsiaTheme="minorEastAsia"/>
        </w:rPr>
        <w:t xml:space="preserve"> for household </w:t>
      </w:r>
      <w:proofErr w:type="spellStart"/>
      <w:r w:rsidR="00B93660" w:rsidRPr="00B93660">
        <w:rPr>
          <w:rFonts w:eastAsiaTheme="minorEastAsia"/>
          <w:i/>
          <w:iCs/>
        </w:rPr>
        <w:t>i</w:t>
      </w:r>
      <w:proofErr w:type="spellEnd"/>
      <w:r w:rsidR="00B93660">
        <w:rPr>
          <w:rFonts w:eastAsiaTheme="minorEastAsia"/>
        </w:rPr>
        <w:t xml:space="preserve"> in mouza </w:t>
      </w:r>
      <w:r w:rsidR="00B93660" w:rsidRPr="00B93660">
        <w:rPr>
          <w:rFonts w:eastAsiaTheme="minorEastAsia"/>
          <w:i/>
          <w:iCs/>
        </w:rPr>
        <w:t>j</w:t>
      </w:r>
      <w:r w:rsidR="00B93660">
        <w:rPr>
          <w:rFonts w:eastAsiaTheme="minorEastAsia"/>
        </w:rPr>
        <w:t xml:space="preserve">. </w:t>
      </w:r>
      <m:oMath>
        <m:r>
          <w:rPr>
            <w:rFonts w:ascii="Cambria Math" w:eastAsiaTheme="minorEastAsia" w:hAnsi="Cambria Math"/>
          </w:rPr>
          <m:t>Dyke</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ij</m:t>
            </m:r>
          </m:sub>
        </m:sSub>
        <m:r>
          <w:rPr>
            <w:rFonts w:ascii="Cambria Math" w:eastAsiaTheme="minorEastAsia" w:hAnsi="Cambria Math"/>
          </w:rPr>
          <m:t>=1</m:t>
        </m:r>
      </m:oMath>
      <w:r w:rsidR="00B93660">
        <w:rPr>
          <w:rFonts w:eastAsiaTheme="minorEastAsia"/>
        </w:rPr>
        <w:t xml:space="preserve"> for households protected with a dyke (T2), while </w:t>
      </w:r>
      <m:oMath>
        <m:r>
          <w:rPr>
            <w:rFonts w:ascii="Cambria Math" w:eastAsiaTheme="minorEastAsia" w:hAnsi="Cambria Math"/>
          </w:rPr>
          <m:t>Dyke</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ij</m:t>
            </m:r>
          </m:sub>
        </m:sSub>
        <m:r>
          <w:rPr>
            <w:rFonts w:ascii="Cambria Math" w:eastAsiaTheme="minorEastAsia" w:hAnsi="Cambria Math"/>
          </w:rPr>
          <m:t>=0</m:t>
        </m:r>
      </m:oMath>
      <w:r w:rsidR="00B93660">
        <w:rPr>
          <w:rFonts w:eastAsiaTheme="minorEastAsia"/>
        </w:rPr>
        <w:t xml:space="preserve"> for households not protected with a dyke (T1 and C).</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oMath>
      <w:r>
        <w:rPr>
          <w:rFonts w:eastAsiaTheme="minorEastAsia"/>
        </w:rPr>
        <w:t xml:space="preserve"> is a </w:t>
      </w:r>
      <w:r>
        <w:t xml:space="preserve">vector of household characteristics to control for observable differences across households, which could influence Y. These factors are not only those for which some differences may be observed across treatment and control at the baseline, but also “good controls” which could have some explanatory role in the estimation of Y (Angrist &amp; Pischke, 2009). </w:t>
      </w:r>
      <m:oMath>
        <m:sSub>
          <m:sSubPr>
            <m:ctrlPr>
              <w:rPr>
                <w:rFonts w:ascii="Cambria Math" w:hAnsi="Cambria Math"/>
                <w:i/>
              </w:rPr>
            </m:ctrlPr>
          </m:sSubPr>
          <m:e>
            <m:r>
              <w:rPr>
                <w:rFonts w:ascii="Cambria Math" w:hAnsi="Cambria Math"/>
              </w:rPr>
              <m:t>μ</m:t>
            </m:r>
          </m:e>
          <m:sub>
            <m:r>
              <w:rPr>
                <w:rFonts w:ascii="Cambria Math" w:hAnsi="Cambria Math"/>
              </w:rPr>
              <m:t>j</m:t>
            </m:r>
          </m:sub>
        </m:sSub>
      </m:oMath>
      <w:r>
        <w:rPr>
          <w:rFonts w:eastAsiaTheme="minorEastAsia"/>
        </w:rPr>
        <w:t xml:space="preserve"> are mouza fixed effects, while </w:t>
      </w:r>
      <m:oMath>
        <m:r>
          <w:rPr>
            <w:rFonts w:ascii="Cambria Math" w:eastAsiaTheme="minorEastAsia" w:hAnsi="Cambria Math"/>
          </w:rPr>
          <m:t>β</m:t>
        </m:r>
      </m:oMath>
      <w:r>
        <w:rPr>
          <w:rFonts w:eastAsiaTheme="minorEastAsia"/>
        </w:rPr>
        <w:t xml:space="preserve"> is the average treatment effect on the treated (ATET)</w:t>
      </w:r>
      <w:r w:rsidR="00AC69F8">
        <w:rPr>
          <w:rFonts w:eastAsiaTheme="minorEastAsia"/>
        </w:rPr>
        <w:t xml:space="preserve"> of dykes on outcomes</w:t>
      </w:r>
      <w:r>
        <w:rPr>
          <w:rFonts w:eastAsiaTheme="minorEastAsia"/>
        </w:rPr>
        <w:t>.</w:t>
      </w:r>
    </w:p>
    <w:p w14:paraId="59C2D430" w14:textId="24DB1EFA" w:rsidR="00AC69F8" w:rsidRDefault="00AC69F8" w:rsidP="00366D43">
      <w:pPr>
        <w:rPr>
          <w:rFonts w:eastAsiaTheme="minorEastAsia"/>
        </w:rPr>
      </w:pPr>
      <w:r>
        <w:rPr>
          <w:rFonts w:eastAsiaTheme="minorEastAsia"/>
        </w:rPr>
        <w:t xml:space="preserve">We also </w:t>
      </w:r>
      <w:r w:rsidR="00EE3790">
        <w:rPr>
          <w:rFonts w:eastAsiaTheme="minorEastAsia"/>
        </w:rPr>
        <w:t xml:space="preserve">estimate the impact of </w:t>
      </w:r>
      <w:proofErr w:type="gramStart"/>
      <w:r w:rsidR="00EE3790">
        <w:rPr>
          <w:rFonts w:eastAsiaTheme="minorEastAsia"/>
        </w:rPr>
        <w:t>dykes</w:t>
      </w:r>
      <w:proofErr w:type="gramEnd"/>
      <w:r w:rsidR="00EE3790">
        <w:rPr>
          <w:rFonts w:eastAsiaTheme="minorEastAsia"/>
        </w:rPr>
        <w:t xml:space="preserve"> under a flood shock using the weighted difference-in-difference approach:</w:t>
      </w:r>
    </w:p>
    <w:p w14:paraId="664AD591" w14:textId="59FC4B50" w:rsidR="00EE3790" w:rsidRDefault="00000000" w:rsidP="00EE3790">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Dyke</m:t>
        </m:r>
        <m:sSub>
          <m:sSubPr>
            <m:ctrlPr>
              <w:rPr>
                <w:rFonts w:ascii="Cambria Math" w:hAnsi="Cambria Math"/>
                <w:i/>
              </w:rPr>
            </m:ctrlPr>
          </m:sSubPr>
          <m:e>
            <m:r>
              <w:rPr>
                <w:rFonts w:ascii="Cambria Math" w:hAnsi="Cambria Math"/>
              </w:rPr>
              <m:t>s</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FloodShoc</m:t>
        </m:r>
        <m:sSub>
          <m:sSubPr>
            <m:ctrlPr>
              <w:rPr>
                <w:rFonts w:ascii="Cambria Math" w:hAnsi="Cambria Math"/>
                <w:i/>
              </w:rPr>
            </m:ctrlPr>
          </m:sSubPr>
          <m:e>
            <m:r>
              <w:rPr>
                <w:rFonts w:ascii="Cambria Math" w:hAnsi="Cambria Math"/>
              </w:rPr>
              <m:t>k</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3</m:t>
            </m:r>
          </m:sub>
        </m:sSub>
        <m:r>
          <w:rPr>
            <w:rFonts w:ascii="Cambria Math" w:hAnsi="Cambria Math"/>
          </w:rPr>
          <m:t>FloodShoc</m:t>
        </m:r>
        <m:sSub>
          <m:sSubPr>
            <m:ctrlPr>
              <w:rPr>
                <w:rFonts w:ascii="Cambria Math" w:hAnsi="Cambria Math"/>
                <w:i/>
              </w:rPr>
            </m:ctrlPr>
          </m:sSubPr>
          <m:e>
            <m:r>
              <w:rPr>
                <w:rFonts w:ascii="Cambria Math" w:hAnsi="Cambria Math"/>
              </w:rPr>
              <m:t>k</m:t>
            </m:r>
          </m:e>
          <m:sub>
            <m:r>
              <w:rPr>
                <w:rFonts w:ascii="Cambria Math" w:hAnsi="Cambria Math"/>
              </w:rPr>
              <m:t>j</m:t>
            </m:r>
          </m:sub>
        </m:sSub>
        <m:r>
          <w:rPr>
            <w:rFonts w:ascii="Cambria Math" w:hAnsi="Cambria Math"/>
          </w:rPr>
          <m:t>*Dyke</m:t>
        </m:r>
        <m:sSub>
          <m:sSubPr>
            <m:ctrlPr>
              <w:rPr>
                <w:rFonts w:ascii="Cambria Math" w:hAnsi="Cambria Math"/>
                <w:i/>
              </w:rPr>
            </m:ctrlPr>
          </m:sSubPr>
          <m:e>
            <m:r>
              <w:rPr>
                <w:rFonts w:ascii="Cambria Math" w:hAnsi="Cambria Math"/>
              </w:rPr>
              <m:t>s</m:t>
            </m:r>
          </m:e>
          <m:sub>
            <m:r>
              <w:rPr>
                <w:rFonts w:ascii="Cambria Math" w:hAnsi="Cambria Math"/>
              </w:rPr>
              <m:t>ij</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ij</m:t>
            </m:r>
          </m:sub>
        </m:sSub>
      </m:oMath>
      <w:r w:rsidR="00EE3790">
        <w:t xml:space="preserve"> </w:t>
      </w:r>
    </w:p>
    <w:p w14:paraId="0F495D2F" w14:textId="52260404" w:rsidR="00EE3790" w:rsidRDefault="00EE3790" w:rsidP="00366D43">
      <w:pPr>
        <w:rPr>
          <w:rFonts w:eastAsiaTheme="minorEastAsia"/>
        </w:rPr>
      </w:pPr>
      <w:r>
        <w:rPr>
          <w:rFonts w:eastAsiaTheme="minorEastAsia"/>
        </w:rPr>
        <w:t>For outcomes such as food security</w:t>
      </w:r>
      <w:r w:rsidR="00F13B90">
        <w:rPr>
          <w:rFonts w:eastAsiaTheme="minorEastAsia"/>
        </w:rPr>
        <w:t xml:space="preserve"> and farm production</w:t>
      </w:r>
      <w:r>
        <w:rPr>
          <w:rFonts w:eastAsiaTheme="minorEastAsia"/>
        </w:rPr>
        <w:t>, we expect</w:t>
      </w:r>
      <w:r w:rsidR="00F13B90">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r>
          <w:rPr>
            <w:rFonts w:ascii="Cambria Math" w:eastAsiaTheme="minorEastAsia" w:hAnsi="Cambria Math"/>
          </w:rPr>
          <m:t xml:space="preserve">&lt;0 </m:t>
        </m:r>
      </m:oMath>
      <w:r w:rsidR="00F13B90">
        <w:rPr>
          <w:rFonts w:eastAsiaTheme="minorEastAsia"/>
        </w:rPr>
        <w:t>and</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3</m:t>
            </m:r>
          </m:sub>
        </m:sSub>
        <m:r>
          <w:rPr>
            <w:rFonts w:ascii="Cambria Math" w:eastAsiaTheme="minorEastAsia" w:hAnsi="Cambria Math"/>
          </w:rPr>
          <m:t>&gt;0,</m:t>
        </m:r>
      </m:oMath>
      <w:r>
        <w:rPr>
          <w:rFonts w:eastAsiaTheme="minorEastAsia"/>
        </w:rPr>
        <w:t xml:space="preserve"> indicating that </w:t>
      </w:r>
      <w:proofErr w:type="gramStart"/>
      <w:r>
        <w:rPr>
          <w:rFonts w:eastAsiaTheme="minorEastAsia"/>
        </w:rPr>
        <w:t>Dykes</w:t>
      </w:r>
      <w:proofErr w:type="gramEnd"/>
      <w:r>
        <w:rPr>
          <w:rFonts w:eastAsiaTheme="minorEastAsia"/>
        </w:rPr>
        <w:t xml:space="preserve"> will increase the resilience of households in face of flood shocks. </w:t>
      </w:r>
      <w:r w:rsidR="001F2AAC">
        <w:rPr>
          <w:rFonts w:eastAsiaTheme="minorEastAsia"/>
        </w:rPr>
        <w:t>The variable</w:t>
      </w:r>
      <w:r w:rsidR="001F2AAC" w:rsidRPr="00F13B90">
        <w:rPr>
          <w:rFonts w:eastAsiaTheme="minorEastAsia"/>
          <w:i/>
          <w:iCs/>
        </w:rPr>
        <w:t xml:space="preserve"> Flood shock</w:t>
      </w:r>
      <w:r w:rsidR="001F2AAC">
        <w:rPr>
          <w:rFonts w:eastAsiaTheme="minorEastAsia"/>
        </w:rPr>
        <w:t xml:space="preserve"> will be estimated using objective weather data. </w:t>
      </w:r>
      <w:r w:rsidR="001E44A8">
        <w:rPr>
          <w:rFonts w:eastAsiaTheme="minorEastAsia"/>
        </w:rPr>
        <w:t xml:space="preserve">Here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3</m:t>
            </m:r>
          </m:sub>
        </m:sSub>
      </m:oMath>
      <w:r w:rsidR="001E44A8">
        <w:rPr>
          <w:rFonts w:eastAsiaTheme="minorEastAsia"/>
        </w:rPr>
        <w:t xml:space="preserve"> will be causal flood mitigation impact of </w:t>
      </w:r>
      <w:proofErr w:type="gramStart"/>
      <w:r w:rsidR="001E44A8">
        <w:rPr>
          <w:rFonts w:eastAsiaTheme="minorEastAsia"/>
        </w:rPr>
        <w:t>dykes</w:t>
      </w:r>
      <w:proofErr w:type="gramEnd"/>
      <w:r w:rsidR="001E44A8">
        <w:rPr>
          <w:rFonts w:eastAsiaTheme="minorEastAsia"/>
        </w:rPr>
        <w:t xml:space="preserve"> if </w:t>
      </w:r>
      <w:r w:rsidR="001E44A8" w:rsidRPr="009B2D4E">
        <w:rPr>
          <w:rFonts w:eastAsiaTheme="minorEastAsia"/>
          <w:i/>
          <w:iCs/>
        </w:rPr>
        <w:t>Flood Shock</w:t>
      </w:r>
      <w:r w:rsidR="001E44A8">
        <w:rPr>
          <w:rFonts w:eastAsiaTheme="minorEastAsia"/>
        </w:rPr>
        <w:t xml:space="preserve"> is equally likely to occur across treatment and comparison groups. </w:t>
      </w:r>
    </w:p>
    <w:p w14:paraId="1AAECE0A" w14:textId="77777777" w:rsidR="00EE3790" w:rsidRDefault="00EE3790" w:rsidP="00366D43">
      <w:pPr>
        <w:rPr>
          <w:rFonts w:eastAsiaTheme="minorEastAsia"/>
        </w:rPr>
      </w:pPr>
    </w:p>
    <w:p w14:paraId="14D2A4CF" w14:textId="2F3CC11E" w:rsidR="00B93660" w:rsidRDefault="00B93660" w:rsidP="00B93660">
      <w:r w:rsidRPr="00F10C2E">
        <w:t>In Year 2 of data collection:</w:t>
      </w:r>
    </w:p>
    <w:p w14:paraId="03D6496F" w14:textId="77777777" w:rsidR="00F10C2E" w:rsidRDefault="00AF3FEB" w:rsidP="00366D43">
      <w:pPr>
        <w:rPr>
          <w:rFonts w:eastAsiaTheme="minorEastAsia"/>
        </w:rPr>
      </w:pPr>
      <w:r>
        <w:rPr>
          <w:rFonts w:eastAsiaTheme="minorEastAsia"/>
        </w:rPr>
        <w:t xml:space="preserve"> </w:t>
      </w:r>
      <w:r w:rsidR="00F10C2E">
        <w:rPr>
          <w:rFonts w:eastAsiaTheme="minorEastAsia"/>
        </w:rPr>
        <w:t>A staggered d</w:t>
      </w:r>
      <w:r w:rsidR="00AC69F8">
        <w:rPr>
          <w:rFonts w:eastAsiaTheme="minorEastAsia"/>
        </w:rPr>
        <w:t>iff</w:t>
      </w:r>
      <w:r w:rsidR="00F10C2E">
        <w:rPr>
          <w:rFonts w:eastAsiaTheme="minorEastAsia"/>
        </w:rPr>
        <w:t>erence-</w:t>
      </w:r>
      <w:r w:rsidR="00AC69F8">
        <w:rPr>
          <w:rFonts w:eastAsiaTheme="minorEastAsia"/>
        </w:rPr>
        <w:t>in</w:t>
      </w:r>
      <w:r w:rsidR="00F10C2E">
        <w:rPr>
          <w:rFonts w:eastAsiaTheme="minorEastAsia"/>
        </w:rPr>
        <w:t>-</w:t>
      </w:r>
      <w:r w:rsidR="00AC69F8">
        <w:rPr>
          <w:rFonts w:eastAsiaTheme="minorEastAsia"/>
        </w:rPr>
        <w:t>diff</w:t>
      </w:r>
      <w:r w:rsidR="00F10C2E">
        <w:rPr>
          <w:rFonts w:eastAsiaTheme="minorEastAsia"/>
        </w:rPr>
        <w:t xml:space="preserve">erence design is used to estimate the impact of dykes. The staggered design makes use of the phase-in period of the project and panel structure of the data to causally estimate the impact of dykes on economic outcomes and is a more robust causal inference model as compared to models based on cross-sectional comparison and matching. </w:t>
      </w:r>
    </w:p>
    <w:p w14:paraId="75C4C0FE" w14:textId="77777777" w:rsidR="00F10C2E" w:rsidRDefault="00F10C2E" w:rsidP="00366D43">
      <w:pPr>
        <w:rPr>
          <w:rFonts w:eastAsiaTheme="minorEastAsia"/>
        </w:rPr>
      </w:pPr>
      <w:r>
        <w:rPr>
          <w:rFonts w:eastAsiaTheme="minorEastAsia"/>
        </w:rPr>
        <w:t>The estimating equation is of the form:</w:t>
      </w:r>
    </w:p>
    <w:p w14:paraId="215272F0" w14:textId="01510B43" w:rsidR="00AF3FEB" w:rsidRDefault="00000000" w:rsidP="00366D43">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ijt</m:t>
              </m:r>
            </m:sub>
          </m:sSub>
          <m:r>
            <w:rPr>
              <w:rFonts w:ascii="Cambria Math" w:eastAsiaTheme="minorEastAsia" w:hAnsi="Cambria Math"/>
            </w:rPr>
            <m:t>=α+</m:t>
          </m:r>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Dykes</m:t>
              </m:r>
            </m:e>
            <m:sub>
              <m:r>
                <w:rPr>
                  <w:rFonts w:ascii="Cambria Math" w:eastAsiaTheme="minorEastAsia" w:hAnsi="Cambria Math"/>
                </w:rPr>
                <m:t>i</m:t>
              </m:r>
              <m:r>
                <w:rPr>
                  <w:rFonts w:ascii="Cambria Math" w:eastAsiaTheme="minorEastAsia" w:hAnsi="Cambria Math"/>
                </w:rPr>
                <m:t>jt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t</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ijt</m:t>
              </m:r>
            </m:sub>
          </m:sSub>
        </m:oMath>
      </m:oMathPara>
    </w:p>
    <w:p w14:paraId="361E07FC" w14:textId="36B05342" w:rsidR="00B93660" w:rsidRDefault="000600F5" w:rsidP="00366D43">
      <w:pPr>
        <w:rPr>
          <w:rFonts w:eastAsiaTheme="minorEastAsia"/>
        </w:rPr>
      </w:pPr>
      <w:r>
        <w:rPr>
          <w:rFonts w:eastAsiaTheme="minorEastAsia"/>
        </w:rPr>
        <w:t xml:space="preserve">Where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ijt</m:t>
            </m:r>
          </m:sub>
        </m:sSub>
      </m:oMath>
      <w:r>
        <w:rPr>
          <w:rFonts w:eastAsiaTheme="minorEastAsia"/>
        </w:rPr>
        <w:t xml:space="preserve"> is the outcome for household </w:t>
      </w:r>
      <w:proofErr w:type="spellStart"/>
      <w:r>
        <w:rPr>
          <w:rFonts w:eastAsiaTheme="minorEastAsia"/>
        </w:rPr>
        <w:t>i</w:t>
      </w:r>
      <w:proofErr w:type="spellEnd"/>
      <w:r>
        <w:rPr>
          <w:rFonts w:eastAsiaTheme="minorEastAsia"/>
        </w:rPr>
        <w:t xml:space="preserve">, mouza </w:t>
      </w:r>
      <w:r w:rsidRPr="000600F5">
        <w:rPr>
          <w:rFonts w:eastAsiaTheme="minorEastAsia"/>
          <w:i/>
          <w:iCs/>
        </w:rPr>
        <w:t>j</w:t>
      </w:r>
      <w:r>
        <w:rPr>
          <w:rFonts w:eastAsiaTheme="minorEastAsia"/>
        </w:rPr>
        <w:t xml:space="preserve">, and time </w:t>
      </w:r>
      <w:r w:rsidRPr="000600F5">
        <w:rPr>
          <w:rFonts w:eastAsiaTheme="minorEastAsia"/>
          <w:i/>
          <w:iCs/>
        </w:rPr>
        <w:t>t</w:t>
      </w:r>
      <w:r>
        <w:rPr>
          <w:rFonts w:eastAsiaTheme="minorEastAsia"/>
        </w:rPr>
        <w:t xml:space="preserve">. </w:t>
      </w:r>
      <m:oMath>
        <m:r>
          <w:rPr>
            <w:rFonts w:ascii="Cambria Math" w:eastAsiaTheme="minorEastAsia" w:hAnsi="Cambria Math"/>
          </w:rPr>
          <m:t>Dyke</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ijt</m:t>
            </m:r>
          </m:sub>
        </m:sSub>
        <m:r>
          <w:rPr>
            <w:rFonts w:ascii="Cambria Math" w:eastAsiaTheme="minorEastAsia" w:hAnsi="Cambria Math"/>
          </w:rPr>
          <m:t>=1</m:t>
        </m:r>
      </m:oMath>
      <w:r w:rsidR="005F71AB">
        <w:rPr>
          <w:rFonts w:eastAsiaTheme="minorEastAsia"/>
        </w:rPr>
        <w:t xml:space="preserve"> for the households whe</w:t>
      </w:r>
      <w:r w:rsidR="004C5C79">
        <w:rPr>
          <w:rFonts w:eastAsiaTheme="minorEastAsia"/>
        </w:rPr>
        <w:t xml:space="preserve">n they are protected by dykes in time </w:t>
      </w:r>
      <m:oMath>
        <m:r>
          <w:rPr>
            <w:rFonts w:ascii="Cambria Math" w:eastAsiaTheme="minorEastAsia" w:hAnsi="Cambria Math"/>
          </w:rPr>
          <m:t>t</m:t>
        </m:r>
      </m:oMath>
      <w:r w:rsidR="004C5C79">
        <w:rPr>
          <w:rFonts w:eastAsiaTheme="minorEastAsia"/>
        </w:rPr>
        <w:t xml:space="preserve">, 0 otherwise.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oMath>
      <w:r>
        <w:rPr>
          <w:rFonts w:eastAsiaTheme="minorEastAsia"/>
        </w:rPr>
        <w:t xml:space="preserve"> is our staggered DiD coefficient that reflects the causal impact of dykes on outcomes. </w:t>
      </w:r>
      <m:oMath>
        <m:sSub>
          <m:sSubPr>
            <m:ctrlPr>
              <w:rPr>
                <w:rFonts w:ascii="Cambria Math" w:eastAsiaTheme="minorEastAsia" w:hAnsi="Cambria Math"/>
                <w:i/>
              </w:rPr>
            </m:ctrlPr>
          </m:sSubPr>
          <m:e>
            <m:r>
              <w:rPr>
                <w:rFonts w:ascii="Cambria Math" w:eastAsiaTheme="minorEastAsia" w:hAnsi="Cambria Math"/>
              </w:rPr>
              <m:t>μ</m:t>
            </m:r>
          </m:e>
          <m:sub>
            <m:r>
              <w:rPr>
                <w:rFonts w:ascii="Cambria Math" w:eastAsiaTheme="minorEastAsia" w:hAnsi="Cambria Math"/>
              </w:rPr>
              <m:t>j</m:t>
            </m:r>
          </m:sub>
        </m:sSub>
      </m:oMath>
      <w:r>
        <w:rPr>
          <w:rFonts w:eastAsiaTheme="minorEastAsia"/>
        </w:rPr>
        <w:t xml:space="preserve"> are mouza fixed effects.  </w:t>
      </w:r>
    </w:p>
    <w:p w14:paraId="5F6BE814" w14:textId="77777777" w:rsidR="00B93660" w:rsidRDefault="00B93660" w:rsidP="00366D43">
      <w:pPr>
        <w:rPr>
          <w:rFonts w:eastAsiaTheme="minorEastAsia"/>
        </w:rPr>
      </w:pPr>
    </w:p>
    <w:p w14:paraId="5C0B1BC8" w14:textId="08184354" w:rsidR="00B93660" w:rsidRDefault="00B93660" w:rsidP="00B93660">
      <w:pPr>
        <w:pStyle w:val="Heading1"/>
        <w:numPr>
          <w:ilvl w:val="0"/>
          <w:numId w:val="6"/>
        </w:numPr>
      </w:pPr>
      <w:r>
        <w:t xml:space="preserve">Estimation Strategy for Canals and Buried Pipes Evaluation </w:t>
      </w:r>
    </w:p>
    <w:p w14:paraId="72674C76" w14:textId="10F599E3" w:rsidR="00B93660" w:rsidRDefault="00B93660" w:rsidP="00B93660">
      <w:r>
        <w:t>We will estimate the following type of equation using the multivalued treatment effects inverse-probability weighting approach (IPWRA) to balance for any observed, cross-sectional differences in the treatment and comparison groups:</w:t>
      </w:r>
      <w:r w:rsidR="00A51EAA">
        <w:rPr>
          <w:rStyle w:val="FootnoteReference"/>
        </w:rPr>
        <w:footnoteReference w:id="13"/>
      </w:r>
      <w:r>
        <w:t xml:space="preserve"> </w:t>
      </w:r>
    </w:p>
    <w:p w14:paraId="7FED33D7" w14:textId="66A8258D" w:rsidR="00B93660" w:rsidRDefault="00000000" w:rsidP="00B93660">
      <m:oMath>
        <m:sSub>
          <m:sSubPr>
            <m:ctrlPr>
              <w:rPr>
                <w:rFonts w:ascii="Cambria Math" w:hAnsi="Cambria Math"/>
                <w:i/>
              </w:rPr>
            </m:ctrlPr>
          </m:sSubPr>
          <m:e>
            <m:r>
              <w:rPr>
                <w:rFonts w:ascii="Cambria Math" w:hAnsi="Cambria Math"/>
              </w:rPr>
              <m:t>Y</m:t>
            </m:r>
          </m:e>
          <m:sub>
            <m:r>
              <w:rPr>
                <w:rFonts w:ascii="Cambria Math" w:hAnsi="Cambria Math"/>
              </w:rPr>
              <m:t>ij</m:t>
            </m:r>
          </m:sub>
        </m:sSub>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Canals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BuriedPipe</m:t>
        </m:r>
        <m:sSub>
          <m:sSubPr>
            <m:ctrlPr>
              <w:rPr>
                <w:rFonts w:ascii="Cambria Math" w:hAnsi="Cambria Math"/>
                <w:i/>
              </w:rPr>
            </m:ctrlPr>
          </m:sSubPr>
          <m:e>
            <m:r>
              <w:rPr>
                <w:rFonts w:ascii="Cambria Math" w:hAnsi="Cambria Math"/>
              </w:rPr>
              <m:t>s</m:t>
            </m:r>
          </m:e>
          <m:sub>
            <m:r>
              <w:rPr>
                <w:rFonts w:ascii="Cambria Math" w:hAnsi="Cambria Math"/>
              </w:rPr>
              <m:t>j</m:t>
            </m:r>
          </m:sub>
        </m:sSub>
        <m:r>
          <w:rPr>
            <w:rFonts w:ascii="Cambria Math" w:hAnsi="Cambria Math"/>
          </w:rPr>
          <m:t>+γ</m:t>
        </m:r>
        <m:sSub>
          <m:sSubPr>
            <m:ctrlPr>
              <w:rPr>
                <w:rFonts w:ascii="Cambria Math" w:hAnsi="Cambria Math"/>
                <w:i/>
              </w:rPr>
            </m:ctrlPr>
          </m:sSubPr>
          <m:e>
            <m:r>
              <w:rPr>
                <w:rFonts w:ascii="Cambria Math" w:hAnsi="Cambria Math"/>
              </w:rPr>
              <m:t>X</m:t>
            </m:r>
          </m:e>
          <m:sub>
            <m:r>
              <w:rPr>
                <w:rFonts w:ascii="Cambria Math" w:hAnsi="Cambria Math"/>
              </w:rPr>
              <m:t>ij</m:t>
            </m:r>
          </m:sub>
        </m:sSub>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ij</m:t>
            </m:r>
          </m:sub>
        </m:sSub>
      </m:oMath>
      <w:r w:rsidR="00B93660">
        <w:t xml:space="preserve"> </w:t>
      </w:r>
    </w:p>
    <w:p w14:paraId="49EAAB60" w14:textId="0F5C65CF" w:rsidR="00B93660" w:rsidRDefault="00B93660" w:rsidP="00B93660">
      <w:pPr>
        <w:rPr>
          <w:rFonts w:eastAsiaTheme="minorEastAsia"/>
        </w:rPr>
      </w:pPr>
      <w:r>
        <w:t xml:space="preserve">Where </w:t>
      </w:r>
      <m:oMath>
        <m:sSub>
          <m:sSubPr>
            <m:ctrlPr>
              <w:rPr>
                <w:rFonts w:ascii="Cambria Math" w:hAnsi="Cambria Math"/>
                <w:i/>
              </w:rPr>
            </m:ctrlPr>
          </m:sSubPr>
          <m:e>
            <m:r>
              <w:rPr>
                <w:rFonts w:ascii="Cambria Math" w:hAnsi="Cambria Math"/>
              </w:rPr>
              <m:t>Y</m:t>
            </m:r>
          </m:e>
          <m:sub>
            <m:r>
              <w:rPr>
                <w:rFonts w:ascii="Cambria Math" w:hAnsi="Cambria Math"/>
              </w:rPr>
              <m:t>ij</m:t>
            </m:r>
          </m:sub>
        </m:sSub>
      </m:oMath>
      <w:r>
        <w:rPr>
          <w:rFonts w:eastAsiaTheme="minorEastAsia"/>
        </w:rPr>
        <w:t xml:space="preserve"> are outcomes as outlined in section 2.2 for household </w:t>
      </w:r>
      <w:proofErr w:type="spellStart"/>
      <w:r w:rsidRPr="00B93660">
        <w:rPr>
          <w:rFonts w:eastAsiaTheme="minorEastAsia"/>
          <w:i/>
          <w:iCs/>
        </w:rPr>
        <w:t>i</w:t>
      </w:r>
      <w:proofErr w:type="spellEnd"/>
      <w:r>
        <w:rPr>
          <w:rFonts w:eastAsiaTheme="minorEastAsia"/>
        </w:rPr>
        <w:t xml:space="preserve"> in water user group (WUG) </w:t>
      </w:r>
      <w:r w:rsidRPr="00B93660">
        <w:rPr>
          <w:rFonts w:eastAsiaTheme="minorEastAsia"/>
          <w:i/>
          <w:iCs/>
        </w:rPr>
        <w:t>j</w:t>
      </w:r>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Canals</m:t>
            </m:r>
          </m:e>
          <m:sub>
            <m:r>
              <w:rPr>
                <w:rFonts w:ascii="Cambria Math" w:eastAsiaTheme="minorEastAsia" w:hAnsi="Cambria Math"/>
              </w:rPr>
              <m:t>j</m:t>
            </m:r>
          </m:sub>
        </m:sSub>
        <m:r>
          <w:rPr>
            <w:rFonts w:ascii="Cambria Math" w:eastAsiaTheme="minorEastAsia" w:hAnsi="Cambria Math"/>
          </w:rPr>
          <m:t>=1</m:t>
        </m:r>
      </m:oMath>
      <w:r>
        <w:rPr>
          <w:rFonts w:eastAsiaTheme="minorEastAsia"/>
        </w:rPr>
        <w:t xml:space="preserve"> for canal beneficiary WUG, 0 otherwise. </w:t>
      </w:r>
      <m:oMath>
        <m:sSub>
          <m:sSubPr>
            <m:ctrlPr>
              <w:rPr>
                <w:rFonts w:ascii="Cambria Math" w:eastAsiaTheme="minorEastAsia" w:hAnsi="Cambria Math"/>
                <w:i/>
              </w:rPr>
            </m:ctrlPr>
          </m:sSubPr>
          <m:e>
            <m:r>
              <w:rPr>
                <w:rFonts w:ascii="Cambria Math" w:eastAsiaTheme="minorEastAsia" w:hAnsi="Cambria Math"/>
              </w:rPr>
              <m:t>BuriedPipes</m:t>
            </m:r>
          </m:e>
          <m:sub>
            <m:r>
              <w:rPr>
                <w:rFonts w:ascii="Cambria Math" w:eastAsiaTheme="minorEastAsia" w:hAnsi="Cambria Math"/>
              </w:rPr>
              <m:t>j</m:t>
            </m:r>
          </m:sub>
        </m:sSub>
        <m:r>
          <w:rPr>
            <w:rFonts w:ascii="Cambria Math" w:eastAsiaTheme="minorEastAsia" w:hAnsi="Cambria Math"/>
          </w:rPr>
          <m:t>=</m:t>
        </m:r>
      </m:oMath>
      <w:r>
        <w:rPr>
          <w:rFonts w:eastAsiaTheme="minorEastAsia"/>
        </w:rPr>
        <w:t xml:space="preserve"> 1 for buried pipe beneficiary </w:t>
      </w:r>
      <w:r>
        <w:rPr>
          <w:rFonts w:eastAsiaTheme="minorEastAsia"/>
        </w:rPr>
        <w:lastRenderedPageBreak/>
        <w:t xml:space="preserve">WUG, while </w:t>
      </w:r>
      <m:oMath>
        <m:r>
          <w:rPr>
            <w:rFonts w:ascii="Cambria Math" w:eastAsiaTheme="minorEastAsia" w:hAnsi="Cambria Math"/>
          </w:rPr>
          <m:t>Canal</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=0</m:t>
        </m:r>
      </m:oMath>
      <w:r>
        <w:rPr>
          <w:rFonts w:eastAsiaTheme="minorEastAsia"/>
        </w:rPr>
        <w:t xml:space="preserve"> and </w:t>
      </w:r>
      <m:oMath>
        <m:r>
          <w:rPr>
            <w:rFonts w:ascii="Cambria Math" w:eastAsiaTheme="minorEastAsia" w:hAnsi="Cambria Math"/>
          </w:rPr>
          <m:t>BuriedPipe</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j</m:t>
            </m:r>
          </m:sub>
        </m:sSub>
        <m:r>
          <w:rPr>
            <w:rFonts w:ascii="Cambria Math" w:eastAsiaTheme="minorEastAsia" w:hAnsi="Cambria Math"/>
          </w:rPr>
          <m:t>=0</m:t>
        </m:r>
      </m:oMath>
      <w:r>
        <w:rPr>
          <w:rFonts w:eastAsiaTheme="minorEastAsia"/>
        </w:rPr>
        <w:t xml:space="preserve"> indicate comparison group.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ij</m:t>
            </m:r>
          </m:sub>
        </m:sSub>
      </m:oMath>
      <w:r>
        <w:rPr>
          <w:rFonts w:eastAsiaTheme="minorEastAsia"/>
        </w:rPr>
        <w:t xml:space="preserve"> is a </w:t>
      </w:r>
      <w:r>
        <w:t xml:space="preserve">vector of household characteristics to </w:t>
      </w:r>
      <w:proofErr w:type="gramStart"/>
      <w:r>
        <w:t>control for</w:t>
      </w:r>
      <w:proofErr w:type="gramEnd"/>
      <w:r>
        <w:t xml:space="preserve"> observable differences across households, which could influence Y. These factors are not only those for which some differences may be observed across treatment and control at the baseline, but also “good controls” which could have some explanatory role in the estimation of Y (Angrist &amp; Pischke, 2009). </w:t>
      </w:r>
      <m:oMath>
        <m:sSub>
          <m:sSubPr>
            <m:ctrlPr>
              <w:rPr>
                <w:rFonts w:ascii="Cambria Math" w:hAnsi="Cambria Math"/>
                <w:i/>
              </w:rPr>
            </m:ctrlPr>
          </m:sSubPr>
          <m:e>
            <m:r>
              <w:rPr>
                <w:rFonts w:ascii="Cambria Math" w:hAnsi="Cambria Math"/>
              </w:rPr>
              <m:t>δ</m:t>
            </m:r>
          </m:e>
          <m:sub>
            <m:r>
              <w:rPr>
                <w:rFonts w:ascii="Cambria Math" w:hAnsi="Cambria Math"/>
              </w:rPr>
              <m:t>j</m:t>
            </m:r>
          </m:sub>
        </m:sSub>
      </m:oMath>
      <w:r>
        <w:rPr>
          <w:rFonts w:eastAsiaTheme="minorEastAsia"/>
        </w:rPr>
        <w:t xml:space="preserve"> are group fixed effects, while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1</m:t>
            </m:r>
          </m:sub>
        </m:sSub>
        <m:r>
          <w:rPr>
            <w:rFonts w:ascii="Cambria Math" w:eastAsiaTheme="minorEastAsia" w:hAnsi="Cambria Math"/>
          </w:rPr>
          <m:t xml:space="preserve"> </m:t>
        </m:r>
      </m:oMath>
      <w:r w:rsidR="00EC5A38">
        <w:rPr>
          <w:rFonts w:eastAsiaTheme="minorEastAsia"/>
        </w:rPr>
        <w:t xml:space="preserve">and </w:t>
      </w:r>
      <m:oMath>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2</m:t>
            </m:r>
          </m:sub>
        </m:sSub>
      </m:oMath>
      <w:r>
        <w:rPr>
          <w:rFonts w:eastAsiaTheme="minorEastAsia"/>
        </w:rPr>
        <w:t xml:space="preserve"> </w:t>
      </w:r>
      <w:r w:rsidR="00EC5A38">
        <w:rPr>
          <w:rFonts w:eastAsiaTheme="minorEastAsia"/>
        </w:rPr>
        <w:t xml:space="preserve">are </w:t>
      </w:r>
      <w:r>
        <w:rPr>
          <w:rFonts w:eastAsiaTheme="minorEastAsia"/>
        </w:rPr>
        <w:t>the average treatment effect on the treated (ATET)</w:t>
      </w:r>
      <w:r w:rsidR="00EC5A38">
        <w:rPr>
          <w:rFonts w:eastAsiaTheme="minorEastAsia"/>
        </w:rPr>
        <w:t xml:space="preserve"> for canals and buried pipes, respectively</w:t>
      </w:r>
      <w:r>
        <w:rPr>
          <w:rFonts w:eastAsiaTheme="minorEastAsia"/>
        </w:rPr>
        <w:t>.</w:t>
      </w:r>
    </w:p>
    <w:p w14:paraId="79B62735" w14:textId="77777777" w:rsidR="00B93660" w:rsidRDefault="00B93660" w:rsidP="00366D43"/>
    <w:p w14:paraId="7F94945D" w14:textId="47E18B6F" w:rsidR="00244F12" w:rsidRDefault="00244F12" w:rsidP="00B93660">
      <w:pPr>
        <w:pStyle w:val="Heading1"/>
        <w:numPr>
          <w:ilvl w:val="0"/>
          <w:numId w:val="6"/>
        </w:numPr>
      </w:pPr>
      <w:r>
        <w:t>References</w:t>
      </w:r>
    </w:p>
    <w:p w14:paraId="5EA57C38" w14:textId="4960A215" w:rsidR="00D44433" w:rsidRDefault="00D44433">
      <w:pPr>
        <w:rPr>
          <w:rFonts w:ascii="Times New Roman" w:hAnsi="Times New Roman" w:cs="Times New Roman"/>
          <w:sz w:val="24"/>
          <w:szCs w:val="24"/>
          <w:shd w:val="clear" w:color="auto" w:fill="FFFFFF"/>
        </w:rPr>
      </w:pPr>
      <w:r w:rsidRPr="00EF2A7C">
        <w:rPr>
          <w:rFonts w:ascii="Times New Roman" w:hAnsi="Times New Roman" w:cs="Times New Roman"/>
          <w:sz w:val="24"/>
          <w:szCs w:val="24"/>
          <w:shd w:val="clear" w:color="auto" w:fill="FFFFFF"/>
        </w:rPr>
        <w:t>Anderson, M. L. (2008). Multiple inference and gender differences in the effects of early intervention: A reevaluation of the Abecedarian, Perry Preschool, and Early Training Projects. </w:t>
      </w:r>
      <w:r w:rsidRPr="00EF2A7C">
        <w:rPr>
          <w:rFonts w:ascii="Times New Roman" w:hAnsi="Times New Roman" w:cs="Times New Roman"/>
          <w:i/>
          <w:iCs/>
          <w:sz w:val="24"/>
          <w:szCs w:val="24"/>
          <w:shd w:val="clear" w:color="auto" w:fill="FFFFFF"/>
        </w:rPr>
        <w:t>Journal of the American statistical Association</w:t>
      </w:r>
      <w:r w:rsidRPr="00EF2A7C">
        <w:rPr>
          <w:rFonts w:ascii="Times New Roman" w:hAnsi="Times New Roman" w:cs="Times New Roman"/>
          <w:sz w:val="24"/>
          <w:szCs w:val="24"/>
          <w:shd w:val="clear" w:color="auto" w:fill="FFFFFF"/>
        </w:rPr>
        <w:t>, </w:t>
      </w:r>
      <w:r w:rsidRPr="00EF2A7C">
        <w:rPr>
          <w:rFonts w:ascii="Times New Roman" w:hAnsi="Times New Roman" w:cs="Times New Roman"/>
          <w:i/>
          <w:iCs/>
          <w:sz w:val="24"/>
          <w:szCs w:val="24"/>
          <w:shd w:val="clear" w:color="auto" w:fill="FFFFFF"/>
        </w:rPr>
        <w:t>103</w:t>
      </w:r>
      <w:r w:rsidRPr="00EF2A7C">
        <w:rPr>
          <w:rFonts w:ascii="Times New Roman" w:hAnsi="Times New Roman" w:cs="Times New Roman"/>
          <w:sz w:val="24"/>
          <w:szCs w:val="24"/>
          <w:shd w:val="clear" w:color="auto" w:fill="FFFFFF"/>
        </w:rPr>
        <w:t>(484), 1481-1495.</w:t>
      </w:r>
    </w:p>
    <w:p w14:paraId="600F7EE7" w14:textId="7FF86940" w:rsidR="001553A1" w:rsidRDefault="001553A1">
      <w:pPr>
        <w:rPr>
          <w:rFonts w:ascii="Times New Roman" w:hAnsi="Times New Roman" w:cs="Times New Roman"/>
          <w:sz w:val="24"/>
          <w:szCs w:val="24"/>
          <w:shd w:val="clear" w:color="auto" w:fill="FFFFFF"/>
        </w:rPr>
      </w:pPr>
      <w:r w:rsidRPr="001553A1">
        <w:rPr>
          <w:rFonts w:ascii="Times New Roman" w:hAnsi="Times New Roman" w:cs="Times New Roman"/>
          <w:sz w:val="24"/>
          <w:szCs w:val="24"/>
          <w:shd w:val="clear" w:color="auto" w:fill="FFFFFF"/>
        </w:rPr>
        <w:t xml:space="preserve">Angrist, J. D., &amp; Pischke, J. S. (2009). Mostly harmless econometrics: An empiricist's companion. Princeton </w:t>
      </w:r>
      <w:r>
        <w:rPr>
          <w:rFonts w:ascii="Times New Roman" w:hAnsi="Times New Roman" w:cs="Times New Roman"/>
          <w:sz w:val="24"/>
          <w:szCs w:val="24"/>
          <w:shd w:val="clear" w:color="auto" w:fill="FFFFFF"/>
        </w:rPr>
        <w:t>U</w:t>
      </w:r>
      <w:r w:rsidRPr="001553A1">
        <w:rPr>
          <w:rFonts w:ascii="Times New Roman" w:hAnsi="Times New Roman" w:cs="Times New Roman"/>
          <w:sz w:val="24"/>
          <w:szCs w:val="24"/>
          <w:shd w:val="clear" w:color="auto" w:fill="FFFFFF"/>
        </w:rPr>
        <w:t xml:space="preserve">niversity </w:t>
      </w:r>
      <w:r>
        <w:rPr>
          <w:rFonts w:ascii="Times New Roman" w:hAnsi="Times New Roman" w:cs="Times New Roman"/>
          <w:sz w:val="24"/>
          <w:szCs w:val="24"/>
          <w:shd w:val="clear" w:color="auto" w:fill="FFFFFF"/>
        </w:rPr>
        <w:t>P</w:t>
      </w:r>
      <w:r w:rsidRPr="001553A1">
        <w:rPr>
          <w:rFonts w:ascii="Times New Roman" w:hAnsi="Times New Roman" w:cs="Times New Roman"/>
          <w:sz w:val="24"/>
          <w:szCs w:val="24"/>
          <w:shd w:val="clear" w:color="auto" w:fill="FFFFFF"/>
        </w:rPr>
        <w:t>ress.</w:t>
      </w:r>
    </w:p>
    <w:p w14:paraId="371344A2" w14:textId="42D8BF18" w:rsidR="00802E19" w:rsidRDefault="00802E19">
      <w:pPr>
        <w:rPr>
          <w:rFonts w:ascii="Times New Roman" w:hAnsi="Times New Roman" w:cs="Times New Roman"/>
          <w:sz w:val="24"/>
          <w:szCs w:val="24"/>
          <w:shd w:val="clear" w:color="auto" w:fill="FFFFFF"/>
        </w:rPr>
      </w:pPr>
      <w:r w:rsidRPr="00802E19">
        <w:rPr>
          <w:rFonts w:ascii="Times New Roman" w:hAnsi="Times New Roman" w:cs="Times New Roman"/>
          <w:sz w:val="24"/>
          <w:szCs w:val="24"/>
          <w:shd w:val="clear" w:color="auto" w:fill="FFFFFF"/>
        </w:rPr>
        <w:t xml:space="preserve">Bravo-Ureta, B. E., Higgins, D., &amp; Arslan, A. (2020). Irrigation infrastructure and farm productivity in the Philippines: A stochastic Meta-Frontier analysis. </w:t>
      </w:r>
      <w:r w:rsidRPr="00802E19">
        <w:rPr>
          <w:rFonts w:ascii="Times New Roman" w:hAnsi="Times New Roman" w:cs="Times New Roman"/>
          <w:i/>
          <w:iCs/>
          <w:sz w:val="24"/>
          <w:szCs w:val="24"/>
          <w:shd w:val="clear" w:color="auto" w:fill="FFFFFF"/>
        </w:rPr>
        <w:t xml:space="preserve">World </w:t>
      </w:r>
      <w:r>
        <w:rPr>
          <w:rFonts w:ascii="Times New Roman" w:hAnsi="Times New Roman" w:cs="Times New Roman"/>
          <w:i/>
          <w:iCs/>
          <w:sz w:val="24"/>
          <w:szCs w:val="24"/>
          <w:shd w:val="clear" w:color="auto" w:fill="FFFFFF"/>
        </w:rPr>
        <w:t>D</w:t>
      </w:r>
      <w:r w:rsidRPr="00802E19">
        <w:rPr>
          <w:rFonts w:ascii="Times New Roman" w:hAnsi="Times New Roman" w:cs="Times New Roman"/>
          <w:i/>
          <w:iCs/>
          <w:sz w:val="24"/>
          <w:szCs w:val="24"/>
          <w:shd w:val="clear" w:color="auto" w:fill="FFFFFF"/>
        </w:rPr>
        <w:t>evelopment</w:t>
      </w:r>
      <w:r w:rsidRPr="00802E19">
        <w:rPr>
          <w:rFonts w:ascii="Times New Roman" w:hAnsi="Times New Roman" w:cs="Times New Roman"/>
          <w:sz w:val="24"/>
          <w:szCs w:val="24"/>
          <w:shd w:val="clear" w:color="auto" w:fill="FFFFFF"/>
        </w:rPr>
        <w:t>, 135, 105073.</w:t>
      </w:r>
    </w:p>
    <w:p w14:paraId="6720D1BE" w14:textId="42909411" w:rsidR="00626519" w:rsidRDefault="00626519">
      <w:pPr>
        <w:rPr>
          <w:rFonts w:ascii="Times New Roman" w:hAnsi="Times New Roman" w:cs="Times New Roman"/>
          <w:sz w:val="24"/>
          <w:szCs w:val="24"/>
          <w:shd w:val="clear" w:color="auto" w:fill="FFFFFF"/>
        </w:rPr>
      </w:pPr>
      <w:r w:rsidRPr="00626519">
        <w:rPr>
          <w:rFonts w:ascii="Times New Roman" w:hAnsi="Times New Roman" w:cs="Times New Roman"/>
          <w:sz w:val="24"/>
          <w:szCs w:val="24"/>
          <w:shd w:val="clear" w:color="auto" w:fill="FFFFFF"/>
        </w:rPr>
        <w:t xml:space="preserve">Callaway, B., &amp; Sant’Anna, P. H. (2021). Difference-in-differences with multiple time periods. </w:t>
      </w:r>
      <w:r w:rsidRPr="00626519">
        <w:rPr>
          <w:rFonts w:ascii="Times New Roman" w:hAnsi="Times New Roman" w:cs="Times New Roman"/>
          <w:i/>
          <w:iCs/>
          <w:sz w:val="24"/>
          <w:szCs w:val="24"/>
          <w:shd w:val="clear" w:color="auto" w:fill="FFFFFF"/>
        </w:rPr>
        <w:t xml:space="preserve">Journal of </w:t>
      </w:r>
      <w:r>
        <w:rPr>
          <w:rFonts w:ascii="Times New Roman" w:hAnsi="Times New Roman" w:cs="Times New Roman"/>
          <w:i/>
          <w:iCs/>
          <w:sz w:val="24"/>
          <w:szCs w:val="24"/>
          <w:shd w:val="clear" w:color="auto" w:fill="FFFFFF"/>
        </w:rPr>
        <w:t>E</w:t>
      </w:r>
      <w:r w:rsidRPr="00626519">
        <w:rPr>
          <w:rFonts w:ascii="Times New Roman" w:hAnsi="Times New Roman" w:cs="Times New Roman"/>
          <w:i/>
          <w:iCs/>
          <w:sz w:val="24"/>
          <w:szCs w:val="24"/>
          <w:shd w:val="clear" w:color="auto" w:fill="FFFFFF"/>
        </w:rPr>
        <w:t>conometrics</w:t>
      </w:r>
      <w:r w:rsidRPr="00626519">
        <w:rPr>
          <w:rFonts w:ascii="Times New Roman" w:hAnsi="Times New Roman" w:cs="Times New Roman"/>
          <w:sz w:val="24"/>
          <w:szCs w:val="24"/>
          <w:shd w:val="clear" w:color="auto" w:fill="FFFFFF"/>
        </w:rPr>
        <w:t>, 225(2), 200-230.</w:t>
      </w:r>
    </w:p>
    <w:p w14:paraId="5F061B8F" w14:textId="77777777" w:rsidR="00A51EAA" w:rsidRDefault="00A51EAA" w:rsidP="00A51EAA">
      <w:pPr>
        <w:rPr>
          <w:rFonts w:ascii="Times New Roman" w:hAnsi="Times New Roman" w:cs="Times New Roman"/>
          <w:sz w:val="24"/>
          <w:szCs w:val="24"/>
        </w:rPr>
      </w:pPr>
      <w:r w:rsidRPr="004B3A86">
        <w:rPr>
          <w:rFonts w:ascii="Times New Roman" w:hAnsi="Times New Roman" w:cs="Times New Roman"/>
          <w:sz w:val="24"/>
          <w:szCs w:val="24"/>
        </w:rPr>
        <w:t xml:space="preserve">Cattaneo, M. D., Drukker, D. M., &amp; Holland, A. D. (2013). Estimation of multivalued treatment effects under conditional independence. </w:t>
      </w:r>
      <w:r w:rsidRPr="004B3A86">
        <w:rPr>
          <w:rFonts w:ascii="Times New Roman" w:hAnsi="Times New Roman" w:cs="Times New Roman"/>
          <w:i/>
          <w:iCs/>
          <w:sz w:val="24"/>
          <w:szCs w:val="24"/>
        </w:rPr>
        <w:t>The Stata Journal</w:t>
      </w:r>
      <w:r w:rsidRPr="004B3A86">
        <w:rPr>
          <w:rFonts w:ascii="Times New Roman" w:hAnsi="Times New Roman" w:cs="Times New Roman"/>
          <w:sz w:val="24"/>
          <w:szCs w:val="24"/>
        </w:rPr>
        <w:t>, 13(3), 407-450.</w:t>
      </w:r>
    </w:p>
    <w:p w14:paraId="5C8114C1" w14:textId="59A821D0" w:rsidR="00A51EAA" w:rsidRDefault="00A51EAA">
      <w:pPr>
        <w:rPr>
          <w:rFonts w:ascii="Times New Roman" w:hAnsi="Times New Roman" w:cs="Times New Roman"/>
          <w:sz w:val="24"/>
          <w:szCs w:val="24"/>
        </w:rPr>
      </w:pPr>
      <w:r w:rsidRPr="009C4E78">
        <w:rPr>
          <w:rFonts w:ascii="Times New Roman" w:hAnsi="Times New Roman" w:cs="Times New Roman"/>
          <w:sz w:val="24"/>
          <w:szCs w:val="24"/>
        </w:rPr>
        <w:t xml:space="preserve">Cattaneo, M. D. (2010). Efficient semiparametric estimation of multi-valued treatment effects under </w:t>
      </w:r>
      <w:proofErr w:type="spellStart"/>
      <w:r w:rsidRPr="009C4E78">
        <w:rPr>
          <w:rFonts w:ascii="Times New Roman" w:hAnsi="Times New Roman" w:cs="Times New Roman"/>
          <w:sz w:val="24"/>
          <w:szCs w:val="24"/>
        </w:rPr>
        <w:t>ignorability</w:t>
      </w:r>
      <w:proofErr w:type="spellEnd"/>
      <w:r w:rsidRPr="009C4E78">
        <w:rPr>
          <w:rFonts w:ascii="Times New Roman" w:hAnsi="Times New Roman" w:cs="Times New Roman"/>
          <w:sz w:val="24"/>
          <w:szCs w:val="24"/>
        </w:rPr>
        <w:t xml:space="preserve">. </w:t>
      </w:r>
      <w:r w:rsidRPr="009C4E78">
        <w:rPr>
          <w:rFonts w:ascii="Times New Roman" w:hAnsi="Times New Roman" w:cs="Times New Roman"/>
          <w:i/>
          <w:iCs/>
          <w:sz w:val="24"/>
          <w:szCs w:val="24"/>
        </w:rPr>
        <w:t>Journal of Econometrics</w:t>
      </w:r>
      <w:r w:rsidRPr="009C4E78">
        <w:rPr>
          <w:rFonts w:ascii="Times New Roman" w:hAnsi="Times New Roman" w:cs="Times New Roman"/>
          <w:sz w:val="24"/>
          <w:szCs w:val="24"/>
        </w:rPr>
        <w:t>, 155(2), 138-154.</w:t>
      </w:r>
    </w:p>
    <w:p w14:paraId="6580265E" w14:textId="3EEF896B" w:rsidR="00802E19" w:rsidRPr="00A51EAA" w:rsidRDefault="00802E19">
      <w:pPr>
        <w:rPr>
          <w:rFonts w:ascii="Times New Roman" w:hAnsi="Times New Roman" w:cs="Times New Roman"/>
          <w:sz w:val="24"/>
          <w:szCs w:val="24"/>
        </w:rPr>
      </w:pPr>
      <w:r w:rsidRPr="00802E19">
        <w:rPr>
          <w:rFonts w:ascii="Times New Roman" w:hAnsi="Times New Roman" w:cs="Times New Roman"/>
          <w:sz w:val="24"/>
          <w:szCs w:val="24"/>
        </w:rPr>
        <w:t xml:space="preserve">Duflo, E., &amp; Pande, R. (2007). </w:t>
      </w:r>
      <w:proofErr w:type="gramStart"/>
      <w:r w:rsidRPr="00802E19">
        <w:rPr>
          <w:rFonts w:ascii="Times New Roman" w:hAnsi="Times New Roman" w:cs="Times New Roman"/>
          <w:sz w:val="24"/>
          <w:szCs w:val="24"/>
        </w:rPr>
        <w:t>Dams</w:t>
      </w:r>
      <w:proofErr w:type="gramEnd"/>
      <w:r w:rsidRPr="00802E19">
        <w:rPr>
          <w:rFonts w:ascii="Times New Roman" w:hAnsi="Times New Roman" w:cs="Times New Roman"/>
          <w:sz w:val="24"/>
          <w:szCs w:val="24"/>
        </w:rPr>
        <w:t xml:space="preserve">. </w:t>
      </w:r>
      <w:r w:rsidRPr="00802E19">
        <w:rPr>
          <w:rFonts w:ascii="Times New Roman" w:hAnsi="Times New Roman" w:cs="Times New Roman"/>
          <w:i/>
          <w:iCs/>
          <w:sz w:val="24"/>
          <w:szCs w:val="24"/>
        </w:rPr>
        <w:t>The Quarterly Journal of Economics</w:t>
      </w:r>
      <w:r w:rsidRPr="00802E19">
        <w:rPr>
          <w:rFonts w:ascii="Times New Roman" w:hAnsi="Times New Roman" w:cs="Times New Roman"/>
          <w:sz w:val="24"/>
          <w:szCs w:val="24"/>
        </w:rPr>
        <w:t>, 122(2), 601-646.</w:t>
      </w:r>
    </w:p>
    <w:p w14:paraId="1FF2ADEE" w14:textId="5B18F2A0" w:rsidR="00A44C79" w:rsidRDefault="00A44C79">
      <w:pPr>
        <w:rPr>
          <w:rStyle w:val="Hyperlink"/>
          <w:rFonts w:ascii="Times New Roman" w:hAnsi="Times New Roman" w:cs="Times New Roman"/>
          <w:sz w:val="24"/>
          <w:szCs w:val="24"/>
          <w:shd w:val="clear" w:color="auto" w:fill="FFFFFF"/>
        </w:rPr>
      </w:pPr>
      <w:r w:rsidRPr="00A44C79">
        <w:rPr>
          <w:rFonts w:ascii="Times New Roman" w:hAnsi="Times New Roman" w:cs="Times New Roman"/>
          <w:sz w:val="24"/>
          <w:szCs w:val="24"/>
          <w:shd w:val="clear" w:color="auto" w:fill="FFFFFF"/>
        </w:rPr>
        <w:t xml:space="preserve">International Food Policy Research Institute (IFPRI), 2020, "Bangladesh Integrated Household Survey (BIHS) 2018-2019", </w:t>
      </w:r>
      <w:hyperlink r:id="rId8" w:history="1">
        <w:r w:rsidRPr="00C8188A">
          <w:rPr>
            <w:rStyle w:val="Hyperlink"/>
            <w:rFonts w:ascii="Times New Roman" w:hAnsi="Times New Roman" w:cs="Times New Roman"/>
            <w:sz w:val="24"/>
            <w:szCs w:val="24"/>
            <w:shd w:val="clear" w:color="auto" w:fill="FFFFFF"/>
          </w:rPr>
          <w:t>https://doi.org/10.7910/DVN/NXKLZJ</w:t>
        </w:r>
      </w:hyperlink>
    </w:p>
    <w:p w14:paraId="4DBE9635" w14:textId="545459A3" w:rsidR="00B47DBF" w:rsidRDefault="00B47DBF">
      <w:pPr>
        <w:rPr>
          <w:rFonts w:ascii="Times New Roman" w:hAnsi="Times New Roman" w:cs="Times New Roman"/>
          <w:sz w:val="24"/>
          <w:szCs w:val="24"/>
          <w:shd w:val="clear" w:color="auto" w:fill="FFFFFF"/>
        </w:rPr>
      </w:pPr>
      <w:r w:rsidRPr="00B47DBF">
        <w:rPr>
          <w:rFonts w:ascii="Times New Roman" w:hAnsi="Times New Roman" w:cs="Times New Roman"/>
          <w:sz w:val="24"/>
          <w:szCs w:val="24"/>
          <w:shd w:val="clear" w:color="auto" w:fill="FFFFFF"/>
        </w:rPr>
        <w:t xml:space="preserve">Jones, M., Kondylis, F., Loeser, J., &amp; Magruder, J. (2022). Factor market failures and the adoption of irrigation in </w:t>
      </w:r>
      <w:r>
        <w:rPr>
          <w:rFonts w:ascii="Times New Roman" w:hAnsi="Times New Roman" w:cs="Times New Roman"/>
          <w:sz w:val="24"/>
          <w:szCs w:val="24"/>
          <w:shd w:val="clear" w:color="auto" w:fill="FFFFFF"/>
        </w:rPr>
        <w:t>R</w:t>
      </w:r>
      <w:r w:rsidRPr="00B47DBF">
        <w:rPr>
          <w:rFonts w:ascii="Times New Roman" w:hAnsi="Times New Roman" w:cs="Times New Roman"/>
          <w:sz w:val="24"/>
          <w:szCs w:val="24"/>
          <w:shd w:val="clear" w:color="auto" w:fill="FFFFFF"/>
        </w:rPr>
        <w:t xml:space="preserve">wanda. </w:t>
      </w:r>
      <w:r w:rsidRPr="00B47DBF">
        <w:rPr>
          <w:rFonts w:ascii="Times New Roman" w:hAnsi="Times New Roman" w:cs="Times New Roman"/>
          <w:i/>
          <w:iCs/>
          <w:sz w:val="24"/>
          <w:szCs w:val="24"/>
          <w:shd w:val="clear" w:color="auto" w:fill="FFFFFF"/>
        </w:rPr>
        <w:t>American Economic Review</w:t>
      </w:r>
      <w:r w:rsidRPr="00B47DBF">
        <w:rPr>
          <w:rFonts w:ascii="Times New Roman" w:hAnsi="Times New Roman" w:cs="Times New Roman"/>
          <w:sz w:val="24"/>
          <w:szCs w:val="24"/>
          <w:shd w:val="clear" w:color="auto" w:fill="FFFFFF"/>
        </w:rPr>
        <w:t>, 112(7), 2316-2352.</w:t>
      </w:r>
    </w:p>
    <w:p w14:paraId="470759E8" w14:textId="1310E127" w:rsidR="00482646" w:rsidRPr="00EF2A7C" w:rsidRDefault="00482646">
      <w:pPr>
        <w:rPr>
          <w:rFonts w:ascii="Times New Roman" w:hAnsi="Times New Roman" w:cs="Times New Roman"/>
          <w:sz w:val="24"/>
          <w:szCs w:val="24"/>
          <w:shd w:val="clear" w:color="auto" w:fill="FFFFFF"/>
        </w:rPr>
      </w:pPr>
      <w:r w:rsidRPr="00EF2A7C">
        <w:rPr>
          <w:rFonts w:ascii="Times New Roman" w:hAnsi="Times New Roman" w:cs="Times New Roman"/>
          <w:sz w:val="24"/>
          <w:szCs w:val="24"/>
          <w:shd w:val="clear" w:color="auto" w:fill="FFFFFF"/>
        </w:rPr>
        <w:t>Schochet, P. Z. (2022). Statistical power for estimating treatment effects using difference-in-differences and comparative interrupted time series estimators with variation in treatment timing. </w:t>
      </w:r>
      <w:r w:rsidRPr="00EF2A7C">
        <w:rPr>
          <w:rFonts w:ascii="Times New Roman" w:hAnsi="Times New Roman" w:cs="Times New Roman"/>
          <w:i/>
          <w:iCs/>
          <w:sz w:val="24"/>
          <w:szCs w:val="24"/>
          <w:shd w:val="clear" w:color="auto" w:fill="FFFFFF"/>
        </w:rPr>
        <w:t>Journal of Educational and Behavioral Statistics</w:t>
      </w:r>
      <w:r w:rsidRPr="00EF2A7C">
        <w:rPr>
          <w:rFonts w:ascii="Times New Roman" w:hAnsi="Times New Roman" w:cs="Times New Roman"/>
          <w:sz w:val="24"/>
          <w:szCs w:val="24"/>
          <w:shd w:val="clear" w:color="auto" w:fill="FFFFFF"/>
        </w:rPr>
        <w:t>, </w:t>
      </w:r>
      <w:r w:rsidRPr="00EF2A7C">
        <w:rPr>
          <w:rFonts w:ascii="Times New Roman" w:hAnsi="Times New Roman" w:cs="Times New Roman"/>
          <w:i/>
          <w:iCs/>
          <w:sz w:val="24"/>
          <w:szCs w:val="24"/>
          <w:shd w:val="clear" w:color="auto" w:fill="FFFFFF"/>
        </w:rPr>
        <w:t>47</w:t>
      </w:r>
      <w:r w:rsidRPr="00EF2A7C">
        <w:rPr>
          <w:rFonts w:ascii="Times New Roman" w:hAnsi="Times New Roman" w:cs="Times New Roman"/>
          <w:sz w:val="24"/>
          <w:szCs w:val="24"/>
          <w:shd w:val="clear" w:color="auto" w:fill="FFFFFF"/>
        </w:rPr>
        <w:t>(4), 367-405.</w:t>
      </w:r>
    </w:p>
    <w:p w14:paraId="322506C0" w14:textId="61BBC040" w:rsidR="00B557DF" w:rsidRDefault="00B557DF">
      <w:pPr>
        <w:rPr>
          <w:rFonts w:ascii="Times New Roman" w:hAnsi="Times New Roman" w:cs="Times New Roman"/>
          <w:sz w:val="24"/>
          <w:szCs w:val="24"/>
          <w:shd w:val="clear" w:color="auto" w:fill="FFFFFF"/>
        </w:rPr>
      </w:pPr>
      <w:r w:rsidRPr="00EF2A7C">
        <w:rPr>
          <w:rFonts w:ascii="Times New Roman" w:hAnsi="Times New Roman" w:cs="Times New Roman"/>
          <w:sz w:val="24"/>
          <w:szCs w:val="24"/>
          <w:shd w:val="clear" w:color="auto" w:fill="FFFFFF"/>
        </w:rPr>
        <w:t>Schwab, B., Janzen, S., Magnan, N. P., &amp; Thompson, W. M. (2020). Constructing a summary index using the standardized inverse-covariance weighted average of indicators. </w:t>
      </w:r>
      <w:r w:rsidRPr="00EF2A7C">
        <w:rPr>
          <w:rFonts w:ascii="Times New Roman" w:hAnsi="Times New Roman" w:cs="Times New Roman"/>
          <w:i/>
          <w:iCs/>
          <w:sz w:val="24"/>
          <w:szCs w:val="24"/>
          <w:shd w:val="clear" w:color="auto" w:fill="FFFFFF"/>
        </w:rPr>
        <w:t>The Stata Journal</w:t>
      </w:r>
      <w:r w:rsidRPr="00EF2A7C">
        <w:rPr>
          <w:rFonts w:ascii="Times New Roman" w:hAnsi="Times New Roman" w:cs="Times New Roman"/>
          <w:sz w:val="24"/>
          <w:szCs w:val="24"/>
          <w:shd w:val="clear" w:color="auto" w:fill="FFFFFF"/>
        </w:rPr>
        <w:t>, </w:t>
      </w:r>
      <w:r w:rsidRPr="00EF2A7C">
        <w:rPr>
          <w:rFonts w:ascii="Times New Roman" w:hAnsi="Times New Roman" w:cs="Times New Roman"/>
          <w:i/>
          <w:iCs/>
          <w:sz w:val="24"/>
          <w:szCs w:val="24"/>
          <w:shd w:val="clear" w:color="auto" w:fill="FFFFFF"/>
        </w:rPr>
        <w:t>20</w:t>
      </w:r>
      <w:r w:rsidRPr="00EF2A7C">
        <w:rPr>
          <w:rFonts w:ascii="Times New Roman" w:hAnsi="Times New Roman" w:cs="Times New Roman"/>
          <w:sz w:val="24"/>
          <w:szCs w:val="24"/>
          <w:shd w:val="clear" w:color="auto" w:fill="FFFFFF"/>
        </w:rPr>
        <w:t>(4), 952-964.</w:t>
      </w:r>
    </w:p>
    <w:p w14:paraId="7622D057" w14:textId="0319B0BE" w:rsidR="007D0B7D" w:rsidRPr="00EF2A7C" w:rsidRDefault="007D0B7D">
      <w:pPr>
        <w:rPr>
          <w:rFonts w:ascii="Times New Roman" w:hAnsi="Times New Roman" w:cs="Times New Roman"/>
          <w:sz w:val="24"/>
          <w:szCs w:val="24"/>
        </w:rPr>
      </w:pPr>
      <w:r w:rsidRPr="007D0B7D">
        <w:rPr>
          <w:rFonts w:ascii="Times New Roman" w:hAnsi="Times New Roman" w:cs="Times New Roman"/>
          <w:sz w:val="24"/>
          <w:szCs w:val="24"/>
        </w:rPr>
        <w:t xml:space="preserve">Strobl, E., &amp; Strobl, R. O. (2011). The distributional impact of large dams: Evidence from cropland productivity in Africa. </w:t>
      </w:r>
      <w:r w:rsidRPr="007D0B7D">
        <w:rPr>
          <w:rFonts w:ascii="Times New Roman" w:hAnsi="Times New Roman" w:cs="Times New Roman"/>
          <w:i/>
          <w:iCs/>
          <w:sz w:val="24"/>
          <w:szCs w:val="24"/>
        </w:rPr>
        <w:t>Journal of Development Economics</w:t>
      </w:r>
      <w:r w:rsidRPr="007D0B7D">
        <w:rPr>
          <w:rFonts w:ascii="Times New Roman" w:hAnsi="Times New Roman" w:cs="Times New Roman"/>
          <w:sz w:val="24"/>
          <w:szCs w:val="24"/>
        </w:rPr>
        <w:t>, 96(2), 432-450.</w:t>
      </w:r>
    </w:p>
    <w:p w14:paraId="2630A8D0" w14:textId="132D2C40" w:rsidR="00244F12" w:rsidRDefault="00244F12">
      <w:pPr>
        <w:rPr>
          <w:rFonts w:ascii="Times New Roman" w:hAnsi="Times New Roman" w:cs="Times New Roman"/>
          <w:sz w:val="24"/>
          <w:szCs w:val="24"/>
        </w:rPr>
      </w:pPr>
      <w:r w:rsidRPr="00EF2A7C">
        <w:rPr>
          <w:rFonts w:ascii="Times New Roman" w:hAnsi="Times New Roman" w:cs="Times New Roman"/>
          <w:sz w:val="24"/>
          <w:szCs w:val="24"/>
        </w:rPr>
        <w:lastRenderedPageBreak/>
        <w:t>Wooldridge, J. M. 2010. Econometric analysis of cross section and panel data. MIT press</w:t>
      </w:r>
    </w:p>
    <w:p w14:paraId="6396DE32" w14:textId="78863161" w:rsidR="00B47DBF" w:rsidRPr="00EF2A7C" w:rsidRDefault="00B47DBF">
      <w:pPr>
        <w:rPr>
          <w:rFonts w:ascii="Times New Roman" w:hAnsi="Times New Roman" w:cs="Times New Roman"/>
          <w:sz w:val="24"/>
          <w:szCs w:val="24"/>
        </w:rPr>
      </w:pPr>
      <w:r w:rsidRPr="00B47DBF">
        <w:rPr>
          <w:rFonts w:ascii="Times New Roman" w:hAnsi="Times New Roman" w:cs="Times New Roman"/>
          <w:sz w:val="24"/>
          <w:szCs w:val="24"/>
        </w:rPr>
        <w:t xml:space="preserve">Zaveri, E., Grogan, D.S., Fisher-Vanden, K., </w:t>
      </w:r>
      <w:proofErr w:type="spellStart"/>
      <w:r w:rsidRPr="00B47DBF">
        <w:rPr>
          <w:rFonts w:ascii="Times New Roman" w:hAnsi="Times New Roman" w:cs="Times New Roman"/>
          <w:sz w:val="24"/>
          <w:szCs w:val="24"/>
        </w:rPr>
        <w:t>Frolking</w:t>
      </w:r>
      <w:proofErr w:type="spellEnd"/>
      <w:r w:rsidRPr="00B47DBF">
        <w:rPr>
          <w:rFonts w:ascii="Times New Roman" w:hAnsi="Times New Roman" w:cs="Times New Roman"/>
          <w:sz w:val="24"/>
          <w:szCs w:val="24"/>
        </w:rPr>
        <w:t xml:space="preserve">, S., Lammers, R.B., Wrenn, D.H., </w:t>
      </w:r>
      <w:proofErr w:type="spellStart"/>
      <w:r w:rsidRPr="00B47DBF">
        <w:rPr>
          <w:rFonts w:ascii="Times New Roman" w:hAnsi="Times New Roman" w:cs="Times New Roman"/>
          <w:sz w:val="24"/>
          <w:szCs w:val="24"/>
        </w:rPr>
        <w:t>Prusevich</w:t>
      </w:r>
      <w:proofErr w:type="spellEnd"/>
      <w:r w:rsidRPr="00B47DBF">
        <w:rPr>
          <w:rFonts w:ascii="Times New Roman" w:hAnsi="Times New Roman" w:cs="Times New Roman"/>
          <w:sz w:val="24"/>
          <w:szCs w:val="24"/>
        </w:rPr>
        <w:t xml:space="preserve">, A. and Nicholas, R.E., 2016. Invisible water, visible impact: groundwater </w:t>
      </w:r>
      <w:proofErr w:type="gramStart"/>
      <w:r w:rsidRPr="00B47DBF">
        <w:rPr>
          <w:rFonts w:ascii="Times New Roman" w:hAnsi="Times New Roman" w:cs="Times New Roman"/>
          <w:sz w:val="24"/>
          <w:szCs w:val="24"/>
        </w:rPr>
        <w:t>use</w:t>
      </w:r>
      <w:proofErr w:type="gramEnd"/>
      <w:r w:rsidRPr="00B47DBF">
        <w:rPr>
          <w:rFonts w:ascii="Times New Roman" w:hAnsi="Times New Roman" w:cs="Times New Roman"/>
          <w:sz w:val="24"/>
          <w:szCs w:val="24"/>
        </w:rPr>
        <w:t xml:space="preserve"> and Indian agriculture under climate change. </w:t>
      </w:r>
      <w:r w:rsidRPr="00B47DBF">
        <w:rPr>
          <w:rFonts w:ascii="Times New Roman" w:hAnsi="Times New Roman" w:cs="Times New Roman"/>
          <w:i/>
          <w:iCs/>
          <w:sz w:val="24"/>
          <w:szCs w:val="24"/>
        </w:rPr>
        <w:t>Environmental Research Letters</w:t>
      </w:r>
      <w:r w:rsidRPr="00B47DBF">
        <w:rPr>
          <w:rFonts w:ascii="Times New Roman" w:hAnsi="Times New Roman" w:cs="Times New Roman"/>
          <w:sz w:val="24"/>
          <w:szCs w:val="24"/>
        </w:rPr>
        <w:t>, 11(8), p.084005.</w:t>
      </w:r>
    </w:p>
    <w:p w14:paraId="1330826E" w14:textId="77777777" w:rsidR="00506243" w:rsidRDefault="00506243">
      <w:pPr>
        <w:rPr>
          <w:b/>
          <w:bCs/>
        </w:rPr>
      </w:pPr>
    </w:p>
    <w:sectPr w:rsidR="0050624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6637D" w14:textId="77777777" w:rsidR="00D10945" w:rsidRDefault="00D10945" w:rsidP="00A864AF">
      <w:pPr>
        <w:spacing w:after="0" w:line="240" w:lineRule="auto"/>
      </w:pPr>
      <w:r>
        <w:separator/>
      </w:r>
    </w:p>
  </w:endnote>
  <w:endnote w:type="continuationSeparator" w:id="0">
    <w:p w14:paraId="5CDC490F" w14:textId="77777777" w:rsidR="00D10945" w:rsidRDefault="00D10945" w:rsidP="00A86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455808"/>
      <w:docPartObj>
        <w:docPartGallery w:val="Page Numbers (Bottom of Page)"/>
        <w:docPartUnique/>
      </w:docPartObj>
    </w:sdtPr>
    <w:sdtEndPr>
      <w:rPr>
        <w:noProof/>
      </w:rPr>
    </w:sdtEndPr>
    <w:sdtContent>
      <w:p w14:paraId="26E2F777" w14:textId="4E6F8486" w:rsidR="00BF2312" w:rsidRDefault="00BF23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127320" w14:textId="77777777" w:rsidR="006878AC" w:rsidRDefault="006878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6BFE2" w14:textId="77777777" w:rsidR="00D10945" w:rsidRDefault="00D10945" w:rsidP="00A864AF">
      <w:pPr>
        <w:spacing w:after="0" w:line="240" w:lineRule="auto"/>
      </w:pPr>
      <w:r>
        <w:separator/>
      </w:r>
    </w:p>
  </w:footnote>
  <w:footnote w:type="continuationSeparator" w:id="0">
    <w:p w14:paraId="7A10A59E" w14:textId="77777777" w:rsidR="00D10945" w:rsidRDefault="00D10945" w:rsidP="00A864AF">
      <w:pPr>
        <w:spacing w:after="0" w:line="240" w:lineRule="auto"/>
      </w:pPr>
      <w:r>
        <w:continuationSeparator/>
      </w:r>
    </w:p>
  </w:footnote>
  <w:footnote w:id="1">
    <w:p w14:paraId="08F6B7D6" w14:textId="700E8AE5" w:rsidR="00062743" w:rsidRPr="00062743" w:rsidRDefault="00062743">
      <w:pPr>
        <w:pStyle w:val="FootnoteText"/>
      </w:pPr>
      <w:r>
        <w:rPr>
          <w:rStyle w:val="FootnoteReference"/>
        </w:rPr>
        <w:footnoteRef/>
      </w:r>
      <w:r>
        <w:t xml:space="preserve"> </w:t>
      </w:r>
      <w:proofErr w:type="spellStart"/>
      <w:r>
        <w:t>Upazillas</w:t>
      </w:r>
      <w:proofErr w:type="spellEnd"/>
      <w:r w:rsidR="002B4F4B">
        <w:t xml:space="preserve"> are </w:t>
      </w:r>
      <w:r w:rsidR="002B4F4B" w:rsidRPr="002B4F4B">
        <w:t>administrative division</w:t>
      </w:r>
      <w:r w:rsidR="008C3B7B">
        <w:t>s</w:t>
      </w:r>
      <w:r w:rsidR="002B4F4B" w:rsidRPr="002B4F4B">
        <w:t xml:space="preserve"> in Bangladesh, functioning as a sub-unit of a district.</w:t>
      </w:r>
      <w:r w:rsidR="008C3B7B">
        <w:t xml:space="preserve"> They correspond to a county or borough in Western countries.</w:t>
      </w:r>
    </w:p>
  </w:footnote>
  <w:footnote w:id="2">
    <w:p w14:paraId="08B710DF" w14:textId="3CB1444D" w:rsidR="00A864AF" w:rsidRDefault="00A864AF" w:rsidP="00A864AF">
      <w:pPr>
        <w:pStyle w:val="FootnoteText"/>
      </w:pPr>
      <w:r>
        <w:rPr>
          <w:rStyle w:val="FootnoteReference"/>
        </w:rPr>
        <w:footnoteRef/>
      </w:r>
      <w:r>
        <w:t xml:space="preserve"> These are not the only program outcomes that we are interested in. However, </w:t>
      </w:r>
      <w:r w:rsidR="004D26BD">
        <w:t>these are the most important outcomes</w:t>
      </w:r>
      <w:r>
        <w:t xml:space="preserve"> and therefore rely on these outcomes for our power analysis.  </w:t>
      </w:r>
    </w:p>
  </w:footnote>
  <w:footnote w:id="3">
    <w:p w14:paraId="4501FF00" w14:textId="77777777" w:rsidR="00A864AF" w:rsidRDefault="00A864AF" w:rsidP="00A864AF">
      <w:pPr>
        <w:pStyle w:val="FootnoteText"/>
      </w:pPr>
      <w:r>
        <w:rPr>
          <w:rStyle w:val="FootnoteReference"/>
        </w:rPr>
        <w:footnoteRef/>
      </w:r>
      <w:r>
        <w:t xml:space="preserve"> This is the probability of correctly concluding that an intervention has an effect. It is commonly set at 80 percent in social sciences.</w:t>
      </w:r>
    </w:p>
  </w:footnote>
  <w:footnote w:id="4">
    <w:p w14:paraId="78A07D96" w14:textId="77777777" w:rsidR="00A864AF" w:rsidRDefault="00A864AF" w:rsidP="00A864AF">
      <w:pPr>
        <w:pStyle w:val="FootnoteText"/>
      </w:pPr>
      <w:r>
        <w:rPr>
          <w:rStyle w:val="FootnoteReference"/>
        </w:rPr>
        <w:footnoteRef/>
      </w:r>
      <w:r>
        <w:t xml:space="preserve"> This is the probability of a false-positive result: the chance that a result shows that a treatment has an impact when </w:t>
      </w:r>
      <w:proofErr w:type="gramStart"/>
      <w:r>
        <w:t>in reality it</w:t>
      </w:r>
      <w:proofErr w:type="gramEnd"/>
      <w:r>
        <w:t xml:space="preserve"> does not. A broadly accepted threshold in the impact evaluation literature is 5 percent.</w:t>
      </w:r>
    </w:p>
  </w:footnote>
  <w:footnote w:id="5">
    <w:p w14:paraId="64412514" w14:textId="77777777" w:rsidR="00A35F55" w:rsidRDefault="00A35F55" w:rsidP="00A35F55">
      <w:pPr>
        <w:pStyle w:val="FootnoteText"/>
      </w:pPr>
      <w:r>
        <w:rPr>
          <w:rStyle w:val="FootnoteReference"/>
        </w:rPr>
        <w:footnoteRef/>
      </w:r>
      <w:r>
        <w:t xml:space="preserve"> This is the probability of correctly concluding that an intervention has an effect. It is commonly set at 80 percent in social sciences.</w:t>
      </w:r>
    </w:p>
  </w:footnote>
  <w:footnote w:id="6">
    <w:p w14:paraId="3238641B" w14:textId="77777777" w:rsidR="00A35F55" w:rsidRDefault="00A35F55" w:rsidP="00A35F55">
      <w:pPr>
        <w:pStyle w:val="FootnoteText"/>
      </w:pPr>
      <w:r>
        <w:rPr>
          <w:rStyle w:val="FootnoteReference"/>
        </w:rPr>
        <w:footnoteRef/>
      </w:r>
      <w:r>
        <w:t xml:space="preserve"> This is the probability of a false-positive result: the chance that a result shows that a treatment has an impact when </w:t>
      </w:r>
      <w:proofErr w:type="gramStart"/>
      <w:r>
        <w:t>in reality it</w:t>
      </w:r>
      <w:proofErr w:type="gramEnd"/>
      <w:r>
        <w:t xml:space="preserve"> does not. A broadly accepted threshold in the impact evaluation literature is 5 percent.</w:t>
      </w:r>
    </w:p>
  </w:footnote>
  <w:footnote w:id="7">
    <w:p w14:paraId="6E054498" w14:textId="68A9A611" w:rsidR="00017BE8" w:rsidRPr="00094E63" w:rsidRDefault="00017BE8">
      <w:pPr>
        <w:pStyle w:val="FootnoteText"/>
        <w:rPr>
          <w:rFonts w:ascii="Times New Roman" w:hAnsi="Times New Roman" w:cs="Times New Roman"/>
        </w:rPr>
      </w:pPr>
      <w:r w:rsidRPr="00094E63">
        <w:rPr>
          <w:rStyle w:val="FootnoteReference"/>
          <w:rFonts w:ascii="Times New Roman" w:hAnsi="Times New Roman" w:cs="Times New Roman"/>
        </w:rPr>
        <w:footnoteRef/>
      </w:r>
      <w:r w:rsidRPr="00094E63">
        <w:rPr>
          <w:rFonts w:ascii="Times New Roman" w:hAnsi="Times New Roman" w:cs="Times New Roman"/>
        </w:rPr>
        <w:t xml:space="preserve"> A mouza</w:t>
      </w:r>
      <w:r w:rsidR="00094E63" w:rsidRPr="00094E63">
        <w:rPr>
          <w:rFonts w:ascii="Times New Roman" w:hAnsi="Times New Roman" w:cs="Times New Roman"/>
        </w:rPr>
        <w:t xml:space="preserve"> represents an administrative </w:t>
      </w:r>
      <w:r w:rsidR="00CD6337">
        <w:rPr>
          <w:rFonts w:ascii="Times New Roman" w:hAnsi="Times New Roman" w:cs="Times New Roman"/>
        </w:rPr>
        <w:t>unit</w:t>
      </w:r>
      <w:r w:rsidR="00094E63" w:rsidRPr="00094E63">
        <w:rPr>
          <w:rFonts w:ascii="Times New Roman" w:hAnsi="Times New Roman" w:cs="Times New Roman"/>
        </w:rPr>
        <w:t>, corresponding to a specific land area within which there may be one or more settlements.</w:t>
      </w:r>
    </w:p>
  </w:footnote>
  <w:footnote w:id="8">
    <w:p w14:paraId="42CECD01" w14:textId="77777777" w:rsidR="000F4DC6" w:rsidRDefault="000F4DC6" w:rsidP="000F4DC6">
      <w:pPr>
        <w:pStyle w:val="FootnoteText"/>
      </w:pPr>
      <w:r>
        <w:rPr>
          <w:rStyle w:val="FootnoteReference"/>
        </w:rPr>
        <w:footnoteRef/>
      </w:r>
      <w:r>
        <w:t xml:space="preserve"> These are not the only program outcomes that we are interested in. However, these are the most important outcomes and therefore rely on these outcomes for our power analysis.  </w:t>
      </w:r>
    </w:p>
  </w:footnote>
  <w:footnote w:id="9">
    <w:p w14:paraId="129B6859" w14:textId="77777777" w:rsidR="000F4DC6" w:rsidRDefault="000F4DC6" w:rsidP="000F4DC6">
      <w:pPr>
        <w:pStyle w:val="FootnoteText"/>
      </w:pPr>
      <w:r>
        <w:rPr>
          <w:rStyle w:val="FootnoteReference"/>
        </w:rPr>
        <w:footnoteRef/>
      </w:r>
      <w:r>
        <w:t xml:space="preserve"> This is the probability of correctly concluding that an intervention has an effect. It is commonly set at 80 percent in social sciences.</w:t>
      </w:r>
    </w:p>
  </w:footnote>
  <w:footnote w:id="10">
    <w:p w14:paraId="6EFECEA9" w14:textId="77777777" w:rsidR="000F4DC6" w:rsidRDefault="000F4DC6" w:rsidP="000F4DC6">
      <w:pPr>
        <w:pStyle w:val="FootnoteText"/>
      </w:pPr>
      <w:r>
        <w:rPr>
          <w:rStyle w:val="FootnoteReference"/>
        </w:rPr>
        <w:footnoteRef/>
      </w:r>
      <w:r>
        <w:t xml:space="preserve"> This is the probability of a false-positive result: the chance that a result shows that a treatment has an impact when </w:t>
      </w:r>
      <w:proofErr w:type="gramStart"/>
      <w:r>
        <w:t>in reality it</w:t>
      </w:r>
      <w:proofErr w:type="gramEnd"/>
      <w:r>
        <w:t xml:space="preserve"> does not. A broadly accepted threshold in the impact evaluation literature is 5 percent.</w:t>
      </w:r>
    </w:p>
  </w:footnote>
  <w:footnote w:id="11">
    <w:p w14:paraId="54D03EA7" w14:textId="54CA9AE0" w:rsidR="00E00561" w:rsidRDefault="00E00561" w:rsidP="00E00561">
      <w:pPr>
        <w:pStyle w:val="FootnoteText"/>
      </w:pPr>
      <w:r>
        <w:rPr>
          <w:rStyle w:val="FootnoteReference"/>
        </w:rPr>
        <w:footnoteRef/>
      </w:r>
      <w:r>
        <w:t xml:space="preserve"> It is important to account for clustering when performing power calculations. The reason is that we expect the </w:t>
      </w:r>
      <w:proofErr w:type="spellStart"/>
      <w:r>
        <w:t>behaviours</w:t>
      </w:r>
      <w:proofErr w:type="spellEnd"/>
      <w:r>
        <w:t xml:space="preserve"> and hence the outcomes of beneficiaries (and non-beneficiaries) to be significantly correlated when they belong to the same cluster. This phenomenon is measured by the ICC: the higher the ICC, the lower the informational value of an extra observation from the same cluster. In other words, the ICC (that exists because of clustering) depreciates information, and this depreciation must be compensated for by either increasing the sample size, accepting a lower statistical precision, or considering a larger treatment effect size.</w:t>
      </w:r>
    </w:p>
  </w:footnote>
  <w:footnote w:id="12">
    <w:p w14:paraId="4183F439" w14:textId="4CB6194E" w:rsidR="00771646" w:rsidRDefault="00771646">
      <w:pPr>
        <w:pStyle w:val="FootnoteText"/>
      </w:pPr>
      <w:r>
        <w:rPr>
          <w:rStyle w:val="FootnoteReference"/>
        </w:rPr>
        <w:footnoteRef/>
      </w:r>
      <w:r>
        <w:t xml:space="preserve"> See, e.g., Woolridge (2010) for a detailed discussion of </w:t>
      </w:r>
    </w:p>
  </w:footnote>
  <w:footnote w:id="13">
    <w:p w14:paraId="391D4E97" w14:textId="013C7F7D" w:rsidR="00A51EAA" w:rsidRDefault="00A51EAA">
      <w:pPr>
        <w:pStyle w:val="FootnoteText"/>
      </w:pPr>
      <w:r>
        <w:rPr>
          <w:rStyle w:val="FootnoteReference"/>
        </w:rPr>
        <w:footnoteRef/>
      </w:r>
      <w:r>
        <w:t xml:space="preserve"> See, e.g.,</w:t>
      </w:r>
      <w:r w:rsidRPr="00A51EAA">
        <w:t xml:space="preserve"> Woolridge 2010; Cattaneo </w:t>
      </w:r>
      <w:r>
        <w:t>(</w:t>
      </w:r>
      <w:r w:rsidRPr="00A51EAA">
        <w:t>2010</w:t>
      </w:r>
      <w:r>
        <w:t>)</w:t>
      </w:r>
      <w:r w:rsidRPr="00A51EAA">
        <w:t xml:space="preserve">; Cattaneo et al. </w:t>
      </w:r>
      <w:r>
        <w:t>(</w:t>
      </w:r>
      <w:r w:rsidRPr="00A51EAA">
        <w:t>2013</w:t>
      </w:r>
      <w:r>
        <w:t xml:space="preserve">) for a detailed discussion on this methodological approach.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E20FB"/>
    <w:multiLevelType w:val="hybridMultilevel"/>
    <w:tmpl w:val="7B46B13A"/>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31C4722F"/>
    <w:multiLevelType w:val="hybridMultilevel"/>
    <w:tmpl w:val="77D81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8B03EA"/>
    <w:multiLevelType w:val="multilevel"/>
    <w:tmpl w:val="50F64E7A"/>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94223F9"/>
    <w:multiLevelType w:val="hybridMultilevel"/>
    <w:tmpl w:val="2410D7CE"/>
    <w:lvl w:ilvl="0" w:tplc="EE1C29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9E4714"/>
    <w:multiLevelType w:val="hybridMultilevel"/>
    <w:tmpl w:val="0DAE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E1191C"/>
    <w:multiLevelType w:val="multilevel"/>
    <w:tmpl w:val="937EDC66"/>
    <w:lvl w:ilvl="0">
      <w:start w:val="1"/>
      <w:numFmt w:val="decimal"/>
      <w:lvlText w:val="%1."/>
      <w:lvlJc w:val="left"/>
      <w:pPr>
        <w:ind w:left="720" w:hanging="360"/>
      </w:pPr>
      <w:rPr>
        <w:rFonts w:hint="default"/>
      </w:rPr>
    </w:lvl>
    <w:lvl w:ilvl="1">
      <w:start w:val="2"/>
      <w:numFmt w:val="decimal"/>
      <w:isLgl/>
      <w:lvlText w:val="%1.%2"/>
      <w:lvlJc w:val="left"/>
      <w:pPr>
        <w:ind w:left="1109" w:hanging="36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47" w:hanging="720"/>
      </w:pPr>
      <w:rPr>
        <w:rFonts w:hint="default"/>
      </w:rPr>
    </w:lvl>
    <w:lvl w:ilvl="4">
      <w:start w:val="1"/>
      <w:numFmt w:val="decimal"/>
      <w:isLgl/>
      <w:lvlText w:val="%1.%2.%3.%4.%5"/>
      <w:lvlJc w:val="left"/>
      <w:pPr>
        <w:ind w:left="2996" w:hanging="1080"/>
      </w:pPr>
      <w:rPr>
        <w:rFonts w:hint="default"/>
      </w:rPr>
    </w:lvl>
    <w:lvl w:ilvl="5">
      <w:start w:val="1"/>
      <w:numFmt w:val="decimal"/>
      <w:isLgl/>
      <w:lvlText w:val="%1.%2.%3.%4.%5.%6"/>
      <w:lvlJc w:val="left"/>
      <w:pPr>
        <w:ind w:left="3745" w:hanging="144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883" w:hanging="1800"/>
      </w:pPr>
      <w:rPr>
        <w:rFonts w:hint="default"/>
      </w:rPr>
    </w:lvl>
    <w:lvl w:ilvl="8">
      <w:start w:val="1"/>
      <w:numFmt w:val="decimal"/>
      <w:isLgl/>
      <w:lvlText w:val="%1.%2.%3.%4.%5.%6.%7.%8.%9"/>
      <w:lvlJc w:val="left"/>
      <w:pPr>
        <w:ind w:left="5272" w:hanging="1800"/>
      </w:pPr>
      <w:rPr>
        <w:rFonts w:hint="default"/>
      </w:rPr>
    </w:lvl>
  </w:abstractNum>
  <w:abstractNum w:abstractNumId="6" w15:restartNumberingAfterBreak="0">
    <w:nsid w:val="5F64523F"/>
    <w:multiLevelType w:val="hybridMultilevel"/>
    <w:tmpl w:val="5A480A2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28B281B"/>
    <w:multiLevelType w:val="hybridMultilevel"/>
    <w:tmpl w:val="DE90B5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4219A2"/>
    <w:multiLevelType w:val="hybridMultilevel"/>
    <w:tmpl w:val="131C5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BA6E5E"/>
    <w:multiLevelType w:val="multilevel"/>
    <w:tmpl w:val="AE322FA2"/>
    <w:lvl w:ilvl="0">
      <w:start w:val="4"/>
      <w:numFmt w:val="decimal"/>
      <w:lvlText w:val="%1"/>
      <w:lvlJc w:val="left"/>
      <w:pPr>
        <w:ind w:left="360" w:hanging="360"/>
      </w:pPr>
      <w:rPr>
        <w:rFonts w:hint="default"/>
      </w:rPr>
    </w:lvl>
    <w:lvl w:ilvl="1">
      <w:start w:val="2"/>
      <w:numFmt w:val="decimal"/>
      <w:lvlText w:val="%1.%2"/>
      <w:lvlJc w:val="left"/>
      <w:pPr>
        <w:ind w:left="749" w:hanging="360"/>
      </w:pPr>
      <w:rPr>
        <w:rFonts w:hint="default"/>
      </w:rPr>
    </w:lvl>
    <w:lvl w:ilvl="2">
      <w:start w:val="1"/>
      <w:numFmt w:val="decimal"/>
      <w:lvlText w:val="%1.%2.%3"/>
      <w:lvlJc w:val="left"/>
      <w:pPr>
        <w:ind w:left="1498" w:hanging="720"/>
      </w:pPr>
      <w:rPr>
        <w:rFonts w:hint="default"/>
      </w:rPr>
    </w:lvl>
    <w:lvl w:ilvl="3">
      <w:start w:val="1"/>
      <w:numFmt w:val="decimal"/>
      <w:lvlText w:val="%1.%2.%3.%4"/>
      <w:lvlJc w:val="left"/>
      <w:pPr>
        <w:ind w:left="1887" w:hanging="720"/>
      </w:pPr>
      <w:rPr>
        <w:rFonts w:hint="default"/>
      </w:rPr>
    </w:lvl>
    <w:lvl w:ilvl="4">
      <w:start w:val="1"/>
      <w:numFmt w:val="decimal"/>
      <w:lvlText w:val="%1.%2.%3.%4.%5"/>
      <w:lvlJc w:val="left"/>
      <w:pPr>
        <w:ind w:left="2636" w:hanging="1080"/>
      </w:pPr>
      <w:rPr>
        <w:rFonts w:hint="default"/>
      </w:rPr>
    </w:lvl>
    <w:lvl w:ilvl="5">
      <w:start w:val="1"/>
      <w:numFmt w:val="decimal"/>
      <w:lvlText w:val="%1.%2.%3.%4.%5.%6"/>
      <w:lvlJc w:val="left"/>
      <w:pPr>
        <w:ind w:left="3385" w:hanging="1440"/>
      </w:pPr>
      <w:rPr>
        <w:rFonts w:hint="default"/>
      </w:rPr>
    </w:lvl>
    <w:lvl w:ilvl="6">
      <w:start w:val="1"/>
      <w:numFmt w:val="decimal"/>
      <w:lvlText w:val="%1.%2.%3.%4.%5.%6.%7"/>
      <w:lvlJc w:val="left"/>
      <w:pPr>
        <w:ind w:left="3774" w:hanging="1440"/>
      </w:pPr>
      <w:rPr>
        <w:rFonts w:hint="default"/>
      </w:rPr>
    </w:lvl>
    <w:lvl w:ilvl="7">
      <w:start w:val="1"/>
      <w:numFmt w:val="decimal"/>
      <w:lvlText w:val="%1.%2.%3.%4.%5.%6.%7.%8"/>
      <w:lvlJc w:val="left"/>
      <w:pPr>
        <w:ind w:left="4523" w:hanging="1800"/>
      </w:pPr>
      <w:rPr>
        <w:rFonts w:hint="default"/>
      </w:rPr>
    </w:lvl>
    <w:lvl w:ilvl="8">
      <w:start w:val="1"/>
      <w:numFmt w:val="decimal"/>
      <w:lvlText w:val="%1.%2.%3.%4.%5.%6.%7.%8.%9"/>
      <w:lvlJc w:val="left"/>
      <w:pPr>
        <w:ind w:left="4912" w:hanging="1800"/>
      </w:pPr>
      <w:rPr>
        <w:rFonts w:hint="default"/>
      </w:rPr>
    </w:lvl>
  </w:abstractNum>
  <w:abstractNum w:abstractNumId="10" w15:restartNumberingAfterBreak="0">
    <w:nsid w:val="764D3092"/>
    <w:multiLevelType w:val="hybridMultilevel"/>
    <w:tmpl w:val="7662123A"/>
    <w:lvl w:ilvl="0" w:tplc="FC20FF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3622570">
    <w:abstractNumId w:val="3"/>
  </w:num>
  <w:num w:numId="2" w16cid:durableId="430777662">
    <w:abstractNumId w:val="10"/>
  </w:num>
  <w:num w:numId="3" w16cid:durableId="1595479814">
    <w:abstractNumId w:val="8"/>
  </w:num>
  <w:num w:numId="4" w16cid:durableId="1270965381">
    <w:abstractNumId w:val="0"/>
  </w:num>
  <w:num w:numId="5" w16cid:durableId="1683311390">
    <w:abstractNumId w:val="2"/>
  </w:num>
  <w:num w:numId="6" w16cid:durableId="1484152198">
    <w:abstractNumId w:val="7"/>
  </w:num>
  <w:num w:numId="7" w16cid:durableId="1785463790">
    <w:abstractNumId w:val="9"/>
  </w:num>
  <w:num w:numId="8" w16cid:durableId="32384736">
    <w:abstractNumId w:val="5"/>
  </w:num>
  <w:num w:numId="9" w16cid:durableId="35006637">
    <w:abstractNumId w:val="1"/>
  </w:num>
  <w:num w:numId="10" w16cid:durableId="521936322">
    <w:abstractNumId w:val="4"/>
  </w:num>
  <w:num w:numId="11" w16cid:durableId="1688378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EF"/>
    <w:rsid w:val="00013B49"/>
    <w:rsid w:val="00014657"/>
    <w:rsid w:val="00014C67"/>
    <w:rsid w:val="00017098"/>
    <w:rsid w:val="00017BE8"/>
    <w:rsid w:val="000230AA"/>
    <w:rsid w:val="00023B7F"/>
    <w:rsid w:val="0002590C"/>
    <w:rsid w:val="0003778B"/>
    <w:rsid w:val="00041CA5"/>
    <w:rsid w:val="00045751"/>
    <w:rsid w:val="000502B1"/>
    <w:rsid w:val="00056FFB"/>
    <w:rsid w:val="000600F5"/>
    <w:rsid w:val="00061AB6"/>
    <w:rsid w:val="00062743"/>
    <w:rsid w:val="00062E24"/>
    <w:rsid w:val="0008460A"/>
    <w:rsid w:val="00093ABD"/>
    <w:rsid w:val="00094C2B"/>
    <w:rsid w:val="00094E63"/>
    <w:rsid w:val="000A6809"/>
    <w:rsid w:val="000A7130"/>
    <w:rsid w:val="000B08A8"/>
    <w:rsid w:val="000B511F"/>
    <w:rsid w:val="000B6478"/>
    <w:rsid w:val="000D50D5"/>
    <w:rsid w:val="000E0121"/>
    <w:rsid w:val="000F24EE"/>
    <w:rsid w:val="000F4DC6"/>
    <w:rsid w:val="00100CB5"/>
    <w:rsid w:val="00103668"/>
    <w:rsid w:val="00104000"/>
    <w:rsid w:val="00104CB6"/>
    <w:rsid w:val="00106BCA"/>
    <w:rsid w:val="0011190E"/>
    <w:rsid w:val="00111DE4"/>
    <w:rsid w:val="0012473F"/>
    <w:rsid w:val="00125F57"/>
    <w:rsid w:val="0012747B"/>
    <w:rsid w:val="00132FF8"/>
    <w:rsid w:val="00140EE6"/>
    <w:rsid w:val="001424F4"/>
    <w:rsid w:val="001435FF"/>
    <w:rsid w:val="0014640A"/>
    <w:rsid w:val="00147313"/>
    <w:rsid w:val="0014752A"/>
    <w:rsid w:val="001553A1"/>
    <w:rsid w:val="00156BA3"/>
    <w:rsid w:val="0016063F"/>
    <w:rsid w:val="0019315E"/>
    <w:rsid w:val="001943EE"/>
    <w:rsid w:val="00195CE6"/>
    <w:rsid w:val="0019680C"/>
    <w:rsid w:val="001A4C10"/>
    <w:rsid w:val="001A625E"/>
    <w:rsid w:val="001A6C73"/>
    <w:rsid w:val="001A7C0C"/>
    <w:rsid w:val="001B174B"/>
    <w:rsid w:val="001B1AA2"/>
    <w:rsid w:val="001B3E07"/>
    <w:rsid w:val="001B631D"/>
    <w:rsid w:val="001B6506"/>
    <w:rsid w:val="001C3DCD"/>
    <w:rsid w:val="001D4F39"/>
    <w:rsid w:val="001E44A8"/>
    <w:rsid w:val="001F0174"/>
    <w:rsid w:val="001F2AAC"/>
    <w:rsid w:val="00203AA3"/>
    <w:rsid w:val="0020485B"/>
    <w:rsid w:val="00206CB4"/>
    <w:rsid w:val="0021759A"/>
    <w:rsid w:val="00234EE2"/>
    <w:rsid w:val="00235312"/>
    <w:rsid w:val="0023761F"/>
    <w:rsid w:val="00240FAB"/>
    <w:rsid w:val="00244F12"/>
    <w:rsid w:val="002469AF"/>
    <w:rsid w:val="00250C27"/>
    <w:rsid w:val="00252912"/>
    <w:rsid w:val="00253CA0"/>
    <w:rsid w:val="00267AF2"/>
    <w:rsid w:val="00274F78"/>
    <w:rsid w:val="00275A32"/>
    <w:rsid w:val="00280DCA"/>
    <w:rsid w:val="00284527"/>
    <w:rsid w:val="0028624B"/>
    <w:rsid w:val="002B4F4B"/>
    <w:rsid w:val="002C1F7D"/>
    <w:rsid w:val="002C60AA"/>
    <w:rsid w:val="002D159D"/>
    <w:rsid w:val="002E0D8D"/>
    <w:rsid w:val="002E5FF2"/>
    <w:rsid w:val="002E6626"/>
    <w:rsid w:val="002F0CC7"/>
    <w:rsid w:val="002F4BAF"/>
    <w:rsid w:val="002F54B3"/>
    <w:rsid w:val="002F574E"/>
    <w:rsid w:val="00300EB2"/>
    <w:rsid w:val="00302E6B"/>
    <w:rsid w:val="00303B44"/>
    <w:rsid w:val="00303EB9"/>
    <w:rsid w:val="003078FF"/>
    <w:rsid w:val="00316647"/>
    <w:rsid w:val="00316EB9"/>
    <w:rsid w:val="003216A7"/>
    <w:rsid w:val="00325C0E"/>
    <w:rsid w:val="00325D29"/>
    <w:rsid w:val="00326EA3"/>
    <w:rsid w:val="003315BF"/>
    <w:rsid w:val="003327E5"/>
    <w:rsid w:val="00335A05"/>
    <w:rsid w:val="00352499"/>
    <w:rsid w:val="003602C1"/>
    <w:rsid w:val="00361810"/>
    <w:rsid w:val="003650AB"/>
    <w:rsid w:val="00366D43"/>
    <w:rsid w:val="003725FA"/>
    <w:rsid w:val="00373330"/>
    <w:rsid w:val="00373ED0"/>
    <w:rsid w:val="00375383"/>
    <w:rsid w:val="00382C10"/>
    <w:rsid w:val="00393165"/>
    <w:rsid w:val="00393385"/>
    <w:rsid w:val="003A0EBC"/>
    <w:rsid w:val="003A1925"/>
    <w:rsid w:val="003B0BB6"/>
    <w:rsid w:val="003B1C94"/>
    <w:rsid w:val="003B57FB"/>
    <w:rsid w:val="003D6606"/>
    <w:rsid w:val="003E2293"/>
    <w:rsid w:val="003F6EF2"/>
    <w:rsid w:val="004006A9"/>
    <w:rsid w:val="0040331C"/>
    <w:rsid w:val="004124B4"/>
    <w:rsid w:val="00421AA5"/>
    <w:rsid w:val="00422B25"/>
    <w:rsid w:val="004238CA"/>
    <w:rsid w:val="00433732"/>
    <w:rsid w:val="00444C91"/>
    <w:rsid w:val="004455F5"/>
    <w:rsid w:val="00452DEB"/>
    <w:rsid w:val="00456FF5"/>
    <w:rsid w:val="004601D5"/>
    <w:rsid w:val="00470E3B"/>
    <w:rsid w:val="004733D8"/>
    <w:rsid w:val="00480C0A"/>
    <w:rsid w:val="00482646"/>
    <w:rsid w:val="004930B0"/>
    <w:rsid w:val="004A10E3"/>
    <w:rsid w:val="004A1404"/>
    <w:rsid w:val="004A191D"/>
    <w:rsid w:val="004A3CD2"/>
    <w:rsid w:val="004C5C79"/>
    <w:rsid w:val="004C69A6"/>
    <w:rsid w:val="004C6CD9"/>
    <w:rsid w:val="004D26BD"/>
    <w:rsid w:val="004D55F9"/>
    <w:rsid w:val="004D568B"/>
    <w:rsid w:val="004D5D13"/>
    <w:rsid w:val="004E068A"/>
    <w:rsid w:val="004E0FD4"/>
    <w:rsid w:val="004E1D7C"/>
    <w:rsid w:val="004E24C5"/>
    <w:rsid w:val="004E27F3"/>
    <w:rsid w:val="00503B10"/>
    <w:rsid w:val="005048F0"/>
    <w:rsid w:val="00506243"/>
    <w:rsid w:val="005105CE"/>
    <w:rsid w:val="0051230A"/>
    <w:rsid w:val="005173B1"/>
    <w:rsid w:val="005177C9"/>
    <w:rsid w:val="00524DC8"/>
    <w:rsid w:val="00540F10"/>
    <w:rsid w:val="005427CD"/>
    <w:rsid w:val="00542D76"/>
    <w:rsid w:val="0055494C"/>
    <w:rsid w:val="005559D7"/>
    <w:rsid w:val="00557003"/>
    <w:rsid w:val="005606FA"/>
    <w:rsid w:val="00561438"/>
    <w:rsid w:val="005639C9"/>
    <w:rsid w:val="00566B60"/>
    <w:rsid w:val="005713CF"/>
    <w:rsid w:val="005743ED"/>
    <w:rsid w:val="00574CD4"/>
    <w:rsid w:val="005825D6"/>
    <w:rsid w:val="005A1028"/>
    <w:rsid w:val="005A1E25"/>
    <w:rsid w:val="005A35EC"/>
    <w:rsid w:val="005B344C"/>
    <w:rsid w:val="005B483A"/>
    <w:rsid w:val="005B6A32"/>
    <w:rsid w:val="005B782D"/>
    <w:rsid w:val="005C2E51"/>
    <w:rsid w:val="005C35B2"/>
    <w:rsid w:val="005C6B85"/>
    <w:rsid w:val="005D3641"/>
    <w:rsid w:val="005D3A21"/>
    <w:rsid w:val="005E4E80"/>
    <w:rsid w:val="005F09E2"/>
    <w:rsid w:val="005F6770"/>
    <w:rsid w:val="005F71AB"/>
    <w:rsid w:val="00607484"/>
    <w:rsid w:val="00614298"/>
    <w:rsid w:val="00615424"/>
    <w:rsid w:val="00615E5C"/>
    <w:rsid w:val="00616490"/>
    <w:rsid w:val="00617710"/>
    <w:rsid w:val="00617E97"/>
    <w:rsid w:val="00620706"/>
    <w:rsid w:val="00626519"/>
    <w:rsid w:val="00627B2F"/>
    <w:rsid w:val="00631C21"/>
    <w:rsid w:val="00632497"/>
    <w:rsid w:val="00635062"/>
    <w:rsid w:val="0064007D"/>
    <w:rsid w:val="00656C53"/>
    <w:rsid w:val="006618A3"/>
    <w:rsid w:val="00666F10"/>
    <w:rsid w:val="0067338F"/>
    <w:rsid w:val="006767E5"/>
    <w:rsid w:val="00680A16"/>
    <w:rsid w:val="006859DE"/>
    <w:rsid w:val="006878AC"/>
    <w:rsid w:val="006930BF"/>
    <w:rsid w:val="006933E5"/>
    <w:rsid w:val="006A25C5"/>
    <w:rsid w:val="006A5156"/>
    <w:rsid w:val="006A7566"/>
    <w:rsid w:val="006B58DD"/>
    <w:rsid w:val="006C1665"/>
    <w:rsid w:val="006C6286"/>
    <w:rsid w:val="006C7DD6"/>
    <w:rsid w:val="006D1690"/>
    <w:rsid w:val="006E1E01"/>
    <w:rsid w:val="006E7850"/>
    <w:rsid w:val="006F2670"/>
    <w:rsid w:val="0070651F"/>
    <w:rsid w:val="007133ED"/>
    <w:rsid w:val="00715C0D"/>
    <w:rsid w:val="0072241B"/>
    <w:rsid w:val="00723072"/>
    <w:rsid w:val="007373CD"/>
    <w:rsid w:val="00740B1E"/>
    <w:rsid w:val="00744821"/>
    <w:rsid w:val="007476C0"/>
    <w:rsid w:val="00754AA9"/>
    <w:rsid w:val="00754F2B"/>
    <w:rsid w:val="00760934"/>
    <w:rsid w:val="00764C16"/>
    <w:rsid w:val="0076656D"/>
    <w:rsid w:val="0076741E"/>
    <w:rsid w:val="00771646"/>
    <w:rsid w:val="00772336"/>
    <w:rsid w:val="00774F0D"/>
    <w:rsid w:val="007777E1"/>
    <w:rsid w:val="00780888"/>
    <w:rsid w:val="00782862"/>
    <w:rsid w:val="007832D4"/>
    <w:rsid w:val="00786A46"/>
    <w:rsid w:val="00786E3E"/>
    <w:rsid w:val="007877CA"/>
    <w:rsid w:val="00791CFF"/>
    <w:rsid w:val="0079360D"/>
    <w:rsid w:val="00797014"/>
    <w:rsid w:val="007A1876"/>
    <w:rsid w:val="007A67D5"/>
    <w:rsid w:val="007A6A44"/>
    <w:rsid w:val="007C4ED2"/>
    <w:rsid w:val="007D0B7D"/>
    <w:rsid w:val="007D25FF"/>
    <w:rsid w:val="007E099B"/>
    <w:rsid w:val="007E3D14"/>
    <w:rsid w:val="007E6FDF"/>
    <w:rsid w:val="007F6C69"/>
    <w:rsid w:val="00802E19"/>
    <w:rsid w:val="00802F1D"/>
    <w:rsid w:val="00806D66"/>
    <w:rsid w:val="00806F3C"/>
    <w:rsid w:val="0081575B"/>
    <w:rsid w:val="008238DF"/>
    <w:rsid w:val="00827F53"/>
    <w:rsid w:val="00843869"/>
    <w:rsid w:val="00857219"/>
    <w:rsid w:val="00866C0C"/>
    <w:rsid w:val="008703E5"/>
    <w:rsid w:val="00871942"/>
    <w:rsid w:val="0087321C"/>
    <w:rsid w:val="008747FB"/>
    <w:rsid w:val="0088036B"/>
    <w:rsid w:val="00885A14"/>
    <w:rsid w:val="00887360"/>
    <w:rsid w:val="00890E80"/>
    <w:rsid w:val="0089355D"/>
    <w:rsid w:val="008945AB"/>
    <w:rsid w:val="008972B8"/>
    <w:rsid w:val="008A425C"/>
    <w:rsid w:val="008B3448"/>
    <w:rsid w:val="008B37AB"/>
    <w:rsid w:val="008C10E0"/>
    <w:rsid w:val="008C2927"/>
    <w:rsid w:val="008C3B7B"/>
    <w:rsid w:val="008C441A"/>
    <w:rsid w:val="008D3D7B"/>
    <w:rsid w:val="008D5A62"/>
    <w:rsid w:val="008D5F99"/>
    <w:rsid w:val="008E7925"/>
    <w:rsid w:val="008F290D"/>
    <w:rsid w:val="008F4E3F"/>
    <w:rsid w:val="00911E1F"/>
    <w:rsid w:val="00915AB9"/>
    <w:rsid w:val="00920286"/>
    <w:rsid w:val="0092571B"/>
    <w:rsid w:val="00926DBA"/>
    <w:rsid w:val="00930952"/>
    <w:rsid w:val="00930E10"/>
    <w:rsid w:val="009344FD"/>
    <w:rsid w:val="0095606F"/>
    <w:rsid w:val="00956885"/>
    <w:rsid w:val="009623AB"/>
    <w:rsid w:val="00965558"/>
    <w:rsid w:val="009723F5"/>
    <w:rsid w:val="00974E4B"/>
    <w:rsid w:val="0098176C"/>
    <w:rsid w:val="00986E59"/>
    <w:rsid w:val="009875CC"/>
    <w:rsid w:val="00992C23"/>
    <w:rsid w:val="009A3BF4"/>
    <w:rsid w:val="009A7A6D"/>
    <w:rsid w:val="009B26F8"/>
    <w:rsid w:val="009B2802"/>
    <w:rsid w:val="009B2D4E"/>
    <w:rsid w:val="009B57FF"/>
    <w:rsid w:val="009B5C32"/>
    <w:rsid w:val="009C15F4"/>
    <w:rsid w:val="009D194F"/>
    <w:rsid w:val="009D30B6"/>
    <w:rsid w:val="009D55B7"/>
    <w:rsid w:val="009D5E32"/>
    <w:rsid w:val="009E07DE"/>
    <w:rsid w:val="009E1978"/>
    <w:rsid w:val="009E5DAC"/>
    <w:rsid w:val="00A006A4"/>
    <w:rsid w:val="00A012CD"/>
    <w:rsid w:val="00A01F11"/>
    <w:rsid w:val="00A043A7"/>
    <w:rsid w:val="00A07961"/>
    <w:rsid w:val="00A07FF2"/>
    <w:rsid w:val="00A21112"/>
    <w:rsid w:val="00A2144D"/>
    <w:rsid w:val="00A27F8B"/>
    <w:rsid w:val="00A30C99"/>
    <w:rsid w:val="00A335FC"/>
    <w:rsid w:val="00A35F55"/>
    <w:rsid w:val="00A365D2"/>
    <w:rsid w:val="00A372D5"/>
    <w:rsid w:val="00A4049A"/>
    <w:rsid w:val="00A44C79"/>
    <w:rsid w:val="00A51EAA"/>
    <w:rsid w:val="00A553D1"/>
    <w:rsid w:val="00A55E7F"/>
    <w:rsid w:val="00A56539"/>
    <w:rsid w:val="00A64996"/>
    <w:rsid w:val="00A658B4"/>
    <w:rsid w:val="00A7109D"/>
    <w:rsid w:val="00A76D98"/>
    <w:rsid w:val="00A814EB"/>
    <w:rsid w:val="00A84882"/>
    <w:rsid w:val="00A864A0"/>
    <w:rsid w:val="00A864AF"/>
    <w:rsid w:val="00AA7D05"/>
    <w:rsid w:val="00AB0411"/>
    <w:rsid w:val="00AC33C1"/>
    <w:rsid w:val="00AC6805"/>
    <w:rsid w:val="00AC69F8"/>
    <w:rsid w:val="00AE0E33"/>
    <w:rsid w:val="00AE2372"/>
    <w:rsid w:val="00AE491E"/>
    <w:rsid w:val="00AF097D"/>
    <w:rsid w:val="00AF1D3D"/>
    <w:rsid w:val="00AF3374"/>
    <w:rsid w:val="00AF3FEB"/>
    <w:rsid w:val="00AF58A1"/>
    <w:rsid w:val="00AF7FFA"/>
    <w:rsid w:val="00B00B37"/>
    <w:rsid w:val="00B1279A"/>
    <w:rsid w:val="00B128E4"/>
    <w:rsid w:val="00B12BEC"/>
    <w:rsid w:val="00B12DE2"/>
    <w:rsid w:val="00B145FC"/>
    <w:rsid w:val="00B1552E"/>
    <w:rsid w:val="00B30681"/>
    <w:rsid w:val="00B4035D"/>
    <w:rsid w:val="00B41469"/>
    <w:rsid w:val="00B43A8C"/>
    <w:rsid w:val="00B47BE9"/>
    <w:rsid w:val="00B47DBF"/>
    <w:rsid w:val="00B557DF"/>
    <w:rsid w:val="00B57604"/>
    <w:rsid w:val="00B77ACB"/>
    <w:rsid w:val="00B93660"/>
    <w:rsid w:val="00B961CE"/>
    <w:rsid w:val="00BA0D66"/>
    <w:rsid w:val="00BA24E4"/>
    <w:rsid w:val="00BA73AF"/>
    <w:rsid w:val="00BB16F8"/>
    <w:rsid w:val="00BC01E3"/>
    <w:rsid w:val="00BC1724"/>
    <w:rsid w:val="00BC189E"/>
    <w:rsid w:val="00BC5EF9"/>
    <w:rsid w:val="00BD1DDA"/>
    <w:rsid w:val="00BD386D"/>
    <w:rsid w:val="00BE3D6B"/>
    <w:rsid w:val="00BE429A"/>
    <w:rsid w:val="00BE7FA4"/>
    <w:rsid w:val="00BF2312"/>
    <w:rsid w:val="00C01777"/>
    <w:rsid w:val="00C01EE8"/>
    <w:rsid w:val="00C04FC3"/>
    <w:rsid w:val="00C11097"/>
    <w:rsid w:val="00C11289"/>
    <w:rsid w:val="00C11F0E"/>
    <w:rsid w:val="00C309A5"/>
    <w:rsid w:val="00C34025"/>
    <w:rsid w:val="00C34334"/>
    <w:rsid w:val="00C374BC"/>
    <w:rsid w:val="00C5278F"/>
    <w:rsid w:val="00C57EDC"/>
    <w:rsid w:val="00C768EC"/>
    <w:rsid w:val="00C844DA"/>
    <w:rsid w:val="00C93F07"/>
    <w:rsid w:val="00CB02B9"/>
    <w:rsid w:val="00CB407B"/>
    <w:rsid w:val="00CB4111"/>
    <w:rsid w:val="00CC2668"/>
    <w:rsid w:val="00CD03AF"/>
    <w:rsid w:val="00CD457A"/>
    <w:rsid w:val="00CD6337"/>
    <w:rsid w:val="00CE303D"/>
    <w:rsid w:val="00CE41EF"/>
    <w:rsid w:val="00CF0C15"/>
    <w:rsid w:val="00CF290C"/>
    <w:rsid w:val="00CF36F8"/>
    <w:rsid w:val="00CF4097"/>
    <w:rsid w:val="00CF433D"/>
    <w:rsid w:val="00CF4CBA"/>
    <w:rsid w:val="00D040F7"/>
    <w:rsid w:val="00D072A3"/>
    <w:rsid w:val="00D10945"/>
    <w:rsid w:val="00D16E3E"/>
    <w:rsid w:val="00D260C5"/>
    <w:rsid w:val="00D2620A"/>
    <w:rsid w:val="00D27B21"/>
    <w:rsid w:val="00D344BA"/>
    <w:rsid w:val="00D34D03"/>
    <w:rsid w:val="00D44433"/>
    <w:rsid w:val="00D52A67"/>
    <w:rsid w:val="00D57F6F"/>
    <w:rsid w:val="00D72AA2"/>
    <w:rsid w:val="00D94407"/>
    <w:rsid w:val="00DB51FF"/>
    <w:rsid w:val="00DB5401"/>
    <w:rsid w:val="00DC2887"/>
    <w:rsid w:val="00DD4A68"/>
    <w:rsid w:val="00DD734A"/>
    <w:rsid w:val="00DE09F2"/>
    <w:rsid w:val="00DE2D53"/>
    <w:rsid w:val="00DE4256"/>
    <w:rsid w:val="00DF0872"/>
    <w:rsid w:val="00DF1192"/>
    <w:rsid w:val="00DF240C"/>
    <w:rsid w:val="00DF7339"/>
    <w:rsid w:val="00E003FF"/>
    <w:rsid w:val="00E00561"/>
    <w:rsid w:val="00E067A2"/>
    <w:rsid w:val="00E10AC9"/>
    <w:rsid w:val="00E20B5D"/>
    <w:rsid w:val="00E2208E"/>
    <w:rsid w:val="00E2650D"/>
    <w:rsid w:val="00E27E57"/>
    <w:rsid w:val="00E33244"/>
    <w:rsid w:val="00E5324B"/>
    <w:rsid w:val="00E54E32"/>
    <w:rsid w:val="00E55984"/>
    <w:rsid w:val="00E561DB"/>
    <w:rsid w:val="00E638A1"/>
    <w:rsid w:val="00E673DA"/>
    <w:rsid w:val="00E67EF8"/>
    <w:rsid w:val="00E71BA9"/>
    <w:rsid w:val="00E71F95"/>
    <w:rsid w:val="00E8293E"/>
    <w:rsid w:val="00E84D5A"/>
    <w:rsid w:val="00E92D82"/>
    <w:rsid w:val="00E973DD"/>
    <w:rsid w:val="00EA43B8"/>
    <w:rsid w:val="00EA7F1A"/>
    <w:rsid w:val="00EB7541"/>
    <w:rsid w:val="00EC5A38"/>
    <w:rsid w:val="00EC5EEB"/>
    <w:rsid w:val="00ED1021"/>
    <w:rsid w:val="00ED7563"/>
    <w:rsid w:val="00EE3790"/>
    <w:rsid w:val="00EE637A"/>
    <w:rsid w:val="00EE7106"/>
    <w:rsid w:val="00EF1497"/>
    <w:rsid w:val="00EF16B1"/>
    <w:rsid w:val="00EF2A7C"/>
    <w:rsid w:val="00F0080E"/>
    <w:rsid w:val="00F0230B"/>
    <w:rsid w:val="00F10C2E"/>
    <w:rsid w:val="00F11B96"/>
    <w:rsid w:val="00F1264F"/>
    <w:rsid w:val="00F13B90"/>
    <w:rsid w:val="00F16D0C"/>
    <w:rsid w:val="00F33A02"/>
    <w:rsid w:val="00F350B1"/>
    <w:rsid w:val="00F3654B"/>
    <w:rsid w:val="00F46736"/>
    <w:rsid w:val="00F518A5"/>
    <w:rsid w:val="00F55D3C"/>
    <w:rsid w:val="00F62EE7"/>
    <w:rsid w:val="00F6711A"/>
    <w:rsid w:val="00F736D3"/>
    <w:rsid w:val="00F7508D"/>
    <w:rsid w:val="00F76F9D"/>
    <w:rsid w:val="00F77873"/>
    <w:rsid w:val="00F81206"/>
    <w:rsid w:val="00F86C42"/>
    <w:rsid w:val="00F87655"/>
    <w:rsid w:val="00F94616"/>
    <w:rsid w:val="00FB35F9"/>
    <w:rsid w:val="00FB4161"/>
    <w:rsid w:val="00FB60EB"/>
    <w:rsid w:val="00FB78A4"/>
    <w:rsid w:val="00FC5109"/>
    <w:rsid w:val="00FD4936"/>
    <w:rsid w:val="00FE0C0C"/>
    <w:rsid w:val="00FE0F62"/>
    <w:rsid w:val="00FE1E13"/>
    <w:rsid w:val="00FE246B"/>
    <w:rsid w:val="00FE2F0F"/>
    <w:rsid w:val="00FF3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37508"/>
  <w15:chartTrackingRefBased/>
  <w15:docId w15:val="{91CEB134-B5B5-4ACF-B061-3D316FFC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7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337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CE41E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A73AF"/>
    <w:rPr>
      <w:color w:val="808080"/>
    </w:rPr>
  </w:style>
  <w:style w:type="paragraph" w:styleId="ListParagraph">
    <w:name w:val="List Paragraph"/>
    <w:basedOn w:val="Normal"/>
    <w:uiPriority w:val="34"/>
    <w:qFormat/>
    <w:rsid w:val="00A864AF"/>
    <w:pPr>
      <w:ind w:left="720"/>
      <w:contextualSpacing/>
    </w:pPr>
    <w:rPr>
      <w:kern w:val="0"/>
      <w14:ligatures w14:val="none"/>
    </w:rPr>
  </w:style>
  <w:style w:type="paragraph" w:styleId="FootnoteText">
    <w:name w:val="footnote text"/>
    <w:basedOn w:val="Normal"/>
    <w:link w:val="FootnoteTextChar"/>
    <w:uiPriority w:val="99"/>
    <w:semiHidden/>
    <w:unhideWhenUsed/>
    <w:rsid w:val="00A864AF"/>
    <w:pPr>
      <w:spacing w:after="0" w:line="240" w:lineRule="auto"/>
    </w:pPr>
    <w:rPr>
      <w:kern w:val="0"/>
      <w:sz w:val="20"/>
      <w:szCs w:val="20"/>
      <w14:ligatures w14:val="none"/>
    </w:rPr>
  </w:style>
  <w:style w:type="character" w:customStyle="1" w:styleId="FootnoteTextChar">
    <w:name w:val="Footnote Text Char"/>
    <w:basedOn w:val="DefaultParagraphFont"/>
    <w:link w:val="FootnoteText"/>
    <w:uiPriority w:val="99"/>
    <w:semiHidden/>
    <w:rsid w:val="00A864AF"/>
    <w:rPr>
      <w:kern w:val="0"/>
      <w:sz w:val="20"/>
      <w:szCs w:val="20"/>
      <w14:ligatures w14:val="none"/>
    </w:rPr>
  </w:style>
  <w:style w:type="character" w:styleId="FootnoteReference">
    <w:name w:val="footnote reference"/>
    <w:basedOn w:val="DefaultParagraphFont"/>
    <w:uiPriority w:val="99"/>
    <w:semiHidden/>
    <w:unhideWhenUsed/>
    <w:rsid w:val="00A864AF"/>
    <w:rPr>
      <w:vertAlign w:val="superscript"/>
    </w:rPr>
  </w:style>
  <w:style w:type="character" w:customStyle="1" w:styleId="Heading1Char">
    <w:name w:val="Heading 1 Char"/>
    <w:basedOn w:val="DefaultParagraphFont"/>
    <w:link w:val="Heading1"/>
    <w:uiPriority w:val="9"/>
    <w:rsid w:val="004337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33732"/>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444C9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4C9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878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8AC"/>
  </w:style>
  <w:style w:type="paragraph" w:styleId="Footer">
    <w:name w:val="footer"/>
    <w:basedOn w:val="Normal"/>
    <w:link w:val="FooterChar"/>
    <w:uiPriority w:val="99"/>
    <w:unhideWhenUsed/>
    <w:rsid w:val="006878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8AC"/>
  </w:style>
  <w:style w:type="character" w:styleId="Hyperlink">
    <w:name w:val="Hyperlink"/>
    <w:basedOn w:val="DefaultParagraphFont"/>
    <w:uiPriority w:val="99"/>
    <w:unhideWhenUsed/>
    <w:rsid w:val="00A44C79"/>
    <w:rPr>
      <w:color w:val="0563C1" w:themeColor="hyperlink"/>
      <w:u w:val="single"/>
    </w:rPr>
  </w:style>
  <w:style w:type="character" w:styleId="UnresolvedMention">
    <w:name w:val="Unresolved Mention"/>
    <w:basedOn w:val="DefaultParagraphFont"/>
    <w:uiPriority w:val="99"/>
    <w:semiHidden/>
    <w:unhideWhenUsed/>
    <w:rsid w:val="00A44C79"/>
    <w:rPr>
      <w:color w:val="605E5C"/>
      <w:shd w:val="clear" w:color="auto" w:fill="E1DFDD"/>
    </w:rPr>
  </w:style>
  <w:style w:type="paragraph" w:styleId="Revision">
    <w:name w:val="Revision"/>
    <w:hidden/>
    <w:uiPriority w:val="99"/>
    <w:semiHidden/>
    <w:rsid w:val="00E71BA9"/>
    <w:pPr>
      <w:spacing w:after="0" w:line="240" w:lineRule="auto"/>
    </w:pPr>
  </w:style>
  <w:style w:type="character" w:styleId="CommentReference">
    <w:name w:val="annotation reference"/>
    <w:basedOn w:val="DefaultParagraphFont"/>
    <w:uiPriority w:val="99"/>
    <w:semiHidden/>
    <w:unhideWhenUsed/>
    <w:rsid w:val="00ED7563"/>
    <w:rPr>
      <w:sz w:val="16"/>
      <w:szCs w:val="16"/>
    </w:rPr>
  </w:style>
  <w:style w:type="paragraph" w:styleId="CommentText">
    <w:name w:val="annotation text"/>
    <w:basedOn w:val="Normal"/>
    <w:link w:val="CommentTextChar"/>
    <w:uiPriority w:val="99"/>
    <w:unhideWhenUsed/>
    <w:rsid w:val="00ED7563"/>
    <w:pPr>
      <w:spacing w:line="240" w:lineRule="auto"/>
    </w:pPr>
    <w:rPr>
      <w:sz w:val="20"/>
      <w:szCs w:val="20"/>
    </w:rPr>
  </w:style>
  <w:style w:type="character" w:customStyle="1" w:styleId="CommentTextChar">
    <w:name w:val="Comment Text Char"/>
    <w:basedOn w:val="DefaultParagraphFont"/>
    <w:link w:val="CommentText"/>
    <w:uiPriority w:val="99"/>
    <w:rsid w:val="00ED7563"/>
    <w:rPr>
      <w:sz w:val="20"/>
      <w:szCs w:val="20"/>
    </w:rPr>
  </w:style>
  <w:style w:type="paragraph" w:styleId="CommentSubject">
    <w:name w:val="annotation subject"/>
    <w:basedOn w:val="CommentText"/>
    <w:next w:val="CommentText"/>
    <w:link w:val="CommentSubjectChar"/>
    <w:uiPriority w:val="99"/>
    <w:semiHidden/>
    <w:unhideWhenUsed/>
    <w:rsid w:val="00ED7563"/>
    <w:rPr>
      <w:b/>
      <w:bCs/>
    </w:rPr>
  </w:style>
  <w:style w:type="character" w:customStyle="1" w:styleId="CommentSubjectChar">
    <w:name w:val="Comment Subject Char"/>
    <w:basedOn w:val="CommentTextChar"/>
    <w:link w:val="CommentSubject"/>
    <w:uiPriority w:val="99"/>
    <w:semiHidden/>
    <w:rsid w:val="00ED75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7910/DVN/NXKLZ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8BDBB-832A-43F4-971E-4248E238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3516</Words>
  <Characters>20043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Haseeb</dc:creator>
  <cp:keywords/>
  <dc:description/>
  <cp:lastModifiedBy>Ahmed, Haseeb</cp:lastModifiedBy>
  <cp:revision>21</cp:revision>
  <dcterms:created xsi:type="dcterms:W3CDTF">2023-12-27T15:05:00Z</dcterms:created>
  <dcterms:modified xsi:type="dcterms:W3CDTF">2024-01-08T15:23:00Z</dcterms:modified>
</cp:coreProperties>
</file>