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23F97" w:rsidRDefault="00123F97" w:rsidP="00123F97">
      <w:pPr>
        <w:pStyle w:val="CoverTextRed16pt"/>
        <w:rPr>
          <w:noProof/>
        </w:rPr>
      </w:pPr>
      <w:r>
        <w:rPr>
          <w:noProof/>
        </w:rPr>
        <w:drawing>
          <wp:anchor distT="0" distB="0" distL="114300" distR="114300" simplePos="0" relativeHeight="251659264" behindDoc="0" locked="1" layoutInCell="1" allowOverlap="1" wp14:anchorId="2BEBC821" wp14:editId="0F696572">
            <wp:simplePos x="0" y="0"/>
            <wp:positionH relativeFrom="column">
              <wp:posOffset>200660</wp:posOffset>
            </wp:positionH>
            <wp:positionV relativeFrom="paragraph">
              <wp:posOffset>-366395</wp:posOffset>
            </wp:positionV>
            <wp:extent cx="1197864" cy="1197864"/>
            <wp:effectExtent l="0" t="0" r="2540" b="2540"/>
            <wp:wrapNone/>
            <wp:docPr id="11" name="Picture 11" descr="abt_assoc_logo_pms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bt_assoc_logo_pms_cmyk"/>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7864" cy="1197864"/>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t>AgResults Kenya On-Farm Storage Pilot Evaluation Analysis Plan</w:t>
      </w:r>
    </w:p>
    <w:p w:rsidR="00123F97" w:rsidRDefault="00123F97" w:rsidP="00123F97">
      <w:pPr>
        <w:pStyle w:val="CoverText-Address"/>
        <w:rPr>
          <w:noProof/>
        </w:rPr>
      </w:pPr>
    </w:p>
    <w:p w:rsidR="00123F97" w:rsidRDefault="00123F97" w:rsidP="00123F97">
      <w:pPr>
        <w:pStyle w:val="CoverText-Address"/>
        <w:rPr>
          <w:noProof/>
        </w:rPr>
      </w:pPr>
    </w:p>
    <w:p w:rsidR="00123F97" w:rsidRDefault="00123F97" w:rsidP="00123F97">
      <w:pPr>
        <w:pStyle w:val="CoverText-Address"/>
        <w:rPr>
          <w:noProof/>
        </w:rPr>
      </w:pPr>
    </w:p>
    <w:p w:rsidR="00123F97" w:rsidRDefault="00123F97" w:rsidP="00123F97">
      <w:pPr>
        <w:pStyle w:val="CoverText-Address"/>
      </w:pPr>
    </w:p>
    <w:p w:rsidR="00123F97" w:rsidRDefault="00123F97" w:rsidP="00123F97">
      <w:pPr>
        <w:pStyle w:val="CoverText-Address"/>
      </w:pPr>
    </w:p>
    <w:p w:rsidR="00123F97" w:rsidRDefault="00123F97" w:rsidP="00123F97">
      <w:pPr>
        <w:pStyle w:val="CoverText-Address"/>
      </w:pPr>
    </w:p>
    <w:p w:rsidR="00123F97" w:rsidRPr="001E2CF1" w:rsidRDefault="00123F97" w:rsidP="00123F97">
      <w:pPr>
        <w:pStyle w:val="CoverText-Address"/>
      </w:pPr>
      <w:r>
        <w:t>March 2015</w:t>
      </w:r>
    </w:p>
    <w:p w:rsidR="00123F97" w:rsidRPr="001E2CF1" w:rsidRDefault="00123F97" w:rsidP="00123F97">
      <w:pPr>
        <w:pStyle w:val="CoverText-Address"/>
      </w:pPr>
    </w:p>
    <w:p w:rsidR="00123F97" w:rsidRPr="001E2CF1" w:rsidRDefault="00123F97" w:rsidP="00123F97">
      <w:pPr>
        <w:tabs>
          <w:tab w:val="left" w:pos="720"/>
          <w:tab w:val="left" w:pos="1080"/>
          <w:tab w:val="left" w:pos="1440"/>
          <w:tab w:val="left" w:pos="1800"/>
          <w:tab w:val="left" w:pos="6660"/>
        </w:tabs>
        <w:spacing w:after="0"/>
        <w:ind w:left="6490" w:right="-540"/>
        <w:jc w:val="right"/>
        <w:rPr>
          <w:rFonts w:ascii="Arial" w:hAnsi="Arial"/>
          <w:szCs w:val="24"/>
        </w:rPr>
      </w:pPr>
    </w:p>
    <w:p w:rsidR="00123F97" w:rsidRDefault="00123F97" w:rsidP="00123F97">
      <w:pPr>
        <w:pStyle w:val="CoverText11pt"/>
      </w:pPr>
      <w:r w:rsidRPr="001E2CF1">
        <w:t>Prepared for:</w:t>
      </w:r>
    </w:p>
    <w:p w:rsidR="00123F97" w:rsidRPr="00AE2778" w:rsidRDefault="00123F97" w:rsidP="00123F97">
      <w:pPr>
        <w:pStyle w:val="CoverText-Address"/>
        <w:ind w:left="4050"/>
        <w:rPr>
          <w:b/>
          <w:color w:val="DA291C"/>
          <w:lang w:val="en-GB"/>
        </w:rPr>
      </w:pPr>
      <w:r>
        <w:rPr>
          <w:b/>
          <w:color w:val="DA291C"/>
          <w:lang w:val="en-GB"/>
        </w:rPr>
        <w:t xml:space="preserve">Department for International Development </w:t>
      </w:r>
      <w:r w:rsidRPr="00AE2778">
        <w:rPr>
          <w:b/>
          <w:color w:val="DA291C"/>
          <w:lang w:val="en-GB"/>
        </w:rPr>
        <w:t>(DFID)</w:t>
      </w:r>
    </w:p>
    <w:p w:rsidR="00123F97" w:rsidRPr="00AE2778" w:rsidRDefault="00123F97" w:rsidP="00123F97">
      <w:pPr>
        <w:pStyle w:val="CoverText-Address"/>
        <w:rPr>
          <w:lang w:val="en-GB"/>
        </w:rPr>
      </w:pPr>
      <w:r w:rsidRPr="00AE2778">
        <w:rPr>
          <w:lang w:val="en-GB"/>
        </w:rPr>
        <w:t>22 Whitehall</w:t>
      </w:r>
    </w:p>
    <w:p w:rsidR="00123F97" w:rsidRPr="00AE2778" w:rsidRDefault="00123F97" w:rsidP="00123F97">
      <w:pPr>
        <w:pStyle w:val="CoverText-Address"/>
        <w:rPr>
          <w:lang w:val="en-GB"/>
        </w:rPr>
      </w:pPr>
      <w:r w:rsidRPr="00AE2778">
        <w:rPr>
          <w:lang w:val="en-GB"/>
        </w:rPr>
        <w:t>London</w:t>
      </w:r>
    </w:p>
    <w:p w:rsidR="00123F97" w:rsidRPr="00AE2778" w:rsidRDefault="00123F97" w:rsidP="00123F97">
      <w:pPr>
        <w:pStyle w:val="CoverText-Address"/>
        <w:rPr>
          <w:lang w:val="en-GB"/>
        </w:rPr>
      </w:pPr>
      <w:r w:rsidRPr="00AE2778">
        <w:rPr>
          <w:lang w:val="en-GB"/>
        </w:rPr>
        <w:t>SW1A 2EG</w:t>
      </w:r>
    </w:p>
    <w:p w:rsidR="00123F97" w:rsidRDefault="00123F97" w:rsidP="00123F97">
      <w:pPr>
        <w:pStyle w:val="CoverText-Address"/>
      </w:pPr>
    </w:p>
    <w:p w:rsidR="00123F97" w:rsidRPr="001E2CF1" w:rsidRDefault="00123F97" w:rsidP="00123F97">
      <w:pPr>
        <w:pStyle w:val="CoverText-Address"/>
      </w:pPr>
    </w:p>
    <w:p w:rsidR="00123F97" w:rsidRPr="001E2CF1" w:rsidRDefault="00123F97" w:rsidP="00123F97">
      <w:pPr>
        <w:pStyle w:val="CoverText-Address"/>
      </w:pPr>
    </w:p>
    <w:p w:rsidR="00123F97" w:rsidRPr="001E2CF1" w:rsidRDefault="00123F97" w:rsidP="00123F97">
      <w:pPr>
        <w:pStyle w:val="CoverText11pt"/>
      </w:pPr>
      <w:r w:rsidRPr="001E2CF1">
        <w:t>Submitted by:</w:t>
      </w:r>
    </w:p>
    <w:p w:rsidR="00123F97" w:rsidRPr="00354503" w:rsidRDefault="00123F97" w:rsidP="00123F97">
      <w:pPr>
        <w:pStyle w:val="CoverText-Address"/>
        <w:rPr>
          <w:b/>
          <w:color w:val="DA291C"/>
        </w:rPr>
      </w:pPr>
      <w:proofErr w:type="spellStart"/>
      <w:r>
        <w:rPr>
          <w:b/>
          <w:color w:val="DA291C"/>
        </w:rPr>
        <w:t>Abt</w:t>
      </w:r>
      <w:proofErr w:type="spellEnd"/>
      <w:r>
        <w:rPr>
          <w:b/>
          <w:color w:val="DA291C"/>
        </w:rPr>
        <w:t xml:space="preserve"> Associates </w:t>
      </w:r>
    </w:p>
    <w:p w:rsidR="00123F97" w:rsidRPr="001E2CF1" w:rsidRDefault="00123F97" w:rsidP="00123F97">
      <w:pPr>
        <w:pStyle w:val="CoverText-Address"/>
      </w:pPr>
      <w:r w:rsidRPr="001E2CF1">
        <w:t>4550 Montgomery Avenue</w:t>
      </w:r>
      <w:r w:rsidRPr="001E2CF1">
        <w:br/>
        <w:t xml:space="preserve">Suite 800 North </w:t>
      </w:r>
      <w:r w:rsidRPr="001E2CF1">
        <w:br/>
        <w:t>Bethesda, MD 20814</w:t>
      </w:r>
    </w:p>
    <w:p w:rsidR="00123F97" w:rsidRPr="001E2CF1" w:rsidRDefault="00123F97" w:rsidP="00123F97">
      <w:pPr>
        <w:pStyle w:val="CoverText-Address"/>
      </w:pPr>
    </w:p>
    <w:p w:rsidR="00123F97" w:rsidRPr="001E2CF1" w:rsidRDefault="00123F97" w:rsidP="00123F97">
      <w:pPr>
        <w:pStyle w:val="CoverText-Address"/>
      </w:pPr>
    </w:p>
    <w:p w:rsidR="00123F97" w:rsidRPr="001E2CF1" w:rsidRDefault="00123F97" w:rsidP="00123F97">
      <w:pPr>
        <w:pStyle w:val="CoverText-Address"/>
        <w:rPr>
          <w:b/>
        </w:rPr>
      </w:pPr>
      <w:r w:rsidRPr="001E2CF1">
        <w:rPr>
          <w:b/>
        </w:rPr>
        <w:t>In Partnership with:</w:t>
      </w:r>
    </w:p>
    <w:p w:rsidR="00123F97" w:rsidRPr="001E2CF1" w:rsidRDefault="00123F97" w:rsidP="00123F97">
      <w:pPr>
        <w:pStyle w:val="CoverText-Address"/>
      </w:pPr>
      <w:bookmarkStart w:id="0" w:name="OLE_LINK1"/>
      <w:bookmarkStart w:id="1" w:name="OLE_LINK5"/>
      <w:r>
        <w:t>Denise Mainville Consulting</w:t>
      </w:r>
    </w:p>
    <w:bookmarkEnd w:id="0"/>
    <w:bookmarkEnd w:id="1"/>
    <w:p w:rsidR="00123F97" w:rsidRDefault="00123F97" w:rsidP="00123F97">
      <w:pPr>
        <w:pStyle w:val="CoverText-Address"/>
        <w:sectPr w:rsidR="00123F97" w:rsidSect="007969A4">
          <w:footerReference w:type="default" r:id="rId10"/>
          <w:pgSz w:w="12240" w:h="15840" w:code="1"/>
          <w:pgMar w:top="1440" w:right="1440" w:bottom="1440" w:left="1800" w:header="720" w:footer="720" w:gutter="0"/>
          <w:pgNumType w:fmt="lowerRoman" w:start="1"/>
          <w:cols w:space="720"/>
          <w:docGrid w:linePitch="299"/>
        </w:sectPr>
      </w:pPr>
      <w:r>
        <w:rPr>
          <w:noProof/>
        </w:rPr>
        <w:t>Rockville, MD</w:t>
      </w:r>
    </w:p>
    <w:p w:rsidR="00123F97" w:rsidRPr="00EE5C05" w:rsidRDefault="00123F97" w:rsidP="00123F97">
      <w:pPr>
        <w:pStyle w:val="Heading1"/>
        <w:numPr>
          <w:ilvl w:val="0"/>
          <w:numId w:val="0"/>
        </w:numPr>
        <w:ind w:left="720" w:hanging="720"/>
      </w:pPr>
      <w:bookmarkStart w:id="2" w:name="_Toc412654029"/>
      <w:r w:rsidRPr="00EE5C05">
        <w:lastRenderedPageBreak/>
        <w:t>Preface</w:t>
      </w:r>
      <w:bookmarkEnd w:id="2"/>
    </w:p>
    <w:p w:rsidR="00123F97" w:rsidRPr="00EE5C05" w:rsidRDefault="00123F97" w:rsidP="00123F97">
      <w:pPr>
        <w:pStyle w:val="BodyText"/>
      </w:pPr>
      <w:proofErr w:type="spellStart"/>
      <w:r w:rsidRPr="00EE5C05">
        <w:t>AgResults</w:t>
      </w:r>
      <w:proofErr w:type="spellEnd"/>
      <w:r w:rsidRPr="00EE5C05">
        <w:t xml:space="preserve"> is a $110 million multilateral initiative incentivizing and rewarding high-impact agricultural </w:t>
      </w:r>
      <w:proofErr w:type="gramStart"/>
      <w:r w:rsidRPr="00EE5C05">
        <w:t>innovations</w:t>
      </w:r>
      <w:proofErr w:type="gramEnd"/>
      <w:r w:rsidRPr="00EE5C05">
        <w:t xml:space="preserve"> that promote global food security, health, and nutrition through the design and implemen</w:t>
      </w:r>
      <w:r w:rsidRPr="00EE5C05">
        <w:softHyphen/>
        <w:t>ta</w:t>
      </w:r>
      <w:r w:rsidRPr="00EE5C05">
        <w:softHyphen/>
        <w:t xml:space="preserve">tion of pull mechanism pilots. It is funded by the governments of Australia, Canada, the United Kingdom, the United States, and the Bill &amp; Melinda Gates Foundation, and managed through a Financial Intermediary Fund operated by the World Bank. By using pull mechanisms, </w:t>
      </w:r>
      <w:proofErr w:type="spellStart"/>
      <w:r w:rsidRPr="00EE5C05">
        <w:t>AgResults</w:t>
      </w:r>
      <w:proofErr w:type="spellEnd"/>
      <w:r w:rsidRPr="00EE5C05">
        <w:t xml:space="preserve"> extends beyond traditional aid measures to promote the adoption of innovative technologies with high-yield development impact. </w:t>
      </w:r>
      <w:proofErr w:type="spellStart"/>
      <w:r w:rsidRPr="00EE5C05">
        <w:t>AgResults</w:t>
      </w:r>
      <w:proofErr w:type="spellEnd"/>
      <w:r w:rsidRPr="00EE5C05">
        <w:t xml:space="preserve"> will provide economic incentives to private sector actors in smallholder agriculture to develop and ensure the uptake of innovative technologies with the potential to yield high development impacts. It will help overcome market failures impeding the establishment of sustainable commercial markets for such technologies, or goods produced by means of them, and thereby achieve substantial and sustained development impacts, manifested in improved food security and food safety, increased smallholder incomes, and better health and nutrition. It will call upon the ingenuity and drive of the private sector to identify and execute the most effective and efficient strategies to achieve development outcomes. </w:t>
      </w:r>
    </w:p>
    <w:p w:rsidR="00123F97" w:rsidRPr="00EE5C05" w:rsidRDefault="00123F97" w:rsidP="00123F97">
      <w:pPr>
        <w:pStyle w:val="BodyText"/>
      </w:pPr>
      <w:r w:rsidRPr="00EE5C05">
        <w:t xml:space="preserve">The </w:t>
      </w:r>
      <w:proofErr w:type="spellStart"/>
      <w:r w:rsidRPr="00EE5C05">
        <w:t>AgResults</w:t>
      </w:r>
      <w:proofErr w:type="spellEnd"/>
      <w:r w:rsidRPr="00EE5C05">
        <w:t xml:space="preserve"> program team comprises a Steering Committee, a Secretariat, a Trustee, country-specific pilot implementers, and an external evaluator. The Steering Committee oversees the implementation of </w:t>
      </w:r>
      <w:proofErr w:type="spellStart"/>
      <w:r w:rsidRPr="00EE5C05">
        <w:t>AgResults</w:t>
      </w:r>
      <w:proofErr w:type="spellEnd"/>
      <w:r w:rsidRPr="00EE5C05">
        <w:t xml:space="preserve"> and is comprised of the five donor agencies and the Trustee. The Steering Committee is responsible for strategic oversight of the initiative, including endorsement of key management decisions, approval of concepts and business plans for proposed pilots, and the monitoring of pilots and the initiative as a whole. The Secretariat is responsible for implementation of the </w:t>
      </w:r>
      <w:proofErr w:type="spellStart"/>
      <w:r w:rsidRPr="00EE5C05">
        <w:t>AgResults</w:t>
      </w:r>
      <w:proofErr w:type="spellEnd"/>
      <w:r w:rsidRPr="00EE5C05">
        <w:t xml:space="preserve"> Initiative and reports to the Steering Committee. In order to fulfil its role effectively, the Secretariat develops a close working relationship with the Trustee and ongoing external evaluator. Core functions include appointing and managing pilot implementation and verification agents, sourcing new pilots, and communicating results. As Trustee for </w:t>
      </w:r>
      <w:proofErr w:type="spellStart"/>
      <w:r w:rsidRPr="00EE5C05">
        <w:t>AgResults</w:t>
      </w:r>
      <w:proofErr w:type="spellEnd"/>
      <w:r w:rsidRPr="00EE5C05">
        <w:t xml:space="preserve">, the World Bank provides an agreed set of financial intermediary services that include receiving funds, holding funds, investing funds, and transferring them to recipients or other agencies for implementation as directed by the Secretariat on behalf of the Steering Committee. </w:t>
      </w:r>
    </w:p>
    <w:p w:rsidR="00123F97" w:rsidRPr="00EE5C05" w:rsidRDefault="00123F97" w:rsidP="00123F97">
      <w:pPr>
        <w:pStyle w:val="BodyText"/>
      </w:pPr>
      <w:r w:rsidRPr="00EE5C05">
        <w:t xml:space="preserve">In Kenya, </w:t>
      </w:r>
      <w:proofErr w:type="spellStart"/>
      <w:r w:rsidRPr="00EE5C05">
        <w:t>AgResults</w:t>
      </w:r>
      <w:proofErr w:type="spellEnd"/>
      <w:r w:rsidRPr="00EE5C05">
        <w:t xml:space="preserve"> is funding an on-farm storage pilot that stimulates improved food security through the widespread adoption of improved on-farm grain storage solutions for smallholder farmers in the Rift Valley and Eastern regions of Kenya. The pilot is designed to demonstrate a successful model for developing and marketing low-cost storage solutions for smallholder farmers by offering cash prize payments to private sector companies based on the volume of low-cost storage capacity sold within a given timeframe. The </w:t>
      </w:r>
      <w:r>
        <w:t>Kenya pilot is scheduled to begin in</w:t>
      </w:r>
      <w:r w:rsidRPr="00EE5C05">
        <w:t xml:space="preserve"> May 201</w:t>
      </w:r>
      <w:r>
        <w:t>5 and run for three years</w:t>
      </w:r>
      <w:r w:rsidRPr="00EE5C05">
        <w:t>.</w:t>
      </w:r>
    </w:p>
    <w:p w:rsidR="00123F97" w:rsidRPr="00EE5C05" w:rsidRDefault="00123F97" w:rsidP="00123F97">
      <w:pPr>
        <w:pStyle w:val="BodyText"/>
        <w:rPr>
          <w:szCs w:val="24"/>
        </w:rPr>
      </w:pPr>
      <w:r w:rsidRPr="00EE5C05">
        <w:t xml:space="preserve">Agribusiness Systems International (ASI), a wholly controlled affiliate of ACDI/VOCA, serves as Pilot Manager for the Kenya pilot. As Pilot Manager, ASI is managing overall implementation of the pilot. This includes marketing, promoting, and overseeing the selection process of potential implementers; liaising with international organizations and relevant government ministries; reporting on the progress of the pilot and the approved indicators; overseeing verification and managing the final data analysis to calculate funds disbursements; and </w:t>
      </w:r>
      <w:r w:rsidRPr="00EE5C05">
        <w:lastRenderedPageBreak/>
        <w:t xml:space="preserve">documenting and reporting lessons learnt to the Secretariat in a Quarterly Report and in a report following an annual lessons learned event with implementers, once the sales period begins. The Secretariat will share lessons learnt with the broader stakeholder community via the </w:t>
      </w:r>
      <w:proofErr w:type="spellStart"/>
      <w:r w:rsidRPr="00EE5C05">
        <w:t>AgResults</w:t>
      </w:r>
      <w:proofErr w:type="spellEnd"/>
      <w:r w:rsidRPr="00EE5C05">
        <w:t xml:space="preserve"> website, blog and social media.</w:t>
      </w:r>
    </w:p>
    <w:p w:rsidR="00123F97" w:rsidRPr="00EE5C05" w:rsidRDefault="00123F97" w:rsidP="00123F97">
      <w:pPr>
        <w:pStyle w:val="BodyText"/>
        <w:rPr>
          <w:lang w:eastAsia="en-GB"/>
        </w:rPr>
      </w:pPr>
      <w:r w:rsidRPr="00EE5C05">
        <w:rPr>
          <w:lang w:eastAsia="en-GB"/>
        </w:rPr>
        <w:t xml:space="preserve">The Steering Committee appointed </w:t>
      </w:r>
      <w:hyperlink r:id="rId11" w:history="1">
        <w:proofErr w:type="spellStart"/>
        <w:r w:rsidRPr="00EE5C05">
          <w:rPr>
            <w:lang w:eastAsia="en-GB"/>
          </w:rPr>
          <w:t>Abt</w:t>
        </w:r>
        <w:proofErr w:type="spellEnd"/>
        <w:r w:rsidRPr="00EE5C05">
          <w:rPr>
            <w:lang w:eastAsia="en-GB"/>
          </w:rPr>
          <w:t xml:space="preserve"> Associates Inc.</w:t>
        </w:r>
      </w:hyperlink>
      <w:r w:rsidRPr="00EE5C05">
        <w:rPr>
          <w:lang w:eastAsia="en-GB"/>
        </w:rPr>
        <w:t xml:space="preserve"> to serve as the External Impact Evaluator for the </w:t>
      </w:r>
      <w:proofErr w:type="spellStart"/>
      <w:r w:rsidRPr="00EE5C05">
        <w:rPr>
          <w:lang w:eastAsia="en-GB"/>
        </w:rPr>
        <w:t>AgResults</w:t>
      </w:r>
      <w:proofErr w:type="spellEnd"/>
      <w:r w:rsidRPr="00EE5C05">
        <w:rPr>
          <w:lang w:eastAsia="en-GB"/>
        </w:rPr>
        <w:t xml:space="preserve"> pilots, including the Kenya on-farm storage pilot. </w:t>
      </w:r>
      <w:proofErr w:type="spellStart"/>
      <w:r w:rsidRPr="00EE5C05">
        <w:rPr>
          <w:lang w:eastAsia="en-GB"/>
        </w:rPr>
        <w:t>Abt’s</w:t>
      </w:r>
      <w:proofErr w:type="spellEnd"/>
      <w:r w:rsidRPr="00EE5C05">
        <w:rPr>
          <w:lang w:eastAsia="en-GB"/>
        </w:rPr>
        <w:t xml:space="preserve"> role is to determine on a rigorous scientific basis if the pull mechanisms achieve their objectives of </w:t>
      </w:r>
      <w:proofErr w:type="spellStart"/>
      <w:r w:rsidRPr="00EE5C05">
        <w:rPr>
          <w:lang w:eastAsia="en-GB"/>
        </w:rPr>
        <w:t>catalysing</w:t>
      </w:r>
      <w:proofErr w:type="spellEnd"/>
      <w:r w:rsidRPr="00EE5C05">
        <w:rPr>
          <w:lang w:eastAsia="en-GB"/>
        </w:rPr>
        <w:t xml:space="preserve"> private sector investments that address underlying market failures, resulting in social outcomes that are different from, and better than, what would have happened in the absence of the mechanism introduced by the pilot initiatives. We will also address the sustainability of the results produced in the private market once the pilot incentives are removed. In our role as the External Impact Evaluator, </w:t>
      </w:r>
      <w:proofErr w:type="spellStart"/>
      <w:r w:rsidRPr="00EE5C05">
        <w:rPr>
          <w:lang w:eastAsia="en-GB"/>
        </w:rPr>
        <w:t>Abt</w:t>
      </w:r>
      <w:proofErr w:type="spellEnd"/>
      <w:r w:rsidRPr="00EE5C05">
        <w:rPr>
          <w:lang w:eastAsia="en-GB"/>
        </w:rPr>
        <w:t xml:space="preserve"> defines an overall evaluation framework for the </w:t>
      </w:r>
      <w:proofErr w:type="spellStart"/>
      <w:r w:rsidRPr="00EE5C05">
        <w:rPr>
          <w:lang w:eastAsia="en-GB"/>
        </w:rPr>
        <w:t>AgResults</w:t>
      </w:r>
      <w:proofErr w:type="spellEnd"/>
      <w:r w:rsidRPr="00EE5C05">
        <w:rPr>
          <w:lang w:eastAsia="en-GB"/>
        </w:rPr>
        <w:t xml:space="preserve"> Initiative and an impact analysis strategy for each pilot. We implement and </w:t>
      </w:r>
      <w:proofErr w:type="spellStart"/>
      <w:r w:rsidRPr="00EE5C05">
        <w:rPr>
          <w:lang w:eastAsia="en-GB"/>
        </w:rPr>
        <w:t>analyse</w:t>
      </w:r>
      <w:proofErr w:type="spellEnd"/>
      <w:r w:rsidRPr="00EE5C05">
        <w:rPr>
          <w:lang w:eastAsia="en-GB"/>
        </w:rPr>
        <w:t xml:space="preserve"> field surveys based on established best practices, conduct qualitative market analyses, and communicate evaluation findings to the Steering Committee and wider audiences as needed. Our</w:t>
      </w:r>
      <w:r>
        <w:rPr>
          <w:lang w:eastAsia="en-GB"/>
        </w:rPr>
        <w:t xml:space="preserve"> role is vital to the </w:t>
      </w:r>
      <w:proofErr w:type="spellStart"/>
      <w:r>
        <w:rPr>
          <w:lang w:eastAsia="en-GB"/>
        </w:rPr>
        <w:t>AgResults</w:t>
      </w:r>
      <w:proofErr w:type="spellEnd"/>
      <w:r w:rsidRPr="00EE5C05">
        <w:rPr>
          <w:lang w:eastAsia="en-GB"/>
        </w:rPr>
        <w:t xml:space="preserve"> learning agenda of understanding the potential of private sector involvement in the development and spread of agricultural innovation. The eval</w:t>
      </w:r>
      <w:r>
        <w:rPr>
          <w:lang w:eastAsia="en-GB"/>
        </w:rPr>
        <w:t>uation timeframe is 2013 to 2019 (assuming extension of the contract following delays in the start of the Kenya pilot)</w:t>
      </w:r>
      <w:r w:rsidRPr="00EE5C05">
        <w:rPr>
          <w:lang w:eastAsia="en-GB"/>
        </w:rPr>
        <w:t>.</w:t>
      </w:r>
    </w:p>
    <w:p w:rsidR="00123F97" w:rsidRDefault="00123F97" w:rsidP="00123F97">
      <w:pPr>
        <w:pStyle w:val="BodyText"/>
        <w:rPr>
          <w:lang w:eastAsia="en-GB"/>
        </w:rPr>
      </w:pPr>
      <w:r w:rsidRPr="00EE5C05">
        <w:rPr>
          <w:lang w:eastAsia="en-GB"/>
        </w:rPr>
        <w:t xml:space="preserve">This </w:t>
      </w:r>
      <w:r>
        <w:rPr>
          <w:lang w:eastAsia="en-GB"/>
        </w:rPr>
        <w:t xml:space="preserve">document is an abridged version of </w:t>
      </w:r>
      <w:proofErr w:type="spellStart"/>
      <w:r>
        <w:rPr>
          <w:lang w:eastAsia="en-GB"/>
        </w:rPr>
        <w:t>Abt’s</w:t>
      </w:r>
      <w:proofErr w:type="spellEnd"/>
      <w:r>
        <w:rPr>
          <w:lang w:eastAsia="en-GB"/>
        </w:rPr>
        <w:t xml:space="preserve"> evaluation design report. It presents the overall evaluation framework and methodological approach, the identification strategy for estimating impact at the small farmer household level, model specifications, power analysis, and our analysis plan.</w:t>
      </w:r>
    </w:p>
    <w:p w:rsidR="00123F97" w:rsidRPr="00EE5C05" w:rsidRDefault="00123F97" w:rsidP="00123F97">
      <w:pPr>
        <w:pStyle w:val="BodyText"/>
      </w:pPr>
      <w:r w:rsidRPr="00EE5C05">
        <w:t xml:space="preserve">The Kenya evaluation team is led by Tulika Narayan, with the core quantitative team comprising Betsy Ness-Edelstein (also the country coordinator), Sung-Woo Cho, and Fatih Unlu. Denise Mainville from Denise Mainville Consulting leads the qualitative analysis working with Tabitha Nduku, in-country agricultural economist, and the quantitative team, who also contributed to qualitative investigation. Stephen Bell, the </w:t>
      </w:r>
      <w:proofErr w:type="spellStart"/>
      <w:r w:rsidRPr="00EE5C05">
        <w:t>AgResults</w:t>
      </w:r>
      <w:proofErr w:type="spellEnd"/>
      <w:r w:rsidRPr="00EE5C05">
        <w:t xml:space="preserve"> Team Leader, provides technical advice and quality control of research reports. To date, the Kenya pilot’s evaluation design has benefited from comments and inputs from the external peer reviewers Kelsey Jack, </w:t>
      </w:r>
      <w:proofErr w:type="spellStart"/>
      <w:r w:rsidRPr="00EE5C05">
        <w:t>Mushfiq</w:t>
      </w:r>
      <w:proofErr w:type="spellEnd"/>
      <w:r w:rsidRPr="00EE5C05">
        <w:t xml:space="preserve"> </w:t>
      </w:r>
      <w:proofErr w:type="spellStart"/>
      <w:r w:rsidRPr="00EE5C05">
        <w:t>Mobarak</w:t>
      </w:r>
      <w:proofErr w:type="spellEnd"/>
      <w:r w:rsidRPr="00EE5C05">
        <w:t xml:space="preserve">, and Ephraim </w:t>
      </w:r>
      <w:proofErr w:type="spellStart"/>
      <w:r w:rsidRPr="00EE5C05">
        <w:t>Nkonya</w:t>
      </w:r>
      <w:proofErr w:type="spellEnd"/>
      <w:r w:rsidRPr="00EE5C05">
        <w:t xml:space="preserve">. The evaluation design report also benefited from comments from the </w:t>
      </w:r>
      <w:proofErr w:type="spellStart"/>
      <w:r w:rsidRPr="00EE5C05">
        <w:t>AgResults</w:t>
      </w:r>
      <w:proofErr w:type="spellEnd"/>
      <w:r w:rsidRPr="00EE5C05">
        <w:t xml:space="preserve"> Steering Committee and members of the Kenya pilot implementation team</w:t>
      </w:r>
      <w:r>
        <w:t>s at</w:t>
      </w:r>
      <w:r w:rsidRPr="00EE5C05">
        <w:t xml:space="preserve"> Deloitte and ASI.</w:t>
      </w:r>
    </w:p>
    <w:p w:rsidR="00711FAD" w:rsidRPr="00711FAD" w:rsidRDefault="00711FAD" w:rsidP="00123F97">
      <w:pPr>
        <w:pStyle w:val="Heading1"/>
        <w:rPr>
          <w:lang w:val="en-GB"/>
        </w:rPr>
      </w:pPr>
      <w:bookmarkStart w:id="3" w:name="_GoBack"/>
      <w:bookmarkEnd w:id="3"/>
      <w:r>
        <w:rPr>
          <w:lang w:val="en-GB"/>
        </w:rPr>
        <w:t>Evaluation Framework and Methods</w:t>
      </w:r>
    </w:p>
    <w:p w:rsidR="00711FAD" w:rsidRDefault="00711FAD" w:rsidP="00711FAD">
      <w:pPr>
        <w:pStyle w:val="BodyText"/>
        <w:spacing w:before="240"/>
        <w:rPr>
          <w:lang w:val="en-GB"/>
        </w:rPr>
      </w:pPr>
      <w:r w:rsidRPr="00812B89">
        <w:rPr>
          <w:lang w:val="en-GB"/>
        </w:rPr>
        <w:t xml:space="preserve">This </w:t>
      </w:r>
      <w:r>
        <w:rPr>
          <w:lang w:val="en-GB"/>
        </w:rPr>
        <w:t>introduction</w:t>
      </w:r>
      <w:r w:rsidRPr="00812B89">
        <w:rPr>
          <w:lang w:val="en-GB"/>
        </w:rPr>
        <w:t xml:space="preserve"> summarizes the evaluation framework</w:t>
      </w:r>
      <w:r w:rsidR="00326FBB">
        <w:rPr>
          <w:lang w:val="en-GB"/>
        </w:rPr>
        <w:t>, research questions,</w:t>
      </w:r>
      <w:r w:rsidRPr="00812B89">
        <w:rPr>
          <w:lang w:val="en-GB"/>
        </w:rPr>
        <w:t xml:space="preserve"> and methods the </w:t>
      </w:r>
      <w:proofErr w:type="spellStart"/>
      <w:r w:rsidRPr="00812B89">
        <w:rPr>
          <w:lang w:val="en-GB"/>
        </w:rPr>
        <w:t>Abt</w:t>
      </w:r>
      <w:proofErr w:type="spellEnd"/>
      <w:r w:rsidRPr="00812B89">
        <w:rPr>
          <w:lang w:val="en-GB"/>
        </w:rPr>
        <w:t xml:space="preserve"> </w:t>
      </w:r>
      <w:r w:rsidR="00B51D54">
        <w:rPr>
          <w:lang w:val="en-GB"/>
        </w:rPr>
        <w:t xml:space="preserve">Associates </w:t>
      </w:r>
      <w:r w:rsidRPr="00812B89">
        <w:rPr>
          <w:lang w:val="en-GB"/>
        </w:rPr>
        <w:t xml:space="preserve">team is employing to evaluate the </w:t>
      </w:r>
      <w:r>
        <w:rPr>
          <w:lang w:val="en-GB"/>
        </w:rPr>
        <w:t xml:space="preserve">Kenya on-farm storage (OFS) </w:t>
      </w:r>
      <w:r w:rsidRPr="00812B89">
        <w:rPr>
          <w:lang w:val="en-GB"/>
        </w:rPr>
        <w:t>pilot. Although the overall evaluation framework is the same for the two regions</w:t>
      </w:r>
      <w:r>
        <w:rPr>
          <w:lang w:val="en-GB"/>
        </w:rPr>
        <w:t xml:space="preserve"> of pilot implementation</w:t>
      </w:r>
      <w:r w:rsidRPr="00812B89">
        <w:rPr>
          <w:lang w:val="en-GB"/>
        </w:rPr>
        <w:t xml:space="preserve">, there are important differences in the incentive structures, implementation context, and expected impact (market penetration rates) for </w:t>
      </w:r>
      <w:r>
        <w:rPr>
          <w:lang w:val="en-GB"/>
        </w:rPr>
        <w:t xml:space="preserve">the </w:t>
      </w:r>
      <w:r w:rsidRPr="00812B89">
        <w:rPr>
          <w:lang w:val="en-GB"/>
        </w:rPr>
        <w:t>Rift Valley and Eastern region</w:t>
      </w:r>
      <w:r>
        <w:rPr>
          <w:lang w:val="en-GB"/>
        </w:rPr>
        <w:t>s</w:t>
      </w:r>
      <w:r w:rsidRPr="00812B89">
        <w:rPr>
          <w:lang w:val="en-GB"/>
        </w:rPr>
        <w:t xml:space="preserve">. Accordingly, much of our </w:t>
      </w:r>
      <w:r w:rsidR="00D264E5">
        <w:rPr>
          <w:lang w:val="en-GB"/>
        </w:rPr>
        <w:t>analysis will disaggregate</w:t>
      </w:r>
      <w:r w:rsidRPr="00812B89">
        <w:rPr>
          <w:lang w:val="en-GB"/>
        </w:rPr>
        <w:t xml:space="preserve"> results across the two regions. </w:t>
      </w:r>
    </w:p>
    <w:p w:rsidR="00711FAD" w:rsidRPr="00812B89" w:rsidRDefault="00711FAD" w:rsidP="00711FAD">
      <w:pPr>
        <w:pStyle w:val="BodyText"/>
        <w:rPr>
          <w:lang w:val="en-GB"/>
        </w:rPr>
      </w:pPr>
      <w:r w:rsidRPr="00812B89">
        <w:rPr>
          <w:lang w:val="en-GB"/>
        </w:rPr>
        <w:t xml:space="preserve">The </w:t>
      </w:r>
      <w:proofErr w:type="spellStart"/>
      <w:r>
        <w:rPr>
          <w:lang w:val="en-GB"/>
        </w:rPr>
        <w:t>Abt</w:t>
      </w:r>
      <w:proofErr w:type="spellEnd"/>
      <w:r>
        <w:rPr>
          <w:lang w:val="en-GB"/>
        </w:rPr>
        <w:t xml:space="preserve"> </w:t>
      </w:r>
      <w:r w:rsidRPr="00812B89">
        <w:rPr>
          <w:lang w:val="en-GB"/>
        </w:rPr>
        <w:t>evaluation will assess whether the program has met its objectives and be guided by six out of the seven evaluation questions in the overall evaluation framework</w:t>
      </w:r>
      <w:r>
        <w:rPr>
          <w:lang w:val="en-GB"/>
        </w:rPr>
        <w:t xml:space="preserve"> established by the </w:t>
      </w:r>
      <w:r>
        <w:rPr>
          <w:lang w:val="en-GB"/>
        </w:rPr>
        <w:lastRenderedPageBreak/>
        <w:t>research protocol</w:t>
      </w:r>
      <w:r w:rsidRPr="00812B89">
        <w:rPr>
          <w:lang w:val="en-GB"/>
        </w:rPr>
        <w:t xml:space="preserve"> (Evaluation Question 4</w:t>
      </w:r>
      <w:r w:rsidR="00326FBB">
        <w:rPr>
          <w:lang w:val="en-GB"/>
        </w:rPr>
        <w:t xml:space="preserve"> on demand for derivative products</w:t>
      </w:r>
      <w:r>
        <w:rPr>
          <w:lang w:val="en-GB"/>
        </w:rPr>
        <w:t xml:space="preserve">, part of the overall </w:t>
      </w:r>
      <w:proofErr w:type="spellStart"/>
      <w:r>
        <w:rPr>
          <w:lang w:val="en-GB"/>
        </w:rPr>
        <w:t>AgResults</w:t>
      </w:r>
      <w:proofErr w:type="spellEnd"/>
      <w:r>
        <w:rPr>
          <w:lang w:val="en-GB"/>
        </w:rPr>
        <w:t xml:space="preserve"> research agenda,</w:t>
      </w:r>
      <w:r w:rsidRPr="00812B89">
        <w:rPr>
          <w:lang w:val="en-GB"/>
        </w:rPr>
        <w:t xml:space="preserve"> is not relevant for this pilot):</w:t>
      </w:r>
    </w:p>
    <w:p w:rsidR="00711FAD" w:rsidRPr="00812B89" w:rsidRDefault="00711FAD" w:rsidP="00EC48D2">
      <w:pPr>
        <w:pStyle w:val="Bullets"/>
        <w:numPr>
          <w:ilvl w:val="0"/>
          <w:numId w:val="7"/>
        </w:numPr>
        <w:rPr>
          <w:lang w:val="en-GB"/>
        </w:rPr>
      </w:pPr>
      <w:r w:rsidRPr="00812B89">
        <w:rPr>
          <w:lang w:val="en-GB"/>
        </w:rPr>
        <w:t xml:space="preserve">What has been the impact of the </w:t>
      </w:r>
      <w:proofErr w:type="spellStart"/>
      <w:r w:rsidRPr="00812B89">
        <w:rPr>
          <w:lang w:val="en-GB"/>
        </w:rPr>
        <w:t>AgResults</w:t>
      </w:r>
      <w:proofErr w:type="spellEnd"/>
      <w:r w:rsidRPr="00812B89">
        <w:rPr>
          <w:lang w:val="en-GB"/>
        </w:rPr>
        <w:t xml:space="preserve"> pilot on private sector </w:t>
      </w:r>
      <w:r>
        <w:rPr>
          <w:lang w:val="en-GB"/>
        </w:rPr>
        <w:t>engagement</w:t>
      </w:r>
      <w:r w:rsidRPr="00812B89">
        <w:rPr>
          <w:lang w:val="en-GB"/>
        </w:rPr>
        <w:t xml:space="preserve"> in the development and uptake of on-farm storage?</w:t>
      </w:r>
    </w:p>
    <w:p w:rsidR="00711FAD" w:rsidRPr="00812B89" w:rsidRDefault="00711FAD" w:rsidP="00EC48D2">
      <w:pPr>
        <w:pStyle w:val="Bullets"/>
        <w:numPr>
          <w:ilvl w:val="0"/>
          <w:numId w:val="7"/>
        </w:numPr>
        <w:rPr>
          <w:lang w:val="en-GB"/>
        </w:rPr>
      </w:pPr>
      <w:r w:rsidRPr="00812B89">
        <w:rPr>
          <w:lang w:val="en-GB"/>
        </w:rPr>
        <w:t xml:space="preserve">What has been the impact of the </w:t>
      </w:r>
      <w:proofErr w:type="spellStart"/>
      <w:r w:rsidRPr="00812B89">
        <w:rPr>
          <w:lang w:val="en-GB"/>
        </w:rPr>
        <w:t>AgResults</w:t>
      </w:r>
      <w:proofErr w:type="spellEnd"/>
      <w:r w:rsidRPr="00812B89">
        <w:rPr>
          <w:lang w:val="en-GB"/>
        </w:rPr>
        <w:t xml:space="preserve"> pilot on smallholders’ uptake of on-farm storage?</w:t>
      </w:r>
    </w:p>
    <w:p w:rsidR="00711FAD" w:rsidRPr="00812B89" w:rsidRDefault="00711FAD" w:rsidP="00EC48D2">
      <w:pPr>
        <w:pStyle w:val="Bullets"/>
        <w:numPr>
          <w:ilvl w:val="0"/>
          <w:numId w:val="7"/>
        </w:numPr>
        <w:rPr>
          <w:lang w:val="en-GB"/>
        </w:rPr>
      </w:pPr>
      <w:r w:rsidRPr="00812B89">
        <w:rPr>
          <w:lang w:val="en-GB"/>
        </w:rPr>
        <w:t xml:space="preserve">What has been the impact of the </w:t>
      </w:r>
      <w:proofErr w:type="spellStart"/>
      <w:r w:rsidRPr="00812B89">
        <w:rPr>
          <w:lang w:val="en-GB"/>
        </w:rPr>
        <w:t>AgResults</w:t>
      </w:r>
      <w:proofErr w:type="spellEnd"/>
      <w:r w:rsidRPr="00812B89">
        <w:rPr>
          <w:lang w:val="en-GB"/>
        </w:rPr>
        <w:t xml:space="preserve"> pilot on smallholder income?</w:t>
      </w:r>
    </w:p>
    <w:p w:rsidR="00711FAD" w:rsidRPr="00812B89" w:rsidRDefault="00711FAD" w:rsidP="00EC48D2">
      <w:pPr>
        <w:pStyle w:val="Bullets"/>
        <w:numPr>
          <w:ilvl w:val="0"/>
          <w:numId w:val="7"/>
        </w:numPr>
        <w:rPr>
          <w:lang w:val="en-GB"/>
        </w:rPr>
      </w:pPr>
      <w:r w:rsidRPr="00812B89">
        <w:rPr>
          <w:lang w:val="en-GB"/>
        </w:rPr>
        <w:t xml:space="preserve">What is the impact of the </w:t>
      </w:r>
      <w:proofErr w:type="spellStart"/>
      <w:r w:rsidRPr="00812B89">
        <w:rPr>
          <w:lang w:val="en-GB"/>
        </w:rPr>
        <w:t>AgResults</w:t>
      </w:r>
      <w:proofErr w:type="spellEnd"/>
      <w:r w:rsidRPr="00812B89">
        <w:rPr>
          <w:lang w:val="en-GB"/>
        </w:rPr>
        <w:t xml:space="preserve"> pilot on consumers’ demand for derivative products? </w:t>
      </w:r>
      <w:r w:rsidRPr="00812B89">
        <w:rPr>
          <w:i/>
          <w:lang w:val="en-GB"/>
        </w:rPr>
        <w:t>[not relevant for Kenya pilot]</w:t>
      </w:r>
    </w:p>
    <w:p w:rsidR="00711FAD" w:rsidRPr="00C97BB3" w:rsidRDefault="00711FAD" w:rsidP="00EC48D2">
      <w:pPr>
        <w:pStyle w:val="Bullets"/>
        <w:numPr>
          <w:ilvl w:val="0"/>
          <w:numId w:val="7"/>
        </w:numPr>
        <w:rPr>
          <w:lang w:val="en-GB"/>
        </w:rPr>
      </w:pPr>
      <w:r w:rsidRPr="005F741D">
        <w:rPr>
          <w:bCs/>
        </w:rPr>
        <w:t xml:space="preserve">What evidence exists </w:t>
      </w:r>
      <w:r>
        <w:rPr>
          <w:bCs/>
        </w:rPr>
        <w:t xml:space="preserve">that the effects of the </w:t>
      </w:r>
      <w:proofErr w:type="spellStart"/>
      <w:r>
        <w:rPr>
          <w:bCs/>
        </w:rPr>
        <w:t>AgResults</w:t>
      </w:r>
      <w:proofErr w:type="spellEnd"/>
      <w:r>
        <w:rPr>
          <w:bCs/>
        </w:rPr>
        <w:t xml:space="preserve"> pilot will be sustainable in the medium to long term? </w:t>
      </w:r>
    </w:p>
    <w:p w:rsidR="00711FAD" w:rsidRPr="00812B89" w:rsidRDefault="00711FAD" w:rsidP="00EC48D2">
      <w:pPr>
        <w:pStyle w:val="Bullets"/>
        <w:numPr>
          <w:ilvl w:val="0"/>
          <w:numId w:val="7"/>
        </w:numPr>
        <w:rPr>
          <w:lang w:val="en-GB"/>
        </w:rPr>
      </w:pPr>
      <w:r w:rsidRPr="00812B89">
        <w:rPr>
          <w:lang w:val="en-GB"/>
        </w:rPr>
        <w:t xml:space="preserve">What is the evidence on the scale of any effect on private sector investment and uptake and on the cost-effectiveness of </w:t>
      </w:r>
      <w:proofErr w:type="spellStart"/>
      <w:r w:rsidRPr="00812B89">
        <w:rPr>
          <w:lang w:val="en-GB"/>
        </w:rPr>
        <w:t>AgResults</w:t>
      </w:r>
      <w:proofErr w:type="spellEnd"/>
      <w:r w:rsidRPr="00812B89">
        <w:rPr>
          <w:lang w:val="en-GB"/>
        </w:rPr>
        <w:t xml:space="preserve"> as an approach?</w:t>
      </w:r>
    </w:p>
    <w:p w:rsidR="00711FAD" w:rsidRPr="00812B89" w:rsidRDefault="00711FAD" w:rsidP="00EC48D2">
      <w:pPr>
        <w:pStyle w:val="Bullets"/>
        <w:numPr>
          <w:ilvl w:val="0"/>
          <w:numId w:val="7"/>
        </w:numPr>
        <w:rPr>
          <w:lang w:val="en-GB"/>
        </w:rPr>
      </w:pPr>
      <w:r w:rsidRPr="00812B89">
        <w:rPr>
          <w:lang w:val="en-GB"/>
        </w:rPr>
        <w:t>What lessons can be learnt about best practices in the design and implementation of agricultural pull mechanisms?</w:t>
      </w:r>
    </w:p>
    <w:p w:rsidR="00711FAD" w:rsidRPr="00812B89" w:rsidRDefault="00711FAD" w:rsidP="00711FAD">
      <w:pPr>
        <w:pStyle w:val="BodyText"/>
        <w:rPr>
          <w:lang w:val="en-GB"/>
        </w:rPr>
      </w:pPr>
      <w:r w:rsidRPr="00812B89">
        <w:rPr>
          <w:lang w:val="en-GB"/>
        </w:rPr>
        <w:t xml:space="preserve">We will also address, within each of the questions, whether the pilot’s impact is differentiated by gender or poverty status of beneficiaries, and analyse the determinants of any such effects that are identified. We use a mixed-methods approach to address each of the evaluation questions, with either a quantitative or qualitative approach predominating for each </w:t>
      </w:r>
      <w:r>
        <w:rPr>
          <w:lang w:val="en-GB"/>
        </w:rPr>
        <w:t xml:space="preserve">particular </w:t>
      </w:r>
      <w:r w:rsidRPr="00812B89">
        <w:rPr>
          <w:lang w:val="en-GB"/>
        </w:rPr>
        <w:t xml:space="preserve">question and complementary qualitative or quantitative input to enrich the results. </w:t>
      </w:r>
    </w:p>
    <w:p w:rsidR="00711FAD" w:rsidRPr="00812B89" w:rsidRDefault="00711FAD" w:rsidP="00711FAD">
      <w:pPr>
        <w:pStyle w:val="BodyText"/>
        <w:rPr>
          <w:rFonts w:ascii="Times" w:hAnsi="Times"/>
          <w:lang w:val="en-GB"/>
        </w:rPr>
      </w:pPr>
      <w:r w:rsidRPr="00812B89">
        <w:rPr>
          <w:lang w:val="en-GB"/>
        </w:rPr>
        <w:t>Questions 1, 5</w:t>
      </w:r>
      <w:r>
        <w:rPr>
          <w:lang w:val="en-GB"/>
        </w:rPr>
        <w:t>,</w:t>
      </w:r>
      <w:r w:rsidRPr="00812B89">
        <w:rPr>
          <w:lang w:val="en-GB"/>
        </w:rPr>
        <w:t xml:space="preserve"> and 6 are related to the pilot’s impact on the value chain and the value chain participants therein. The small numbers of value chain participants and multiple levels of interaction between the participants call for qualitative methods to answer these questions, which will allow for nuanced inquiry into the motivations of market actors, their strategies for engagement in the market, and the aggregate effects of their investments. Therefore, our evaluation assesses the</w:t>
      </w:r>
      <w:r w:rsidRPr="00812B89">
        <w:rPr>
          <w:rFonts w:ascii="Times" w:hAnsi="Times"/>
          <w:lang w:val="en-GB"/>
        </w:rPr>
        <w:t xml:space="preserve"> market-level questions on the agenda (questions 1, 5</w:t>
      </w:r>
      <w:r>
        <w:rPr>
          <w:rFonts w:ascii="Times" w:hAnsi="Times"/>
          <w:lang w:val="en-GB"/>
        </w:rPr>
        <w:t>,</w:t>
      </w:r>
      <w:r w:rsidRPr="00812B89">
        <w:rPr>
          <w:rFonts w:ascii="Times" w:hAnsi="Times"/>
          <w:lang w:val="en-GB"/>
        </w:rPr>
        <w:t xml:space="preserve"> and 6) using primarily qualitative methods—specifically a structure, conduct, and performance (SCP) framework that is described in more detail in Section </w:t>
      </w:r>
      <w:r>
        <w:rPr>
          <w:rFonts w:ascii="Times" w:hAnsi="Times"/>
          <w:highlight w:val="yellow"/>
          <w:lang w:val="en-GB"/>
        </w:rPr>
        <w:fldChar w:fldCharType="begin"/>
      </w:r>
      <w:r>
        <w:rPr>
          <w:rFonts w:ascii="Times" w:hAnsi="Times"/>
          <w:lang w:val="en-GB"/>
        </w:rPr>
        <w:instrText xml:space="preserve"> REF _Ref410589431 \r \h </w:instrText>
      </w:r>
      <w:r>
        <w:rPr>
          <w:rFonts w:ascii="Times" w:hAnsi="Times"/>
          <w:highlight w:val="yellow"/>
          <w:lang w:val="en-GB"/>
        </w:rPr>
      </w:r>
      <w:r>
        <w:rPr>
          <w:rFonts w:ascii="Times" w:hAnsi="Times"/>
          <w:highlight w:val="yellow"/>
          <w:lang w:val="en-GB"/>
        </w:rPr>
        <w:fldChar w:fldCharType="separate"/>
      </w:r>
      <w:r>
        <w:rPr>
          <w:rFonts w:ascii="Times" w:hAnsi="Times"/>
          <w:lang w:val="en-GB"/>
        </w:rPr>
        <w:t>3.1</w:t>
      </w:r>
      <w:r>
        <w:rPr>
          <w:rFonts w:ascii="Times" w:hAnsi="Times"/>
          <w:highlight w:val="yellow"/>
          <w:lang w:val="en-GB"/>
        </w:rPr>
        <w:fldChar w:fldCharType="end"/>
      </w:r>
      <w:r w:rsidRPr="00812B89">
        <w:rPr>
          <w:rFonts w:ascii="Times" w:hAnsi="Times"/>
          <w:lang w:val="en-GB"/>
        </w:rPr>
        <w:t xml:space="preserve">. </w:t>
      </w:r>
    </w:p>
    <w:p w:rsidR="00711FAD" w:rsidRPr="00812B89" w:rsidRDefault="00711FAD" w:rsidP="00711FAD">
      <w:pPr>
        <w:pStyle w:val="BodyText"/>
        <w:rPr>
          <w:lang w:val="en-GB"/>
        </w:rPr>
      </w:pPr>
      <w:r w:rsidRPr="00812B89">
        <w:rPr>
          <w:rFonts w:ascii="Times" w:hAnsi="Times"/>
          <w:lang w:val="en-GB"/>
        </w:rPr>
        <w:t>We use primarily quantitative (statistics based) methods to assess the pilot’s impact on smallholder awareness, adoption, and use of on-farm storage solutions and subsequent effects on income</w:t>
      </w:r>
      <w:r w:rsidR="00D264E5">
        <w:rPr>
          <w:rFonts w:ascii="Times" w:hAnsi="Times"/>
          <w:lang w:val="en-GB"/>
        </w:rPr>
        <w:t xml:space="preserve"> (</w:t>
      </w:r>
      <w:proofErr w:type="spellStart"/>
      <w:r w:rsidR="00D264E5">
        <w:rPr>
          <w:rFonts w:ascii="Times" w:hAnsi="Times"/>
          <w:lang w:val="en-GB"/>
        </w:rPr>
        <w:t>proxied</w:t>
      </w:r>
      <w:proofErr w:type="spellEnd"/>
      <w:r w:rsidR="00D264E5">
        <w:rPr>
          <w:rFonts w:ascii="Times" w:hAnsi="Times"/>
          <w:lang w:val="en-GB"/>
        </w:rPr>
        <w:t xml:space="preserve"> by maize revenue) and food security</w:t>
      </w:r>
      <w:r w:rsidRPr="00812B89">
        <w:rPr>
          <w:rFonts w:ascii="Times" w:hAnsi="Times"/>
          <w:lang w:val="en-GB"/>
        </w:rPr>
        <w:t xml:space="preserve"> (questions 2 and 3). Specifically, we employ a short interrupted time series (SITS) approach to estimate the impact of the pilot on smallholder farmers by comparing the pre-pilot time trend on key outcomes to post-pilot levels. </w:t>
      </w:r>
      <w:r w:rsidRPr="00812B89">
        <w:rPr>
          <w:lang w:val="en-GB"/>
        </w:rPr>
        <w:t xml:space="preserve">The SITS design measures the intervention impact as a departure from the expected levels of the outcome measure (in this case smallholders’ uptake of on-farm solutions, and smallholder income) </w:t>
      </w:r>
      <w:r>
        <w:rPr>
          <w:lang w:val="en-GB"/>
        </w:rPr>
        <w:t xml:space="preserve">when projected forward in time, as an approximation of what would happen </w:t>
      </w:r>
      <w:r w:rsidRPr="00812B89">
        <w:rPr>
          <w:lang w:val="en-GB"/>
        </w:rPr>
        <w:t>were the treatment not introduced</w:t>
      </w:r>
      <w:r>
        <w:rPr>
          <w:lang w:val="en-GB"/>
        </w:rPr>
        <w:t>.</w:t>
      </w:r>
      <w:r>
        <w:rPr>
          <w:rStyle w:val="FootnoteReference"/>
          <w:lang w:val="en-GB"/>
        </w:rPr>
        <w:footnoteReference w:id="1"/>
      </w:r>
      <w:r>
        <w:rPr>
          <w:lang w:val="en-GB"/>
        </w:rPr>
        <w:t xml:space="preserve"> </w:t>
      </w:r>
      <w:r w:rsidRPr="00812B89">
        <w:rPr>
          <w:lang w:val="en-GB"/>
        </w:rPr>
        <w:t xml:space="preserve">The SITS approach </w:t>
      </w:r>
      <w:r>
        <w:rPr>
          <w:lang w:val="en-GB"/>
        </w:rPr>
        <w:t>entails (1) </w:t>
      </w:r>
      <w:r w:rsidRPr="00812B89">
        <w:rPr>
          <w:lang w:val="en-GB"/>
        </w:rPr>
        <w:t xml:space="preserve">generating a counterfactual for the </w:t>
      </w:r>
      <w:r w:rsidRPr="00812B89">
        <w:rPr>
          <w:lang w:val="en-GB"/>
        </w:rPr>
        <w:lastRenderedPageBreak/>
        <w:t xml:space="preserve">outcome measure, which represents the expected level of the outcome in the post-intervention period in the absence of the treatment </w:t>
      </w:r>
      <w:r>
        <w:rPr>
          <w:lang w:val="en-GB"/>
        </w:rPr>
        <w:t>as the</w:t>
      </w:r>
      <w:r w:rsidRPr="00812B89">
        <w:rPr>
          <w:lang w:val="en-GB"/>
        </w:rPr>
        <w:t xml:space="preserve"> project</w:t>
      </w:r>
      <w:r>
        <w:rPr>
          <w:lang w:val="en-GB"/>
        </w:rPr>
        <w:t>ed</w:t>
      </w:r>
      <w:r w:rsidRPr="00812B89">
        <w:rPr>
          <w:lang w:val="en-GB"/>
        </w:rPr>
        <w:t xml:space="preserve"> trend in pre-intervention observations of the outcome measure, and (2) modelling the treatment effect as a deviation </w:t>
      </w:r>
      <w:r>
        <w:rPr>
          <w:lang w:val="en-GB"/>
        </w:rPr>
        <w:t xml:space="preserve">of actual post-intervention outcomes </w:t>
      </w:r>
      <w:r w:rsidRPr="00812B89">
        <w:rPr>
          <w:lang w:val="en-GB"/>
        </w:rPr>
        <w:t xml:space="preserve">from this counterfactual. Our qualitative research enriches and adds nuance to our understanding of the quantitative analyses of questions 2 and 3. </w:t>
      </w:r>
    </w:p>
    <w:p w:rsidR="00711FAD" w:rsidRPr="00812B89" w:rsidRDefault="00711FAD" w:rsidP="00711FAD">
      <w:pPr>
        <w:pStyle w:val="BodyText"/>
        <w:rPr>
          <w:lang w:val="en-GB"/>
        </w:rPr>
      </w:pPr>
      <w:r w:rsidRPr="00812B89">
        <w:rPr>
          <w:lang w:val="en-GB"/>
        </w:rPr>
        <w:t xml:space="preserve">We address </w:t>
      </w:r>
      <w:r>
        <w:rPr>
          <w:lang w:val="en-GB"/>
        </w:rPr>
        <w:t>E</w:t>
      </w:r>
      <w:r w:rsidRPr="00812B89">
        <w:rPr>
          <w:lang w:val="en-GB"/>
        </w:rPr>
        <w:t xml:space="preserve">valuation </w:t>
      </w:r>
      <w:r>
        <w:rPr>
          <w:lang w:val="en-GB"/>
        </w:rPr>
        <w:t>Q</w:t>
      </w:r>
      <w:r w:rsidRPr="00812B89">
        <w:rPr>
          <w:lang w:val="en-GB"/>
        </w:rPr>
        <w:t>uestions 5, 6</w:t>
      </w:r>
      <w:r>
        <w:rPr>
          <w:lang w:val="en-GB"/>
        </w:rPr>
        <w:t>,</w:t>
      </w:r>
      <w:r w:rsidRPr="00812B89">
        <w:rPr>
          <w:lang w:val="en-GB"/>
        </w:rPr>
        <w:t xml:space="preserve"> and 7 by drawing on and synthesizing the results of </w:t>
      </w:r>
      <w:r>
        <w:rPr>
          <w:lang w:val="en-GB"/>
        </w:rPr>
        <w:t>E</w:t>
      </w:r>
      <w:r w:rsidRPr="00812B89">
        <w:rPr>
          <w:lang w:val="en-GB"/>
        </w:rPr>
        <w:t xml:space="preserve">valuation </w:t>
      </w:r>
      <w:r>
        <w:rPr>
          <w:lang w:val="en-GB"/>
        </w:rPr>
        <w:t>Q</w:t>
      </w:r>
      <w:r w:rsidRPr="00812B89">
        <w:rPr>
          <w:lang w:val="en-GB"/>
        </w:rPr>
        <w:t>uestions 1, 2</w:t>
      </w:r>
      <w:r>
        <w:rPr>
          <w:lang w:val="en-GB"/>
        </w:rPr>
        <w:t>,</w:t>
      </w:r>
      <w:r w:rsidRPr="00812B89">
        <w:rPr>
          <w:lang w:val="en-GB"/>
        </w:rPr>
        <w:t xml:space="preserve"> and 3. </w:t>
      </w:r>
      <w:r>
        <w:rPr>
          <w:lang w:val="en-GB"/>
        </w:rPr>
        <w:fldChar w:fldCharType="begin"/>
      </w:r>
      <w:r>
        <w:rPr>
          <w:lang w:val="en-GB"/>
        </w:rPr>
        <w:instrText xml:space="preserve"> REF _Ref410589473 \h </w:instrText>
      </w:r>
      <w:r>
        <w:rPr>
          <w:lang w:val="en-GB"/>
        </w:rPr>
      </w:r>
      <w:r>
        <w:rPr>
          <w:lang w:val="en-GB"/>
        </w:rPr>
        <w:fldChar w:fldCharType="separate"/>
      </w:r>
      <w:r>
        <w:t xml:space="preserve">Table </w:t>
      </w:r>
      <w:r>
        <w:rPr>
          <w:noProof/>
        </w:rPr>
        <w:t>1</w:t>
      </w:r>
      <w:r>
        <w:rPr>
          <w:lang w:val="en-GB"/>
        </w:rPr>
        <w:fldChar w:fldCharType="end"/>
      </w:r>
      <w:r w:rsidRPr="00812B89">
        <w:rPr>
          <w:lang w:val="en-GB"/>
        </w:rPr>
        <w:t xml:space="preserve"> presents these evaluation questions</w:t>
      </w:r>
      <w:r>
        <w:rPr>
          <w:lang w:val="en-GB"/>
        </w:rPr>
        <w:t>, which</w:t>
      </w:r>
      <w:r w:rsidRPr="00812B89">
        <w:rPr>
          <w:lang w:val="en-GB"/>
        </w:rPr>
        <w:t xml:space="preserve"> have been modified based on the expected impact of the pilot, along with the main method we use to answer the question. </w:t>
      </w:r>
    </w:p>
    <w:p w:rsidR="00711FAD" w:rsidRPr="00812B89" w:rsidRDefault="00711FAD" w:rsidP="00711FAD">
      <w:pPr>
        <w:pStyle w:val="Caption"/>
        <w:rPr>
          <w:lang w:val="en-GB"/>
        </w:rPr>
      </w:pPr>
      <w:bookmarkStart w:id="4" w:name="_Ref410589473"/>
      <w:proofErr w:type="gramStart"/>
      <w:r>
        <w:t xml:space="preserve">Table </w:t>
      </w:r>
      <w:fldSimple w:instr=" SEQ Table \* ARABIC ">
        <w:r>
          <w:rPr>
            <w:noProof/>
          </w:rPr>
          <w:t>1</w:t>
        </w:r>
      </w:fldSimple>
      <w:bookmarkEnd w:id="4"/>
      <w:r w:rsidRPr="00812B89">
        <w:rPr>
          <w:lang w:val="en-GB"/>
        </w:rPr>
        <w:t>.</w:t>
      </w:r>
      <w:proofErr w:type="gramEnd"/>
      <w:r>
        <w:rPr>
          <w:lang w:val="en-GB"/>
        </w:rPr>
        <w:t xml:space="preserve"> </w:t>
      </w:r>
      <w:r w:rsidRPr="005633D9">
        <w:rPr>
          <w:lang w:val="en-GB"/>
        </w:rPr>
        <w:t>Evaluation questions and approaches</w:t>
      </w:r>
    </w:p>
    <w:tbl>
      <w:tblPr>
        <w:tblStyle w:val="AbtFinal"/>
        <w:tblW w:w="0" w:type="auto"/>
        <w:tblLook w:val="04A0" w:firstRow="1" w:lastRow="0" w:firstColumn="1" w:lastColumn="0" w:noHBand="0" w:noVBand="1"/>
      </w:tblPr>
      <w:tblGrid>
        <w:gridCol w:w="381"/>
        <w:gridCol w:w="4598"/>
        <w:gridCol w:w="4597"/>
      </w:tblGrid>
      <w:tr w:rsidR="00711FAD" w:rsidRPr="00812B89" w:rsidTr="00CF4476">
        <w:trPr>
          <w:cnfStyle w:val="100000000000" w:firstRow="1" w:lastRow="0" w:firstColumn="0" w:lastColumn="0" w:oddVBand="0" w:evenVBand="0" w:oddHBand="0" w:evenHBand="0" w:firstRowFirstColumn="0" w:firstRowLastColumn="0" w:lastRowFirstColumn="0" w:lastRowLastColumn="0"/>
          <w:cantSplit/>
        </w:trPr>
        <w:tc>
          <w:tcPr>
            <w:tcW w:w="378" w:type="dxa"/>
          </w:tcPr>
          <w:p w:rsidR="00711FAD" w:rsidRPr="00812B89" w:rsidRDefault="00711FAD" w:rsidP="00CF4476">
            <w:pPr>
              <w:pStyle w:val="ExhibitColumnHead"/>
              <w:rPr>
                <w:b/>
                <w:lang w:val="en-GB"/>
              </w:rPr>
            </w:pPr>
            <w:r w:rsidRPr="00812B89">
              <w:rPr>
                <w:b/>
                <w:lang w:val="en-GB"/>
              </w:rPr>
              <w:t>#</w:t>
            </w:r>
          </w:p>
        </w:tc>
        <w:tc>
          <w:tcPr>
            <w:tcW w:w="4599" w:type="dxa"/>
          </w:tcPr>
          <w:p w:rsidR="00711FAD" w:rsidRPr="00812B89" w:rsidRDefault="00711FAD" w:rsidP="00CF4476">
            <w:pPr>
              <w:pStyle w:val="ExhibitColumnHead"/>
              <w:rPr>
                <w:b/>
                <w:lang w:val="en-GB"/>
              </w:rPr>
            </w:pPr>
            <w:r w:rsidRPr="00812B89">
              <w:rPr>
                <w:b/>
                <w:lang w:val="en-GB"/>
              </w:rPr>
              <w:t>Evaluation Question</w:t>
            </w:r>
          </w:p>
        </w:tc>
        <w:tc>
          <w:tcPr>
            <w:tcW w:w="4599" w:type="dxa"/>
          </w:tcPr>
          <w:p w:rsidR="00711FAD" w:rsidRPr="00812B89" w:rsidRDefault="00711FAD" w:rsidP="00CF4476">
            <w:pPr>
              <w:pStyle w:val="ExhibitColumnHead"/>
              <w:rPr>
                <w:b/>
                <w:lang w:val="en-GB"/>
              </w:rPr>
            </w:pPr>
            <w:r w:rsidRPr="00812B89">
              <w:rPr>
                <w:b/>
                <w:lang w:val="en-GB"/>
              </w:rPr>
              <w:t>Evaluation Method</w:t>
            </w:r>
          </w:p>
        </w:tc>
      </w:tr>
      <w:tr w:rsidR="00711FAD" w:rsidRPr="00812B89" w:rsidTr="00CF4476">
        <w:trPr>
          <w:cnfStyle w:val="000000100000" w:firstRow="0" w:lastRow="0" w:firstColumn="0" w:lastColumn="0" w:oddVBand="0" w:evenVBand="0" w:oddHBand="1" w:evenHBand="0" w:firstRowFirstColumn="0" w:firstRowLastColumn="0" w:lastRowFirstColumn="0" w:lastRowLastColumn="0"/>
          <w:cantSplit/>
        </w:trPr>
        <w:tc>
          <w:tcPr>
            <w:tcW w:w="378" w:type="dxa"/>
          </w:tcPr>
          <w:p w:rsidR="00711FAD" w:rsidRPr="00812B89" w:rsidRDefault="00711FAD" w:rsidP="00CF4476">
            <w:pPr>
              <w:rPr>
                <w:lang w:val="en-GB"/>
              </w:rPr>
            </w:pPr>
            <w:r w:rsidRPr="00812B89">
              <w:rPr>
                <w:lang w:val="en-GB"/>
              </w:rPr>
              <w:t>1.</w:t>
            </w:r>
          </w:p>
        </w:tc>
        <w:tc>
          <w:tcPr>
            <w:tcW w:w="4599" w:type="dxa"/>
          </w:tcPr>
          <w:p w:rsidR="00711FAD" w:rsidRPr="00812B89" w:rsidRDefault="00711FAD" w:rsidP="00CF4476">
            <w:pPr>
              <w:rPr>
                <w:lang w:val="en-GB"/>
              </w:rPr>
            </w:pPr>
            <w:r w:rsidRPr="00812B89">
              <w:rPr>
                <w:lang w:val="en-GB"/>
              </w:rPr>
              <w:t xml:space="preserve">What has been the impact of the </w:t>
            </w:r>
            <w:proofErr w:type="spellStart"/>
            <w:r w:rsidRPr="00812B89">
              <w:rPr>
                <w:lang w:val="en-GB"/>
              </w:rPr>
              <w:t>AgResults</w:t>
            </w:r>
            <w:proofErr w:type="spellEnd"/>
            <w:r w:rsidRPr="00812B89">
              <w:rPr>
                <w:lang w:val="en-GB"/>
              </w:rPr>
              <w:t xml:space="preserve"> pilot on private sector engagement in the development and uptake of on-farm storage?</w:t>
            </w:r>
          </w:p>
        </w:tc>
        <w:tc>
          <w:tcPr>
            <w:tcW w:w="4599" w:type="dxa"/>
          </w:tcPr>
          <w:p w:rsidR="00711FAD" w:rsidRPr="00812B89" w:rsidRDefault="00711FAD" w:rsidP="00CF4476">
            <w:pPr>
              <w:rPr>
                <w:lang w:val="en-GB"/>
              </w:rPr>
            </w:pPr>
            <w:r w:rsidRPr="00812B89">
              <w:rPr>
                <w:lang w:val="en-GB"/>
              </w:rPr>
              <w:t>Theory-based qualitative; SCP focused on the grain value chains for which the on-farm storage is relevant, particularly the maize value chain.</w:t>
            </w:r>
          </w:p>
        </w:tc>
      </w:tr>
      <w:tr w:rsidR="00711FAD" w:rsidRPr="00812B89" w:rsidTr="00CF4476">
        <w:trPr>
          <w:cnfStyle w:val="000000010000" w:firstRow="0" w:lastRow="0" w:firstColumn="0" w:lastColumn="0" w:oddVBand="0" w:evenVBand="0" w:oddHBand="0" w:evenHBand="1" w:firstRowFirstColumn="0" w:firstRowLastColumn="0" w:lastRowFirstColumn="0" w:lastRowLastColumn="0"/>
          <w:cantSplit/>
        </w:trPr>
        <w:tc>
          <w:tcPr>
            <w:tcW w:w="378" w:type="dxa"/>
          </w:tcPr>
          <w:p w:rsidR="00711FAD" w:rsidRPr="00812B89" w:rsidRDefault="00711FAD" w:rsidP="00CF4476">
            <w:pPr>
              <w:rPr>
                <w:lang w:val="en-GB"/>
              </w:rPr>
            </w:pPr>
            <w:r w:rsidRPr="00812B89">
              <w:rPr>
                <w:lang w:val="en-GB"/>
              </w:rPr>
              <w:t>2.</w:t>
            </w:r>
          </w:p>
        </w:tc>
        <w:tc>
          <w:tcPr>
            <w:tcW w:w="4599" w:type="dxa"/>
          </w:tcPr>
          <w:p w:rsidR="00711FAD" w:rsidRPr="00812B89" w:rsidRDefault="00711FAD" w:rsidP="00CF4476">
            <w:pPr>
              <w:rPr>
                <w:lang w:val="en-GB"/>
              </w:rPr>
            </w:pPr>
            <w:r w:rsidRPr="00812B89">
              <w:rPr>
                <w:lang w:val="en-GB"/>
              </w:rPr>
              <w:t xml:space="preserve">What has been the impact of the </w:t>
            </w:r>
            <w:proofErr w:type="spellStart"/>
            <w:r w:rsidRPr="00812B89">
              <w:rPr>
                <w:lang w:val="en-GB"/>
              </w:rPr>
              <w:t>AgResults</w:t>
            </w:r>
            <w:proofErr w:type="spellEnd"/>
            <w:r w:rsidRPr="00812B89">
              <w:rPr>
                <w:lang w:val="en-GB"/>
              </w:rPr>
              <w:t xml:space="preserve"> pilot on the uptake of on-farm storage?</w:t>
            </w:r>
          </w:p>
        </w:tc>
        <w:tc>
          <w:tcPr>
            <w:tcW w:w="4599" w:type="dxa"/>
          </w:tcPr>
          <w:p w:rsidR="00711FAD" w:rsidRPr="00812B89" w:rsidRDefault="00711FAD" w:rsidP="00CF4476">
            <w:pPr>
              <w:rPr>
                <w:lang w:val="en-GB"/>
              </w:rPr>
            </w:pPr>
            <w:r w:rsidRPr="00812B89">
              <w:rPr>
                <w:lang w:val="en-GB"/>
              </w:rPr>
              <w:t>Impact evaluati</w:t>
            </w:r>
            <w:r>
              <w:rPr>
                <w:lang w:val="en-GB"/>
              </w:rPr>
              <w:t>on</w:t>
            </w:r>
            <w:r w:rsidRPr="00812B89">
              <w:rPr>
                <w:lang w:val="en-GB"/>
              </w:rPr>
              <w:t xml:space="preserve"> using SITS supplemented by qualitative interviews.</w:t>
            </w:r>
          </w:p>
        </w:tc>
      </w:tr>
      <w:tr w:rsidR="00711FAD" w:rsidRPr="00812B89" w:rsidTr="00CF4476">
        <w:trPr>
          <w:cnfStyle w:val="000000100000" w:firstRow="0" w:lastRow="0" w:firstColumn="0" w:lastColumn="0" w:oddVBand="0" w:evenVBand="0" w:oddHBand="1" w:evenHBand="0" w:firstRowFirstColumn="0" w:firstRowLastColumn="0" w:lastRowFirstColumn="0" w:lastRowLastColumn="0"/>
          <w:cantSplit/>
        </w:trPr>
        <w:tc>
          <w:tcPr>
            <w:tcW w:w="378" w:type="dxa"/>
          </w:tcPr>
          <w:p w:rsidR="00711FAD" w:rsidRPr="00812B89" w:rsidRDefault="00711FAD" w:rsidP="00CF4476">
            <w:pPr>
              <w:rPr>
                <w:lang w:val="en-GB"/>
              </w:rPr>
            </w:pPr>
            <w:r w:rsidRPr="00812B89">
              <w:rPr>
                <w:lang w:val="en-GB"/>
              </w:rPr>
              <w:t>3.</w:t>
            </w:r>
          </w:p>
        </w:tc>
        <w:tc>
          <w:tcPr>
            <w:tcW w:w="4599" w:type="dxa"/>
          </w:tcPr>
          <w:p w:rsidR="00711FAD" w:rsidRPr="00812B89" w:rsidRDefault="00711FAD" w:rsidP="00CF4476">
            <w:pPr>
              <w:rPr>
                <w:lang w:val="en-GB"/>
              </w:rPr>
            </w:pPr>
            <w:r w:rsidRPr="00812B89">
              <w:rPr>
                <w:lang w:val="en-GB"/>
              </w:rPr>
              <w:t xml:space="preserve">What has been the impact of the </w:t>
            </w:r>
            <w:proofErr w:type="spellStart"/>
            <w:r w:rsidRPr="00812B89">
              <w:rPr>
                <w:lang w:val="en-GB"/>
              </w:rPr>
              <w:t>AgResults</w:t>
            </w:r>
            <w:proofErr w:type="spellEnd"/>
            <w:r w:rsidRPr="00812B89">
              <w:rPr>
                <w:lang w:val="en-GB"/>
              </w:rPr>
              <w:t xml:space="preserve"> pilot on smallholder’s maize revenue, and </w:t>
            </w:r>
            <w:r>
              <w:rPr>
                <w:lang w:val="en-GB"/>
              </w:rPr>
              <w:t>food security</w:t>
            </w:r>
            <w:r w:rsidRPr="00812B89">
              <w:rPr>
                <w:lang w:val="en-GB"/>
              </w:rPr>
              <w:t>?</w:t>
            </w:r>
          </w:p>
        </w:tc>
        <w:tc>
          <w:tcPr>
            <w:tcW w:w="4599" w:type="dxa"/>
          </w:tcPr>
          <w:p w:rsidR="00711FAD" w:rsidRPr="00812B89" w:rsidRDefault="00711FAD" w:rsidP="00CF4476">
            <w:pPr>
              <w:rPr>
                <w:lang w:val="en-GB"/>
              </w:rPr>
            </w:pPr>
            <w:r w:rsidRPr="00812B89">
              <w:rPr>
                <w:lang w:val="en-GB"/>
              </w:rPr>
              <w:t>Impact evaluati</w:t>
            </w:r>
            <w:r>
              <w:rPr>
                <w:lang w:val="en-GB"/>
              </w:rPr>
              <w:t>on</w:t>
            </w:r>
            <w:r w:rsidRPr="00812B89">
              <w:rPr>
                <w:lang w:val="en-GB"/>
              </w:rPr>
              <w:t xml:space="preserve"> using SITS supplemented by qualitative interviews for maize revenue, before and after analysis for maize consumption in lean season</w:t>
            </w:r>
            <w:r>
              <w:rPr>
                <w:lang w:val="en-GB"/>
              </w:rPr>
              <w:t>.</w:t>
            </w:r>
          </w:p>
        </w:tc>
      </w:tr>
      <w:tr w:rsidR="00711FAD" w:rsidRPr="00812B89" w:rsidTr="00CF4476">
        <w:trPr>
          <w:cnfStyle w:val="000000010000" w:firstRow="0" w:lastRow="0" w:firstColumn="0" w:lastColumn="0" w:oddVBand="0" w:evenVBand="0" w:oddHBand="0" w:evenHBand="1" w:firstRowFirstColumn="0" w:firstRowLastColumn="0" w:lastRowFirstColumn="0" w:lastRowLastColumn="0"/>
          <w:cantSplit/>
        </w:trPr>
        <w:tc>
          <w:tcPr>
            <w:tcW w:w="378" w:type="dxa"/>
          </w:tcPr>
          <w:p w:rsidR="00711FAD" w:rsidRPr="00812B89" w:rsidRDefault="00711FAD" w:rsidP="00CF4476">
            <w:pPr>
              <w:rPr>
                <w:lang w:val="en-GB"/>
              </w:rPr>
            </w:pPr>
            <w:r w:rsidRPr="00812B89">
              <w:rPr>
                <w:lang w:val="en-GB"/>
              </w:rPr>
              <w:t>4.</w:t>
            </w:r>
          </w:p>
        </w:tc>
        <w:tc>
          <w:tcPr>
            <w:tcW w:w="4599" w:type="dxa"/>
          </w:tcPr>
          <w:p w:rsidR="00711FAD" w:rsidRPr="00812B89" w:rsidRDefault="00711FAD" w:rsidP="00CF4476">
            <w:pPr>
              <w:rPr>
                <w:i/>
                <w:lang w:val="en-GB"/>
              </w:rPr>
            </w:pPr>
            <w:r w:rsidRPr="00812B89">
              <w:rPr>
                <w:lang w:val="en-GB"/>
              </w:rPr>
              <w:t xml:space="preserve"> </w:t>
            </w:r>
            <w:r w:rsidRPr="00812B89">
              <w:rPr>
                <w:i/>
                <w:lang w:val="en-GB"/>
              </w:rPr>
              <w:t>Not relevant for Kenya pilot.</w:t>
            </w:r>
          </w:p>
        </w:tc>
        <w:tc>
          <w:tcPr>
            <w:tcW w:w="4599" w:type="dxa"/>
          </w:tcPr>
          <w:p w:rsidR="00711FAD" w:rsidRPr="00812B89" w:rsidRDefault="00711FAD" w:rsidP="00CF4476">
            <w:pPr>
              <w:rPr>
                <w:i/>
                <w:lang w:val="en-GB"/>
              </w:rPr>
            </w:pPr>
            <w:r w:rsidRPr="00812B89">
              <w:rPr>
                <w:i/>
                <w:lang w:val="en-GB"/>
              </w:rPr>
              <w:t>N/A</w:t>
            </w:r>
          </w:p>
        </w:tc>
      </w:tr>
      <w:tr w:rsidR="00711FAD" w:rsidRPr="00812B89" w:rsidTr="00CF4476">
        <w:trPr>
          <w:cnfStyle w:val="000000100000" w:firstRow="0" w:lastRow="0" w:firstColumn="0" w:lastColumn="0" w:oddVBand="0" w:evenVBand="0" w:oddHBand="1" w:evenHBand="0" w:firstRowFirstColumn="0" w:firstRowLastColumn="0" w:lastRowFirstColumn="0" w:lastRowLastColumn="0"/>
          <w:cantSplit/>
        </w:trPr>
        <w:tc>
          <w:tcPr>
            <w:tcW w:w="378" w:type="dxa"/>
          </w:tcPr>
          <w:p w:rsidR="00711FAD" w:rsidRPr="00812B89" w:rsidRDefault="00711FAD" w:rsidP="00CF4476">
            <w:pPr>
              <w:rPr>
                <w:lang w:val="en-GB"/>
              </w:rPr>
            </w:pPr>
            <w:r w:rsidRPr="00812B89">
              <w:rPr>
                <w:lang w:val="en-GB"/>
              </w:rPr>
              <w:t>5.</w:t>
            </w:r>
          </w:p>
        </w:tc>
        <w:tc>
          <w:tcPr>
            <w:tcW w:w="4599" w:type="dxa"/>
          </w:tcPr>
          <w:p w:rsidR="00711FAD" w:rsidRPr="00812B89" w:rsidRDefault="00711FAD" w:rsidP="00CF4476">
            <w:pPr>
              <w:rPr>
                <w:lang w:val="en-GB"/>
              </w:rPr>
            </w:pPr>
            <w:r w:rsidRPr="00812B89">
              <w:rPr>
                <w:lang w:val="en-GB"/>
              </w:rPr>
              <w:t>What evidence exists that the effect</w:t>
            </w:r>
            <w:r>
              <w:rPr>
                <w:lang w:val="en-GB"/>
              </w:rPr>
              <w:t xml:space="preserve">s of the </w:t>
            </w:r>
            <w:proofErr w:type="spellStart"/>
            <w:r>
              <w:rPr>
                <w:lang w:val="en-GB"/>
              </w:rPr>
              <w:t>AgResults</w:t>
            </w:r>
            <w:proofErr w:type="spellEnd"/>
            <w:r>
              <w:rPr>
                <w:lang w:val="en-GB"/>
              </w:rPr>
              <w:t xml:space="preserve"> pilot</w:t>
            </w:r>
            <w:r w:rsidRPr="00812B89">
              <w:rPr>
                <w:lang w:val="en-GB"/>
              </w:rPr>
              <w:t xml:space="preserve"> will be sustainable in the medium to the long term?</w:t>
            </w:r>
          </w:p>
        </w:tc>
        <w:tc>
          <w:tcPr>
            <w:tcW w:w="4599" w:type="dxa"/>
          </w:tcPr>
          <w:p w:rsidR="00711FAD" w:rsidRPr="00812B89" w:rsidRDefault="00711FAD" w:rsidP="00CF4476">
            <w:pPr>
              <w:rPr>
                <w:lang w:val="en-GB"/>
              </w:rPr>
            </w:pPr>
            <w:r w:rsidRPr="00812B89">
              <w:rPr>
                <w:lang w:val="en-GB"/>
              </w:rPr>
              <w:t>Synthesis of results from SCP and impact evaluation.</w:t>
            </w:r>
          </w:p>
        </w:tc>
      </w:tr>
      <w:tr w:rsidR="00711FAD" w:rsidRPr="00812B89" w:rsidTr="00CF4476">
        <w:trPr>
          <w:cnfStyle w:val="000000010000" w:firstRow="0" w:lastRow="0" w:firstColumn="0" w:lastColumn="0" w:oddVBand="0" w:evenVBand="0" w:oddHBand="0" w:evenHBand="1" w:firstRowFirstColumn="0" w:firstRowLastColumn="0" w:lastRowFirstColumn="0" w:lastRowLastColumn="0"/>
          <w:cantSplit/>
        </w:trPr>
        <w:tc>
          <w:tcPr>
            <w:tcW w:w="378" w:type="dxa"/>
          </w:tcPr>
          <w:p w:rsidR="00711FAD" w:rsidRPr="00812B89" w:rsidRDefault="00711FAD" w:rsidP="00CF4476">
            <w:pPr>
              <w:rPr>
                <w:lang w:val="en-GB"/>
              </w:rPr>
            </w:pPr>
            <w:r w:rsidRPr="00812B89">
              <w:rPr>
                <w:lang w:val="en-GB"/>
              </w:rPr>
              <w:t>6.</w:t>
            </w:r>
          </w:p>
        </w:tc>
        <w:tc>
          <w:tcPr>
            <w:tcW w:w="4599" w:type="dxa"/>
          </w:tcPr>
          <w:p w:rsidR="00711FAD" w:rsidRPr="00812B89" w:rsidRDefault="00711FAD" w:rsidP="00CF4476">
            <w:pPr>
              <w:rPr>
                <w:lang w:val="en-GB"/>
              </w:rPr>
            </w:pPr>
            <w:r w:rsidRPr="00812B89">
              <w:rPr>
                <w:lang w:val="en-GB"/>
              </w:rPr>
              <w:t>What is the evidence on the scale of any effect on private sector investment and uptake</w:t>
            </w:r>
            <w:r>
              <w:rPr>
                <w:lang w:val="en-GB"/>
              </w:rPr>
              <w:t xml:space="preserve"> and</w:t>
            </w:r>
            <w:r w:rsidRPr="00812B89">
              <w:rPr>
                <w:lang w:val="en-GB"/>
              </w:rPr>
              <w:t xml:space="preserve"> on the cost-effectiveness of </w:t>
            </w:r>
            <w:proofErr w:type="spellStart"/>
            <w:r w:rsidRPr="00812B89">
              <w:rPr>
                <w:lang w:val="en-GB"/>
              </w:rPr>
              <w:t>AgResults</w:t>
            </w:r>
            <w:proofErr w:type="spellEnd"/>
            <w:r w:rsidRPr="00812B89">
              <w:rPr>
                <w:lang w:val="en-GB"/>
              </w:rPr>
              <w:t xml:space="preserve"> as an approach? </w:t>
            </w:r>
          </w:p>
        </w:tc>
        <w:tc>
          <w:tcPr>
            <w:tcW w:w="4599" w:type="dxa"/>
          </w:tcPr>
          <w:p w:rsidR="00711FAD" w:rsidRPr="00812B89" w:rsidRDefault="00711FAD" w:rsidP="00CF4476">
            <w:pPr>
              <w:rPr>
                <w:lang w:val="en-GB"/>
              </w:rPr>
            </w:pPr>
            <w:r w:rsidRPr="00812B89">
              <w:rPr>
                <w:lang w:val="en-GB"/>
              </w:rPr>
              <w:t>Synthesis of results from SCP, with focus on market infrastructure and per-unit cost effectiveness of key outcomes from the impact evaluation.</w:t>
            </w:r>
          </w:p>
        </w:tc>
      </w:tr>
      <w:tr w:rsidR="00711FAD" w:rsidRPr="00812B89" w:rsidTr="00CF4476">
        <w:trPr>
          <w:cnfStyle w:val="000000100000" w:firstRow="0" w:lastRow="0" w:firstColumn="0" w:lastColumn="0" w:oddVBand="0" w:evenVBand="0" w:oddHBand="1" w:evenHBand="0" w:firstRowFirstColumn="0" w:firstRowLastColumn="0" w:lastRowFirstColumn="0" w:lastRowLastColumn="0"/>
          <w:cantSplit/>
        </w:trPr>
        <w:tc>
          <w:tcPr>
            <w:tcW w:w="378" w:type="dxa"/>
          </w:tcPr>
          <w:p w:rsidR="00711FAD" w:rsidRPr="00812B89" w:rsidRDefault="00711FAD" w:rsidP="00CF4476">
            <w:pPr>
              <w:rPr>
                <w:lang w:val="en-GB"/>
              </w:rPr>
            </w:pPr>
            <w:r w:rsidRPr="00812B89">
              <w:rPr>
                <w:lang w:val="en-GB"/>
              </w:rPr>
              <w:t>7.</w:t>
            </w:r>
          </w:p>
        </w:tc>
        <w:tc>
          <w:tcPr>
            <w:tcW w:w="4599" w:type="dxa"/>
          </w:tcPr>
          <w:p w:rsidR="00711FAD" w:rsidRPr="00812B89" w:rsidRDefault="00711FAD" w:rsidP="00CF4476">
            <w:pPr>
              <w:rPr>
                <w:lang w:val="en-GB"/>
              </w:rPr>
            </w:pPr>
            <w:r w:rsidRPr="00812B89">
              <w:rPr>
                <w:lang w:val="en-GB"/>
              </w:rPr>
              <w:t xml:space="preserve">What lessons can be learnt about </w:t>
            </w:r>
            <w:r>
              <w:rPr>
                <w:lang w:val="en-GB"/>
              </w:rPr>
              <w:t>best</w:t>
            </w:r>
            <w:r w:rsidRPr="00812B89">
              <w:rPr>
                <w:lang w:val="en-GB"/>
              </w:rPr>
              <w:t xml:space="preserve"> practices in the design and implementation of agricultural pull mechanisms? </w:t>
            </w:r>
          </w:p>
        </w:tc>
        <w:tc>
          <w:tcPr>
            <w:tcW w:w="4599" w:type="dxa"/>
          </w:tcPr>
          <w:p w:rsidR="00711FAD" w:rsidRPr="00812B89" w:rsidRDefault="00711FAD" w:rsidP="00CF4476">
            <w:pPr>
              <w:rPr>
                <w:lang w:val="en-GB"/>
              </w:rPr>
            </w:pPr>
            <w:r w:rsidRPr="00812B89">
              <w:rPr>
                <w:lang w:val="en-GB"/>
              </w:rPr>
              <w:t xml:space="preserve">Compilation of results from all </w:t>
            </w:r>
            <w:proofErr w:type="spellStart"/>
            <w:r w:rsidRPr="00812B89">
              <w:rPr>
                <w:lang w:val="en-GB"/>
              </w:rPr>
              <w:t>AgResults</w:t>
            </w:r>
            <w:proofErr w:type="spellEnd"/>
            <w:r w:rsidRPr="00812B89">
              <w:rPr>
                <w:lang w:val="en-GB"/>
              </w:rPr>
              <w:t xml:space="preserve"> pilot evaluations.</w:t>
            </w:r>
          </w:p>
        </w:tc>
      </w:tr>
    </w:tbl>
    <w:p w:rsidR="00711FAD" w:rsidRDefault="00711FAD" w:rsidP="00711FAD"/>
    <w:p w:rsidR="00676E70" w:rsidRDefault="00676E70" w:rsidP="00123F97">
      <w:pPr>
        <w:pStyle w:val="Heading1"/>
      </w:pPr>
      <w:r>
        <w:t>Short Interrupted Time Series Model</w:t>
      </w:r>
    </w:p>
    <w:p w:rsidR="00CF4476" w:rsidRDefault="00CF4476" w:rsidP="00CF4476">
      <w:pPr>
        <w:rPr>
          <w:lang w:val="en-GB"/>
        </w:rPr>
      </w:pPr>
      <w:r w:rsidRPr="00081646">
        <w:rPr>
          <w:lang w:val="en-GB"/>
        </w:rPr>
        <w:t xml:space="preserve">The second and third evaluation questions stated above ask about the impact of the </w:t>
      </w:r>
      <w:proofErr w:type="spellStart"/>
      <w:r w:rsidRPr="00081646">
        <w:rPr>
          <w:lang w:val="en-GB"/>
        </w:rPr>
        <w:t>AgResults</w:t>
      </w:r>
      <w:proofErr w:type="spellEnd"/>
      <w:r w:rsidRPr="00081646">
        <w:rPr>
          <w:lang w:val="en-GB"/>
        </w:rPr>
        <w:t xml:space="preserve"> pilot on smallholder actions and outcomes.</w:t>
      </w:r>
      <w:r>
        <w:rPr>
          <w:lang w:val="en-GB"/>
        </w:rPr>
        <w:t xml:space="preserve"> In particular, these questions pertain to the impact of </w:t>
      </w:r>
      <w:r>
        <w:rPr>
          <w:lang w:val="en-GB"/>
        </w:rPr>
        <w:lastRenderedPageBreak/>
        <w:t xml:space="preserve">the pilot on two primary outcome measures: smallholders’ uptake of on-farm storage solutions and smallholders’ </w:t>
      </w:r>
      <w:r w:rsidR="00D264E5">
        <w:rPr>
          <w:lang w:val="en-GB"/>
        </w:rPr>
        <w:t>maize revenue</w:t>
      </w:r>
      <w:r>
        <w:rPr>
          <w:lang w:val="en-GB"/>
        </w:rPr>
        <w:t xml:space="preserve"> (which are referred to as “targeted” or “treated” outcome measures throughout this </w:t>
      </w:r>
      <w:r w:rsidR="00326FBB">
        <w:rPr>
          <w:lang w:val="en-GB"/>
        </w:rPr>
        <w:t>section).</w:t>
      </w:r>
      <w:r w:rsidRPr="00D46BDE">
        <w:rPr>
          <w:lang w:val="en-GB"/>
        </w:rPr>
        <w:t xml:space="preserve"> In addition, we </w:t>
      </w:r>
      <w:r w:rsidRPr="00EB7BD7">
        <w:rPr>
          <w:lang w:val="en-GB"/>
        </w:rPr>
        <w:t>will also</w:t>
      </w:r>
      <w:r w:rsidRPr="00D46BDE">
        <w:rPr>
          <w:lang w:val="en-GB"/>
        </w:rPr>
        <w:t xml:space="preserve"> examin</w:t>
      </w:r>
      <w:r w:rsidRPr="00EB7BD7">
        <w:rPr>
          <w:lang w:val="en-GB"/>
        </w:rPr>
        <w:t>e</w:t>
      </w:r>
      <w:r w:rsidRPr="00D46BDE">
        <w:rPr>
          <w:lang w:val="en-GB"/>
        </w:rPr>
        <w:t xml:space="preserve"> the pilot’s impact on smallholder’s food security as measured by number of months the stored grain is available for own consumption (referred to hereon as food security).  Furthermore, we plan to also assess the impact of the program on other outcomes such as smallholder’s access to improved storage technologies, and smallholder’s knowledge and attitude about other storage practices that are essential for successful use of the technology. For example, if farmers do not dry the grain properly, or do not clean the grain properly then the improved technologies will not be effective.  While the impact</w:t>
      </w:r>
      <w:r>
        <w:rPr>
          <w:lang w:val="en-GB"/>
        </w:rPr>
        <w:t xml:space="preserve"> of the pilot on these outcomes will be analysed using the same approach that will be used for the two primary outcomes (namely short interrupted time series methodology which is de</w:t>
      </w:r>
      <w:r w:rsidR="00326FBB">
        <w:rPr>
          <w:lang w:val="en-GB"/>
        </w:rPr>
        <w:t xml:space="preserve">scribed in more detail below), </w:t>
      </w:r>
      <w:r>
        <w:rPr>
          <w:lang w:val="en-GB"/>
        </w:rPr>
        <w:t xml:space="preserve">the statistical power analysis and the determination of the sample size requirements focused </w:t>
      </w:r>
      <w:proofErr w:type="gramStart"/>
      <w:r>
        <w:rPr>
          <w:lang w:val="en-GB"/>
        </w:rPr>
        <w:t>on  the</w:t>
      </w:r>
      <w:proofErr w:type="gramEnd"/>
      <w:r>
        <w:rPr>
          <w:lang w:val="en-GB"/>
        </w:rPr>
        <w:t xml:space="preserve"> two primary outcomes.  </w:t>
      </w:r>
    </w:p>
    <w:p w:rsidR="00CF4476" w:rsidRPr="00081646" w:rsidRDefault="00CF4476" w:rsidP="00CF4476">
      <w:pPr>
        <w:rPr>
          <w:lang w:val="en-GB"/>
        </w:rPr>
      </w:pPr>
      <w:r>
        <w:rPr>
          <w:lang w:val="en-GB"/>
        </w:rPr>
        <w:t xml:space="preserve">In what follows, by </w:t>
      </w:r>
      <w:r w:rsidRPr="00081646">
        <w:rPr>
          <w:lang w:val="en-GB"/>
        </w:rPr>
        <w:t xml:space="preserve">“impact” we mean the difference between results with the </w:t>
      </w:r>
      <w:proofErr w:type="spellStart"/>
      <w:r w:rsidRPr="00081646">
        <w:rPr>
          <w:lang w:val="en-GB"/>
        </w:rPr>
        <w:t>AgResults</w:t>
      </w:r>
      <w:proofErr w:type="spellEnd"/>
      <w:r w:rsidRPr="00081646">
        <w:rPr>
          <w:lang w:val="en-GB"/>
        </w:rPr>
        <w:t xml:space="preserve"> incentives present in the market—with whatever private sector supplier activities they bring—and what would have happened to the same smallholders without these factors present. Obviously, we cannot obtain data on the latter once the pilot begins in the target areas of Kenya. In this section, we describe how we will answer these questions in light of this challenge. The goal is to attribute technology adoption and income results to the </w:t>
      </w:r>
      <w:proofErr w:type="spellStart"/>
      <w:r w:rsidRPr="00081646">
        <w:rPr>
          <w:lang w:val="en-GB"/>
        </w:rPr>
        <w:t>AgResults</w:t>
      </w:r>
      <w:proofErr w:type="spellEnd"/>
      <w:r w:rsidRPr="00081646">
        <w:rPr>
          <w:lang w:val="en-GB"/>
        </w:rPr>
        <w:t xml:space="preserve"> pilot and other causal factors such as pre-existing market trends and shifts in agricultural inputs of other sorts. We begin with a description of the “short interrupted time series” approach for conducting this analysis, which is intended to pull apart influences on farmer outcomes to isolate the effect of the pilot intervention. Subsequent subsections give the detailed model for our planned statistical analysis and consider statistical power to detect impacts and the required sample sizes in the Rift Valley and Eastern </w:t>
      </w:r>
      <w:r w:rsidR="006E57A3">
        <w:rPr>
          <w:lang w:val="en-GB"/>
        </w:rPr>
        <w:t>regions</w:t>
      </w:r>
      <w:r w:rsidRPr="00081646">
        <w:rPr>
          <w:lang w:val="en-GB"/>
        </w:rPr>
        <w:t>.</w:t>
      </w:r>
    </w:p>
    <w:p w:rsidR="00CF4476" w:rsidRPr="00081646" w:rsidRDefault="00CF4476" w:rsidP="00123F97">
      <w:pPr>
        <w:pStyle w:val="Heading2"/>
        <w:rPr>
          <w:lang w:val="en-GB"/>
        </w:rPr>
      </w:pPr>
      <w:bookmarkStart w:id="5" w:name="_Toc391463663"/>
      <w:r w:rsidRPr="00081646">
        <w:rPr>
          <w:lang w:val="en-GB"/>
        </w:rPr>
        <w:t>Short interrupted time-series design</w:t>
      </w:r>
      <w:bookmarkEnd w:id="5"/>
    </w:p>
    <w:p w:rsidR="00CF4476" w:rsidRPr="00081646" w:rsidRDefault="00CF4476" w:rsidP="00CF4476">
      <w:pPr>
        <w:rPr>
          <w:lang w:val="en-GB"/>
        </w:rPr>
      </w:pPr>
      <w:r w:rsidRPr="00081646">
        <w:rPr>
          <w:lang w:val="en-GB"/>
        </w:rPr>
        <w:t>Randomized control trials (RCTs)—which split potential program participants into statistically equivalent groups through a lottery and provide the intervention to just one of those groups—are regarded as the gold standard for calculating impacts of programs. Due to the randomness of the split, an RCT results in the study’s “treatment” and “control” groups being balanced on both observable and unobservable characteristics. Hence, their outcomes will differ only to the extent that the intervention has an impact on the treatment group; it is this outcome difference that reveals the intervention’s effects.</w:t>
      </w:r>
    </w:p>
    <w:p w:rsidR="00CF4476" w:rsidRPr="00081646" w:rsidRDefault="00CF4476" w:rsidP="00CF4476">
      <w:pPr>
        <w:rPr>
          <w:lang w:val="en-GB"/>
        </w:rPr>
      </w:pPr>
      <w:r w:rsidRPr="00081646">
        <w:rPr>
          <w:lang w:val="en-GB"/>
        </w:rPr>
        <w:t xml:space="preserve">When RCTs are not feasible, researchers utilize quasi-experimental designs (QEDs), which compare outcomes of program participants (the treatment group) to a counterfactual that represents their hypothetical outcome levels in the absence of the treatment. An RCT is not feasible for the on-farm storage pilot because implementers have a business incentive to market their technologies to all target areas for the pilot and to all farmers in those areas (through broad advertising and other means), leaving no potential for an equivalent “untreated” set of farmers to be drawn from that pool at random. </w:t>
      </w:r>
    </w:p>
    <w:p w:rsidR="00CF4476" w:rsidRPr="00081646" w:rsidRDefault="00CF4476" w:rsidP="00CF4476">
      <w:pPr>
        <w:rPr>
          <w:lang w:val="en-GB"/>
        </w:rPr>
      </w:pPr>
      <w:proofErr w:type="gramStart"/>
      <w:r w:rsidRPr="00081646">
        <w:rPr>
          <w:b/>
          <w:lang w:val="en-GB"/>
        </w:rPr>
        <w:t>Selection of a quasi-experimental design option.</w:t>
      </w:r>
      <w:proofErr w:type="gramEnd"/>
      <w:r w:rsidRPr="00081646">
        <w:rPr>
          <w:b/>
          <w:lang w:val="en-GB"/>
        </w:rPr>
        <w:t xml:space="preserve"> </w:t>
      </w:r>
      <w:r w:rsidRPr="00081646">
        <w:rPr>
          <w:lang w:val="en-GB"/>
        </w:rPr>
        <w:t xml:space="preserve">The most commonly used QED entails comparing the outcomes of the treatment group to a group of units that has similar baseline characteristics to the treatment group members but is not exposed to the treatment—the so-called “comparison group”. By minimizing the observable differences between the two groups, this </w:t>
      </w:r>
      <w:r w:rsidRPr="00081646">
        <w:rPr>
          <w:lang w:val="en-GB"/>
        </w:rPr>
        <w:lastRenderedPageBreak/>
        <w:t xml:space="preserve">method alleviates the bias in the treatment effect estimates that could arise due to the influence of other programs, interventions, or initiatives that may act as confounders. </w:t>
      </w:r>
    </w:p>
    <w:p w:rsidR="00CF4476" w:rsidRPr="00081646" w:rsidRDefault="00CF4476" w:rsidP="00CF4476">
      <w:pPr>
        <w:rPr>
          <w:lang w:val="en-GB"/>
        </w:rPr>
      </w:pPr>
      <w:r w:rsidRPr="00081646">
        <w:rPr>
          <w:lang w:val="en-GB"/>
        </w:rPr>
        <w:t xml:space="preserve">The business </w:t>
      </w:r>
      <w:r w:rsidR="00D264E5">
        <w:rPr>
          <w:lang w:val="en-GB"/>
        </w:rPr>
        <w:t>plan</w:t>
      </w:r>
      <w:r w:rsidRPr="00081646">
        <w:rPr>
          <w:lang w:val="en-GB"/>
        </w:rPr>
        <w:t xml:space="preserve"> for </w:t>
      </w:r>
      <w:proofErr w:type="spellStart"/>
      <w:r w:rsidRPr="00081646">
        <w:rPr>
          <w:lang w:val="en-GB"/>
        </w:rPr>
        <w:t>AgResults</w:t>
      </w:r>
      <w:proofErr w:type="spellEnd"/>
      <w:r w:rsidRPr="00081646">
        <w:rPr>
          <w:lang w:val="en-GB"/>
        </w:rPr>
        <w:t xml:space="preserve"> proposed to estimate the effects of the pilot program by comparing two outcome measures—smallholders’ uptake of on-farm storage and income—between a treatment group that consists of smallholders in areas targeted by the program and a comparison group that consists of smallholders in similar but untargeted areas. During our visit to the potential target areas in April 2014, we observed that this strategy may not be feasible due to (1) potentially substantial differences between targeted and untargeted areas and (2) the extensive effort that may be required at the onset of the evaluation to identify appropriate farmers to study in comparison sites. </w:t>
      </w:r>
    </w:p>
    <w:p w:rsidR="00CF4476" w:rsidRPr="00081646" w:rsidRDefault="00CF4476" w:rsidP="00CF4476">
      <w:pPr>
        <w:rPr>
          <w:lang w:val="en-GB"/>
        </w:rPr>
      </w:pPr>
      <w:r w:rsidRPr="00081646">
        <w:rPr>
          <w:lang w:val="en-GB"/>
        </w:rPr>
        <w:t>As a result, we turned our attention to a QED that uses multiple pre-intervention data points to form the counterfactual, the short (or abbreviated) interrupted time</w:t>
      </w:r>
      <w:r>
        <w:rPr>
          <w:lang w:val="en-GB"/>
        </w:rPr>
        <w:t>-</w:t>
      </w:r>
      <w:r w:rsidRPr="00081646">
        <w:rPr>
          <w:lang w:val="en-GB"/>
        </w:rPr>
        <w:t>series (SITS) design. The SITS design measures the intervention impact as a departure from the expected levels of the outcome measure</w:t>
      </w:r>
      <w:r>
        <w:rPr>
          <w:lang w:val="en-GB"/>
        </w:rPr>
        <w:t xml:space="preserve"> (in this case smallholders’ uptake of on-farm solutions, smallholder income or food security)</w:t>
      </w:r>
      <w:r w:rsidRPr="00081646">
        <w:rPr>
          <w:lang w:val="en-GB"/>
        </w:rPr>
        <w:t xml:space="preserve"> were the treatment not introduced (e.g., </w:t>
      </w:r>
      <w:proofErr w:type="spellStart"/>
      <w:r w:rsidRPr="00081646">
        <w:rPr>
          <w:lang w:val="en-GB"/>
        </w:rPr>
        <w:t>Shadish</w:t>
      </w:r>
      <w:proofErr w:type="spellEnd"/>
      <w:r w:rsidRPr="00081646">
        <w:rPr>
          <w:lang w:val="en-GB"/>
        </w:rPr>
        <w:t xml:space="preserve">, Cook, and Campbell 2002; Bloom 2003). Specifically, this design entails (1) generating a counterfactual for the outcome measure, which represents the expected level of the outcome in the post-intervention period in the absence of the treatment and is constructed by projecting the trend in pre-intervention observations of the outcome measure, and (2) modelling the treatment effect as a deviation from this counterfactual. </w:t>
      </w:r>
    </w:p>
    <w:p w:rsidR="00CF4476" w:rsidRPr="00081646" w:rsidRDefault="00CF4476" w:rsidP="00CF4476">
      <w:pPr>
        <w:rPr>
          <w:lang w:val="en-GB"/>
        </w:rPr>
      </w:pPr>
      <w:r w:rsidRPr="00081646">
        <w:rPr>
          <w:b/>
          <w:lang w:val="en-GB"/>
        </w:rPr>
        <w:t xml:space="preserve">The short interrupted time-series approach. </w:t>
      </w:r>
      <w:r w:rsidRPr="00081646">
        <w:rPr>
          <w:lang w:val="en-GB"/>
        </w:rPr>
        <w:t>Figures 3a and 3b demonstrate a stylized application of the SITS approach for estimating</w:t>
      </w:r>
      <w:r w:rsidR="00326FBB">
        <w:rPr>
          <w:lang w:val="en-GB"/>
        </w:rPr>
        <w:t xml:space="preserve"> the effect of a treatment on a</w:t>
      </w:r>
      <w:r>
        <w:rPr>
          <w:lang w:val="en-GB"/>
        </w:rPr>
        <w:t xml:space="preserve"> targeted (or treated)</w:t>
      </w:r>
      <w:r w:rsidRPr="00081646">
        <w:rPr>
          <w:lang w:val="en-GB"/>
        </w:rPr>
        <w:t xml:space="preserve"> outcome measure</w:t>
      </w:r>
      <w:r>
        <w:rPr>
          <w:lang w:val="en-GB"/>
        </w:rPr>
        <w:t xml:space="preserve"> </w:t>
      </w:r>
      <w:r w:rsidRPr="00081646">
        <w:rPr>
          <w:lang w:val="en-GB"/>
        </w:rPr>
        <w:t xml:space="preserve">with a positive linear trend in the pre-intervention period. In these figures, the y-axis shows the average level of the outcome </w:t>
      </w:r>
      <w:r>
        <w:rPr>
          <w:lang w:val="en-GB"/>
        </w:rPr>
        <w:t>for</w:t>
      </w:r>
      <w:r w:rsidRPr="00081646">
        <w:rPr>
          <w:lang w:val="en-GB"/>
        </w:rPr>
        <w:t xml:space="preserve"> the sample, and the x-axis represents the time points. There are three pre-intervention observations in this illustration (time=1, 2, and 3) and three post-intervention observations (time=4, 5, and 6) with the treatment introduced between the third and fourth time points. Pre-intervention time points will be collected through retrospective questions to farmers (on the baseline survey) about previous harvests and practices. The solid line in the pre-intervention period tracks outcomes prior to the pilot and captures the upward trend in the outcome measure. The counterfactual, which is represented by the dotted line, is obtained by extrapolating the pre-program trend information into the post-intervention period following the solid line upward to the right. </w:t>
      </w:r>
    </w:p>
    <w:p w:rsidR="00CF4476" w:rsidRPr="00081646" w:rsidRDefault="00326FBB" w:rsidP="00CF4476">
      <w:pPr>
        <w:pStyle w:val="Caption"/>
        <w:rPr>
          <w:lang w:val="en-GB"/>
        </w:rPr>
      </w:pPr>
      <w:proofErr w:type="gramStart"/>
      <w:r>
        <w:rPr>
          <w:lang w:val="en-GB"/>
        </w:rPr>
        <w:lastRenderedPageBreak/>
        <w:t>Figure 1</w:t>
      </w:r>
      <w:r w:rsidR="00CF4476" w:rsidRPr="00081646">
        <w:rPr>
          <w:lang w:val="en-GB"/>
        </w:rPr>
        <w:t>a.</w:t>
      </w:r>
      <w:proofErr w:type="gramEnd"/>
      <w:r w:rsidR="00CF4476" w:rsidRPr="00081646">
        <w:rPr>
          <w:lang w:val="en-GB"/>
        </w:rPr>
        <w:tab/>
        <w:t>Short interrupted time series with linear trend and year-specific impact estimates</w:t>
      </w:r>
    </w:p>
    <w:p w:rsidR="00CF4476" w:rsidRPr="00081646" w:rsidRDefault="00CF4476" w:rsidP="00CF4476">
      <w:pPr>
        <w:rPr>
          <w:lang w:val="en-GB"/>
        </w:rPr>
      </w:pPr>
      <w:r w:rsidRPr="00874A22">
        <w:rPr>
          <w:noProof/>
        </w:rPr>
        <w:drawing>
          <wp:inline distT="0" distB="0" distL="0" distR="0" wp14:anchorId="366E4380" wp14:editId="3F204736">
            <wp:extent cx="5943600" cy="346621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43600" cy="3466210"/>
                    </a:xfrm>
                    <a:prstGeom prst="rect">
                      <a:avLst/>
                    </a:prstGeom>
                    <a:noFill/>
                    <a:ln>
                      <a:noFill/>
                    </a:ln>
                  </pic:spPr>
                </pic:pic>
              </a:graphicData>
            </a:graphic>
          </wp:inline>
        </w:drawing>
      </w:r>
    </w:p>
    <w:p w:rsidR="00CF4476" w:rsidRPr="00081646" w:rsidRDefault="00CF4476" w:rsidP="00CF4476">
      <w:pPr>
        <w:rPr>
          <w:lang w:val="en-GB"/>
        </w:rPr>
      </w:pPr>
      <w:r w:rsidRPr="00081646">
        <w:rPr>
          <w:lang w:val="en-GB"/>
        </w:rPr>
        <w:t xml:space="preserve">The treatment effect in the first post-intervention period (t=4), represented </w:t>
      </w:r>
      <w:proofErr w:type="gramStart"/>
      <w:r w:rsidRPr="00081646">
        <w:rPr>
          <w:lang w:val="en-GB"/>
        </w:rPr>
        <w:t xml:space="preserve">by </w:t>
      </w:r>
      <w:proofErr w:type="gramEnd"/>
      <m:oMath>
        <m:sSub>
          <m:sSubPr>
            <m:ctrlPr>
              <w:rPr>
                <w:rFonts w:ascii="Cambria Math" w:hAnsi="Cambria Math"/>
                <w:i/>
                <w:lang w:val="en-GB"/>
              </w:rPr>
            </m:ctrlPr>
          </m:sSubPr>
          <m:e>
            <m:r>
              <w:rPr>
                <w:rFonts w:ascii="Cambria Math" w:hAnsi="Cambria Math"/>
                <w:lang w:val="en-GB"/>
              </w:rPr>
              <m:t>∆</m:t>
            </m:r>
          </m:e>
          <m:sub>
            <m:r>
              <w:rPr>
                <w:rFonts w:ascii="Cambria Math" w:hAnsi="Cambria Math"/>
                <w:lang w:val="en-GB"/>
              </w:rPr>
              <m:t>T1</m:t>
            </m:r>
          </m:sub>
        </m:sSub>
      </m:oMath>
      <w:r w:rsidRPr="00081646">
        <w:rPr>
          <w:rFonts w:eastAsiaTheme="minorEastAsia"/>
          <w:lang w:val="en-GB"/>
        </w:rPr>
        <w:t>, equals the difference between the average outcome level at t=4 and the value of the counterfactual</w:t>
      </w:r>
      <w:r w:rsidRPr="00081646">
        <w:rPr>
          <w:lang w:val="en-GB"/>
        </w:rPr>
        <w:t xml:space="preserve"> at that time period. Treatment effects at the second and third post-intervention periods are calculated in a similar manner. Alternatively, the average treatment effect across the three post-intervention time periods can be estimated by constructing a line through these time points based on the baseline trend (l</w:t>
      </w:r>
      <w:r w:rsidR="00326FBB">
        <w:rPr>
          <w:lang w:val="en-GB"/>
        </w:rPr>
        <w:t>ight blue solid line in Figure 1</w:t>
      </w:r>
      <w:r w:rsidRPr="00081646">
        <w:rPr>
          <w:lang w:val="en-GB"/>
        </w:rPr>
        <w:t xml:space="preserve">b) and calculating the difference between the intercept of this line and the intercept of the counterfactual line (denoted by </w:t>
      </w:r>
      <m:oMath>
        <m:sSub>
          <m:sSubPr>
            <m:ctrlPr>
              <w:rPr>
                <w:rFonts w:ascii="Cambria Math" w:hAnsi="Cambria Math"/>
                <w:i/>
                <w:lang w:val="en-GB"/>
              </w:rPr>
            </m:ctrlPr>
          </m:sSubPr>
          <m:e>
            <m:r>
              <w:rPr>
                <w:rFonts w:ascii="Cambria Math" w:hAnsi="Cambria Math"/>
                <w:lang w:val="en-GB"/>
              </w:rPr>
              <m:t>∆</m:t>
            </m:r>
          </m:e>
          <m:sub>
            <m:r>
              <w:rPr>
                <w:rFonts w:ascii="Cambria Math" w:hAnsi="Cambria Math"/>
                <w:lang w:val="en-GB"/>
              </w:rPr>
              <m:t>T</m:t>
            </m:r>
          </m:sub>
        </m:sSub>
      </m:oMath>
      <w:r w:rsidRPr="00081646">
        <w:rPr>
          <w:rFonts w:eastAsiaTheme="minorEastAsia"/>
          <w:lang w:val="en-GB"/>
        </w:rPr>
        <w:t xml:space="preserve"> in Figure 3b).</w:t>
      </w:r>
      <w:r w:rsidRPr="00081646">
        <w:rPr>
          <w:lang w:val="en-GB"/>
        </w:rPr>
        <w:t xml:space="preserve"> </w:t>
      </w:r>
    </w:p>
    <w:p w:rsidR="00CF4476" w:rsidRPr="00081646" w:rsidRDefault="00326FBB" w:rsidP="00CF4476">
      <w:pPr>
        <w:pStyle w:val="Caption"/>
        <w:rPr>
          <w:lang w:val="en-GB"/>
        </w:rPr>
      </w:pPr>
      <w:proofErr w:type="gramStart"/>
      <w:r>
        <w:rPr>
          <w:lang w:val="en-GB"/>
        </w:rPr>
        <w:lastRenderedPageBreak/>
        <w:t>Figure 1</w:t>
      </w:r>
      <w:r w:rsidR="00CF4476" w:rsidRPr="00081646">
        <w:rPr>
          <w:lang w:val="en-GB"/>
        </w:rPr>
        <w:t>b.</w:t>
      </w:r>
      <w:proofErr w:type="gramEnd"/>
      <w:r w:rsidR="00CF4476" w:rsidRPr="00081646">
        <w:rPr>
          <w:lang w:val="en-GB"/>
        </w:rPr>
        <w:t xml:space="preserve"> </w:t>
      </w:r>
      <w:r w:rsidR="00CF4476" w:rsidRPr="00081646">
        <w:rPr>
          <w:lang w:val="en-GB"/>
        </w:rPr>
        <w:tab/>
        <w:t>Short interrupted time series with linear trend and average treatment effect estimate</w:t>
      </w:r>
    </w:p>
    <w:p w:rsidR="00CF4476" w:rsidRPr="00081646" w:rsidRDefault="00CF4476" w:rsidP="00CF4476">
      <w:pPr>
        <w:rPr>
          <w:lang w:val="en-GB"/>
        </w:rPr>
      </w:pPr>
      <w:r w:rsidRPr="00AA7768">
        <w:rPr>
          <w:noProof/>
        </w:rPr>
        <w:drawing>
          <wp:inline distT="0" distB="0" distL="0" distR="0" wp14:anchorId="5458C7EB" wp14:editId="6CFA7263">
            <wp:extent cx="5943600" cy="351091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943600" cy="3510915"/>
                    </a:xfrm>
                    <a:prstGeom prst="rect">
                      <a:avLst/>
                    </a:prstGeom>
                  </pic:spPr>
                </pic:pic>
              </a:graphicData>
            </a:graphic>
          </wp:inline>
        </w:drawing>
      </w:r>
    </w:p>
    <w:p w:rsidR="00CF4476" w:rsidRDefault="00CF4476" w:rsidP="00CF4476">
      <w:pPr>
        <w:rPr>
          <w:lang w:val="en-GB"/>
        </w:rPr>
      </w:pPr>
      <w:r w:rsidRPr="00081646">
        <w:rPr>
          <w:lang w:val="en-GB"/>
        </w:rPr>
        <w:t xml:space="preserve">It is important to note that while a SITS analysis accounts for secular trends in the outcome measure in the estimation of the treatment effect (which is demonstrated in more detail in the next section), it is subject to bias when other factors </w:t>
      </w:r>
      <w:r>
        <w:rPr>
          <w:lang w:val="en-GB"/>
        </w:rPr>
        <w:t xml:space="preserve"> (i.e. confounders) </w:t>
      </w:r>
      <w:r w:rsidRPr="00081646">
        <w:rPr>
          <w:lang w:val="en-GB"/>
        </w:rPr>
        <w:t>that influence the outcomes of interest change simultaneously with the arrival of the focal intervention. For example, unusual changes in rainfall or pest burden that coincide with the roll-out of the treatment may be potential confounders as they may also push off their pre-existing trend lines. Unusually heavy rainfall during the first treatment year could increase the maize yield and consequently smallholders’ income, a change that would be inaccurately interpreted as an effect of the pilot unless it is accounted for. Other government or NGO programs that are enacted in the post-treatment period and target the same outcome measures may also act as confounders. If the effect of such co</w:t>
      </w:r>
      <w:r>
        <w:rPr>
          <w:lang w:val="en-GB"/>
        </w:rPr>
        <w:t>n</w:t>
      </w:r>
      <w:r w:rsidRPr="00081646">
        <w:rPr>
          <w:lang w:val="en-GB"/>
        </w:rPr>
        <w:t>founders on the outcome is in the same direction as the true treatment effect (which is assumed to be positive), not controlling for them would create an upward bias in the estimated effect of the pilot while confounders affecting the outcome in the opposite direction would lead to a downwardly-biased treatment effect estimate. The amount of bias is a direct function of the strength of the confounding influences and may be substantial.</w:t>
      </w:r>
    </w:p>
    <w:p w:rsidR="00CF4476" w:rsidRDefault="00CF4476" w:rsidP="00CF4476">
      <w:pPr>
        <w:rPr>
          <w:b/>
          <w:lang w:val="en-GB"/>
        </w:rPr>
      </w:pPr>
      <w:r w:rsidRPr="00081646">
        <w:rPr>
          <w:lang w:val="en-GB"/>
        </w:rPr>
        <w:t>Fortunately, there are at least two ways the SITS analysis approach can be modified to alleviate bias due to these confounders.</w:t>
      </w:r>
      <w:r>
        <w:rPr>
          <w:lang w:val="en-GB"/>
        </w:rPr>
        <w:t xml:space="preserve"> The first approach relies on an unaffected dependent variable to account for the confounding factors while the second approach employs unaffected units (i.e., areas and households) to control for the confounders. Each of these approaches </w:t>
      </w:r>
      <w:proofErr w:type="gramStart"/>
      <w:r>
        <w:rPr>
          <w:lang w:val="en-GB"/>
        </w:rPr>
        <w:t>are</w:t>
      </w:r>
      <w:proofErr w:type="gramEnd"/>
      <w:r>
        <w:rPr>
          <w:lang w:val="en-GB"/>
        </w:rPr>
        <w:t xml:space="preserve"> described in more detail below. </w:t>
      </w:r>
    </w:p>
    <w:p w:rsidR="00CF4476" w:rsidRPr="00081646" w:rsidRDefault="00CF4476" w:rsidP="00CF4476">
      <w:pPr>
        <w:rPr>
          <w:lang w:val="en-GB"/>
        </w:rPr>
      </w:pPr>
    </w:p>
    <w:p w:rsidR="00CF4476" w:rsidRPr="00081646" w:rsidRDefault="00326FBB" w:rsidP="00CF4476">
      <w:pPr>
        <w:pStyle w:val="Caption"/>
        <w:rPr>
          <w:lang w:val="en-GB"/>
        </w:rPr>
      </w:pPr>
      <w:proofErr w:type="gramStart"/>
      <w:r>
        <w:rPr>
          <w:lang w:val="en-GB"/>
        </w:rPr>
        <w:lastRenderedPageBreak/>
        <w:t>Figure 2</w:t>
      </w:r>
      <w:r w:rsidR="00CF4476" w:rsidRPr="00081646">
        <w:rPr>
          <w:lang w:val="en-GB"/>
        </w:rPr>
        <w:t>a.</w:t>
      </w:r>
      <w:proofErr w:type="gramEnd"/>
      <w:r w:rsidR="00CF4476" w:rsidRPr="00081646">
        <w:rPr>
          <w:lang w:val="en-GB"/>
        </w:rPr>
        <w:tab/>
        <w:t>Short interrupted time series with linear trend and an un</w:t>
      </w:r>
      <w:r w:rsidR="00CF4476">
        <w:rPr>
          <w:lang w:val="en-GB"/>
        </w:rPr>
        <w:t>affected</w:t>
      </w:r>
      <w:r w:rsidR="00CF4476" w:rsidRPr="00081646">
        <w:rPr>
          <w:lang w:val="en-GB"/>
        </w:rPr>
        <w:t xml:space="preserve"> outcome to estimate year-specific impacts </w:t>
      </w:r>
    </w:p>
    <w:p w:rsidR="00CF4476" w:rsidRPr="00081646" w:rsidRDefault="00CF4476" w:rsidP="00CF4476">
      <w:pPr>
        <w:rPr>
          <w:lang w:val="en-GB"/>
        </w:rPr>
      </w:pPr>
      <w:r w:rsidRPr="00CB34CA">
        <w:rPr>
          <w:noProof/>
        </w:rPr>
        <w:drawing>
          <wp:inline distT="0" distB="0" distL="0" distR="0" wp14:anchorId="5F032F02" wp14:editId="182F4110">
            <wp:extent cx="5943600" cy="3477821"/>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3600" cy="3477821"/>
                    </a:xfrm>
                    <a:prstGeom prst="rect">
                      <a:avLst/>
                    </a:prstGeom>
                    <a:noFill/>
                    <a:ln>
                      <a:noFill/>
                    </a:ln>
                  </pic:spPr>
                </pic:pic>
              </a:graphicData>
            </a:graphic>
          </wp:inline>
        </w:drawing>
      </w:r>
    </w:p>
    <w:p w:rsidR="00CF4476" w:rsidRPr="00081646" w:rsidRDefault="00CF4476" w:rsidP="00CF4476">
      <w:pPr>
        <w:rPr>
          <w:lang w:val="en-GB"/>
        </w:rPr>
      </w:pPr>
      <w:proofErr w:type="gramStart"/>
      <w:r w:rsidRPr="00081646">
        <w:rPr>
          <w:b/>
          <w:lang w:val="en-GB"/>
        </w:rPr>
        <w:t>Removal of bias using an unaffected</w:t>
      </w:r>
      <w:r>
        <w:rPr>
          <w:b/>
          <w:lang w:val="en-GB"/>
        </w:rPr>
        <w:t xml:space="preserve"> or untreated</w:t>
      </w:r>
      <w:r w:rsidRPr="00081646">
        <w:rPr>
          <w:b/>
          <w:lang w:val="en-GB"/>
        </w:rPr>
        <w:t xml:space="preserve"> outcome.</w:t>
      </w:r>
      <w:proofErr w:type="gramEnd"/>
      <w:r w:rsidRPr="00081646">
        <w:rPr>
          <w:lang w:val="en-GB"/>
        </w:rPr>
        <w:t xml:space="preserve"> </w:t>
      </w:r>
      <w:r>
        <w:rPr>
          <w:lang w:val="en-GB"/>
        </w:rPr>
        <w:t xml:space="preserve">This </w:t>
      </w:r>
      <w:r w:rsidRPr="00081646">
        <w:rPr>
          <w:lang w:val="en-GB"/>
        </w:rPr>
        <w:t xml:space="preserve">approach entails using </w:t>
      </w:r>
      <w:r>
        <w:rPr>
          <w:lang w:val="en-GB"/>
        </w:rPr>
        <w:t>a measure</w:t>
      </w:r>
      <w:r w:rsidRPr="00081646">
        <w:rPr>
          <w:lang w:val="en-GB"/>
        </w:rPr>
        <w:t xml:space="preserve"> </w:t>
      </w:r>
      <w:r>
        <w:rPr>
          <w:lang w:val="en-GB"/>
        </w:rPr>
        <w:t>that is not specifically targeted by the program but influenced by the confounders in the same way as the targeted primary outcome measure. Specifically, this approach utilizes a measure</w:t>
      </w:r>
      <w:r w:rsidRPr="00081646">
        <w:rPr>
          <w:lang w:val="en-GB"/>
        </w:rPr>
        <w:t xml:space="preserve"> that (1) is not targeted by the treatment, (2) follows a trend similar to the targeted outcome in the pre-intervention time period, and (3) is likely to be affected by the confounders in the same direction as the targeted outcomes. Such measures are called “non-equivalent dependent variables”, or shortly “untreated”</w:t>
      </w:r>
      <w:r>
        <w:rPr>
          <w:lang w:val="en-GB"/>
        </w:rPr>
        <w:t>, “untargeted”</w:t>
      </w:r>
      <w:r w:rsidRPr="00081646">
        <w:rPr>
          <w:lang w:val="en-GB"/>
        </w:rPr>
        <w:t xml:space="preserve"> or “unaffected” outcomes (</w:t>
      </w:r>
      <w:proofErr w:type="spellStart"/>
      <w:r w:rsidRPr="00081646">
        <w:rPr>
          <w:lang w:val="en-GB"/>
        </w:rPr>
        <w:t>Shadish</w:t>
      </w:r>
      <w:proofErr w:type="spellEnd"/>
      <w:r w:rsidRPr="00081646">
        <w:rPr>
          <w:lang w:val="en-GB"/>
        </w:rPr>
        <w:t xml:space="preserve">, Cook, and Campbell 2002; </w:t>
      </w:r>
      <w:proofErr w:type="spellStart"/>
      <w:r w:rsidRPr="00081646">
        <w:rPr>
          <w:lang w:val="en-GB"/>
        </w:rPr>
        <w:t>Coryn</w:t>
      </w:r>
      <w:proofErr w:type="spellEnd"/>
      <w:r w:rsidRPr="00081646">
        <w:rPr>
          <w:lang w:val="en-GB"/>
        </w:rPr>
        <w:t xml:space="preserve"> and Hobson 2011; </w:t>
      </w:r>
      <w:proofErr w:type="spellStart"/>
      <w:r w:rsidRPr="00081646">
        <w:rPr>
          <w:lang w:val="en-GB"/>
        </w:rPr>
        <w:t>Trochim</w:t>
      </w:r>
      <w:proofErr w:type="spellEnd"/>
      <w:r w:rsidRPr="00081646">
        <w:rPr>
          <w:lang w:val="en-GB"/>
        </w:rPr>
        <w:t xml:space="preserve"> and Donnelly 2007)</w:t>
      </w:r>
      <w:r w:rsidRPr="00081646" w:rsidDel="00432ECA">
        <w:rPr>
          <w:rStyle w:val="FootnoteReference"/>
          <w:lang w:val="en-GB"/>
        </w:rPr>
        <w:t xml:space="preserve"> </w:t>
      </w:r>
      <w:r w:rsidRPr="00081646">
        <w:rPr>
          <w:lang w:val="en-GB"/>
        </w:rPr>
        <w:t>.</w:t>
      </w:r>
      <w:r>
        <w:rPr>
          <w:lang w:val="en-GB"/>
        </w:rPr>
        <w:t xml:space="preserve"> </w:t>
      </w:r>
      <w:r w:rsidRPr="00081646">
        <w:rPr>
          <w:lang w:val="en-GB"/>
        </w:rPr>
        <w:t>Figures 4a and 4b demonstrate how such a measure can be incorporated into the SITS analysis to control for con</w:t>
      </w:r>
      <w:r w:rsidR="00326FBB">
        <w:rPr>
          <w:lang w:val="en-GB"/>
        </w:rPr>
        <w:t>founders. Specifically, Figure 2</w:t>
      </w:r>
      <w:r w:rsidRPr="00081646">
        <w:rPr>
          <w:lang w:val="en-GB"/>
        </w:rPr>
        <w:t>a adds an un</w:t>
      </w:r>
      <w:r>
        <w:rPr>
          <w:lang w:val="en-GB"/>
        </w:rPr>
        <w:t>affected</w:t>
      </w:r>
      <w:r w:rsidRPr="00081646">
        <w:rPr>
          <w:lang w:val="en-GB"/>
        </w:rPr>
        <w:t xml:space="preserve"> outcome to the SITS framework, sample averages of which are represented by green triangles. Similar to the </w:t>
      </w:r>
      <w:r>
        <w:rPr>
          <w:lang w:val="en-GB"/>
        </w:rPr>
        <w:t>affected</w:t>
      </w:r>
      <w:r w:rsidRPr="00081646">
        <w:rPr>
          <w:lang w:val="en-GB"/>
        </w:rPr>
        <w:t xml:space="preserve"> outcome, a baseline trend is constructed for the un</w:t>
      </w:r>
      <w:r>
        <w:rPr>
          <w:lang w:val="en-GB"/>
        </w:rPr>
        <w:t>affected</w:t>
      </w:r>
      <w:r w:rsidRPr="00081646">
        <w:rPr>
          <w:lang w:val="en-GB"/>
        </w:rPr>
        <w:t xml:space="preserve"> outcome (captured by the solid green line), which is then extrapolated into the post-intervention period to serve as its counterfactual (dotted green line). </w:t>
      </w:r>
    </w:p>
    <w:p w:rsidR="00CF4476" w:rsidRPr="00081646" w:rsidRDefault="00326FBB" w:rsidP="00CF4476">
      <w:pPr>
        <w:pStyle w:val="Caption"/>
        <w:rPr>
          <w:lang w:val="en-GB"/>
        </w:rPr>
      </w:pPr>
      <w:proofErr w:type="gramStart"/>
      <w:r>
        <w:rPr>
          <w:lang w:val="en-GB"/>
        </w:rPr>
        <w:lastRenderedPageBreak/>
        <w:t>Figure 2</w:t>
      </w:r>
      <w:r w:rsidR="00CF4476" w:rsidRPr="00081646">
        <w:rPr>
          <w:lang w:val="en-GB"/>
        </w:rPr>
        <w:t>b.</w:t>
      </w:r>
      <w:proofErr w:type="gramEnd"/>
      <w:r w:rsidR="00CF4476" w:rsidRPr="00081646">
        <w:rPr>
          <w:lang w:val="en-GB"/>
        </w:rPr>
        <w:tab/>
        <w:t>Short Interrupted Time Series with Linear Trend and an Un</w:t>
      </w:r>
      <w:r w:rsidR="00CF4476">
        <w:rPr>
          <w:lang w:val="en-GB"/>
        </w:rPr>
        <w:t>affected</w:t>
      </w:r>
      <w:r w:rsidR="00CF4476" w:rsidRPr="00081646">
        <w:rPr>
          <w:lang w:val="en-GB"/>
        </w:rPr>
        <w:t xml:space="preserve"> Outcome to Estimate the Average Treatment Effect </w:t>
      </w:r>
    </w:p>
    <w:p w:rsidR="00CF4476" w:rsidRPr="00081646" w:rsidRDefault="00CF4476" w:rsidP="00CF4476">
      <w:pPr>
        <w:rPr>
          <w:lang w:val="en-GB"/>
        </w:rPr>
      </w:pPr>
      <w:r w:rsidRPr="00CB34CA">
        <w:rPr>
          <w:noProof/>
        </w:rPr>
        <w:drawing>
          <wp:inline distT="0" distB="0" distL="0" distR="0" wp14:anchorId="67DFB46A" wp14:editId="0C1929CB">
            <wp:extent cx="5943600" cy="346621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43600" cy="3466210"/>
                    </a:xfrm>
                    <a:prstGeom prst="rect">
                      <a:avLst/>
                    </a:prstGeom>
                    <a:noFill/>
                    <a:ln>
                      <a:noFill/>
                    </a:ln>
                  </pic:spPr>
                </pic:pic>
              </a:graphicData>
            </a:graphic>
          </wp:inline>
        </w:drawing>
      </w:r>
    </w:p>
    <w:p w:rsidR="00CF4476" w:rsidRPr="00081646" w:rsidRDefault="00CF4476" w:rsidP="00CF4476">
      <w:pPr>
        <w:rPr>
          <w:lang w:val="en-GB"/>
        </w:rPr>
      </w:pPr>
      <w:r w:rsidRPr="00081646">
        <w:rPr>
          <w:lang w:val="en-GB"/>
        </w:rPr>
        <w:t>In the absence of any confounders we expect the post-intervention observations of the un</w:t>
      </w:r>
      <w:r>
        <w:rPr>
          <w:lang w:val="en-GB"/>
        </w:rPr>
        <w:t>affected</w:t>
      </w:r>
      <w:r w:rsidRPr="00081646">
        <w:rPr>
          <w:lang w:val="en-GB"/>
        </w:rPr>
        <w:t xml:space="preserve"> outcome to be on the counterfactual line; therefore, any deviations from the counterfactual line are attributed to the confounding factors. That is, the term </w:t>
      </w:r>
      <m:oMath>
        <m:sSub>
          <m:sSubPr>
            <m:ctrlPr>
              <w:rPr>
                <w:rFonts w:ascii="Cambria Math" w:hAnsi="Cambria Math"/>
                <w:i/>
                <w:iCs/>
                <w:lang w:val="en-GB"/>
              </w:rPr>
            </m:ctrlPr>
          </m:sSubPr>
          <m:e>
            <m:r>
              <w:rPr>
                <w:rFonts w:ascii="Cambria Math" w:hAnsi="Cambria Math"/>
                <w:lang w:val="en-GB"/>
              </w:rPr>
              <m:t>∆</m:t>
            </m:r>
          </m:e>
          <m:sub>
            <m:r>
              <w:rPr>
                <w:rFonts w:ascii="Cambria Math" w:hAnsi="Cambria Math"/>
                <w:lang w:val="en-GB"/>
              </w:rPr>
              <m:t>U1</m:t>
            </m:r>
          </m:sub>
        </m:sSub>
      </m:oMath>
      <w:r w:rsidRPr="00081646">
        <w:rPr>
          <w:rFonts w:eastAsiaTheme="minorEastAsia"/>
          <w:iCs/>
          <w:lang w:val="en-GB"/>
        </w:rPr>
        <w:t xml:space="preserve"> in Figure 4a represents the effect of the confounding factors on the un</w:t>
      </w:r>
      <w:r>
        <w:rPr>
          <w:rFonts w:eastAsiaTheme="minorEastAsia"/>
          <w:iCs/>
          <w:lang w:val="en-GB"/>
        </w:rPr>
        <w:t>affected</w:t>
      </w:r>
      <w:r w:rsidRPr="00081646">
        <w:rPr>
          <w:rFonts w:eastAsiaTheme="minorEastAsia"/>
          <w:iCs/>
          <w:lang w:val="en-GB"/>
        </w:rPr>
        <w:t xml:space="preserve"> outcome at the first post-intervention time point. In this stylized example, we assume the scales and the pre-intervention trends of the </w:t>
      </w:r>
      <w:r>
        <w:rPr>
          <w:rFonts w:eastAsiaTheme="minorEastAsia"/>
          <w:iCs/>
          <w:lang w:val="en-GB"/>
        </w:rPr>
        <w:t>affected</w:t>
      </w:r>
      <w:r w:rsidRPr="00081646">
        <w:rPr>
          <w:rFonts w:eastAsiaTheme="minorEastAsia"/>
          <w:iCs/>
          <w:lang w:val="en-GB"/>
        </w:rPr>
        <w:t xml:space="preserve"> and un</w:t>
      </w:r>
      <w:r>
        <w:rPr>
          <w:rFonts w:eastAsiaTheme="minorEastAsia"/>
          <w:iCs/>
          <w:lang w:val="en-GB"/>
        </w:rPr>
        <w:t>affected</w:t>
      </w:r>
      <w:r w:rsidRPr="00081646">
        <w:rPr>
          <w:rFonts w:eastAsiaTheme="minorEastAsia"/>
          <w:iCs/>
          <w:lang w:val="en-GB"/>
        </w:rPr>
        <w:t xml:space="preserve"> outcomes are the same; therefore, the difference between the deviations of the </w:t>
      </w:r>
      <w:r>
        <w:rPr>
          <w:rFonts w:eastAsiaTheme="minorEastAsia"/>
          <w:iCs/>
          <w:lang w:val="en-GB"/>
        </w:rPr>
        <w:t>affected</w:t>
      </w:r>
      <w:r w:rsidRPr="00081646">
        <w:rPr>
          <w:rFonts w:eastAsiaTheme="minorEastAsia"/>
          <w:iCs/>
          <w:lang w:val="en-GB"/>
        </w:rPr>
        <w:t xml:space="preserve"> and un</w:t>
      </w:r>
      <w:r>
        <w:rPr>
          <w:rFonts w:eastAsiaTheme="minorEastAsia"/>
          <w:iCs/>
          <w:lang w:val="en-GB"/>
        </w:rPr>
        <w:t>affected</w:t>
      </w:r>
      <w:r w:rsidRPr="00081646">
        <w:rPr>
          <w:rFonts w:eastAsiaTheme="minorEastAsia"/>
          <w:iCs/>
          <w:lang w:val="en-GB"/>
        </w:rPr>
        <w:t xml:space="preserve"> outcomes from their respective counterfactuals (</w:t>
      </w:r>
      <m:oMath>
        <m:sSub>
          <m:sSubPr>
            <m:ctrlPr>
              <w:rPr>
                <w:rFonts w:ascii="Cambria Math" w:eastAsiaTheme="minorEastAsia" w:hAnsi="Cambria Math"/>
                <w:i/>
                <w:iCs/>
                <w:lang w:val="en-GB"/>
              </w:rPr>
            </m:ctrlPr>
          </m:sSubPr>
          <m:e>
            <m:r>
              <w:rPr>
                <w:rFonts w:ascii="Cambria Math" w:eastAsiaTheme="minorEastAsia" w:hAnsi="Cambria Math"/>
                <w:lang w:val="en-GB"/>
              </w:rPr>
              <m:t>∆</m:t>
            </m:r>
          </m:e>
          <m:sub>
            <m:r>
              <w:rPr>
                <w:rFonts w:ascii="Cambria Math" w:eastAsiaTheme="minorEastAsia" w:hAnsi="Cambria Math"/>
                <w:lang w:val="en-GB"/>
              </w:rPr>
              <m:t>T1</m:t>
            </m:r>
          </m:sub>
        </m:sSub>
        <m:r>
          <m:rPr>
            <m:sty m:val="p"/>
          </m:rPr>
          <w:rPr>
            <w:rFonts w:ascii="Cambria Math" w:eastAsiaTheme="minorEastAsia" w:hAnsi="Cambria Math"/>
            <w:lang w:val="en-GB"/>
          </w:rPr>
          <m:t>-</m:t>
        </m:r>
        <m:sSub>
          <m:sSubPr>
            <m:ctrlPr>
              <w:rPr>
                <w:rFonts w:ascii="Cambria Math" w:eastAsiaTheme="minorEastAsia" w:hAnsi="Cambria Math"/>
                <w:i/>
                <w:iCs/>
                <w:lang w:val="en-GB"/>
              </w:rPr>
            </m:ctrlPr>
          </m:sSubPr>
          <m:e>
            <m:r>
              <w:rPr>
                <w:rFonts w:ascii="Cambria Math" w:eastAsiaTheme="minorEastAsia" w:hAnsi="Cambria Math"/>
                <w:lang w:val="en-GB"/>
              </w:rPr>
              <m:t>∆</m:t>
            </m:r>
          </m:e>
          <m:sub>
            <m:r>
              <w:rPr>
                <w:rFonts w:ascii="Cambria Math" w:eastAsiaTheme="minorEastAsia" w:hAnsi="Cambria Math"/>
                <w:lang w:val="en-GB"/>
              </w:rPr>
              <m:t>U1</m:t>
            </m:r>
          </m:sub>
        </m:sSub>
      </m:oMath>
      <w:r w:rsidRPr="00081646">
        <w:rPr>
          <w:rFonts w:eastAsiaTheme="minorEastAsia"/>
          <w:iCs/>
          <w:lang w:val="en-GB"/>
        </w:rPr>
        <w:t xml:space="preserve"> for the first post-intervention observation, </w:t>
      </w:r>
      <m:oMath>
        <m:sSub>
          <m:sSubPr>
            <m:ctrlPr>
              <w:rPr>
                <w:rFonts w:ascii="Cambria Math" w:eastAsiaTheme="minorEastAsia" w:hAnsi="Cambria Math"/>
                <w:i/>
                <w:iCs/>
                <w:lang w:val="en-GB"/>
              </w:rPr>
            </m:ctrlPr>
          </m:sSubPr>
          <m:e>
            <m:r>
              <w:rPr>
                <w:rFonts w:ascii="Cambria Math" w:eastAsiaTheme="minorEastAsia" w:hAnsi="Cambria Math"/>
                <w:lang w:val="en-GB"/>
              </w:rPr>
              <m:t>∆</m:t>
            </m:r>
          </m:e>
          <m:sub>
            <m:r>
              <w:rPr>
                <w:rFonts w:ascii="Cambria Math" w:eastAsiaTheme="minorEastAsia" w:hAnsi="Cambria Math"/>
                <w:lang w:val="en-GB"/>
              </w:rPr>
              <m:t>T2</m:t>
            </m:r>
          </m:sub>
        </m:sSub>
        <m:r>
          <w:rPr>
            <w:rFonts w:ascii="Cambria Math" w:eastAsiaTheme="minorEastAsia" w:hAnsi="Cambria Math"/>
            <w:lang w:val="en-GB"/>
          </w:rPr>
          <m:t>-</m:t>
        </m:r>
        <m:sSub>
          <m:sSubPr>
            <m:ctrlPr>
              <w:rPr>
                <w:rFonts w:ascii="Cambria Math" w:eastAsiaTheme="minorEastAsia" w:hAnsi="Cambria Math"/>
                <w:i/>
                <w:iCs/>
                <w:lang w:val="en-GB"/>
              </w:rPr>
            </m:ctrlPr>
          </m:sSubPr>
          <m:e>
            <m:r>
              <w:rPr>
                <w:rFonts w:ascii="Cambria Math" w:eastAsiaTheme="minorEastAsia" w:hAnsi="Cambria Math"/>
                <w:lang w:val="en-GB"/>
              </w:rPr>
              <m:t>∆</m:t>
            </m:r>
          </m:e>
          <m:sub>
            <m:r>
              <w:rPr>
                <w:rFonts w:ascii="Cambria Math" w:eastAsiaTheme="minorEastAsia" w:hAnsi="Cambria Math"/>
                <w:lang w:val="en-GB"/>
              </w:rPr>
              <m:t>U2</m:t>
            </m:r>
          </m:sub>
        </m:sSub>
      </m:oMath>
      <w:r w:rsidRPr="00081646">
        <w:rPr>
          <w:rFonts w:eastAsiaTheme="minorEastAsia"/>
          <w:iCs/>
          <w:lang w:val="en-GB"/>
        </w:rPr>
        <w:t xml:space="preserve"> for the second post-intervention observation, etc.) yields a treatment effect estimate that is adjusted for (free of) the in</w:t>
      </w:r>
      <w:r w:rsidR="00326FBB">
        <w:rPr>
          <w:rFonts w:eastAsiaTheme="minorEastAsia"/>
          <w:iCs/>
          <w:lang w:val="en-GB"/>
        </w:rPr>
        <w:t>fluence of confounders. Figure 2</w:t>
      </w:r>
      <w:r w:rsidRPr="00081646">
        <w:rPr>
          <w:rFonts w:eastAsiaTheme="minorEastAsia"/>
          <w:iCs/>
          <w:lang w:val="en-GB"/>
        </w:rPr>
        <w:t>b shows how the un</w:t>
      </w:r>
      <w:r>
        <w:rPr>
          <w:rFonts w:eastAsiaTheme="minorEastAsia"/>
          <w:iCs/>
          <w:lang w:val="en-GB"/>
        </w:rPr>
        <w:t>affected</w:t>
      </w:r>
      <w:r w:rsidRPr="00081646">
        <w:rPr>
          <w:rFonts w:eastAsiaTheme="minorEastAsia"/>
          <w:iCs/>
          <w:lang w:val="en-GB"/>
        </w:rPr>
        <w:t xml:space="preserve"> outcome can be employed in the estimation of the average treatment effect across all post-intervention observations accounting for potential confounders.</w:t>
      </w:r>
      <w:r w:rsidRPr="00081646">
        <w:rPr>
          <w:lang w:val="en-GB"/>
        </w:rPr>
        <w:t xml:space="preserve"> </w:t>
      </w:r>
    </w:p>
    <w:p w:rsidR="00CF4476" w:rsidRPr="00081646" w:rsidRDefault="00CF4476" w:rsidP="00CF4476">
      <w:pPr>
        <w:rPr>
          <w:lang w:val="en-GB"/>
        </w:rPr>
      </w:pPr>
      <w:r>
        <w:rPr>
          <w:lang w:val="en-GB"/>
        </w:rPr>
        <w:t>We propose using</w:t>
      </w:r>
      <w:r w:rsidRPr="00081646">
        <w:rPr>
          <w:lang w:val="en-GB"/>
        </w:rPr>
        <w:t xml:space="preserve"> </w:t>
      </w:r>
      <w:r w:rsidRPr="00EB7BD7">
        <w:rPr>
          <w:i/>
          <w:lang w:val="en-GB"/>
        </w:rPr>
        <w:t>maize yield</w:t>
      </w:r>
      <w:r w:rsidRPr="00081646">
        <w:rPr>
          <w:lang w:val="en-GB"/>
        </w:rPr>
        <w:t xml:space="preserve"> as an un</w:t>
      </w:r>
      <w:r>
        <w:rPr>
          <w:lang w:val="en-GB"/>
        </w:rPr>
        <w:t>affected</w:t>
      </w:r>
      <w:r w:rsidRPr="00081646">
        <w:rPr>
          <w:lang w:val="en-GB"/>
        </w:rPr>
        <w:t xml:space="preserve"> outcome, as it </w:t>
      </w:r>
      <w:r>
        <w:rPr>
          <w:lang w:val="en-GB"/>
        </w:rPr>
        <w:t>satisfies the three conditions specified above. That is, we believe that maize yield per hectare may be used as an unaffected outcome measure for either of the two primary targeted outcomes (uptake of on farm storage and smallholders’ income</w:t>
      </w:r>
      <w:r w:rsidR="00D264E5">
        <w:rPr>
          <w:lang w:val="en-GB"/>
        </w:rPr>
        <w:t xml:space="preserve"> [maize revenue]</w:t>
      </w:r>
      <w:r>
        <w:rPr>
          <w:lang w:val="en-GB"/>
        </w:rPr>
        <w:t xml:space="preserve">) as it (1) is </w:t>
      </w:r>
      <w:r w:rsidRPr="00081646">
        <w:rPr>
          <w:lang w:val="en-GB"/>
        </w:rPr>
        <w:t xml:space="preserve">not specifically targeted by the </w:t>
      </w:r>
      <w:proofErr w:type="spellStart"/>
      <w:r w:rsidRPr="00081646">
        <w:rPr>
          <w:lang w:val="en-GB"/>
        </w:rPr>
        <w:t>AgResults</w:t>
      </w:r>
      <w:proofErr w:type="spellEnd"/>
      <w:r w:rsidRPr="00081646">
        <w:rPr>
          <w:lang w:val="en-GB"/>
        </w:rPr>
        <w:t xml:space="preserve"> Pilot,  </w:t>
      </w:r>
      <w:r>
        <w:rPr>
          <w:lang w:val="en-GB"/>
        </w:rPr>
        <w:t xml:space="preserve">(2) is </w:t>
      </w:r>
      <w:r w:rsidRPr="00081646">
        <w:rPr>
          <w:lang w:val="en-GB"/>
        </w:rPr>
        <w:t xml:space="preserve">expected to follow a similar trend to the </w:t>
      </w:r>
      <w:r w:rsidR="00326FBB">
        <w:rPr>
          <w:lang w:val="en-GB"/>
        </w:rPr>
        <w:t>t</w:t>
      </w:r>
      <w:r>
        <w:rPr>
          <w:lang w:val="en-GB"/>
        </w:rPr>
        <w:t xml:space="preserve">hree </w:t>
      </w:r>
      <w:r w:rsidRPr="00081646">
        <w:rPr>
          <w:lang w:val="en-GB"/>
        </w:rPr>
        <w:t xml:space="preserve">outcomes (which we hope to verify with extant data collected and maintained by </w:t>
      </w:r>
      <w:proofErr w:type="spellStart"/>
      <w:r w:rsidRPr="00081646">
        <w:rPr>
          <w:lang w:val="en-GB"/>
        </w:rPr>
        <w:t>Tegemeo</w:t>
      </w:r>
      <w:proofErr w:type="spellEnd"/>
      <w:r w:rsidRPr="00081646">
        <w:rPr>
          <w:lang w:val="en-GB"/>
        </w:rPr>
        <w:t xml:space="preserve"> Institute and the University of Washington), and </w:t>
      </w:r>
      <w:r>
        <w:rPr>
          <w:lang w:val="en-GB"/>
        </w:rPr>
        <w:t xml:space="preserve">(3) </w:t>
      </w:r>
      <w:r w:rsidRPr="00081646">
        <w:rPr>
          <w:lang w:val="en-GB"/>
        </w:rPr>
        <w:t xml:space="preserve">should be affected by at least some (if not all) of the same confounders. </w:t>
      </w:r>
      <w:r>
        <w:rPr>
          <w:lang w:val="en-GB"/>
        </w:rPr>
        <w:t xml:space="preserve">We vetted these assumptions with pilot implementers during the pilot launch workshop. The general conclusion was that yield may not be affected immediately but it is feasible that farmers may re-invest their increased incomes from pilot to improve their productivity. Another reason why the program could have an impact on yield is if the distributors also use the opportunity to raise awareness and increase adoption of other inputs. While all of these impacts are feasible, we </w:t>
      </w:r>
      <w:r>
        <w:rPr>
          <w:lang w:val="en-GB"/>
        </w:rPr>
        <w:lastRenderedPageBreak/>
        <w:t xml:space="preserve">believe these affects will be muted in the initial years of the pilot and are unlikely to materialize by the time we conduct our </w:t>
      </w:r>
      <w:proofErr w:type="spellStart"/>
      <w:r>
        <w:rPr>
          <w:lang w:val="en-GB"/>
        </w:rPr>
        <w:t>endline</w:t>
      </w:r>
      <w:proofErr w:type="spellEnd"/>
      <w:r>
        <w:rPr>
          <w:lang w:val="en-GB"/>
        </w:rPr>
        <w:t>.</w:t>
      </w:r>
      <w:r w:rsidRPr="00081646">
        <w:rPr>
          <w:lang w:val="en-GB"/>
        </w:rPr>
        <w:t xml:space="preserve"> </w:t>
      </w:r>
    </w:p>
    <w:p w:rsidR="00CF4476" w:rsidRPr="00081646" w:rsidRDefault="00CF4476" w:rsidP="00CF4476">
      <w:pPr>
        <w:rPr>
          <w:lang w:val="en-GB"/>
        </w:rPr>
      </w:pPr>
      <w:proofErr w:type="gramStart"/>
      <w:r w:rsidRPr="00081646">
        <w:rPr>
          <w:b/>
          <w:lang w:val="en-GB"/>
        </w:rPr>
        <w:t>Removal of bias using a comparison group.</w:t>
      </w:r>
      <w:proofErr w:type="gramEnd"/>
      <w:r w:rsidRPr="00081646">
        <w:rPr>
          <w:lang w:val="en-GB"/>
        </w:rPr>
        <w:t xml:space="preserve"> The second and </w:t>
      </w:r>
      <w:r>
        <w:rPr>
          <w:lang w:val="en-GB"/>
        </w:rPr>
        <w:t>preferred</w:t>
      </w:r>
      <w:r w:rsidRPr="00081646">
        <w:rPr>
          <w:lang w:val="en-GB"/>
        </w:rPr>
        <w:t xml:space="preserve"> approach to addressing confounding effects is through the use of a comparison group. In the current context, a comparison group would consist of areas and/or smallholders that (1) are not targeted or affected by the treatment, (2) have similar characteristics to treated areas and smallholders, and (3) are likely to be influenced by the confounders in the same way as the treated areas and smallholders. The way the comparison group is incorporated in the SITS design (which then is also called a comparative short interrupted time series or C-SITS) is very similar to the untreated outcome analysis as described above. Specifically, when estimating separate treatment effects at each post-intervention time point, the pre-intervention observations of the outcome measure are used to create a counterfactual trend (</w:t>
      </w:r>
      <w:r w:rsidR="00326FBB">
        <w:rPr>
          <w:lang w:val="en-GB"/>
        </w:rPr>
        <w:t>the green triangles in Figures 2a and 2</w:t>
      </w:r>
      <w:r w:rsidRPr="00081646">
        <w:rPr>
          <w:lang w:val="en-GB"/>
        </w:rPr>
        <w:t>b now capture the average outcome for the comparison group), which is extrapolated to the post-intervention period to serve as the counterfactual for the comparison group. Deviations from this counterfactual at each post-intervention observation are attributed to the confounders and are used to adjust the deviations of the outcome measure of the treated areas and smallholders from their counterfactual.</w:t>
      </w:r>
    </w:p>
    <w:p w:rsidR="00CF4476" w:rsidRPr="00081646" w:rsidRDefault="00CF4476" w:rsidP="00CF4476">
      <w:pPr>
        <w:rPr>
          <w:lang w:val="en-GB"/>
        </w:rPr>
      </w:pPr>
      <w:r w:rsidRPr="00081646">
        <w:rPr>
          <w:lang w:val="en-GB"/>
        </w:rPr>
        <w:t>As discussed above, we think that the identification of a sufficient number of appropriate comparison areas and households for the current evaluation may be infeasible due to potentially large differences between targeted and not-targeted areas and because such an effort would be costly.</w:t>
      </w:r>
      <w:r w:rsidR="00D264E5">
        <w:rPr>
          <w:lang w:val="en-GB"/>
        </w:rPr>
        <w:t xml:space="preserve"> We have explored</w:t>
      </w:r>
      <w:r w:rsidRPr="00081646">
        <w:rPr>
          <w:lang w:val="en-GB"/>
        </w:rPr>
        <w:t xml:space="preserve"> the feasibility of a more cost-effective approach to comparison group construction, which entails looking for potential comparison group members in e</w:t>
      </w:r>
      <w:r w:rsidR="00086384">
        <w:rPr>
          <w:lang w:val="en-GB"/>
        </w:rPr>
        <w:t>xisting household-level datasets</w:t>
      </w:r>
      <w:r w:rsidRPr="00081646">
        <w:rPr>
          <w:lang w:val="en-GB"/>
        </w:rPr>
        <w:t>.</w:t>
      </w:r>
      <w:r w:rsidR="00086384">
        <w:rPr>
          <w:lang w:val="en-GB"/>
        </w:rPr>
        <w:t xml:space="preserve"> </w:t>
      </w:r>
      <w:r w:rsidR="00086384">
        <w:rPr>
          <w:lang w:val="en-GB"/>
        </w:rPr>
        <w:t xml:space="preserve">Note that while this approach entails using the </w:t>
      </w:r>
      <w:r w:rsidR="00086384">
        <w:rPr>
          <w:lang w:val="en-GB"/>
        </w:rPr>
        <w:t>existing</w:t>
      </w:r>
      <w:r w:rsidR="00086384">
        <w:rPr>
          <w:lang w:val="en-GB"/>
        </w:rPr>
        <w:t xml:space="preserve"> panel</w:t>
      </w:r>
      <w:r w:rsidR="00086384">
        <w:rPr>
          <w:lang w:val="en-GB"/>
        </w:rPr>
        <w:t xml:space="preserve"> data</w:t>
      </w:r>
      <w:r w:rsidR="00086384">
        <w:rPr>
          <w:lang w:val="en-GB"/>
        </w:rPr>
        <w:t xml:space="preserve"> to identify the comparison group households, these households </w:t>
      </w:r>
      <w:proofErr w:type="gramStart"/>
      <w:r w:rsidR="00086384">
        <w:rPr>
          <w:lang w:val="en-GB"/>
        </w:rPr>
        <w:t>would need</w:t>
      </w:r>
      <w:proofErr w:type="gramEnd"/>
      <w:r w:rsidR="00086384">
        <w:rPr>
          <w:lang w:val="en-GB"/>
        </w:rPr>
        <w:t xml:space="preserve"> be administered the baseline and post-program surveys in the exact same manner as the households in the treatment group to ensure that the two groups have comparable data measures. Therefore, t</w:t>
      </w:r>
      <w:r w:rsidR="00086384" w:rsidRPr="00081646">
        <w:rPr>
          <w:lang w:val="en-GB"/>
        </w:rPr>
        <w:t xml:space="preserve">his strategy </w:t>
      </w:r>
      <w:r w:rsidR="00086384">
        <w:rPr>
          <w:lang w:val="en-GB"/>
        </w:rPr>
        <w:t>would require</w:t>
      </w:r>
      <w:r w:rsidR="00086384" w:rsidRPr="00081646">
        <w:rPr>
          <w:lang w:val="en-GB"/>
        </w:rPr>
        <w:t xml:space="preserve"> obtaining the identities and contact information of the households in </w:t>
      </w:r>
      <w:r w:rsidR="00086384">
        <w:rPr>
          <w:lang w:val="en-GB"/>
        </w:rPr>
        <w:t xml:space="preserve">existing panel datasets </w:t>
      </w:r>
      <w:r w:rsidR="00086384" w:rsidRPr="00081646">
        <w:rPr>
          <w:lang w:val="en-GB"/>
        </w:rPr>
        <w:t xml:space="preserve">order to administer additional follow-up interviews to treatment and comparison group households in the sample. </w:t>
      </w:r>
      <w:r w:rsidR="00086384">
        <w:rPr>
          <w:lang w:val="en-GB"/>
        </w:rPr>
        <w:t xml:space="preserve">While such datasets do exist, they have not been made available to the </w:t>
      </w:r>
      <w:proofErr w:type="spellStart"/>
      <w:r w:rsidR="00086384">
        <w:rPr>
          <w:lang w:val="en-GB"/>
        </w:rPr>
        <w:t>Abt</w:t>
      </w:r>
      <w:proofErr w:type="spellEnd"/>
      <w:r w:rsidR="00086384">
        <w:rPr>
          <w:lang w:val="en-GB"/>
        </w:rPr>
        <w:t xml:space="preserve"> team and therefore we have determined this approach is infeasible.</w:t>
      </w:r>
      <w:r w:rsidRPr="00081646">
        <w:rPr>
          <w:lang w:val="en-GB"/>
        </w:rPr>
        <w:t xml:space="preserve"> </w:t>
      </w:r>
    </w:p>
    <w:p w:rsidR="00CF4476" w:rsidRPr="00081646" w:rsidRDefault="00CF4476" w:rsidP="00123F97">
      <w:pPr>
        <w:pStyle w:val="Heading2"/>
        <w:rPr>
          <w:lang w:val="en-GB"/>
        </w:rPr>
      </w:pPr>
      <w:bookmarkStart w:id="6" w:name="_Toc391463664"/>
      <w:r w:rsidRPr="00081646">
        <w:rPr>
          <w:lang w:val="en-GB"/>
        </w:rPr>
        <w:t xml:space="preserve">Model specifications for the estimation of the overall impact of the </w:t>
      </w:r>
      <w:proofErr w:type="spellStart"/>
      <w:r w:rsidRPr="00081646">
        <w:rPr>
          <w:lang w:val="en-GB"/>
        </w:rPr>
        <w:t>AgResults</w:t>
      </w:r>
      <w:proofErr w:type="spellEnd"/>
      <w:r w:rsidRPr="00081646">
        <w:rPr>
          <w:lang w:val="en-GB"/>
        </w:rPr>
        <w:t xml:space="preserve"> pilot</w:t>
      </w:r>
      <w:bookmarkEnd w:id="6"/>
      <w:r w:rsidRPr="00081646">
        <w:rPr>
          <w:lang w:val="en-GB"/>
        </w:rPr>
        <w:t xml:space="preserve"> </w:t>
      </w:r>
    </w:p>
    <w:p w:rsidR="00CF4476" w:rsidRDefault="00CF4476" w:rsidP="00CF4476">
      <w:pPr>
        <w:pStyle w:val="BodyText"/>
        <w:rPr>
          <w:lang w:val="en-GB"/>
        </w:rPr>
      </w:pPr>
      <w:r w:rsidRPr="00081646">
        <w:rPr>
          <w:lang w:val="en-GB"/>
        </w:rPr>
        <w:t xml:space="preserve">This section presents prototypical model specifications that implement the SITS design framework to estimate the effect of the pilot on the two outcomes of interest. We start with simple models that do not explicitly control for confounding factors and then present models that incorporate an </w:t>
      </w:r>
      <w:r>
        <w:rPr>
          <w:lang w:val="en-GB"/>
        </w:rPr>
        <w:t>unaffected</w:t>
      </w:r>
      <w:r w:rsidRPr="00081646">
        <w:rPr>
          <w:lang w:val="en-GB"/>
        </w:rPr>
        <w:t xml:space="preserve"> outcome to correct for such factors. </w:t>
      </w:r>
      <w:r>
        <w:rPr>
          <w:lang w:val="en-GB"/>
        </w:rPr>
        <w:t xml:space="preserve">These models will be estimated separately for all outcomes of interest – the two primary outcomes (smallholder uptake of technology and smallholder income), food security, smallholder’s access to technology and farmers’ knowledge and attitude on storage practices. </w:t>
      </w:r>
    </w:p>
    <w:p w:rsidR="00CF4476" w:rsidRDefault="00CF4476" w:rsidP="00CF4476">
      <w:pPr>
        <w:pStyle w:val="BodyText"/>
        <w:rPr>
          <w:lang w:val="en-GB"/>
        </w:rPr>
      </w:pPr>
      <w:r>
        <w:rPr>
          <w:lang w:val="en-GB"/>
        </w:rPr>
        <w:t xml:space="preserve">For all these outcomes the SITS design requires multiple measures of baseline and one post-intervention data point. These data points will be collected through two surveys administered to the smallholders: the baseline survey that will include recall questions to obtain three pre-intervention data points and the </w:t>
      </w:r>
      <w:proofErr w:type="spellStart"/>
      <w:r>
        <w:rPr>
          <w:lang w:val="en-GB"/>
        </w:rPr>
        <w:t>endline</w:t>
      </w:r>
      <w:proofErr w:type="spellEnd"/>
      <w:r>
        <w:rPr>
          <w:lang w:val="en-GB"/>
        </w:rPr>
        <w:t xml:space="preserve"> survey that will yield the post-intervention data point. We are concerned that obtaining reliable retrospective data on income will be challenging. We believe that the primary channel through which the pilot is expected to influence income is </w:t>
      </w:r>
      <w:r>
        <w:rPr>
          <w:lang w:val="en-GB"/>
        </w:rPr>
        <w:lastRenderedPageBreak/>
        <w:t xml:space="preserve">through a reduction in sell-cheap/buy-expensive maize transactions patterns among smallholders and/or the price per unit the smallholders receive when they do sell their harvest. Therefore, as a proxy for income, we intend to use </w:t>
      </w:r>
      <w:r w:rsidR="00326FBB">
        <w:rPr>
          <w:lang w:val="en-GB"/>
        </w:rPr>
        <w:t>maize revenue</w:t>
      </w:r>
      <w:r>
        <w:rPr>
          <w:lang w:val="en-GB"/>
        </w:rPr>
        <w:t xml:space="preserve"> as the outcome measure that we will analyse using the SITS framework.  </w:t>
      </w:r>
    </w:p>
    <w:p w:rsidR="00CF4476" w:rsidRPr="00081646" w:rsidRDefault="00CF4476" w:rsidP="00CF4476">
      <w:pPr>
        <w:pStyle w:val="BodyText"/>
        <w:rPr>
          <w:lang w:val="en-GB"/>
        </w:rPr>
      </w:pPr>
      <w:r>
        <w:rPr>
          <w:lang w:val="en-GB"/>
        </w:rPr>
        <w:t xml:space="preserve">For each outcome measure, we will estimate separate models </w:t>
      </w:r>
      <w:r w:rsidRPr="00081646">
        <w:rPr>
          <w:lang w:val="en-GB"/>
        </w:rPr>
        <w:t xml:space="preserve">with data from </w:t>
      </w:r>
      <w:r>
        <w:rPr>
          <w:lang w:val="en-GB"/>
        </w:rPr>
        <w:t xml:space="preserve">the </w:t>
      </w:r>
      <w:r w:rsidRPr="00081646">
        <w:rPr>
          <w:lang w:val="en-GB"/>
        </w:rPr>
        <w:t xml:space="preserve">Rift Valley and the Eastern </w:t>
      </w:r>
      <w:r w:rsidR="006E57A3">
        <w:rPr>
          <w:lang w:val="en-GB"/>
        </w:rPr>
        <w:t>regions</w:t>
      </w:r>
      <w:r w:rsidRPr="00081646">
        <w:rPr>
          <w:lang w:val="en-GB"/>
        </w:rPr>
        <w:t xml:space="preserve"> to </w:t>
      </w:r>
      <w:r>
        <w:rPr>
          <w:lang w:val="en-GB"/>
        </w:rPr>
        <w:t xml:space="preserve">obtain </w:t>
      </w:r>
      <w:r w:rsidRPr="00081646">
        <w:rPr>
          <w:lang w:val="en-GB"/>
        </w:rPr>
        <w:t xml:space="preserve">specific impact estimates for </w:t>
      </w:r>
      <w:r>
        <w:rPr>
          <w:lang w:val="en-GB"/>
        </w:rPr>
        <w:t xml:space="preserve">each outcome measure in </w:t>
      </w:r>
      <w:r w:rsidRPr="00081646">
        <w:rPr>
          <w:lang w:val="en-GB"/>
        </w:rPr>
        <w:t xml:space="preserve">each region. The data for these analyses will be obtained from surveys conducted with households in the treated areas. We intend to create a panel dataset that includes as many as three pre-intervention values of the outcome measure and </w:t>
      </w:r>
      <w:r>
        <w:rPr>
          <w:lang w:val="en-GB"/>
        </w:rPr>
        <w:t>one to two</w:t>
      </w:r>
      <w:r w:rsidRPr="00081646">
        <w:rPr>
          <w:lang w:val="en-GB"/>
        </w:rPr>
        <w:t xml:space="preserve"> post-intervention </w:t>
      </w:r>
      <w:proofErr w:type="gramStart"/>
      <w:r w:rsidRPr="00081646">
        <w:rPr>
          <w:lang w:val="en-GB"/>
        </w:rPr>
        <w:t>values .</w:t>
      </w:r>
      <w:proofErr w:type="gramEnd"/>
      <w:r w:rsidRPr="00081646">
        <w:rPr>
          <w:lang w:val="en-GB"/>
        </w:rPr>
        <w:t xml:space="preserve"> As discussed in the next section, we intend to represent all counties in the two areas (nine counties in </w:t>
      </w:r>
      <w:r>
        <w:rPr>
          <w:lang w:val="en-GB"/>
        </w:rPr>
        <w:t xml:space="preserve">the </w:t>
      </w:r>
      <w:r w:rsidRPr="00081646">
        <w:rPr>
          <w:lang w:val="en-GB"/>
        </w:rPr>
        <w:t xml:space="preserve">Rift Valley and five counties in the Eastern region). </w:t>
      </w:r>
    </w:p>
    <w:p w:rsidR="00CF4476" w:rsidRPr="00081646" w:rsidRDefault="00CF4476" w:rsidP="00CF4476">
      <w:pPr>
        <w:pStyle w:val="BodyText"/>
        <w:rPr>
          <w:lang w:val="en-GB"/>
        </w:rPr>
      </w:pPr>
      <w:proofErr w:type="gramStart"/>
      <w:r w:rsidRPr="00081646">
        <w:rPr>
          <w:b/>
          <w:lang w:val="en-GB"/>
        </w:rPr>
        <w:t>Levels of nesting in the data</w:t>
      </w:r>
      <w:r w:rsidRPr="00081646">
        <w:rPr>
          <w:lang w:val="en-GB"/>
        </w:rPr>
        <w:t>.</w:t>
      </w:r>
      <w:proofErr w:type="gramEnd"/>
      <w:r w:rsidRPr="00081646">
        <w:rPr>
          <w:lang w:val="en-GB"/>
        </w:rPr>
        <w:t xml:space="preserve"> Within each county, villages will be sampled randomly, and within each village, households will be selected randomly for the survey administration. Therefore, in each region, the nesting structure in the data will be of the following form: individual observations (or time) nested within households nested within villages nested within counties. The simplest SITS model specification that reflects this cluster structure is given in Equation 1 below:</w:t>
      </w:r>
    </w:p>
    <w:p w:rsidR="00CF4476" w:rsidRPr="00081646" w:rsidRDefault="00D264E5" w:rsidP="00EC48D2">
      <w:pPr>
        <w:pStyle w:val="ListParagraph"/>
        <w:numPr>
          <w:ilvl w:val="0"/>
          <w:numId w:val="8"/>
        </w:numPr>
        <w:rPr>
          <w:lang w:val="en-GB"/>
        </w:rPr>
      </w:pPr>
      <m:oMath>
        <m:sSub>
          <m:sSubPr>
            <m:ctrlPr>
              <w:rPr>
                <w:rFonts w:ascii="Cambria Math" w:hAnsi="Cambria Math"/>
                <w:i/>
                <w:lang w:val="en-GB"/>
              </w:rPr>
            </m:ctrlPr>
          </m:sSubPr>
          <m:e>
            <m:r>
              <w:rPr>
                <w:rFonts w:ascii="Cambria Math" w:hAnsi="Cambria Math"/>
                <w:lang w:val="en-GB"/>
              </w:rPr>
              <m:t>Y</m:t>
            </m:r>
          </m:e>
          <m:sub>
            <m:r>
              <w:rPr>
                <w:rFonts w:ascii="Cambria Math" w:hAnsi="Cambria Math"/>
                <w:lang w:val="en-GB"/>
              </w:rPr>
              <m:t>thjk</m:t>
            </m:r>
          </m:sub>
        </m:sSub>
        <m:r>
          <w:rPr>
            <w:rFonts w:ascii="Cambria Math" w:hAnsi="Cambria Math"/>
            <w:lang w:val="en-GB"/>
          </w:rPr>
          <m:t>=</m:t>
        </m:r>
        <m:sSub>
          <m:sSubPr>
            <m:ctrlPr>
              <w:rPr>
                <w:rFonts w:ascii="Cambria Math" w:hAnsi="Cambria Math"/>
                <w:i/>
                <w:lang w:val="en-GB"/>
              </w:rPr>
            </m:ctrlPr>
          </m:sSubPr>
          <m:e>
            <m:r>
              <w:rPr>
                <w:rFonts w:ascii="Cambria Math" w:hAnsi="Cambria Math"/>
                <w:lang w:val="en-GB"/>
              </w:rPr>
              <m:t>β</m:t>
            </m:r>
          </m:e>
          <m:sub>
            <m:r>
              <w:rPr>
                <w:rFonts w:ascii="Cambria Math" w:hAnsi="Cambria Math"/>
                <w:lang w:val="en-GB"/>
              </w:rPr>
              <m:t>0</m:t>
            </m:r>
          </m:sub>
        </m:sSub>
        <m:r>
          <w:rPr>
            <w:rFonts w:ascii="Cambria Math" w:hAnsi="Cambria Math"/>
            <w:lang w:val="en-GB"/>
          </w:rPr>
          <m:t>+</m:t>
        </m:r>
        <m:sSub>
          <m:sSubPr>
            <m:ctrlPr>
              <w:rPr>
                <w:rFonts w:ascii="Cambria Math" w:hAnsi="Cambria Math"/>
                <w:i/>
                <w:lang w:val="en-GB"/>
              </w:rPr>
            </m:ctrlPr>
          </m:sSubPr>
          <m:e>
            <m:r>
              <w:rPr>
                <w:rFonts w:ascii="Cambria Math" w:hAnsi="Cambria Math"/>
                <w:lang w:val="en-GB"/>
              </w:rPr>
              <m:t>β</m:t>
            </m:r>
          </m:e>
          <m:sub>
            <m:r>
              <w:rPr>
                <w:rFonts w:ascii="Cambria Math" w:hAnsi="Cambria Math"/>
                <w:lang w:val="en-GB"/>
              </w:rPr>
              <m:t>1</m:t>
            </m:r>
          </m:sub>
        </m:sSub>
        <m:sSub>
          <m:sSubPr>
            <m:ctrlPr>
              <w:rPr>
                <w:rFonts w:ascii="Cambria Math" w:hAnsi="Cambria Math"/>
                <w:i/>
                <w:lang w:val="en-GB"/>
              </w:rPr>
            </m:ctrlPr>
          </m:sSubPr>
          <m:e>
            <m:r>
              <w:rPr>
                <w:rFonts w:ascii="Cambria Math" w:hAnsi="Cambria Math"/>
                <w:lang w:val="en-GB"/>
              </w:rPr>
              <m:t>time</m:t>
            </m:r>
          </m:e>
          <m:sub>
            <m:r>
              <w:rPr>
                <w:rFonts w:ascii="Cambria Math" w:hAnsi="Cambria Math"/>
                <w:lang w:val="en-GB"/>
              </w:rPr>
              <m:t>t</m:t>
            </m:r>
          </m:sub>
        </m:sSub>
        <m:r>
          <w:rPr>
            <w:rFonts w:ascii="Cambria Math" w:hAnsi="Cambria Math"/>
            <w:lang w:val="en-GB"/>
          </w:rPr>
          <m:t>+</m:t>
        </m:r>
        <m:sSub>
          <m:sSubPr>
            <m:ctrlPr>
              <w:rPr>
                <w:rFonts w:ascii="Cambria Math" w:hAnsi="Cambria Math"/>
                <w:i/>
                <w:lang w:val="en-GB"/>
              </w:rPr>
            </m:ctrlPr>
          </m:sSubPr>
          <m:e>
            <m:r>
              <w:rPr>
                <w:rFonts w:ascii="Cambria Math" w:hAnsi="Cambria Math"/>
                <w:lang w:val="en-GB"/>
              </w:rPr>
              <m:t>β</m:t>
            </m:r>
          </m:e>
          <m:sub>
            <m:r>
              <w:rPr>
                <w:rFonts w:ascii="Cambria Math" w:hAnsi="Cambria Math"/>
                <w:lang w:val="en-GB"/>
              </w:rPr>
              <m:t>2</m:t>
            </m:r>
          </m:sub>
        </m:sSub>
        <m:sSub>
          <m:sSubPr>
            <m:ctrlPr>
              <w:rPr>
                <w:rFonts w:ascii="Cambria Math" w:hAnsi="Cambria Math"/>
                <w:i/>
                <w:lang w:val="en-GB"/>
              </w:rPr>
            </m:ctrlPr>
          </m:sSubPr>
          <m:e>
            <m:r>
              <w:rPr>
                <w:rFonts w:ascii="Cambria Math" w:hAnsi="Cambria Math"/>
                <w:lang w:val="en-GB"/>
              </w:rPr>
              <m:t>Post</m:t>
            </m:r>
          </m:e>
          <m:sub>
            <m:r>
              <w:rPr>
                <w:rFonts w:ascii="Cambria Math" w:hAnsi="Cambria Math"/>
                <w:lang w:val="en-GB"/>
              </w:rPr>
              <m:t>t</m:t>
            </m:r>
          </m:sub>
        </m:sSub>
        <m:r>
          <w:rPr>
            <w:rFonts w:ascii="Cambria Math" w:hAnsi="Cambria Math"/>
            <w:lang w:val="en-GB"/>
          </w:rPr>
          <m:t>+</m:t>
        </m:r>
        <m:nary>
          <m:naryPr>
            <m:chr m:val="∑"/>
            <m:limLoc m:val="undOvr"/>
            <m:ctrlPr>
              <w:rPr>
                <w:rFonts w:ascii="Cambria Math" w:hAnsi="Cambria Math"/>
                <w:i/>
                <w:lang w:val="en-GB"/>
              </w:rPr>
            </m:ctrlPr>
          </m:naryPr>
          <m:sub>
            <m:r>
              <w:rPr>
                <w:rFonts w:ascii="Cambria Math" w:hAnsi="Cambria Math"/>
                <w:lang w:val="en-GB"/>
              </w:rPr>
              <m:t>n=1</m:t>
            </m:r>
          </m:sub>
          <m:sup>
            <m:r>
              <w:rPr>
                <w:rFonts w:ascii="Cambria Math" w:hAnsi="Cambria Math"/>
                <w:lang w:val="en-GB"/>
              </w:rPr>
              <m:t>N</m:t>
            </m:r>
          </m:sup>
          <m:e>
            <m:sSub>
              <m:sSubPr>
                <m:ctrlPr>
                  <w:rPr>
                    <w:rFonts w:ascii="Cambria Math" w:hAnsi="Cambria Math"/>
                    <w:i/>
                    <w:lang w:val="en-GB"/>
                  </w:rPr>
                </m:ctrlPr>
              </m:sSubPr>
              <m:e>
                <m:r>
                  <w:rPr>
                    <w:rFonts w:ascii="Cambria Math" w:hAnsi="Cambria Math"/>
                    <w:lang w:val="en-GB"/>
                  </w:rPr>
                  <m:t>β</m:t>
                </m:r>
              </m:e>
              <m:sub>
                <m:r>
                  <w:rPr>
                    <w:rFonts w:ascii="Cambria Math" w:hAnsi="Cambria Math"/>
                    <w:lang w:val="en-GB"/>
                  </w:rPr>
                  <m:t>n+2</m:t>
                </m:r>
              </m:sub>
            </m:sSub>
            <m:sSubSup>
              <m:sSubSupPr>
                <m:ctrlPr>
                  <w:rPr>
                    <w:rFonts w:ascii="Cambria Math" w:hAnsi="Cambria Math"/>
                    <w:i/>
                    <w:lang w:val="en-GB"/>
                  </w:rPr>
                </m:ctrlPr>
              </m:sSubSupPr>
              <m:e>
                <m:r>
                  <w:rPr>
                    <w:rFonts w:ascii="Cambria Math" w:hAnsi="Cambria Math"/>
                    <w:lang w:val="en-GB"/>
                  </w:rPr>
                  <m:t>X</m:t>
                </m:r>
              </m:e>
              <m:sub>
                <m:r>
                  <w:rPr>
                    <w:rFonts w:ascii="Cambria Math" w:hAnsi="Cambria Math"/>
                    <w:lang w:val="en-GB"/>
                  </w:rPr>
                  <m:t>thjk</m:t>
                </m:r>
              </m:sub>
              <m:sup>
                <m:r>
                  <w:rPr>
                    <w:rFonts w:ascii="Cambria Math" w:hAnsi="Cambria Math"/>
                    <w:lang w:val="en-GB"/>
                  </w:rPr>
                  <m:t>n</m:t>
                </m:r>
              </m:sup>
            </m:sSubSup>
          </m:e>
        </m:nary>
        <m:r>
          <w:rPr>
            <w:rFonts w:ascii="Cambria Math" w:hAnsi="Cambria Math"/>
            <w:lang w:val="en-GB"/>
          </w:rPr>
          <m:t>++</m:t>
        </m:r>
        <m:nary>
          <m:naryPr>
            <m:chr m:val="∑"/>
            <m:limLoc m:val="undOvr"/>
            <m:ctrlPr>
              <w:rPr>
                <w:rFonts w:ascii="Cambria Math" w:hAnsi="Cambria Math"/>
                <w:i/>
                <w:lang w:val="en-GB"/>
              </w:rPr>
            </m:ctrlPr>
          </m:naryPr>
          <m:sub>
            <m:r>
              <w:rPr>
                <w:rFonts w:ascii="Cambria Math" w:hAnsi="Cambria Math"/>
                <w:lang w:val="en-GB"/>
              </w:rPr>
              <m:t>m=1</m:t>
            </m:r>
          </m:sub>
          <m:sup>
            <m:r>
              <w:rPr>
                <w:rFonts w:ascii="Cambria Math" w:hAnsi="Cambria Math"/>
                <w:lang w:val="en-GB"/>
              </w:rPr>
              <m:t>M</m:t>
            </m:r>
          </m:sup>
          <m:e>
            <m:sSub>
              <m:sSubPr>
                <m:ctrlPr>
                  <w:rPr>
                    <w:rFonts w:ascii="Cambria Math" w:hAnsi="Cambria Math"/>
                    <w:i/>
                    <w:lang w:val="en-GB"/>
                  </w:rPr>
                </m:ctrlPr>
              </m:sSubPr>
              <m:e>
                <m:r>
                  <w:rPr>
                    <w:rFonts w:ascii="Cambria Math" w:hAnsi="Cambria Math"/>
                    <w:lang w:val="en-GB"/>
                  </w:rPr>
                  <m:t>β</m:t>
                </m:r>
              </m:e>
              <m:sub>
                <m:r>
                  <w:rPr>
                    <w:rFonts w:ascii="Cambria Math" w:hAnsi="Cambria Math"/>
                    <w:lang w:val="en-GB"/>
                  </w:rPr>
                  <m:t>N+2+m</m:t>
                </m:r>
              </m:sub>
            </m:sSub>
          </m:e>
        </m:nary>
        <m:sSubSup>
          <m:sSubSupPr>
            <m:ctrlPr>
              <w:rPr>
                <w:rFonts w:ascii="Cambria Math" w:hAnsi="Cambria Math"/>
                <w:i/>
                <w:lang w:val="en-GB"/>
              </w:rPr>
            </m:ctrlPr>
          </m:sSubSupPr>
          <m:e>
            <m:r>
              <w:rPr>
                <w:rFonts w:ascii="Cambria Math" w:hAnsi="Cambria Math"/>
                <w:lang w:val="en-GB"/>
              </w:rPr>
              <m:t>W</m:t>
            </m:r>
          </m:e>
          <m:sub>
            <m:r>
              <w:rPr>
                <w:rFonts w:ascii="Cambria Math" w:hAnsi="Cambria Math"/>
                <w:lang w:val="en-GB"/>
              </w:rPr>
              <m:t>tjk</m:t>
            </m:r>
          </m:sub>
          <m:sup>
            <m:r>
              <w:rPr>
                <w:rFonts w:ascii="Cambria Math" w:hAnsi="Cambria Math"/>
                <w:lang w:val="en-GB"/>
              </w:rPr>
              <m:t>m</m:t>
            </m:r>
          </m:sup>
        </m:sSubSup>
        <m:r>
          <w:rPr>
            <w:rFonts w:ascii="Cambria Math" w:hAnsi="Cambria Math"/>
            <w:lang w:val="en-GB"/>
          </w:rPr>
          <m:t>+</m:t>
        </m:r>
        <m:nary>
          <m:naryPr>
            <m:chr m:val="∑"/>
            <m:limLoc m:val="undOvr"/>
            <m:ctrlPr>
              <w:rPr>
                <w:rFonts w:ascii="Cambria Math" w:hAnsi="Cambria Math"/>
                <w:i/>
                <w:lang w:val="en-GB"/>
              </w:rPr>
            </m:ctrlPr>
          </m:naryPr>
          <m:sub>
            <m:r>
              <w:rPr>
                <w:rFonts w:ascii="Cambria Math" w:hAnsi="Cambria Math"/>
                <w:lang w:val="en-GB"/>
              </w:rPr>
              <m:t>r=1</m:t>
            </m:r>
          </m:sub>
          <m:sup>
            <m:r>
              <w:rPr>
                <w:rFonts w:ascii="Cambria Math" w:hAnsi="Cambria Math"/>
                <w:lang w:val="en-GB"/>
              </w:rPr>
              <m:t>R-1</m:t>
            </m:r>
          </m:sup>
          <m:e>
            <m:sSub>
              <m:sSubPr>
                <m:ctrlPr>
                  <w:rPr>
                    <w:rFonts w:ascii="Cambria Math" w:hAnsi="Cambria Math"/>
                    <w:i/>
                    <w:lang w:val="en-GB"/>
                  </w:rPr>
                </m:ctrlPr>
              </m:sSubPr>
              <m:e>
                <m:r>
                  <w:rPr>
                    <w:rFonts w:ascii="Cambria Math" w:hAnsi="Cambria Math"/>
                    <w:lang w:val="en-GB"/>
                  </w:rPr>
                  <m:t>β</m:t>
                </m:r>
              </m:e>
              <m:sub>
                <m:r>
                  <w:rPr>
                    <w:rFonts w:ascii="Cambria Math" w:hAnsi="Cambria Math"/>
                    <w:lang w:val="en-GB"/>
                  </w:rPr>
                  <m:t>N+M+2+r</m:t>
                </m:r>
              </m:sub>
            </m:sSub>
            <m:sSubSup>
              <m:sSubSupPr>
                <m:ctrlPr>
                  <w:rPr>
                    <w:rFonts w:ascii="Cambria Math" w:hAnsi="Cambria Math"/>
                    <w:i/>
                    <w:lang w:val="en-GB"/>
                  </w:rPr>
                </m:ctrlPr>
              </m:sSubSupPr>
              <m:e>
                <m:r>
                  <w:rPr>
                    <w:rFonts w:ascii="Cambria Math" w:hAnsi="Cambria Math"/>
                    <w:lang w:val="en-GB"/>
                  </w:rPr>
                  <m:t>C</m:t>
                </m:r>
              </m:e>
              <m:sub>
                <m:r>
                  <w:rPr>
                    <w:rFonts w:ascii="Cambria Math" w:hAnsi="Cambria Math"/>
                    <w:lang w:val="en-GB"/>
                  </w:rPr>
                  <m:t>k</m:t>
                </m:r>
              </m:sub>
              <m:sup>
                <m:r>
                  <w:rPr>
                    <w:rFonts w:ascii="Cambria Math" w:hAnsi="Cambria Math"/>
                    <w:lang w:val="en-GB"/>
                  </w:rPr>
                  <m:t>r</m:t>
                </m:r>
              </m:sup>
            </m:sSubSup>
          </m:e>
        </m:nary>
        <m:r>
          <w:rPr>
            <w:rFonts w:ascii="Cambria Math" w:hAnsi="Cambria Math"/>
            <w:lang w:val="en-GB"/>
          </w:rPr>
          <m:t>+</m:t>
        </m:r>
        <m:sSub>
          <m:sSubPr>
            <m:ctrlPr>
              <w:rPr>
                <w:rFonts w:ascii="Cambria Math" w:hAnsi="Cambria Math"/>
                <w:i/>
                <w:lang w:val="en-GB"/>
              </w:rPr>
            </m:ctrlPr>
          </m:sSubPr>
          <m:e>
            <m:r>
              <w:rPr>
                <w:rFonts w:ascii="Cambria Math" w:hAnsi="Cambria Math"/>
                <w:lang w:val="en-GB"/>
              </w:rPr>
              <m:t>μ</m:t>
            </m:r>
          </m:e>
          <m:sub>
            <m:r>
              <w:rPr>
                <w:rFonts w:ascii="Cambria Math" w:hAnsi="Cambria Math"/>
                <w:lang w:val="en-GB"/>
              </w:rPr>
              <m:t>jk</m:t>
            </m:r>
          </m:sub>
        </m:sSub>
        <m:r>
          <w:rPr>
            <w:rFonts w:ascii="Cambria Math" w:hAnsi="Cambria Math"/>
            <w:lang w:val="en-GB"/>
          </w:rPr>
          <m:t>+</m:t>
        </m:r>
        <m:sSub>
          <m:sSubPr>
            <m:ctrlPr>
              <w:rPr>
                <w:rFonts w:ascii="Cambria Math" w:hAnsi="Cambria Math"/>
                <w:i/>
                <w:lang w:val="en-GB"/>
              </w:rPr>
            </m:ctrlPr>
          </m:sSubPr>
          <m:e>
            <m:r>
              <w:rPr>
                <w:rFonts w:ascii="Cambria Math" w:hAnsi="Cambria Math"/>
                <w:lang w:val="en-GB"/>
              </w:rPr>
              <m:t>δ</m:t>
            </m:r>
          </m:e>
          <m:sub>
            <m:r>
              <w:rPr>
                <w:rFonts w:ascii="Cambria Math" w:hAnsi="Cambria Math"/>
                <w:lang w:val="en-GB"/>
              </w:rPr>
              <m:t>hjk</m:t>
            </m:r>
          </m:sub>
        </m:sSub>
        <m:r>
          <w:rPr>
            <w:rFonts w:ascii="Cambria Math" w:hAnsi="Cambria Math"/>
            <w:lang w:val="en-GB"/>
          </w:rPr>
          <m:t>+</m:t>
        </m:r>
        <m:sSub>
          <m:sSubPr>
            <m:ctrlPr>
              <w:rPr>
                <w:rFonts w:ascii="Cambria Math" w:hAnsi="Cambria Math"/>
                <w:i/>
                <w:lang w:val="en-GB"/>
              </w:rPr>
            </m:ctrlPr>
          </m:sSubPr>
          <m:e>
            <m:r>
              <w:rPr>
                <w:rFonts w:ascii="Cambria Math" w:hAnsi="Cambria Math"/>
                <w:lang w:val="en-GB"/>
              </w:rPr>
              <m:t>ϵ</m:t>
            </m:r>
          </m:e>
          <m:sub>
            <m:r>
              <w:rPr>
                <w:rFonts w:ascii="Cambria Math" w:hAnsi="Cambria Math"/>
                <w:lang w:val="en-GB"/>
              </w:rPr>
              <m:t>thjk</m:t>
            </m:r>
          </m:sub>
        </m:sSub>
      </m:oMath>
      <w:r w:rsidR="00CF4476" w:rsidRPr="00081646">
        <w:rPr>
          <w:lang w:val="en-GB"/>
        </w:rPr>
        <w:t xml:space="preserve"> </w:t>
      </w:r>
    </w:p>
    <w:p w:rsidR="00CF4476" w:rsidRPr="00081646" w:rsidRDefault="00CF4476" w:rsidP="00CF4476">
      <w:pPr>
        <w:ind w:left="360"/>
        <w:rPr>
          <w:lang w:val="en-GB"/>
        </w:rPr>
      </w:pPr>
      <w:proofErr w:type="gramStart"/>
      <w:r w:rsidRPr="00081646">
        <w:rPr>
          <w:lang w:val="en-GB"/>
        </w:rPr>
        <w:t>where</w:t>
      </w:r>
      <w:proofErr w:type="gramEnd"/>
      <w:r w:rsidRPr="00081646">
        <w:rPr>
          <w:lang w:val="en-GB"/>
        </w:rPr>
        <w:t>:</w:t>
      </w:r>
    </w:p>
    <w:p w:rsidR="00CF4476" w:rsidRPr="00081646" w:rsidRDefault="00D264E5" w:rsidP="00CF4476">
      <w:pPr>
        <w:ind w:left="720"/>
        <w:rPr>
          <w:rFonts w:eastAsiaTheme="minorEastAsia"/>
          <w:lang w:val="en-GB"/>
        </w:rPr>
      </w:pPr>
      <m:oMath>
        <m:sSub>
          <m:sSubPr>
            <m:ctrlPr>
              <w:rPr>
                <w:rFonts w:ascii="Cambria Math" w:hAnsi="Cambria Math"/>
                <w:i/>
                <w:lang w:val="en-GB"/>
              </w:rPr>
            </m:ctrlPr>
          </m:sSubPr>
          <m:e>
            <m:r>
              <w:rPr>
                <w:rFonts w:ascii="Cambria Math" w:hAnsi="Cambria Math"/>
                <w:lang w:val="en-GB"/>
              </w:rPr>
              <m:t>Y</m:t>
            </m:r>
          </m:e>
          <m:sub>
            <m:r>
              <w:rPr>
                <w:rFonts w:ascii="Cambria Math" w:hAnsi="Cambria Math"/>
                <w:lang w:val="en-GB"/>
              </w:rPr>
              <m:t>thjk</m:t>
            </m:r>
          </m:sub>
        </m:sSub>
      </m:oMath>
      <w:r w:rsidR="00CF4476" w:rsidRPr="00081646">
        <w:rPr>
          <w:rFonts w:eastAsiaTheme="minorEastAsia"/>
          <w:lang w:val="en-GB"/>
        </w:rPr>
        <w:t xml:space="preserve"> </w:t>
      </w:r>
      <w:r w:rsidR="00CF4476" w:rsidRPr="00081646">
        <w:rPr>
          <w:rFonts w:eastAsiaTheme="minorEastAsia"/>
          <w:lang w:val="en-GB"/>
        </w:rPr>
        <w:tab/>
        <w:t xml:space="preserve">= Outcome measure for household </w:t>
      </w:r>
      <w:r w:rsidR="00CF4476" w:rsidRPr="00081646">
        <w:rPr>
          <w:rFonts w:eastAsiaTheme="minorEastAsia"/>
          <w:i/>
          <w:lang w:val="en-GB"/>
        </w:rPr>
        <w:t xml:space="preserve">h </w:t>
      </w:r>
      <w:r w:rsidR="00CF4476" w:rsidRPr="00081646">
        <w:rPr>
          <w:rFonts w:eastAsiaTheme="minorEastAsia"/>
          <w:lang w:val="en-GB"/>
        </w:rPr>
        <w:t xml:space="preserve">in village </w:t>
      </w:r>
      <w:r w:rsidR="00CF4476" w:rsidRPr="00081646">
        <w:rPr>
          <w:rFonts w:eastAsiaTheme="minorEastAsia"/>
          <w:i/>
          <w:lang w:val="en-GB"/>
        </w:rPr>
        <w:t>j</w:t>
      </w:r>
      <w:r w:rsidR="00CF4476" w:rsidRPr="00081646">
        <w:rPr>
          <w:rFonts w:eastAsiaTheme="minorEastAsia"/>
          <w:lang w:val="en-GB"/>
        </w:rPr>
        <w:t xml:space="preserve"> in county </w:t>
      </w:r>
      <w:r w:rsidR="00CF4476" w:rsidRPr="00081646">
        <w:rPr>
          <w:rFonts w:eastAsiaTheme="minorEastAsia"/>
          <w:i/>
          <w:lang w:val="en-GB"/>
        </w:rPr>
        <w:t>k</w:t>
      </w:r>
      <w:r w:rsidR="00CF4476" w:rsidRPr="00081646">
        <w:rPr>
          <w:rFonts w:eastAsiaTheme="minorEastAsia"/>
          <w:lang w:val="en-GB"/>
        </w:rPr>
        <w:t xml:space="preserve"> at time </w:t>
      </w:r>
      <w:r w:rsidR="00CF4476" w:rsidRPr="00081646">
        <w:rPr>
          <w:rFonts w:eastAsiaTheme="minorEastAsia"/>
          <w:i/>
          <w:lang w:val="en-GB"/>
        </w:rPr>
        <w:t>t</w:t>
      </w:r>
      <w:r w:rsidR="00CF4476" w:rsidRPr="00081646">
        <w:rPr>
          <w:rFonts w:eastAsiaTheme="minorEastAsia"/>
          <w:lang w:val="en-GB"/>
        </w:rPr>
        <w:t xml:space="preserve">. </w:t>
      </w:r>
      <w:r w:rsidR="00CF4476">
        <w:rPr>
          <w:rFonts w:eastAsiaTheme="minorEastAsia"/>
          <w:lang w:val="en-GB"/>
        </w:rPr>
        <w:t xml:space="preserve">As mentioned above, this model will be estimated separately for all targeted outcomes of interest: two primary outcomes (uptake of on farm storage and sale price of maize) as well as food security and knowledge and attitude on storage practices. </w:t>
      </w:r>
    </w:p>
    <w:p w:rsidR="00CF4476" w:rsidRPr="00081646" w:rsidRDefault="00D264E5" w:rsidP="00CF4476">
      <w:pPr>
        <w:ind w:left="720"/>
        <w:rPr>
          <w:rFonts w:eastAsiaTheme="minorEastAsia"/>
          <w:lang w:val="en-GB"/>
        </w:rPr>
      </w:pPr>
      <m:oMath>
        <m:sSub>
          <m:sSubPr>
            <m:ctrlPr>
              <w:rPr>
                <w:rFonts w:ascii="Cambria Math" w:hAnsi="Cambria Math"/>
                <w:i/>
                <w:lang w:val="en-GB"/>
              </w:rPr>
            </m:ctrlPr>
          </m:sSubPr>
          <m:e>
            <m:r>
              <w:rPr>
                <w:rFonts w:ascii="Cambria Math" w:hAnsi="Cambria Math"/>
                <w:lang w:val="en-GB"/>
              </w:rPr>
              <m:t>time</m:t>
            </m:r>
          </m:e>
          <m:sub>
            <m:r>
              <w:rPr>
                <w:rFonts w:ascii="Cambria Math" w:hAnsi="Cambria Math"/>
                <w:lang w:val="en-GB"/>
              </w:rPr>
              <m:t>t</m:t>
            </m:r>
          </m:sub>
        </m:sSub>
      </m:oMath>
      <w:r w:rsidR="00CF4476" w:rsidRPr="00081646">
        <w:rPr>
          <w:rFonts w:eastAsiaTheme="minorEastAsia"/>
          <w:lang w:val="en-GB"/>
        </w:rPr>
        <w:tab/>
        <w:t xml:space="preserve"> = The counter for observations</w:t>
      </w:r>
      <w:r w:rsidR="00CF4476">
        <w:rPr>
          <w:rFonts w:eastAsiaTheme="minorEastAsia"/>
          <w:lang w:val="en-GB"/>
        </w:rPr>
        <w:t xml:space="preserve">, and </w:t>
      </w:r>
      <w:r w:rsidR="00CF4476" w:rsidRPr="00081646">
        <w:rPr>
          <w:rFonts w:eastAsiaTheme="minorEastAsia"/>
          <w:lang w:val="en-GB"/>
        </w:rPr>
        <w:t>time=</w:t>
      </w:r>
      <w:r w:rsidR="00CF4476" w:rsidRPr="00E939C4">
        <w:rPr>
          <w:rFonts w:eastAsiaTheme="minorEastAsia"/>
          <w:i/>
          <w:lang w:val="en-GB"/>
        </w:rPr>
        <w:t>t</w:t>
      </w:r>
      <w:r w:rsidR="00CF4476" w:rsidRPr="00081646">
        <w:rPr>
          <w:rFonts w:eastAsiaTheme="minorEastAsia"/>
          <w:lang w:val="en-GB"/>
        </w:rPr>
        <w:t>=1, 2, and 3 denote the three pre-intervention periods, while time=</w:t>
      </w:r>
      <w:r w:rsidR="00CF4476" w:rsidRPr="00E939C4">
        <w:rPr>
          <w:rFonts w:eastAsiaTheme="minorEastAsia"/>
          <w:i/>
          <w:lang w:val="en-GB"/>
        </w:rPr>
        <w:t>t</w:t>
      </w:r>
      <w:r w:rsidR="00CF4476" w:rsidRPr="00081646">
        <w:rPr>
          <w:rFonts w:eastAsiaTheme="minorEastAsia"/>
          <w:lang w:val="en-GB"/>
        </w:rPr>
        <w:t>= 4 denote</w:t>
      </w:r>
      <w:r w:rsidR="00CF4476">
        <w:rPr>
          <w:rFonts w:eastAsiaTheme="minorEastAsia"/>
          <w:lang w:val="en-GB"/>
        </w:rPr>
        <w:t>s</w:t>
      </w:r>
      <w:r w:rsidR="00CF4476" w:rsidRPr="00081646">
        <w:rPr>
          <w:rFonts w:eastAsiaTheme="minorEastAsia"/>
          <w:lang w:val="en-GB"/>
        </w:rPr>
        <w:t xml:space="preserve"> the post-intervention period</w:t>
      </w:r>
      <w:proofErr w:type="gramStart"/>
      <w:r w:rsidR="00CF4476">
        <w:rPr>
          <w:rFonts w:eastAsiaTheme="minorEastAsia"/>
          <w:lang w:val="en-GB"/>
        </w:rPr>
        <w:t>.</w:t>
      </w:r>
      <w:r w:rsidR="00CF4476" w:rsidRPr="00081646">
        <w:rPr>
          <w:rFonts w:eastAsiaTheme="minorEastAsia"/>
          <w:lang w:val="en-GB"/>
        </w:rPr>
        <w:t>.</w:t>
      </w:r>
      <w:proofErr w:type="gramEnd"/>
    </w:p>
    <w:p w:rsidR="00CF4476" w:rsidRPr="00081646" w:rsidRDefault="00D264E5" w:rsidP="00CF4476">
      <w:pPr>
        <w:ind w:left="720"/>
        <w:rPr>
          <w:rFonts w:eastAsiaTheme="minorEastAsia"/>
          <w:lang w:val="en-GB"/>
        </w:rPr>
      </w:pPr>
      <m:oMath>
        <m:sSub>
          <m:sSubPr>
            <m:ctrlPr>
              <w:rPr>
                <w:rFonts w:ascii="Cambria Math" w:hAnsi="Cambria Math"/>
                <w:i/>
                <w:lang w:val="en-GB"/>
              </w:rPr>
            </m:ctrlPr>
          </m:sSubPr>
          <m:e>
            <m:r>
              <w:rPr>
                <w:rFonts w:ascii="Cambria Math" w:hAnsi="Cambria Math"/>
                <w:lang w:val="en-GB"/>
              </w:rPr>
              <m:t>Post</m:t>
            </m:r>
          </m:e>
          <m:sub>
            <m:r>
              <w:rPr>
                <w:rFonts w:ascii="Cambria Math" w:hAnsi="Cambria Math"/>
                <w:lang w:val="en-GB"/>
              </w:rPr>
              <m:t>t</m:t>
            </m:r>
          </m:sub>
        </m:sSub>
      </m:oMath>
      <w:r w:rsidR="00CF4476" w:rsidRPr="00081646">
        <w:rPr>
          <w:rFonts w:eastAsiaTheme="minorEastAsia"/>
          <w:lang w:val="en-GB"/>
        </w:rPr>
        <w:t xml:space="preserve"> </w:t>
      </w:r>
      <w:r w:rsidR="00CF4476" w:rsidRPr="00081646">
        <w:rPr>
          <w:rFonts w:eastAsiaTheme="minorEastAsia"/>
          <w:lang w:val="en-GB"/>
        </w:rPr>
        <w:tab/>
        <w:t xml:space="preserve"> = Indicator for the post-intervention observation (i.e., equals one if </w:t>
      </w:r>
      <w:r w:rsidR="00CF4476" w:rsidRPr="00E939C4">
        <w:rPr>
          <w:rFonts w:eastAsiaTheme="minorEastAsia"/>
          <w:i/>
          <w:lang w:val="en-GB"/>
        </w:rPr>
        <w:t>t</w:t>
      </w:r>
      <w:r w:rsidR="00CF4476" w:rsidRPr="00081646">
        <w:rPr>
          <w:rFonts w:eastAsiaTheme="minorEastAsia"/>
          <w:lang w:val="en-GB"/>
        </w:rPr>
        <w:t xml:space="preserve">=4 </w:t>
      </w:r>
      <w:r w:rsidR="00CF4476">
        <w:rPr>
          <w:rFonts w:eastAsiaTheme="minorEastAsia"/>
          <w:lang w:val="en-GB"/>
        </w:rPr>
        <w:t xml:space="preserve">and </w:t>
      </w:r>
      <w:r w:rsidR="00CF4476" w:rsidRPr="00081646">
        <w:rPr>
          <w:rFonts w:eastAsiaTheme="minorEastAsia"/>
          <w:lang w:val="en-GB"/>
        </w:rPr>
        <w:t>zero otherwise).</w:t>
      </w:r>
    </w:p>
    <w:p w:rsidR="00CF4476" w:rsidRPr="00081646" w:rsidRDefault="00D264E5" w:rsidP="00CF4476">
      <w:pPr>
        <w:ind w:left="720"/>
        <w:rPr>
          <w:rFonts w:eastAsiaTheme="minorEastAsia"/>
          <w:lang w:val="en-GB"/>
        </w:rPr>
      </w:pPr>
      <m:oMath>
        <m:sSubSup>
          <m:sSubSupPr>
            <m:ctrlPr>
              <w:rPr>
                <w:rFonts w:ascii="Cambria Math" w:hAnsi="Cambria Math"/>
                <w:i/>
                <w:lang w:val="en-GB"/>
              </w:rPr>
            </m:ctrlPr>
          </m:sSubSupPr>
          <m:e>
            <m:r>
              <w:rPr>
                <w:rFonts w:ascii="Cambria Math" w:hAnsi="Cambria Math"/>
                <w:lang w:val="en-GB"/>
              </w:rPr>
              <m:t>C</m:t>
            </m:r>
          </m:e>
          <m:sub>
            <m:r>
              <w:rPr>
                <w:rFonts w:ascii="Cambria Math" w:hAnsi="Cambria Math"/>
                <w:lang w:val="en-GB"/>
              </w:rPr>
              <m:t>k</m:t>
            </m:r>
          </m:sub>
          <m:sup>
            <m:r>
              <w:rPr>
                <w:rFonts w:ascii="Cambria Math" w:hAnsi="Cambria Math"/>
                <w:lang w:val="en-GB"/>
              </w:rPr>
              <m:t>m</m:t>
            </m:r>
          </m:sup>
        </m:sSubSup>
      </m:oMath>
      <w:r w:rsidR="00CF4476" w:rsidRPr="00081646">
        <w:rPr>
          <w:rFonts w:eastAsiaTheme="minorEastAsia"/>
          <w:lang w:val="en-GB"/>
        </w:rPr>
        <w:t xml:space="preserve"> </w:t>
      </w:r>
      <w:r w:rsidR="00CF4476" w:rsidRPr="00081646">
        <w:rPr>
          <w:rFonts w:eastAsiaTheme="minorEastAsia"/>
          <w:lang w:val="en-GB"/>
        </w:rPr>
        <w:tab/>
        <w:t xml:space="preserve"> = Indicator (i.e., fixed effect) for county </w:t>
      </w:r>
      <w:r w:rsidR="00CF4476" w:rsidRPr="00E939C4">
        <w:rPr>
          <w:rFonts w:eastAsiaTheme="minorEastAsia"/>
          <w:i/>
          <w:lang w:val="en-GB"/>
        </w:rPr>
        <w:t>m</w:t>
      </w:r>
      <w:r w:rsidR="00CF4476" w:rsidRPr="00081646">
        <w:rPr>
          <w:rFonts w:eastAsiaTheme="minorEastAsia"/>
          <w:i/>
          <w:lang w:val="en-GB"/>
        </w:rPr>
        <w:t xml:space="preserve"> (m=1</w:t>
      </w:r>
      <w:proofErr w:type="gramStart"/>
      <w:r w:rsidR="00CF4476" w:rsidRPr="00081646">
        <w:rPr>
          <w:rFonts w:eastAsiaTheme="minorEastAsia"/>
          <w:i/>
          <w:lang w:val="en-GB"/>
        </w:rPr>
        <w:t>,2</w:t>
      </w:r>
      <w:proofErr w:type="gramEnd"/>
      <w:r w:rsidR="00CF4476" w:rsidRPr="00081646">
        <w:rPr>
          <w:rFonts w:eastAsiaTheme="minorEastAsia"/>
          <w:i/>
          <w:lang w:val="en-GB"/>
        </w:rPr>
        <w:t xml:space="preserve">,…,M). </w:t>
      </w:r>
      <w:r w:rsidR="00CF4476" w:rsidRPr="00081646">
        <w:rPr>
          <w:rFonts w:eastAsiaTheme="minorEastAsia"/>
          <w:lang w:val="en-GB"/>
        </w:rPr>
        <w:t xml:space="preserve">It equals one if </w:t>
      </w:r>
      <w:r w:rsidR="00CF4476" w:rsidRPr="00081646">
        <w:rPr>
          <w:rFonts w:eastAsiaTheme="minorEastAsia"/>
          <w:i/>
          <w:lang w:val="en-GB"/>
        </w:rPr>
        <w:t xml:space="preserve">k=m </w:t>
      </w:r>
      <w:r w:rsidR="00CF4476" w:rsidRPr="00081646">
        <w:rPr>
          <w:rFonts w:eastAsiaTheme="minorEastAsia"/>
          <w:lang w:val="en-GB"/>
        </w:rPr>
        <w:t xml:space="preserve">and zero otherwise. </w:t>
      </w:r>
    </w:p>
    <w:p w:rsidR="00CF4476" w:rsidRPr="00081646" w:rsidRDefault="00D264E5" w:rsidP="00CF4476">
      <w:pPr>
        <w:ind w:left="720"/>
        <w:rPr>
          <w:rFonts w:eastAsiaTheme="minorEastAsia"/>
          <w:lang w:val="en-GB"/>
        </w:rPr>
      </w:pPr>
      <m:oMath>
        <m:sSubSup>
          <m:sSubSupPr>
            <m:ctrlPr>
              <w:rPr>
                <w:rFonts w:ascii="Cambria Math" w:hAnsi="Cambria Math"/>
                <w:i/>
                <w:lang w:val="en-GB"/>
              </w:rPr>
            </m:ctrlPr>
          </m:sSubSupPr>
          <m:e>
            <m:r>
              <w:rPr>
                <w:rFonts w:ascii="Cambria Math" w:hAnsi="Cambria Math"/>
                <w:lang w:val="en-GB"/>
              </w:rPr>
              <m:t>X</m:t>
            </m:r>
          </m:e>
          <m:sub>
            <m:r>
              <w:rPr>
                <w:rFonts w:ascii="Cambria Math" w:hAnsi="Cambria Math"/>
                <w:lang w:val="en-GB"/>
              </w:rPr>
              <m:t>thjk</m:t>
            </m:r>
          </m:sub>
          <m:sup>
            <m:r>
              <w:rPr>
                <w:rFonts w:ascii="Cambria Math" w:hAnsi="Cambria Math"/>
                <w:lang w:val="en-GB"/>
              </w:rPr>
              <m:t>n</m:t>
            </m:r>
          </m:sup>
        </m:sSubSup>
      </m:oMath>
      <w:r w:rsidR="00CF4476" w:rsidRPr="00081646">
        <w:rPr>
          <w:rFonts w:eastAsiaTheme="minorEastAsia"/>
          <w:lang w:val="en-GB"/>
        </w:rPr>
        <w:t xml:space="preserve"> </w:t>
      </w:r>
      <w:r w:rsidR="00CF4476" w:rsidRPr="00081646">
        <w:rPr>
          <w:rFonts w:eastAsiaTheme="minorEastAsia"/>
          <w:lang w:val="en-GB"/>
        </w:rPr>
        <w:tab/>
        <w:t xml:space="preserve">  = The </w:t>
      </w:r>
      <w:r w:rsidR="00CF4476" w:rsidRPr="00E939C4">
        <w:rPr>
          <w:rFonts w:eastAsiaTheme="minorEastAsia"/>
          <w:i/>
          <w:lang w:val="en-GB"/>
        </w:rPr>
        <w:t>n</w:t>
      </w:r>
      <w:r w:rsidR="00CF4476" w:rsidRPr="00081646">
        <w:rPr>
          <w:rFonts w:eastAsiaTheme="minorEastAsia"/>
          <w:lang w:val="en-GB"/>
        </w:rPr>
        <w:t>-</w:t>
      </w:r>
      <w:proofErr w:type="spellStart"/>
      <w:r w:rsidR="00CF4476" w:rsidRPr="00081646">
        <w:rPr>
          <w:rFonts w:eastAsiaTheme="minorEastAsia"/>
          <w:lang w:val="en-GB"/>
        </w:rPr>
        <w:t>th</w:t>
      </w:r>
      <w:proofErr w:type="spellEnd"/>
      <w:r w:rsidR="00CF4476" w:rsidRPr="00081646">
        <w:rPr>
          <w:rFonts w:eastAsiaTheme="minorEastAsia"/>
          <w:lang w:val="en-GB"/>
        </w:rPr>
        <w:t xml:space="preserve"> characteristic of household </w:t>
      </w:r>
      <w:r w:rsidR="00CF4476" w:rsidRPr="00081646">
        <w:rPr>
          <w:rFonts w:eastAsiaTheme="minorEastAsia"/>
          <w:i/>
          <w:lang w:val="en-GB"/>
        </w:rPr>
        <w:t>h</w:t>
      </w:r>
      <w:r w:rsidR="00CF4476" w:rsidRPr="00081646">
        <w:rPr>
          <w:rFonts w:eastAsiaTheme="minorEastAsia"/>
          <w:lang w:val="en-GB"/>
        </w:rPr>
        <w:t xml:space="preserve"> in village </w:t>
      </w:r>
      <w:r w:rsidR="00CF4476" w:rsidRPr="00081646">
        <w:rPr>
          <w:rFonts w:eastAsiaTheme="minorEastAsia"/>
          <w:i/>
          <w:lang w:val="en-GB"/>
        </w:rPr>
        <w:t xml:space="preserve">j </w:t>
      </w:r>
      <w:r w:rsidR="00CF4476" w:rsidRPr="00081646">
        <w:rPr>
          <w:rFonts w:eastAsiaTheme="minorEastAsia"/>
          <w:lang w:val="en-GB"/>
        </w:rPr>
        <w:t>in country</w:t>
      </w:r>
      <w:r w:rsidR="00CF4476" w:rsidRPr="00081646">
        <w:rPr>
          <w:rFonts w:eastAsiaTheme="minorEastAsia"/>
          <w:i/>
          <w:lang w:val="en-GB"/>
        </w:rPr>
        <w:t xml:space="preserve"> k</w:t>
      </w:r>
      <w:r w:rsidR="00CF4476" w:rsidRPr="00081646">
        <w:rPr>
          <w:rFonts w:eastAsiaTheme="minorEastAsia"/>
          <w:lang w:val="en-GB"/>
        </w:rPr>
        <w:t xml:space="preserve"> at time </w:t>
      </w:r>
      <w:r w:rsidR="00CF4476" w:rsidRPr="00081646">
        <w:rPr>
          <w:rFonts w:eastAsiaTheme="minorEastAsia"/>
          <w:i/>
          <w:lang w:val="en-GB"/>
        </w:rPr>
        <w:t xml:space="preserve">t </w:t>
      </w:r>
      <w:r w:rsidR="00CF4476" w:rsidRPr="00081646">
        <w:rPr>
          <w:rFonts w:eastAsiaTheme="minorEastAsia"/>
          <w:lang w:val="en-GB"/>
        </w:rPr>
        <w:t>(e.g., household size, age and gender of household head, land holdings, sources of income). Note that we allow these characteristics to be time variant</w:t>
      </w:r>
      <w:r w:rsidR="00CF4476">
        <w:rPr>
          <w:rFonts w:eastAsiaTheme="minorEastAsia"/>
          <w:lang w:val="en-GB"/>
        </w:rPr>
        <w:t>,</w:t>
      </w:r>
      <w:r w:rsidR="00CF4476" w:rsidRPr="00081646">
        <w:rPr>
          <w:rFonts w:eastAsiaTheme="minorEastAsia"/>
          <w:lang w:val="en-GB"/>
        </w:rPr>
        <w:t xml:space="preserve"> but we should be careful not </w:t>
      </w:r>
      <w:r w:rsidR="00CF4476">
        <w:rPr>
          <w:rFonts w:eastAsiaTheme="minorEastAsia"/>
          <w:lang w:val="en-GB"/>
        </w:rPr>
        <w:t xml:space="preserve">to </w:t>
      </w:r>
      <w:r w:rsidR="00CF4476" w:rsidRPr="00081646">
        <w:rPr>
          <w:rFonts w:eastAsiaTheme="minorEastAsia"/>
          <w:lang w:val="en-GB"/>
        </w:rPr>
        <w:t>include those that could be endogenous (i.e., affected by the intervention).</w:t>
      </w:r>
    </w:p>
    <w:p w:rsidR="00CF4476" w:rsidRPr="00081646" w:rsidRDefault="00D264E5" w:rsidP="00CF4476">
      <w:pPr>
        <w:ind w:left="720"/>
        <w:rPr>
          <w:rFonts w:eastAsiaTheme="minorEastAsia"/>
          <w:lang w:val="en-GB"/>
        </w:rPr>
      </w:pPr>
      <m:oMath>
        <m:sSubSup>
          <m:sSubSupPr>
            <m:ctrlPr>
              <w:rPr>
                <w:rFonts w:ascii="Cambria Math" w:hAnsi="Cambria Math"/>
                <w:i/>
                <w:lang w:val="en-GB"/>
              </w:rPr>
            </m:ctrlPr>
          </m:sSubSupPr>
          <m:e>
            <m:r>
              <w:rPr>
                <w:rFonts w:ascii="Cambria Math" w:hAnsi="Cambria Math"/>
                <w:lang w:val="en-GB"/>
              </w:rPr>
              <m:t>W</m:t>
            </m:r>
          </m:e>
          <m:sub>
            <m:r>
              <w:rPr>
                <w:rFonts w:ascii="Cambria Math" w:hAnsi="Cambria Math"/>
                <w:lang w:val="en-GB"/>
              </w:rPr>
              <m:t>tjk</m:t>
            </m:r>
          </m:sub>
          <m:sup>
            <m:r>
              <w:rPr>
                <w:rFonts w:ascii="Cambria Math" w:hAnsi="Cambria Math"/>
                <w:lang w:val="en-GB"/>
              </w:rPr>
              <m:t>m</m:t>
            </m:r>
          </m:sup>
        </m:sSubSup>
      </m:oMath>
      <w:r w:rsidR="00CF4476" w:rsidRPr="00081646">
        <w:rPr>
          <w:rFonts w:eastAsiaTheme="minorEastAsia"/>
          <w:lang w:val="en-GB"/>
        </w:rPr>
        <w:tab/>
        <w:t xml:space="preserve">= The </w:t>
      </w:r>
      <w:r w:rsidR="00CF4476" w:rsidRPr="00E939C4">
        <w:rPr>
          <w:rFonts w:eastAsiaTheme="minorEastAsia"/>
          <w:i/>
          <w:lang w:val="en-GB"/>
        </w:rPr>
        <w:t>m</w:t>
      </w:r>
      <w:r w:rsidR="00CF4476" w:rsidRPr="00081646">
        <w:rPr>
          <w:rFonts w:eastAsiaTheme="minorEastAsia"/>
          <w:lang w:val="en-GB"/>
        </w:rPr>
        <w:t>-</w:t>
      </w:r>
      <w:proofErr w:type="spellStart"/>
      <w:r w:rsidR="00CF4476" w:rsidRPr="00081646">
        <w:rPr>
          <w:rFonts w:eastAsiaTheme="minorEastAsia"/>
          <w:lang w:val="en-GB"/>
        </w:rPr>
        <w:t>th</w:t>
      </w:r>
      <w:proofErr w:type="spellEnd"/>
      <w:r w:rsidR="00CF4476" w:rsidRPr="00081646">
        <w:rPr>
          <w:rFonts w:eastAsiaTheme="minorEastAsia"/>
          <w:lang w:val="en-GB"/>
        </w:rPr>
        <w:t xml:space="preserve"> characteristic of village </w:t>
      </w:r>
      <w:r w:rsidR="00CF4476" w:rsidRPr="00081646">
        <w:rPr>
          <w:rFonts w:eastAsiaTheme="minorEastAsia"/>
          <w:i/>
          <w:lang w:val="en-GB"/>
        </w:rPr>
        <w:t xml:space="preserve">j </w:t>
      </w:r>
      <w:r w:rsidR="00CF4476" w:rsidRPr="00081646">
        <w:rPr>
          <w:rFonts w:eastAsiaTheme="minorEastAsia"/>
          <w:lang w:val="en-GB"/>
        </w:rPr>
        <w:t>in country</w:t>
      </w:r>
      <w:r w:rsidR="00CF4476" w:rsidRPr="00081646">
        <w:rPr>
          <w:rFonts w:eastAsiaTheme="minorEastAsia"/>
          <w:i/>
          <w:lang w:val="en-GB"/>
        </w:rPr>
        <w:t xml:space="preserve"> k</w:t>
      </w:r>
      <w:r w:rsidR="00CF4476" w:rsidRPr="00081646">
        <w:rPr>
          <w:rFonts w:eastAsiaTheme="minorEastAsia"/>
          <w:lang w:val="en-GB"/>
        </w:rPr>
        <w:t xml:space="preserve"> at time </w:t>
      </w:r>
      <w:r w:rsidR="00CF4476" w:rsidRPr="00081646">
        <w:rPr>
          <w:rFonts w:eastAsiaTheme="minorEastAsia"/>
          <w:i/>
          <w:lang w:val="en-GB"/>
        </w:rPr>
        <w:t xml:space="preserve">t </w:t>
      </w:r>
      <w:r w:rsidR="00CF4476" w:rsidRPr="00081646">
        <w:rPr>
          <w:rFonts w:eastAsiaTheme="minorEastAsia"/>
          <w:lang w:val="en-GB"/>
        </w:rPr>
        <w:t>(e.g., distance to the main road, access to electricity, distance to markets). Note that we allow these characteristics to be time variant</w:t>
      </w:r>
      <w:r w:rsidR="00CF4476">
        <w:rPr>
          <w:rFonts w:eastAsiaTheme="minorEastAsia"/>
          <w:lang w:val="en-GB"/>
        </w:rPr>
        <w:t>,</w:t>
      </w:r>
      <w:r w:rsidR="00CF4476" w:rsidRPr="00081646">
        <w:rPr>
          <w:rFonts w:eastAsiaTheme="minorEastAsia"/>
          <w:lang w:val="en-GB"/>
        </w:rPr>
        <w:t xml:space="preserve"> but we should include only exogenous attributes.</w:t>
      </w:r>
    </w:p>
    <w:p w:rsidR="00CF4476" w:rsidRPr="00081646" w:rsidRDefault="00D264E5" w:rsidP="00CF4476">
      <w:pPr>
        <w:ind w:left="720"/>
        <w:rPr>
          <w:rFonts w:eastAsiaTheme="minorEastAsia"/>
          <w:lang w:val="en-GB"/>
        </w:rPr>
      </w:pPr>
      <m:oMath>
        <m:sSub>
          <m:sSubPr>
            <m:ctrlPr>
              <w:rPr>
                <w:rFonts w:ascii="Cambria Math" w:hAnsi="Cambria Math"/>
                <w:i/>
                <w:lang w:val="en-GB"/>
              </w:rPr>
            </m:ctrlPr>
          </m:sSubPr>
          <m:e>
            <m:r>
              <w:rPr>
                <w:rFonts w:ascii="Cambria Math" w:hAnsi="Cambria Math"/>
                <w:lang w:val="en-GB"/>
              </w:rPr>
              <m:t>μ</m:t>
            </m:r>
          </m:e>
          <m:sub>
            <m:r>
              <w:rPr>
                <w:rFonts w:ascii="Cambria Math" w:hAnsi="Cambria Math"/>
                <w:lang w:val="en-GB"/>
              </w:rPr>
              <m:t>j</m:t>
            </m:r>
            <m:r>
              <w:rPr>
                <w:rFonts w:ascii="Cambria Math" w:hAnsi="Cambria Math"/>
                <w:lang w:val="en-GB"/>
              </w:rPr>
              <m:t>k</m:t>
            </m:r>
          </m:sub>
        </m:sSub>
      </m:oMath>
      <w:r w:rsidR="00CF4476" w:rsidRPr="00081646">
        <w:rPr>
          <w:rFonts w:eastAsiaTheme="minorEastAsia"/>
          <w:lang w:val="en-GB"/>
        </w:rPr>
        <w:t xml:space="preserve"> </w:t>
      </w:r>
      <w:r w:rsidR="00CF4476" w:rsidRPr="00081646">
        <w:rPr>
          <w:rFonts w:eastAsiaTheme="minorEastAsia"/>
          <w:lang w:val="en-GB"/>
        </w:rPr>
        <w:tab/>
        <w:t xml:space="preserve"> = Random effect for village </w:t>
      </w:r>
      <w:r w:rsidR="00CF4476" w:rsidRPr="00081646">
        <w:rPr>
          <w:rFonts w:eastAsiaTheme="minorEastAsia"/>
          <w:i/>
          <w:lang w:val="en-GB"/>
        </w:rPr>
        <w:t xml:space="preserve">j </w:t>
      </w:r>
      <w:r w:rsidR="00CF4476" w:rsidRPr="00081646">
        <w:rPr>
          <w:rFonts w:eastAsiaTheme="minorEastAsia"/>
          <w:lang w:val="en-GB"/>
        </w:rPr>
        <w:t xml:space="preserve">assumed to be distributed with a mean of zero and variance </w:t>
      </w:r>
      <w:proofErr w:type="gramStart"/>
      <w:r w:rsidR="00CF4476" w:rsidRPr="00081646">
        <w:rPr>
          <w:rFonts w:eastAsiaTheme="minorEastAsia"/>
          <w:lang w:val="en-GB"/>
        </w:rPr>
        <w:t xml:space="preserve">of </w:t>
      </w:r>
      <w:proofErr w:type="gramEnd"/>
      <m:oMath>
        <m:sSubSup>
          <m:sSubSupPr>
            <m:ctrlPr>
              <w:rPr>
                <w:rFonts w:ascii="Cambria Math" w:eastAsiaTheme="minorEastAsia" w:hAnsi="Cambria Math"/>
                <w:i/>
                <w:lang w:val="en-GB"/>
              </w:rPr>
            </m:ctrlPr>
          </m:sSubSupPr>
          <m:e>
            <m:r>
              <w:rPr>
                <w:rFonts w:ascii="Cambria Math" w:eastAsiaTheme="minorEastAsia" w:hAnsi="Cambria Math"/>
                <w:lang w:val="en-GB"/>
              </w:rPr>
              <m:t>σ</m:t>
            </m:r>
          </m:e>
          <m:sub>
            <m:r>
              <w:rPr>
                <w:rFonts w:ascii="Cambria Math" w:eastAsiaTheme="minorEastAsia" w:hAnsi="Cambria Math"/>
                <w:lang w:val="en-GB"/>
              </w:rPr>
              <m:t>μ</m:t>
            </m:r>
          </m:sub>
          <m:sup>
            <m:r>
              <w:rPr>
                <w:rFonts w:ascii="Cambria Math" w:eastAsiaTheme="minorEastAsia" w:hAnsi="Cambria Math"/>
                <w:lang w:val="en-GB"/>
              </w:rPr>
              <m:t>2</m:t>
            </m:r>
          </m:sup>
        </m:sSubSup>
      </m:oMath>
      <w:r w:rsidR="00CF4476" w:rsidRPr="00081646">
        <w:rPr>
          <w:rFonts w:eastAsiaTheme="minorEastAsia"/>
          <w:lang w:val="en-GB"/>
        </w:rPr>
        <w:t xml:space="preserve">. This variance term captures the outcome variation across villages within a given county. </w:t>
      </w:r>
    </w:p>
    <w:p w:rsidR="00CF4476" w:rsidRPr="00081646" w:rsidRDefault="00D264E5" w:rsidP="00CF4476">
      <w:pPr>
        <w:ind w:left="720"/>
        <w:rPr>
          <w:rFonts w:eastAsiaTheme="minorEastAsia"/>
          <w:lang w:val="en-GB"/>
        </w:rPr>
      </w:pPr>
      <m:oMath>
        <m:sSub>
          <m:sSubPr>
            <m:ctrlPr>
              <w:rPr>
                <w:rFonts w:ascii="Cambria Math" w:hAnsi="Cambria Math"/>
                <w:i/>
                <w:lang w:val="en-GB"/>
              </w:rPr>
            </m:ctrlPr>
          </m:sSubPr>
          <m:e>
            <m:r>
              <w:rPr>
                <w:rFonts w:ascii="Cambria Math" w:hAnsi="Cambria Math"/>
                <w:lang w:val="en-GB"/>
              </w:rPr>
              <m:t>δ</m:t>
            </m:r>
          </m:e>
          <m:sub>
            <m:r>
              <w:rPr>
                <w:rFonts w:ascii="Cambria Math" w:hAnsi="Cambria Math"/>
                <w:lang w:val="en-GB"/>
              </w:rPr>
              <m:t>hjk</m:t>
            </m:r>
          </m:sub>
        </m:sSub>
      </m:oMath>
      <w:r w:rsidR="00CF4476" w:rsidRPr="00081646">
        <w:rPr>
          <w:rFonts w:eastAsiaTheme="minorEastAsia"/>
          <w:lang w:val="en-GB"/>
        </w:rPr>
        <w:t xml:space="preserve"> </w:t>
      </w:r>
      <w:r w:rsidR="00CF4476" w:rsidRPr="00081646">
        <w:rPr>
          <w:rFonts w:eastAsiaTheme="minorEastAsia"/>
          <w:lang w:val="en-GB"/>
        </w:rPr>
        <w:tab/>
        <w:t xml:space="preserve">  =</w:t>
      </w:r>
      <w:r w:rsidR="00CF4476">
        <w:rPr>
          <w:rFonts w:eastAsiaTheme="minorEastAsia"/>
          <w:lang w:val="en-GB"/>
        </w:rPr>
        <w:t xml:space="preserve"> </w:t>
      </w:r>
      <w:r w:rsidR="00CF4476" w:rsidRPr="00081646">
        <w:rPr>
          <w:rFonts w:eastAsiaTheme="minorEastAsia"/>
          <w:lang w:val="en-GB"/>
        </w:rPr>
        <w:t xml:space="preserve">Random effect for </w:t>
      </w:r>
      <w:r w:rsidR="00CF4476">
        <w:rPr>
          <w:rFonts w:eastAsiaTheme="minorEastAsia"/>
          <w:lang w:val="en-GB"/>
        </w:rPr>
        <w:t>household</w:t>
      </w:r>
      <w:r w:rsidR="00CF4476" w:rsidRPr="00081646">
        <w:rPr>
          <w:rFonts w:eastAsiaTheme="minorEastAsia"/>
          <w:lang w:val="en-GB"/>
        </w:rPr>
        <w:t xml:space="preserve"> </w:t>
      </w:r>
      <w:r w:rsidR="00CF4476" w:rsidRPr="00E939C4">
        <w:rPr>
          <w:rFonts w:eastAsiaTheme="minorEastAsia"/>
          <w:i/>
          <w:lang w:val="en-GB"/>
        </w:rPr>
        <w:t>h,</w:t>
      </w:r>
      <w:r w:rsidR="00CF4476" w:rsidRPr="00081646">
        <w:rPr>
          <w:rFonts w:eastAsiaTheme="minorEastAsia"/>
          <w:lang w:val="en-GB"/>
        </w:rPr>
        <w:t xml:space="preserve"> which is assumed to be distributed with a mean of zero and variance </w:t>
      </w:r>
      <w:proofErr w:type="gramStart"/>
      <w:r w:rsidR="00CF4476" w:rsidRPr="00081646">
        <w:rPr>
          <w:rFonts w:eastAsiaTheme="minorEastAsia"/>
          <w:lang w:val="en-GB"/>
        </w:rPr>
        <w:t xml:space="preserve">of </w:t>
      </w:r>
      <w:proofErr w:type="gramEnd"/>
      <m:oMath>
        <m:sSubSup>
          <m:sSubSupPr>
            <m:ctrlPr>
              <w:rPr>
                <w:rFonts w:ascii="Cambria Math" w:eastAsiaTheme="minorEastAsia" w:hAnsi="Cambria Math"/>
                <w:i/>
                <w:lang w:val="en-GB"/>
              </w:rPr>
            </m:ctrlPr>
          </m:sSubSupPr>
          <m:e>
            <m:r>
              <w:rPr>
                <w:rFonts w:ascii="Cambria Math" w:eastAsiaTheme="minorEastAsia" w:hAnsi="Cambria Math"/>
                <w:lang w:val="en-GB"/>
              </w:rPr>
              <m:t>σ</m:t>
            </m:r>
          </m:e>
          <m:sub>
            <m:r>
              <w:rPr>
                <w:rFonts w:ascii="Cambria Math" w:eastAsiaTheme="minorEastAsia" w:hAnsi="Cambria Math"/>
                <w:lang w:val="en-GB"/>
              </w:rPr>
              <m:t>δ</m:t>
            </m:r>
          </m:sub>
          <m:sup>
            <m:r>
              <w:rPr>
                <w:rFonts w:ascii="Cambria Math" w:eastAsiaTheme="minorEastAsia" w:hAnsi="Cambria Math"/>
                <w:lang w:val="en-GB"/>
              </w:rPr>
              <m:t>2</m:t>
            </m:r>
          </m:sup>
        </m:sSubSup>
      </m:oMath>
      <w:r w:rsidR="00CF4476" w:rsidRPr="00081646">
        <w:rPr>
          <w:rFonts w:eastAsiaTheme="minorEastAsia"/>
          <w:lang w:val="en-GB"/>
        </w:rPr>
        <w:t>. This variance term captures the outcome variation across households within a given village.</w:t>
      </w:r>
    </w:p>
    <w:p w:rsidR="00CF4476" w:rsidRPr="00081646" w:rsidRDefault="00D264E5" w:rsidP="00CF4476">
      <w:pPr>
        <w:ind w:left="720"/>
        <w:rPr>
          <w:rFonts w:eastAsiaTheme="minorEastAsia"/>
          <w:lang w:val="en-GB"/>
        </w:rPr>
      </w:pPr>
      <m:oMath>
        <m:sSub>
          <m:sSubPr>
            <m:ctrlPr>
              <w:rPr>
                <w:rFonts w:ascii="Cambria Math" w:hAnsi="Cambria Math"/>
                <w:i/>
                <w:lang w:val="en-GB"/>
              </w:rPr>
            </m:ctrlPr>
          </m:sSubPr>
          <m:e>
            <m:r>
              <w:rPr>
                <w:rFonts w:ascii="Cambria Math" w:hAnsi="Cambria Math"/>
                <w:lang w:val="en-GB"/>
              </w:rPr>
              <m:t>ϵ</m:t>
            </m:r>
          </m:e>
          <m:sub>
            <m:r>
              <w:rPr>
                <w:rFonts w:ascii="Cambria Math" w:hAnsi="Cambria Math"/>
                <w:lang w:val="en-GB"/>
              </w:rPr>
              <m:t>thjk</m:t>
            </m:r>
          </m:sub>
        </m:sSub>
      </m:oMath>
      <w:r w:rsidR="00CF4476" w:rsidRPr="00081646">
        <w:rPr>
          <w:rFonts w:eastAsiaTheme="minorEastAsia"/>
          <w:lang w:val="en-GB"/>
        </w:rPr>
        <w:t xml:space="preserve"> </w:t>
      </w:r>
      <w:r w:rsidR="00CF4476" w:rsidRPr="00081646">
        <w:rPr>
          <w:rFonts w:eastAsiaTheme="minorEastAsia"/>
          <w:lang w:val="en-GB"/>
        </w:rPr>
        <w:tab/>
        <w:t xml:space="preserve"> = Residual associated with observations at time </w:t>
      </w:r>
      <w:r w:rsidR="00CF4476" w:rsidRPr="00081646">
        <w:rPr>
          <w:rFonts w:eastAsiaTheme="minorEastAsia"/>
          <w:i/>
          <w:lang w:val="en-GB"/>
        </w:rPr>
        <w:t>t</w:t>
      </w:r>
      <w:r w:rsidR="00CF4476" w:rsidRPr="00081646">
        <w:rPr>
          <w:rFonts w:eastAsiaTheme="minorEastAsia"/>
          <w:lang w:val="en-GB"/>
        </w:rPr>
        <w:t xml:space="preserve">, which is assumed to be distributed with a mean of zero and variance </w:t>
      </w:r>
      <w:proofErr w:type="gramStart"/>
      <w:r w:rsidR="00CF4476" w:rsidRPr="00081646">
        <w:rPr>
          <w:rFonts w:eastAsiaTheme="minorEastAsia"/>
          <w:lang w:val="en-GB"/>
        </w:rPr>
        <w:t xml:space="preserve">of </w:t>
      </w:r>
      <m:oMath>
        <m:sSubSup>
          <m:sSubSupPr>
            <m:ctrlPr>
              <w:rPr>
                <w:rFonts w:ascii="Cambria Math" w:eastAsiaTheme="minorEastAsia" w:hAnsi="Cambria Math"/>
                <w:i/>
                <w:lang w:val="en-GB"/>
              </w:rPr>
            </m:ctrlPr>
          </m:sSubSupPr>
          <m:e>
            <w:proofErr w:type="gramEnd"/>
            <m:r>
              <w:rPr>
                <w:rFonts w:ascii="Cambria Math" w:eastAsiaTheme="minorEastAsia" w:hAnsi="Cambria Math"/>
                <w:lang w:val="en-GB"/>
              </w:rPr>
              <m:t>σ</m:t>
            </m:r>
          </m:e>
          <m:sub>
            <m:r>
              <w:rPr>
                <w:rFonts w:ascii="Cambria Math" w:eastAsiaTheme="minorEastAsia" w:hAnsi="Cambria Math"/>
                <w:lang w:val="en-GB"/>
              </w:rPr>
              <m:t>ϵ</m:t>
            </m:r>
          </m:sub>
          <m:sup>
            <m:r>
              <w:rPr>
                <w:rFonts w:ascii="Cambria Math" w:eastAsiaTheme="minorEastAsia" w:hAnsi="Cambria Math"/>
                <w:lang w:val="en-GB"/>
              </w:rPr>
              <m:t>2</m:t>
            </m:r>
          </m:sup>
        </m:sSubSup>
      </m:oMath>
      <w:r w:rsidR="00CF4476" w:rsidRPr="00081646">
        <w:rPr>
          <w:rFonts w:eastAsiaTheme="minorEastAsia"/>
          <w:lang w:val="en-GB"/>
        </w:rPr>
        <w:t xml:space="preserve"> . This term captures the variation in the outcome measures of a household across time. </w:t>
      </w:r>
    </w:p>
    <w:p w:rsidR="00CF4476" w:rsidRPr="00081646" w:rsidRDefault="00CF4476" w:rsidP="00CF4476">
      <w:pPr>
        <w:pStyle w:val="BodyText"/>
        <w:rPr>
          <w:rFonts w:eastAsiaTheme="minorEastAsia"/>
          <w:lang w:val="en-GB"/>
        </w:rPr>
      </w:pPr>
      <w:r w:rsidRPr="00081646">
        <w:rPr>
          <w:rFonts w:eastAsiaTheme="minorEastAsia"/>
          <w:lang w:val="en-GB"/>
        </w:rPr>
        <w:t>In this model, county effects are model</w:t>
      </w:r>
      <w:r>
        <w:rPr>
          <w:rFonts w:eastAsiaTheme="minorEastAsia"/>
          <w:lang w:val="en-GB"/>
        </w:rPr>
        <w:t>l</w:t>
      </w:r>
      <w:r w:rsidRPr="00081646">
        <w:rPr>
          <w:rFonts w:eastAsiaTheme="minorEastAsia"/>
          <w:lang w:val="en-GB"/>
        </w:rPr>
        <w:t>ed as fixed because all counties will be represented in the survey sample</w:t>
      </w:r>
      <w:r>
        <w:rPr>
          <w:rFonts w:eastAsiaTheme="minorEastAsia"/>
          <w:lang w:val="en-GB"/>
        </w:rPr>
        <w:t>,</w:t>
      </w:r>
      <w:r w:rsidRPr="00081646">
        <w:rPr>
          <w:rFonts w:eastAsiaTheme="minorEastAsia"/>
          <w:lang w:val="en-GB"/>
        </w:rPr>
        <w:t xml:space="preserve"> while the village and household effects are mode</w:t>
      </w:r>
      <w:r>
        <w:rPr>
          <w:rFonts w:eastAsiaTheme="minorEastAsia"/>
          <w:lang w:val="en-GB"/>
        </w:rPr>
        <w:t>l</w:t>
      </w:r>
      <w:r w:rsidRPr="00081646">
        <w:rPr>
          <w:rFonts w:eastAsiaTheme="minorEastAsia"/>
          <w:lang w:val="en-GB"/>
        </w:rPr>
        <w:t xml:space="preserve">led as random to reflect the sampling variability introduced by the sampling carried out at these levels. In Equation 1, </w:t>
      </w:r>
      <m:oMath>
        <m:sSub>
          <m:sSubPr>
            <m:ctrlPr>
              <w:rPr>
                <w:rFonts w:ascii="Cambria Math" w:hAnsi="Cambria Math"/>
                <w:i/>
                <w:lang w:val="en-GB"/>
              </w:rPr>
            </m:ctrlPr>
          </m:sSubPr>
          <m:e>
            <m:r>
              <w:rPr>
                <w:rFonts w:ascii="Cambria Math" w:hAnsi="Cambria Math"/>
                <w:lang w:val="en-GB"/>
              </w:rPr>
              <m:t>β</m:t>
            </m:r>
          </m:e>
          <m:sub>
            <m:r>
              <w:rPr>
                <w:rFonts w:ascii="Cambria Math" w:hAnsi="Cambria Math"/>
                <w:lang w:val="en-GB"/>
              </w:rPr>
              <m:t>1</m:t>
            </m:r>
          </m:sub>
        </m:sSub>
      </m:oMath>
      <w:r w:rsidRPr="00081646">
        <w:rPr>
          <w:rFonts w:eastAsiaTheme="minorEastAsia"/>
          <w:lang w:val="en-GB"/>
        </w:rPr>
        <w:t xml:space="preserve"> captures the linear time trend in the outcome measure (which is essentially based on the change in the outcome measure during the baseline period)</w:t>
      </w:r>
      <w:r>
        <w:rPr>
          <w:rFonts w:eastAsiaTheme="minorEastAsia"/>
          <w:lang w:val="en-GB"/>
        </w:rPr>
        <w:t>,</w:t>
      </w:r>
      <w:r w:rsidRPr="00081646">
        <w:rPr>
          <w:rFonts w:eastAsiaTheme="minorEastAsia"/>
          <w:lang w:val="en-GB"/>
        </w:rPr>
        <w:t xml:space="preserve"> and </w:t>
      </w:r>
      <m:oMath>
        <m:sSub>
          <m:sSubPr>
            <m:ctrlPr>
              <w:rPr>
                <w:rFonts w:ascii="Cambria Math" w:hAnsi="Cambria Math"/>
                <w:i/>
                <w:lang w:val="en-GB"/>
              </w:rPr>
            </m:ctrlPr>
          </m:sSubPr>
          <m:e>
            <m:r>
              <w:rPr>
                <w:rFonts w:ascii="Cambria Math" w:hAnsi="Cambria Math"/>
                <w:lang w:val="en-GB"/>
              </w:rPr>
              <m:t>β</m:t>
            </m:r>
          </m:e>
          <m:sub>
            <m:r>
              <w:rPr>
                <w:rFonts w:ascii="Cambria Math" w:hAnsi="Cambria Math"/>
                <w:lang w:val="en-GB"/>
              </w:rPr>
              <m:t>2</m:t>
            </m:r>
          </m:sub>
        </m:sSub>
      </m:oMath>
      <w:r w:rsidRPr="00081646">
        <w:rPr>
          <w:rFonts w:eastAsiaTheme="minorEastAsia"/>
          <w:lang w:val="en-GB"/>
        </w:rPr>
        <w:t xml:space="preserve"> captures the treatment effect </w:t>
      </w:r>
      <w:r>
        <w:rPr>
          <w:rFonts w:eastAsiaTheme="minorEastAsia"/>
          <w:lang w:val="en-GB"/>
        </w:rPr>
        <w:t>at the</w:t>
      </w:r>
      <w:r w:rsidRPr="00081646">
        <w:rPr>
          <w:rFonts w:eastAsiaTheme="minorEastAsia"/>
          <w:lang w:val="en-GB"/>
        </w:rPr>
        <w:t xml:space="preserve"> post-intervention </w:t>
      </w:r>
      <w:r>
        <w:rPr>
          <w:rFonts w:eastAsiaTheme="minorEastAsia"/>
          <w:lang w:val="en-GB"/>
        </w:rPr>
        <w:t>data point</w:t>
      </w:r>
      <w:r w:rsidRPr="00081646">
        <w:rPr>
          <w:rFonts w:eastAsiaTheme="minorEastAsia"/>
          <w:lang w:val="en-GB"/>
        </w:rPr>
        <w:t>. Th</w:t>
      </w:r>
      <w:r>
        <w:rPr>
          <w:rFonts w:eastAsiaTheme="minorEastAsia"/>
          <w:lang w:val="en-GB"/>
        </w:rPr>
        <w:t>is</w:t>
      </w:r>
      <w:r w:rsidRPr="00081646">
        <w:rPr>
          <w:rFonts w:eastAsiaTheme="minorEastAsia"/>
          <w:lang w:val="en-GB"/>
        </w:rPr>
        <w:t xml:space="preserve"> model can further be modified to accommodate more complex situations and data patterns, including non-linear time trends (e.g., with the addition of the square of the time variable)</w:t>
      </w:r>
      <w:r>
        <w:rPr>
          <w:rFonts w:eastAsiaTheme="minorEastAsia"/>
          <w:lang w:val="en-GB"/>
        </w:rPr>
        <w:t>.</w:t>
      </w:r>
      <w:r w:rsidRPr="00081646">
        <w:rPr>
          <w:rFonts w:eastAsiaTheme="minorEastAsia"/>
          <w:lang w:val="en-GB"/>
        </w:rPr>
        <w:t xml:space="preserve"> </w:t>
      </w:r>
    </w:p>
    <w:p w:rsidR="00CF4476" w:rsidRPr="00081646" w:rsidRDefault="00CF4476" w:rsidP="00CF4476">
      <w:pPr>
        <w:pStyle w:val="BodyText"/>
        <w:rPr>
          <w:rFonts w:eastAsiaTheme="minorEastAsia"/>
          <w:lang w:val="en-GB"/>
        </w:rPr>
      </w:pPr>
      <w:proofErr w:type="gramStart"/>
      <w:r w:rsidRPr="00081646">
        <w:rPr>
          <w:rFonts w:eastAsiaTheme="minorEastAsia"/>
          <w:b/>
          <w:lang w:val="en-GB"/>
        </w:rPr>
        <w:t>Addi</w:t>
      </w:r>
      <w:r>
        <w:rPr>
          <w:rFonts w:eastAsiaTheme="minorEastAsia"/>
          <w:b/>
          <w:lang w:val="en-GB"/>
        </w:rPr>
        <w:t>tion of</w:t>
      </w:r>
      <w:r w:rsidRPr="00081646">
        <w:rPr>
          <w:rFonts w:eastAsiaTheme="minorEastAsia"/>
          <w:b/>
          <w:lang w:val="en-GB"/>
        </w:rPr>
        <w:t xml:space="preserve"> an unaffected outcome to the analysis.</w:t>
      </w:r>
      <w:proofErr w:type="gramEnd"/>
      <w:r w:rsidRPr="00081646">
        <w:rPr>
          <w:rFonts w:eastAsiaTheme="minorEastAsia"/>
          <w:lang w:val="en-GB"/>
        </w:rPr>
        <w:t xml:space="preserve"> As mentioned above, treatment effect estimates yielded by the models in Equation</w:t>
      </w:r>
      <w:r w:rsidR="00326FBB">
        <w:rPr>
          <w:rFonts w:eastAsiaTheme="minorEastAsia"/>
          <w:lang w:val="en-GB"/>
        </w:rPr>
        <w:t>s</w:t>
      </w:r>
      <w:r w:rsidRPr="00081646">
        <w:rPr>
          <w:rFonts w:eastAsiaTheme="minorEastAsia"/>
          <w:lang w:val="en-GB"/>
        </w:rPr>
        <w:t xml:space="preserve"> 1 and 2 will account for the secular time trends in the outcome measure but may be biased due to confounding if other influences on the outcome </w:t>
      </w:r>
      <w:r w:rsidRPr="00081646">
        <w:rPr>
          <w:rFonts w:eastAsiaTheme="minorEastAsia"/>
          <w:i/>
          <w:lang w:val="en-GB"/>
        </w:rPr>
        <w:t xml:space="preserve">Y </w:t>
      </w:r>
      <w:r w:rsidRPr="00081646">
        <w:rPr>
          <w:rFonts w:eastAsiaTheme="minorEastAsia"/>
          <w:lang w:val="en-GB"/>
        </w:rPr>
        <w:t>change simultaneously with the arrival of the treatment. We now turn to how an un</w:t>
      </w:r>
      <w:r>
        <w:rPr>
          <w:rFonts w:eastAsiaTheme="minorEastAsia"/>
          <w:lang w:val="en-GB"/>
        </w:rPr>
        <w:t>affected</w:t>
      </w:r>
      <w:r w:rsidRPr="00081646">
        <w:rPr>
          <w:rFonts w:eastAsiaTheme="minorEastAsia"/>
          <w:lang w:val="en-GB"/>
        </w:rPr>
        <w:t xml:space="preserve"> outcome, represented </w:t>
      </w:r>
      <w:proofErr w:type="gramStart"/>
      <w:r w:rsidRPr="00081646">
        <w:rPr>
          <w:rFonts w:eastAsiaTheme="minorEastAsia"/>
          <w:lang w:val="en-GB"/>
        </w:rPr>
        <w:t xml:space="preserve">by </w:t>
      </w:r>
      <w:proofErr w:type="gramEnd"/>
      <m:oMath>
        <m:sSub>
          <m:sSubPr>
            <m:ctrlPr>
              <w:rPr>
                <w:rFonts w:ascii="Cambria Math" w:hAnsi="Cambria Math"/>
                <w:i/>
                <w:lang w:val="en-GB"/>
              </w:rPr>
            </m:ctrlPr>
          </m:sSubPr>
          <m:e>
            <m:r>
              <w:rPr>
                <w:rFonts w:ascii="Cambria Math" w:hAnsi="Cambria Math"/>
                <w:lang w:val="en-GB"/>
              </w:rPr>
              <m:t>Z</m:t>
            </m:r>
          </m:e>
          <m:sub>
            <m:r>
              <w:rPr>
                <w:rFonts w:ascii="Cambria Math" w:hAnsi="Cambria Math"/>
                <w:lang w:val="en-GB"/>
              </w:rPr>
              <m:t>thjk</m:t>
            </m:r>
          </m:sub>
        </m:sSub>
      </m:oMath>
      <w:r w:rsidRPr="00081646">
        <w:rPr>
          <w:rFonts w:eastAsiaTheme="minorEastAsia"/>
          <w:lang w:val="en-GB"/>
        </w:rPr>
        <w:t>, can be used to remove this confounding</w:t>
      </w:r>
      <w:r>
        <w:rPr>
          <w:rFonts w:eastAsiaTheme="minorEastAsia"/>
          <w:lang w:val="en-GB"/>
        </w:rPr>
        <w:t xml:space="preserve"> (as mentioned above, we are currently considering using </w:t>
      </w:r>
      <w:r>
        <w:rPr>
          <w:rFonts w:eastAsiaTheme="minorEastAsia"/>
          <w:i/>
          <w:lang w:val="en-GB"/>
        </w:rPr>
        <w:t xml:space="preserve">maize yield per hectare </w:t>
      </w:r>
      <w:r>
        <w:rPr>
          <w:rFonts w:eastAsiaTheme="minorEastAsia"/>
          <w:lang w:val="en-GB"/>
        </w:rPr>
        <w:t>as the unaffected outcome measure)</w:t>
      </w:r>
      <w:r w:rsidRPr="00081646">
        <w:rPr>
          <w:rFonts w:eastAsiaTheme="minorEastAsia"/>
          <w:lang w:val="en-GB"/>
        </w:rPr>
        <w:t>. First</w:t>
      </w:r>
      <w:r>
        <w:rPr>
          <w:rFonts w:eastAsiaTheme="minorEastAsia"/>
          <w:lang w:val="en-GB"/>
        </w:rPr>
        <w:t>,</w:t>
      </w:r>
      <w:r w:rsidRPr="00081646">
        <w:rPr>
          <w:rFonts w:eastAsiaTheme="minorEastAsia"/>
          <w:lang w:val="en-GB"/>
        </w:rPr>
        <w:t xml:space="preserve"> consider the estimation of the pooled impact estimate across all post-intervention time points and the following model specification </w:t>
      </w:r>
      <w:proofErr w:type="gramStart"/>
      <w:r w:rsidRPr="00081646">
        <w:rPr>
          <w:rFonts w:eastAsiaTheme="minorEastAsia"/>
          <w:lang w:val="en-GB"/>
        </w:rPr>
        <w:t xml:space="preserve">for </w:t>
      </w:r>
      <w:proofErr w:type="gramEnd"/>
      <m:oMath>
        <m:sSub>
          <m:sSubPr>
            <m:ctrlPr>
              <w:rPr>
                <w:rFonts w:ascii="Cambria Math" w:hAnsi="Cambria Math"/>
                <w:i/>
                <w:lang w:val="en-GB"/>
              </w:rPr>
            </m:ctrlPr>
          </m:sSubPr>
          <m:e>
            <m:r>
              <w:rPr>
                <w:rFonts w:ascii="Cambria Math" w:hAnsi="Cambria Math"/>
                <w:lang w:val="en-GB"/>
              </w:rPr>
              <m:t>Z</m:t>
            </m:r>
          </m:e>
          <m:sub>
            <m:r>
              <w:rPr>
                <w:rFonts w:ascii="Cambria Math" w:hAnsi="Cambria Math"/>
                <w:lang w:val="en-GB"/>
              </w:rPr>
              <m:t>thjk</m:t>
            </m:r>
          </m:sub>
        </m:sSub>
      </m:oMath>
      <w:r>
        <w:rPr>
          <w:rFonts w:eastAsiaTheme="minorEastAsia"/>
          <w:lang w:val="en-GB"/>
        </w:rPr>
        <w:t>,</w:t>
      </w:r>
      <w:r w:rsidRPr="00081646">
        <w:rPr>
          <w:rFonts w:eastAsiaTheme="minorEastAsia"/>
          <w:lang w:val="en-GB"/>
        </w:rPr>
        <w:t xml:space="preserve"> which is parallel to the specification in Equation 1:</w:t>
      </w:r>
    </w:p>
    <w:p w:rsidR="00CF4476" w:rsidRPr="00081646" w:rsidRDefault="00D264E5" w:rsidP="00EC48D2">
      <w:pPr>
        <w:pStyle w:val="BodyText"/>
        <w:numPr>
          <w:ilvl w:val="0"/>
          <w:numId w:val="8"/>
        </w:numPr>
        <w:spacing w:after="120" w:line="276" w:lineRule="auto"/>
        <w:rPr>
          <w:rFonts w:eastAsiaTheme="minorEastAsia"/>
          <w:lang w:val="en-GB"/>
        </w:rPr>
      </w:pPr>
      <m:oMath>
        <m:sSub>
          <m:sSubPr>
            <m:ctrlPr>
              <w:rPr>
                <w:rFonts w:ascii="Cambria Math" w:hAnsi="Cambria Math"/>
                <w:i/>
                <w:lang w:val="en-GB"/>
              </w:rPr>
            </m:ctrlPr>
          </m:sSubPr>
          <m:e>
            <m:r>
              <w:rPr>
                <w:rFonts w:ascii="Cambria Math" w:hAnsi="Cambria Math"/>
                <w:lang w:val="en-GB"/>
              </w:rPr>
              <m:t>Z</m:t>
            </m:r>
          </m:e>
          <m:sub>
            <m:r>
              <w:rPr>
                <w:rFonts w:ascii="Cambria Math" w:hAnsi="Cambria Math"/>
                <w:lang w:val="en-GB"/>
              </w:rPr>
              <m:t>thjk</m:t>
            </m:r>
          </m:sub>
        </m:sSub>
        <m:r>
          <w:rPr>
            <w:rFonts w:ascii="Cambria Math" w:hAnsi="Cambria Math"/>
            <w:lang w:val="en-GB"/>
          </w:rPr>
          <m:t>=</m:t>
        </m:r>
        <m:sSub>
          <m:sSubPr>
            <m:ctrlPr>
              <w:rPr>
                <w:rFonts w:ascii="Cambria Math" w:hAnsi="Cambria Math"/>
                <w:i/>
                <w:lang w:val="en-GB"/>
              </w:rPr>
            </m:ctrlPr>
          </m:sSubPr>
          <m:e>
            <m:r>
              <w:rPr>
                <w:rFonts w:ascii="Cambria Math" w:hAnsi="Cambria Math"/>
                <w:lang w:val="en-GB"/>
              </w:rPr>
              <m:t>α</m:t>
            </m:r>
          </m:e>
          <m:sub>
            <m:r>
              <w:rPr>
                <w:rFonts w:ascii="Cambria Math" w:hAnsi="Cambria Math"/>
                <w:lang w:val="en-GB"/>
              </w:rPr>
              <m:t>0</m:t>
            </m:r>
          </m:sub>
        </m:sSub>
        <m:r>
          <w:rPr>
            <w:rFonts w:ascii="Cambria Math" w:hAnsi="Cambria Math"/>
            <w:lang w:val="en-GB"/>
          </w:rPr>
          <m:t>+</m:t>
        </m:r>
        <m:sSub>
          <m:sSubPr>
            <m:ctrlPr>
              <w:rPr>
                <w:rFonts w:ascii="Cambria Math" w:hAnsi="Cambria Math"/>
                <w:i/>
                <w:lang w:val="en-GB"/>
              </w:rPr>
            </m:ctrlPr>
          </m:sSubPr>
          <m:e>
            <m:r>
              <w:rPr>
                <w:rFonts w:ascii="Cambria Math" w:hAnsi="Cambria Math"/>
                <w:lang w:val="en-GB"/>
              </w:rPr>
              <m:t>α</m:t>
            </m:r>
          </m:e>
          <m:sub>
            <m:r>
              <w:rPr>
                <w:rFonts w:ascii="Cambria Math" w:hAnsi="Cambria Math"/>
                <w:lang w:val="en-GB"/>
              </w:rPr>
              <m:t>1</m:t>
            </m:r>
          </m:sub>
        </m:sSub>
        <m:sSub>
          <m:sSubPr>
            <m:ctrlPr>
              <w:rPr>
                <w:rFonts w:ascii="Cambria Math" w:hAnsi="Cambria Math"/>
                <w:i/>
                <w:lang w:val="en-GB"/>
              </w:rPr>
            </m:ctrlPr>
          </m:sSubPr>
          <m:e>
            <m:r>
              <w:rPr>
                <w:rFonts w:ascii="Cambria Math" w:hAnsi="Cambria Math"/>
                <w:lang w:val="en-GB"/>
              </w:rPr>
              <m:t>time</m:t>
            </m:r>
          </m:e>
          <m:sub>
            <m:r>
              <w:rPr>
                <w:rFonts w:ascii="Cambria Math" w:hAnsi="Cambria Math"/>
                <w:lang w:val="en-GB"/>
              </w:rPr>
              <m:t>t</m:t>
            </m:r>
          </m:sub>
        </m:sSub>
        <m:r>
          <w:rPr>
            <w:rFonts w:ascii="Cambria Math" w:hAnsi="Cambria Math"/>
            <w:lang w:val="en-GB"/>
          </w:rPr>
          <m:t>+</m:t>
        </m:r>
        <m:sSub>
          <m:sSubPr>
            <m:ctrlPr>
              <w:rPr>
                <w:rFonts w:ascii="Cambria Math" w:hAnsi="Cambria Math"/>
                <w:i/>
                <w:lang w:val="en-GB"/>
              </w:rPr>
            </m:ctrlPr>
          </m:sSubPr>
          <m:e>
            <m:r>
              <w:rPr>
                <w:rFonts w:ascii="Cambria Math" w:hAnsi="Cambria Math"/>
                <w:lang w:val="en-GB"/>
              </w:rPr>
              <m:t>α</m:t>
            </m:r>
          </m:e>
          <m:sub>
            <m:r>
              <w:rPr>
                <w:rFonts w:ascii="Cambria Math" w:hAnsi="Cambria Math"/>
                <w:lang w:val="en-GB"/>
              </w:rPr>
              <m:t>2</m:t>
            </m:r>
          </m:sub>
        </m:sSub>
        <m:sSub>
          <m:sSubPr>
            <m:ctrlPr>
              <w:rPr>
                <w:rFonts w:ascii="Cambria Math" w:hAnsi="Cambria Math"/>
                <w:i/>
                <w:lang w:val="en-GB"/>
              </w:rPr>
            </m:ctrlPr>
          </m:sSubPr>
          <m:e>
            <m:r>
              <w:rPr>
                <w:rFonts w:ascii="Cambria Math" w:hAnsi="Cambria Math"/>
                <w:lang w:val="en-GB"/>
              </w:rPr>
              <m:t>Post</m:t>
            </m:r>
          </m:e>
          <m:sub>
            <m:r>
              <w:rPr>
                <w:rFonts w:ascii="Cambria Math" w:hAnsi="Cambria Math"/>
                <w:lang w:val="en-GB"/>
              </w:rPr>
              <m:t>t</m:t>
            </m:r>
          </m:sub>
        </m:sSub>
        <m:r>
          <w:rPr>
            <w:rFonts w:ascii="Cambria Math" w:hAnsi="Cambria Math"/>
            <w:lang w:val="en-GB"/>
          </w:rPr>
          <m:t>+</m:t>
        </m:r>
        <m:nary>
          <m:naryPr>
            <m:chr m:val="∑"/>
            <m:limLoc m:val="undOvr"/>
            <m:ctrlPr>
              <w:rPr>
                <w:rFonts w:ascii="Cambria Math" w:hAnsi="Cambria Math"/>
                <w:i/>
                <w:lang w:val="en-GB"/>
              </w:rPr>
            </m:ctrlPr>
          </m:naryPr>
          <m:sub>
            <m:r>
              <w:rPr>
                <w:rFonts w:ascii="Cambria Math" w:hAnsi="Cambria Math"/>
                <w:lang w:val="en-GB"/>
              </w:rPr>
              <m:t>n=1</m:t>
            </m:r>
          </m:sub>
          <m:sup>
            <m:r>
              <w:rPr>
                <w:rFonts w:ascii="Cambria Math" w:hAnsi="Cambria Math"/>
                <w:lang w:val="en-GB"/>
              </w:rPr>
              <m:t>N</m:t>
            </m:r>
          </m:sup>
          <m:e>
            <m:sSub>
              <m:sSubPr>
                <m:ctrlPr>
                  <w:rPr>
                    <w:rFonts w:ascii="Cambria Math" w:hAnsi="Cambria Math"/>
                    <w:i/>
                    <w:lang w:val="en-GB"/>
                  </w:rPr>
                </m:ctrlPr>
              </m:sSubPr>
              <m:e>
                <m:r>
                  <w:rPr>
                    <w:rFonts w:ascii="Cambria Math" w:hAnsi="Cambria Math"/>
                    <w:lang w:val="en-GB"/>
                  </w:rPr>
                  <m:t>α</m:t>
                </m:r>
              </m:e>
              <m:sub>
                <m:r>
                  <w:rPr>
                    <w:rFonts w:ascii="Cambria Math" w:hAnsi="Cambria Math"/>
                    <w:lang w:val="en-GB"/>
                  </w:rPr>
                  <m:t>n+2</m:t>
                </m:r>
              </m:sub>
            </m:sSub>
            <m:sSubSup>
              <m:sSubSupPr>
                <m:ctrlPr>
                  <w:rPr>
                    <w:rFonts w:ascii="Cambria Math" w:hAnsi="Cambria Math"/>
                    <w:i/>
                    <w:lang w:val="en-GB"/>
                  </w:rPr>
                </m:ctrlPr>
              </m:sSubSupPr>
              <m:e>
                <m:r>
                  <w:rPr>
                    <w:rFonts w:ascii="Cambria Math" w:hAnsi="Cambria Math"/>
                    <w:lang w:val="en-GB"/>
                  </w:rPr>
                  <m:t>X</m:t>
                </m:r>
              </m:e>
              <m:sub>
                <m:r>
                  <w:rPr>
                    <w:rFonts w:ascii="Cambria Math" w:hAnsi="Cambria Math"/>
                    <w:lang w:val="en-GB"/>
                  </w:rPr>
                  <m:t>thjk</m:t>
                </m:r>
              </m:sub>
              <m:sup>
                <m:r>
                  <w:rPr>
                    <w:rFonts w:ascii="Cambria Math" w:hAnsi="Cambria Math"/>
                    <w:lang w:val="en-GB"/>
                  </w:rPr>
                  <m:t>n</m:t>
                </m:r>
              </m:sup>
            </m:sSubSup>
          </m:e>
        </m:nary>
        <m:r>
          <w:rPr>
            <w:rFonts w:ascii="Cambria Math" w:hAnsi="Cambria Math"/>
            <w:lang w:val="en-GB"/>
          </w:rPr>
          <m:t>++</m:t>
        </m:r>
        <m:nary>
          <m:naryPr>
            <m:chr m:val="∑"/>
            <m:limLoc m:val="undOvr"/>
            <m:ctrlPr>
              <w:rPr>
                <w:rFonts w:ascii="Cambria Math" w:hAnsi="Cambria Math"/>
                <w:i/>
                <w:lang w:val="en-GB"/>
              </w:rPr>
            </m:ctrlPr>
          </m:naryPr>
          <m:sub>
            <m:r>
              <w:rPr>
                <w:rFonts w:ascii="Cambria Math" w:hAnsi="Cambria Math"/>
                <w:lang w:val="en-GB"/>
              </w:rPr>
              <m:t>m=1</m:t>
            </m:r>
          </m:sub>
          <m:sup>
            <m:r>
              <w:rPr>
                <w:rFonts w:ascii="Cambria Math" w:hAnsi="Cambria Math"/>
                <w:lang w:val="en-GB"/>
              </w:rPr>
              <m:t>M</m:t>
            </m:r>
          </m:sup>
          <m:e>
            <m:sSub>
              <m:sSubPr>
                <m:ctrlPr>
                  <w:rPr>
                    <w:rFonts w:ascii="Cambria Math" w:hAnsi="Cambria Math"/>
                    <w:i/>
                    <w:lang w:val="en-GB"/>
                  </w:rPr>
                </m:ctrlPr>
              </m:sSubPr>
              <m:e>
                <m:r>
                  <w:rPr>
                    <w:rFonts w:ascii="Cambria Math" w:hAnsi="Cambria Math"/>
                    <w:lang w:val="en-GB"/>
                  </w:rPr>
                  <m:t>α</m:t>
                </m:r>
              </m:e>
              <m:sub>
                <m:r>
                  <w:rPr>
                    <w:rFonts w:ascii="Cambria Math" w:hAnsi="Cambria Math"/>
                    <w:lang w:val="en-GB"/>
                  </w:rPr>
                  <m:t>N+2+m</m:t>
                </m:r>
              </m:sub>
            </m:sSub>
          </m:e>
        </m:nary>
        <m:sSubSup>
          <m:sSubSupPr>
            <m:ctrlPr>
              <w:rPr>
                <w:rFonts w:ascii="Cambria Math" w:hAnsi="Cambria Math"/>
                <w:i/>
                <w:lang w:val="en-GB"/>
              </w:rPr>
            </m:ctrlPr>
          </m:sSubSupPr>
          <m:e>
            <m:r>
              <w:rPr>
                <w:rFonts w:ascii="Cambria Math" w:hAnsi="Cambria Math"/>
                <w:lang w:val="en-GB"/>
              </w:rPr>
              <m:t>W</m:t>
            </m:r>
          </m:e>
          <m:sub>
            <m:r>
              <w:rPr>
                <w:rFonts w:ascii="Cambria Math" w:hAnsi="Cambria Math"/>
                <w:lang w:val="en-GB"/>
              </w:rPr>
              <m:t>tjk</m:t>
            </m:r>
          </m:sub>
          <m:sup>
            <m:r>
              <w:rPr>
                <w:rFonts w:ascii="Cambria Math" w:hAnsi="Cambria Math"/>
                <w:lang w:val="en-GB"/>
              </w:rPr>
              <m:t>m</m:t>
            </m:r>
          </m:sup>
        </m:sSubSup>
        <m:r>
          <w:rPr>
            <w:rFonts w:ascii="Cambria Math" w:hAnsi="Cambria Math"/>
            <w:lang w:val="en-GB"/>
          </w:rPr>
          <m:t>+</m:t>
        </m:r>
        <m:nary>
          <m:naryPr>
            <m:chr m:val="∑"/>
            <m:limLoc m:val="undOvr"/>
            <m:ctrlPr>
              <w:rPr>
                <w:rFonts w:ascii="Cambria Math" w:hAnsi="Cambria Math"/>
                <w:i/>
                <w:lang w:val="en-GB"/>
              </w:rPr>
            </m:ctrlPr>
          </m:naryPr>
          <m:sub>
            <m:r>
              <w:rPr>
                <w:rFonts w:ascii="Cambria Math" w:hAnsi="Cambria Math"/>
                <w:lang w:val="en-GB"/>
              </w:rPr>
              <m:t>r=1</m:t>
            </m:r>
          </m:sub>
          <m:sup>
            <m:r>
              <w:rPr>
                <w:rFonts w:ascii="Cambria Math" w:hAnsi="Cambria Math"/>
                <w:lang w:val="en-GB"/>
              </w:rPr>
              <m:t>R-1</m:t>
            </m:r>
          </m:sup>
          <m:e>
            <m:sSub>
              <m:sSubPr>
                <m:ctrlPr>
                  <w:rPr>
                    <w:rFonts w:ascii="Cambria Math" w:hAnsi="Cambria Math"/>
                    <w:i/>
                    <w:lang w:val="en-GB"/>
                  </w:rPr>
                </m:ctrlPr>
              </m:sSubPr>
              <m:e>
                <m:r>
                  <w:rPr>
                    <w:rFonts w:ascii="Cambria Math" w:hAnsi="Cambria Math"/>
                    <w:lang w:val="en-GB"/>
                  </w:rPr>
                  <m:t>α</m:t>
                </m:r>
              </m:e>
              <m:sub>
                <m:r>
                  <w:rPr>
                    <w:rFonts w:ascii="Cambria Math" w:hAnsi="Cambria Math"/>
                    <w:lang w:val="en-GB"/>
                  </w:rPr>
                  <m:t>N+M+2+r</m:t>
                </m:r>
              </m:sub>
            </m:sSub>
            <m:sSubSup>
              <m:sSubSupPr>
                <m:ctrlPr>
                  <w:rPr>
                    <w:rFonts w:ascii="Cambria Math" w:hAnsi="Cambria Math"/>
                    <w:i/>
                    <w:lang w:val="en-GB"/>
                  </w:rPr>
                </m:ctrlPr>
              </m:sSubSupPr>
              <m:e>
                <m:r>
                  <w:rPr>
                    <w:rFonts w:ascii="Cambria Math" w:hAnsi="Cambria Math"/>
                    <w:lang w:val="en-GB"/>
                  </w:rPr>
                  <m:t>C</m:t>
                </m:r>
              </m:e>
              <m:sub>
                <m:r>
                  <w:rPr>
                    <w:rFonts w:ascii="Cambria Math" w:hAnsi="Cambria Math"/>
                    <w:lang w:val="en-GB"/>
                  </w:rPr>
                  <m:t>k</m:t>
                </m:r>
              </m:sub>
              <m:sup>
                <m:r>
                  <w:rPr>
                    <w:rFonts w:ascii="Cambria Math" w:hAnsi="Cambria Math"/>
                    <w:lang w:val="en-GB"/>
                  </w:rPr>
                  <m:t>r</m:t>
                </m:r>
              </m:sup>
            </m:sSubSup>
          </m:e>
        </m:nary>
        <m:r>
          <w:rPr>
            <w:rFonts w:ascii="Cambria Math" w:hAnsi="Cambria Math"/>
            <w:lang w:val="en-GB"/>
          </w:rPr>
          <m:t>+</m:t>
        </m:r>
        <m:sSub>
          <m:sSubPr>
            <m:ctrlPr>
              <w:rPr>
                <w:rFonts w:ascii="Cambria Math" w:hAnsi="Cambria Math"/>
                <w:i/>
                <w:lang w:val="en-GB"/>
              </w:rPr>
            </m:ctrlPr>
          </m:sSubPr>
          <m:e>
            <m:r>
              <w:rPr>
                <w:rFonts w:ascii="Cambria Math" w:hAnsi="Cambria Math"/>
                <w:lang w:val="en-GB"/>
              </w:rPr>
              <m:t>λ</m:t>
            </m:r>
          </m:e>
          <m:sub>
            <m:r>
              <w:rPr>
                <w:rFonts w:ascii="Cambria Math" w:hAnsi="Cambria Math"/>
                <w:lang w:val="en-GB"/>
              </w:rPr>
              <m:t>jk</m:t>
            </m:r>
          </m:sub>
        </m:sSub>
        <m:r>
          <w:rPr>
            <w:rFonts w:ascii="Cambria Math" w:hAnsi="Cambria Math"/>
            <w:lang w:val="en-GB"/>
          </w:rPr>
          <m:t>+</m:t>
        </m:r>
        <m:sSub>
          <m:sSubPr>
            <m:ctrlPr>
              <w:rPr>
                <w:rFonts w:ascii="Cambria Math" w:hAnsi="Cambria Math"/>
                <w:i/>
                <w:lang w:val="en-GB"/>
              </w:rPr>
            </m:ctrlPr>
          </m:sSubPr>
          <m:e>
            <m:r>
              <w:rPr>
                <w:rFonts w:ascii="Cambria Math" w:hAnsi="Cambria Math"/>
                <w:lang w:val="en-GB"/>
              </w:rPr>
              <m:t>ν</m:t>
            </m:r>
          </m:e>
          <m:sub>
            <m:r>
              <w:rPr>
                <w:rFonts w:ascii="Cambria Math" w:hAnsi="Cambria Math"/>
                <w:lang w:val="en-GB"/>
              </w:rPr>
              <m:t>hjk</m:t>
            </m:r>
          </m:sub>
        </m:sSub>
        <m:r>
          <w:rPr>
            <w:rFonts w:ascii="Cambria Math" w:hAnsi="Cambria Math"/>
            <w:lang w:val="en-GB"/>
          </w:rPr>
          <m:t>+</m:t>
        </m:r>
        <m:sSub>
          <m:sSubPr>
            <m:ctrlPr>
              <w:rPr>
                <w:rFonts w:ascii="Cambria Math" w:hAnsi="Cambria Math"/>
                <w:i/>
                <w:lang w:val="en-GB"/>
              </w:rPr>
            </m:ctrlPr>
          </m:sSubPr>
          <m:e>
            <m:r>
              <w:rPr>
                <w:rFonts w:ascii="Cambria Math" w:hAnsi="Cambria Math"/>
                <w:lang w:val="en-GB"/>
              </w:rPr>
              <m:t>ξ</m:t>
            </m:r>
          </m:e>
          <m:sub>
            <m:r>
              <w:rPr>
                <w:rFonts w:ascii="Cambria Math" w:hAnsi="Cambria Math"/>
                <w:lang w:val="en-GB"/>
              </w:rPr>
              <m:t>thjk</m:t>
            </m:r>
          </m:sub>
        </m:sSub>
      </m:oMath>
      <w:r w:rsidR="00CF4476" w:rsidRPr="00081646">
        <w:rPr>
          <w:rFonts w:eastAsiaTheme="minorEastAsia"/>
          <w:lang w:val="en-GB"/>
        </w:rPr>
        <w:t xml:space="preserve"> </w:t>
      </w:r>
    </w:p>
    <w:p w:rsidR="00CF4476" w:rsidRPr="00081646" w:rsidRDefault="00CF4476" w:rsidP="00CF4476">
      <w:pPr>
        <w:pStyle w:val="BodyText"/>
        <w:spacing w:before="240"/>
        <w:rPr>
          <w:rFonts w:eastAsiaTheme="minorEastAsia"/>
          <w:lang w:val="en-GB"/>
        </w:rPr>
      </w:pPr>
      <w:r w:rsidRPr="00081646">
        <w:rPr>
          <w:rFonts w:eastAsiaTheme="minorEastAsia"/>
          <w:lang w:val="en-GB"/>
        </w:rPr>
        <w:t xml:space="preserve">In Equation </w:t>
      </w:r>
      <w:r>
        <w:rPr>
          <w:rFonts w:eastAsiaTheme="minorEastAsia"/>
          <w:lang w:val="en-GB"/>
        </w:rPr>
        <w:t>2</w:t>
      </w:r>
      <w:r w:rsidRPr="00081646">
        <w:rPr>
          <w:rFonts w:eastAsiaTheme="minorEastAsia"/>
          <w:lang w:val="en-GB"/>
        </w:rPr>
        <w:t>, all right-hand side variables are defined as in Equation 1</w:t>
      </w:r>
      <w:r>
        <w:rPr>
          <w:rFonts w:eastAsiaTheme="minorEastAsia"/>
          <w:lang w:val="en-GB"/>
        </w:rPr>
        <w:t>,</w:t>
      </w:r>
      <w:r w:rsidRPr="00081646">
        <w:rPr>
          <w:rFonts w:eastAsiaTheme="minorEastAsia"/>
          <w:lang w:val="en-GB"/>
        </w:rPr>
        <w:t xml:space="preserve"> and the three error terms (</w:t>
      </w:r>
      <m:oMath>
        <m:sSub>
          <m:sSubPr>
            <m:ctrlPr>
              <w:rPr>
                <w:rFonts w:ascii="Cambria Math" w:hAnsi="Cambria Math"/>
                <w:i/>
                <w:lang w:val="en-GB"/>
              </w:rPr>
            </m:ctrlPr>
          </m:sSubPr>
          <m:e>
            <m:r>
              <w:rPr>
                <w:rFonts w:ascii="Cambria Math" w:hAnsi="Cambria Math"/>
                <w:lang w:val="en-GB"/>
              </w:rPr>
              <m:t>λ</m:t>
            </m:r>
          </m:e>
          <m:sub>
            <m:r>
              <w:rPr>
                <w:rFonts w:ascii="Cambria Math" w:hAnsi="Cambria Math"/>
                <w:lang w:val="en-GB"/>
              </w:rPr>
              <m:t>jk</m:t>
            </m:r>
          </m:sub>
        </m:sSub>
        <m:r>
          <w:rPr>
            <w:rFonts w:ascii="Cambria Math" w:hAnsi="Cambria Math"/>
            <w:lang w:val="en-GB"/>
          </w:rPr>
          <m:t>,</m:t>
        </m:r>
        <m:sSub>
          <m:sSubPr>
            <m:ctrlPr>
              <w:rPr>
                <w:rFonts w:ascii="Cambria Math" w:hAnsi="Cambria Math"/>
                <w:i/>
                <w:lang w:val="en-GB"/>
              </w:rPr>
            </m:ctrlPr>
          </m:sSubPr>
          <m:e>
            <m:r>
              <w:rPr>
                <w:rFonts w:ascii="Cambria Math" w:hAnsi="Cambria Math"/>
                <w:lang w:val="en-GB"/>
              </w:rPr>
              <m:t>ν</m:t>
            </m:r>
          </m:e>
          <m:sub>
            <m:r>
              <w:rPr>
                <w:rFonts w:ascii="Cambria Math" w:hAnsi="Cambria Math"/>
                <w:lang w:val="en-GB"/>
              </w:rPr>
              <m:t>hjk</m:t>
            </m:r>
          </m:sub>
        </m:sSub>
        <m:r>
          <w:rPr>
            <w:rFonts w:ascii="Cambria Math" w:hAnsi="Cambria Math"/>
            <w:lang w:val="en-GB"/>
          </w:rPr>
          <m:t xml:space="preserve">, </m:t>
        </m:r>
      </m:oMath>
      <w:proofErr w:type="gramStart"/>
      <w:r w:rsidRPr="00081646">
        <w:rPr>
          <w:rFonts w:eastAsiaTheme="minorEastAsia"/>
          <w:lang w:val="en-GB"/>
        </w:rPr>
        <w:t xml:space="preserve">and </w:t>
      </w:r>
      <w:proofErr w:type="gramEnd"/>
      <m:oMath>
        <m:sSub>
          <m:sSubPr>
            <m:ctrlPr>
              <w:rPr>
                <w:rFonts w:ascii="Cambria Math" w:hAnsi="Cambria Math"/>
                <w:i/>
                <w:lang w:val="en-GB"/>
              </w:rPr>
            </m:ctrlPr>
          </m:sSubPr>
          <m:e>
            <m:r>
              <w:rPr>
                <w:rFonts w:ascii="Cambria Math" w:hAnsi="Cambria Math"/>
                <w:lang w:val="en-GB"/>
              </w:rPr>
              <m:t>ξ</m:t>
            </m:r>
          </m:e>
          <m:sub>
            <m:r>
              <w:rPr>
                <w:rFonts w:ascii="Cambria Math" w:hAnsi="Cambria Math"/>
                <w:lang w:val="en-GB"/>
              </w:rPr>
              <m:t>thjk</m:t>
            </m:r>
          </m:sub>
        </m:sSub>
      </m:oMath>
      <w:r w:rsidRPr="00081646">
        <w:rPr>
          <w:rFonts w:eastAsiaTheme="minorEastAsia"/>
          <w:lang w:val="en-GB"/>
        </w:rPr>
        <w:t xml:space="preserve">) capture the random errors at the village and </w:t>
      </w:r>
      <w:r>
        <w:rPr>
          <w:rFonts w:eastAsiaTheme="minorEastAsia"/>
          <w:lang w:val="en-GB"/>
        </w:rPr>
        <w:t>household</w:t>
      </w:r>
      <w:r w:rsidRPr="00081646">
        <w:rPr>
          <w:rFonts w:eastAsiaTheme="minorEastAsia"/>
          <w:lang w:val="en-GB"/>
        </w:rPr>
        <w:t xml:space="preserve"> levels and the time-specific residual, respectively. In this specification, </w:t>
      </w:r>
      <m:oMath>
        <m:sSub>
          <m:sSubPr>
            <m:ctrlPr>
              <w:rPr>
                <w:rFonts w:ascii="Cambria Math" w:hAnsi="Cambria Math"/>
                <w:i/>
                <w:lang w:val="en-GB"/>
              </w:rPr>
            </m:ctrlPr>
          </m:sSubPr>
          <m:e>
            <m:r>
              <w:rPr>
                <w:rFonts w:ascii="Cambria Math" w:hAnsi="Cambria Math"/>
                <w:lang w:val="en-GB"/>
              </w:rPr>
              <m:t>α</m:t>
            </m:r>
          </m:e>
          <m:sub>
            <m:r>
              <w:rPr>
                <w:rFonts w:ascii="Cambria Math" w:hAnsi="Cambria Math"/>
                <w:lang w:val="en-GB"/>
              </w:rPr>
              <m:t>1</m:t>
            </m:r>
          </m:sub>
        </m:sSub>
      </m:oMath>
      <w:r w:rsidRPr="00081646">
        <w:rPr>
          <w:rFonts w:eastAsiaTheme="minorEastAsia"/>
          <w:lang w:val="en-GB"/>
        </w:rPr>
        <w:t xml:space="preserve"> represents the linear time trend in the untreated outcome measure</w:t>
      </w:r>
      <w:r>
        <w:rPr>
          <w:rFonts w:eastAsiaTheme="minorEastAsia"/>
          <w:lang w:val="en-GB"/>
        </w:rPr>
        <w:t>,</w:t>
      </w:r>
      <w:r w:rsidRPr="00081646">
        <w:rPr>
          <w:rFonts w:eastAsiaTheme="minorEastAsia"/>
          <w:lang w:val="en-GB"/>
        </w:rPr>
        <w:t xml:space="preserve"> while </w:t>
      </w:r>
      <m:oMath>
        <m:sSub>
          <m:sSubPr>
            <m:ctrlPr>
              <w:rPr>
                <w:rFonts w:ascii="Cambria Math" w:hAnsi="Cambria Math"/>
                <w:i/>
                <w:lang w:val="en-GB"/>
              </w:rPr>
            </m:ctrlPr>
          </m:sSubPr>
          <m:e>
            <m:r>
              <w:rPr>
                <w:rFonts w:ascii="Cambria Math" w:hAnsi="Cambria Math"/>
                <w:lang w:val="en-GB"/>
              </w:rPr>
              <m:t>α</m:t>
            </m:r>
          </m:e>
          <m:sub>
            <m:r>
              <w:rPr>
                <w:rFonts w:ascii="Cambria Math" w:hAnsi="Cambria Math"/>
                <w:lang w:val="en-GB"/>
              </w:rPr>
              <m:t>2</m:t>
            </m:r>
          </m:sub>
        </m:sSub>
      </m:oMath>
      <w:r w:rsidRPr="00081646">
        <w:rPr>
          <w:rFonts w:eastAsiaTheme="minorEastAsia"/>
          <w:lang w:val="en-GB"/>
        </w:rPr>
        <w:t xml:space="preserve"> captures the pooled deviation from this trend </w:t>
      </w:r>
      <w:r>
        <w:rPr>
          <w:rFonts w:eastAsiaTheme="minorEastAsia"/>
          <w:lang w:val="en-GB"/>
        </w:rPr>
        <w:t>for the</w:t>
      </w:r>
      <w:r w:rsidRPr="00081646">
        <w:rPr>
          <w:rFonts w:eastAsiaTheme="minorEastAsia"/>
          <w:lang w:val="en-GB"/>
        </w:rPr>
        <w:t xml:space="preserve"> post-intervention time, </w:t>
      </w:r>
      <w:r>
        <w:rPr>
          <w:rFonts w:eastAsiaTheme="minorEastAsia"/>
          <w:lang w:val="en-GB"/>
        </w:rPr>
        <w:t xml:space="preserve">point </w:t>
      </w:r>
      <w:r w:rsidRPr="00081646">
        <w:rPr>
          <w:rFonts w:eastAsiaTheme="minorEastAsia"/>
          <w:lang w:val="en-GB"/>
        </w:rPr>
        <w:t>which is attributed to confounders and considered to represent the effect of the confounding factors</w:t>
      </w:r>
      <w:r>
        <w:rPr>
          <w:rFonts w:eastAsiaTheme="minorEastAsia"/>
          <w:lang w:val="en-GB"/>
        </w:rPr>
        <w:t xml:space="preserve">. Note that this is based on the assumption that </w:t>
      </w:r>
      <m:oMath>
        <m:sSub>
          <m:sSubPr>
            <m:ctrlPr>
              <w:rPr>
                <w:rFonts w:ascii="Cambria Math" w:hAnsi="Cambria Math"/>
                <w:i/>
                <w:lang w:val="en-GB"/>
              </w:rPr>
            </m:ctrlPr>
          </m:sSubPr>
          <m:e>
            <m:r>
              <w:rPr>
                <w:rFonts w:ascii="Cambria Math" w:hAnsi="Cambria Math"/>
                <w:lang w:val="en-GB"/>
              </w:rPr>
              <m:t>Z</m:t>
            </m:r>
          </m:e>
          <m:sub>
            <m:r>
              <w:rPr>
                <w:rFonts w:ascii="Cambria Math" w:hAnsi="Cambria Math"/>
                <w:lang w:val="en-GB"/>
              </w:rPr>
              <m:t>thjk</m:t>
            </m:r>
          </m:sub>
        </m:sSub>
      </m:oMath>
      <w:r>
        <w:rPr>
          <w:rFonts w:eastAsiaTheme="minorEastAsia"/>
          <w:lang w:val="en-GB"/>
        </w:rPr>
        <w:t xml:space="preserve"> is not specifically targeted by the intervention; therefore, the deviation of this measure from its baseline trend is fully attributable to confounding factors. Further, a</w:t>
      </w:r>
      <w:r w:rsidRPr="00081646">
        <w:rPr>
          <w:rFonts w:eastAsiaTheme="minorEastAsia"/>
          <w:lang w:val="en-GB"/>
        </w:rPr>
        <w:t>ssuming the effect of the confounders on the treated outcome is proportional to the effect on the untreated outcome where the ratio of the two effects is equal to the ratio of the time trends, the impact estimate for the treated outcome that is adjusted for the confounders is given by:</w:t>
      </w:r>
    </w:p>
    <w:p w:rsidR="00CF4476" w:rsidRPr="00081646" w:rsidRDefault="00D264E5" w:rsidP="00EC48D2">
      <w:pPr>
        <w:pStyle w:val="BodyText"/>
        <w:numPr>
          <w:ilvl w:val="0"/>
          <w:numId w:val="8"/>
        </w:numPr>
        <w:spacing w:before="240" w:after="120" w:line="276" w:lineRule="auto"/>
        <w:rPr>
          <w:rFonts w:eastAsiaTheme="minorEastAsia"/>
          <w:lang w:val="en-GB"/>
        </w:rPr>
      </w:pPr>
      <m:oMath>
        <m:sSubSup>
          <m:sSubSupPr>
            <m:ctrlPr>
              <w:rPr>
                <w:rFonts w:ascii="Cambria Math" w:hAnsi="Cambria Math"/>
                <w:i/>
                <w:lang w:val="en-GB"/>
              </w:rPr>
            </m:ctrlPr>
          </m:sSubSupPr>
          <m:e>
            <m:r>
              <w:rPr>
                <w:rFonts w:ascii="Cambria Math" w:hAnsi="Cambria Math"/>
                <w:lang w:val="en-GB"/>
              </w:rPr>
              <m:t>β</m:t>
            </m:r>
          </m:e>
          <m:sub>
            <m:r>
              <w:rPr>
                <w:rFonts w:ascii="Cambria Math" w:hAnsi="Cambria Math"/>
                <w:lang w:val="en-GB"/>
              </w:rPr>
              <m:t>2</m:t>
            </m:r>
          </m:sub>
          <m:sup>
            <m:r>
              <w:rPr>
                <w:rFonts w:ascii="Cambria Math" w:hAnsi="Cambria Math"/>
                <w:lang w:val="en-GB"/>
              </w:rPr>
              <m:t>adj</m:t>
            </m:r>
          </m:sup>
        </m:sSubSup>
        <m:r>
          <w:rPr>
            <w:rFonts w:ascii="Cambria Math" w:eastAsiaTheme="minorEastAsia" w:hAnsi="Cambria Math"/>
            <w:lang w:val="en-GB"/>
          </w:rPr>
          <m:t>=</m:t>
        </m:r>
        <m:sSub>
          <m:sSubPr>
            <m:ctrlPr>
              <w:rPr>
                <w:rFonts w:ascii="Cambria Math" w:hAnsi="Cambria Math"/>
                <w:i/>
                <w:lang w:val="en-GB"/>
              </w:rPr>
            </m:ctrlPr>
          </m:sSubPr>
          <m:e>
            <m:r>
              <w:rPr>
                <w:rFonts w:ascii="Cambria Math" w:hAnsi="Cambria Math"/>
                <w:lang w:val="en-GB"/>
              </w:rPr>
              <m:t>β</m:t>
            </m:r>
          </m:e>
          <m:sub>
            <m:r>
              <w:rPr>
                <w:rFonts w:ascii="Cambria Math" w:hAnsi="Cambria Math"/>
                <w:lang w:val="en-GB"/>
              </w:rPr>
              <m:t>2</m:t>
            </m:r>
          </m:sub>
        </m:sSub>
        <m:r>
          <w:rPr>
            <w:rFonts w:ascii="Cambria Math" w:hAnsi="Cambria Math"/>
            <w:lang w:val="en-GB"/>
          </w:rPr>
          <m:t>-</m:t>
        </m:r>
        <m:f>
          <m:fPr>
            <m:ctrlPr>
              <w:rPr>
                <w:rFonts w:ascii="Cambria Math" w:hAnsi="Cambria Math"/>
                <w:i/>
                <w:lang w:val="en-GB"/>
              </w:rPr>
            </m:ctrlPr>
          </m:fPr>
          <m:num>
            <m:sSub>
              <m:sSubPr>
                <m:ctrlPr>
                  <w:rPr>
                    <w:rFonts w:ascii="Cambria Math" w:hAnsi="Cambria Math"/>
                    <w:i/>
                    <w:lang w:val="en-GB"/>
                  </w:rPr>
                </m:ctrlPr>
              </m:sSubPr>
              <m:e>
                <m:r>
                  <w:rPr>
                    <w:rFonts w:ascii="Cambria Math" w:hAnsi="Cambria Math"/>
                    <w:lang w:val="en-GB"/>
                  </w:rPr>
                  <m:t>β</m:t>
                </m:r>
              </m:e>
              <m:sub>
                <m:r>
                  <w:rPr>
                    <w:rFonts w:ascii="Cambria Math" w:hAnsi="Cambria Math"/>
                    <w:lang w:val="en-GB"/>
                  </w:rPr>
                  <m:t>1</m:t>
                </m:r>
              </m:sub>
            </m:sSub>
          </m:num>
          <m:den>
            <m:sSub>
              <m:sSubPr>
                <m:ctrlPr>
                  <w:rPr>
                    <w:rFonts w:ascii="Cambria Math" w:hAnsi="Cambria Math"/>
                    <w:i/>
                    <w:lang w:val="en-GB"/>
                  </w:rPr>
                </m:ctrlPr>
              </m:sSubPr>
              <m:e>
                <m:r>
                  <w:rPr>
                    <w:rFonts w:ascii="Cambria Math" w:hAnsi="Cambria Math"/>
                    <w:lang w:val="en-GB"/>
                  </w:rPr>
                  <m:t>α</m:t>
                </m:r>
              </m:e>
              <m:sub>
                <m:r>
                  <w:rPr>
                    <w:rFonts w:ascii="Cambria Math" w:hAnsi="Cambria Math"/>
                    <w:lang w:val="en-GB"/>
                  </w:rPr>
                  <m:t>1</m:t>
                </m:r>
              </m:sub>
            </m:sSub>
          </m:den>
        </m:f>
        <m:sSub>
          <m:sSubPr>
            <m:ctrlPr>
              <w:rPr>
                <w:rFonts w:ascii="Cambria Math" w:hAnsi="Cambria Math"/>
                <w:i/>
                <w:lang w:val="en-GB"/>
              </w:rPr>
            </m:ctrlPr>
          </m:sSubPr>
          <m:e>
            <m:r>
              <w:rPr>
                <w:rFonts w:ascii="Cambria Math" w:hAnsi="Cambria Math"/>
                <w:lang w:val="en-GB"/>
              </w:rPr>
              <m:t>α</m:t>
            </m:r>
          </m:e>
          <m:sub>
            <m:r>
              <w:rPr>
                <w:rFonts w:ascii="Cambria Math" w:hAnsi="Cambria Math"/>
                <w:lang w:val="en-GB"/>
              </w:rPr>
              <m:t>2</m:t>
            </m:r>
          </m:sub>
        </m:sSub>
      </m:oMath>
      <w:r w:rsidR="00CF4476" w:rsidRPr="00081646">
        <w:rPr>
          <w:rFonts w:eastAsiaTheme="minorEastAsia"/>
          <w:lang w:val="en-GB"/>
        </w:rPr>
        <w:t xml:space="preserve">   </w:t>
      </w:r>
    </w:p>
    <w:p w:rsidR="00CF4476" w:rsidRPr="00081646" w:rsidRDefault="00CF4476" w:rsidP="00CF4476">
      <w:pPr>
        <w:pStyle w:val="BodyText"/>
        <w:spacing w:before="240"/>
        <w:rPr>
          <w:rFonts w:eastAsiaTheme="minorEastAsia"/>
          <w:lang w:val="en-GB"/>
        </w:rPr>
      </w:pPr>
      <w:r w:rsidRPr="00081646">
        <w:rPr>
          <w:rFonts w:eastAsiaTheme="minorEastAsia"/>
          <w:lang w:val="en-GB"/>
        </w:rPr>
        <w:t xml:space="preserve">In Equation </w:t>
      </w:r>
      <w:r>
        <w:rPr>
          <w:rFonts w:eastAsiaTheme="minorEastAsia"/>
          <w:lang w:val="en-GB"/>
        </w:rPr>
        <w:t>3</w:t>
      </w:r>
      <w:r w:rsidRPr="00081646">
        <w:rPr>
          <w:rFonts w:eastAsiaTheme="minorEastAsia"/>
          <w:lang w:val="en-GB"/>
        </w:rPr>
        <w:t xml:space="preserve">, </w:t>
      </w:r>
      <m:oMath>
        <m:sSubSup>
          <m:sSubSupPr>
            <m:ctrlPr>
              <w:rPr>
                <w:rFonts w:ascii="Cambria Math" w:hAnsi="Cambria Math"/>
                <w:i/>
                <w:lang w:val="en-GB"/>
              </w:rPr>
            </m:ctrlPr>
          </m:sSubSupPr>
          <m:e>
            <m:r>
              <w:rPr>
                <w:rFonts w:ascii="Cambria Math" w:hAnsi="Cambria Math"/>
                <w:lang w:val="en-GB"/>
              </w:rPr>
              <m:t>β</m:t>
            </m:r>
          </m:e>
          <m:sub>
            <m:r>
              <w:rPr>
                <w:rFonts w:ascii="Cambria Math" w:hAnsi="Cambria Math"/>
                <w:lang w:val="en-GB"/>
              </w:rPr>
              <m:t>2</m:t>
            </m:r>
          </m:sub>
          <m:sup>
            <m:r>
              <w:rPr>
                <w:rFonts w:ascii="Cambria Math" w:hAnsi="Cambria Math"/>
                <w:lang w:val="en-GB"/>
              </w:rPr>
              <m:t>adj</m:t>
            </m:r>
          </m:sup>
        </m:sSubSup>
      </m:oMath>
      <w:r w:rsidRPr="00081646">
        <w:rPr>
          <w:rFonts w:eastAsiaTheme="minorEastAsia"/>
          <w:lang w:val="en-GB"/>
        </w:rPr>
        <w:t xml:space="preserve"> is essentially the impact on the </w:t>
      </w:r>
      <w:r>
        <w:rPr>
          <w:rFonts w:eastAsiaTheme="minorEastAsia"/>
          <w:lang w:val="en-GB"/>
        </w:rPr>
        <w:t>targeted</w:t>
      </w:r>
      <w:r w:rsidRPr="00081646">
        <w:rPr>
          <w:rFonts w:eastAsiaTheme="minorEastAsia"/>
          <w:lang w:val="en-GB"/>
        </w:rPr>
        <w:t xml:space="preserve"> outcome that is free of confounding factors that affect both the </w:t>
      </w:r>
      <w:r>
        <w:rPr>
          <w:rFonts w:eastAsiaTheme="minorEastAsia"/>
          <w:lang w:val="en-GB"/>
        </w:rPr>
        <w:t>affected</w:t>
      </w:r>
      <w:r w:rsidRPr="00081646">
        <w:rPr>
          <w:rFonts w:eastAsiaTheme="minorEastAsia"/>
          <w:lang w:val="en-GB"/>
        </w:rPr>
        <w:t xml:space="preserve"> and un</w:t>
      </w:r>
      <w:r>
        <w:rPr>
          <w:rFonts w:eastAsiaTheme="minorEastAsia"/>
          <w:lang w:val="en-GB"/>
        </w:rPr>
        <w:t>affected</w:t>
      </w:r>
      <w:r w:rsidRPr="00081646">
        <w:rPr>
          <w:rFonts w:eastAsiaTheme="minorEastAsia"/>
          <w:lang w:val="en-GB"/>
        </w:rPr>
        <w:t xml:space="preserve"> outcomes in the same </w:t>
      </w:r>
      <w:proofErr w:type="gramStart"/>
      <w:r w:rsidRPr="00081646">
        <w:rPr>
          <w:rFonts w:eastAsiaTheme="minorEastAsia"/>
          <w:lang w:val="en-GB"/>
        </w:rPr>
        <w:t>direction.</w:t>
      </w:r>
      <w:proofErr w:type="gramEnd"/>
      <w:r w:rsidRPr="00081646">
        <w:rPr>
          <w:rFonts w:eastAsiaTheme="minorEastAsia"/>
          <w:lang w:val="en-GB"/>
        </w:rPr>
        <w:t xml:space="preserve"> </w:t>
      </w:r>
    </w:p>
    <w:p w:rsidR="00CF4476" w:rsidRPr="00081646" w:rsidRDefault="00CF4476" w:rsidP="00CF4476">
      <w:pPr>
        <w:pStyle w:val="BodyText"/>
        <w:spacing w:before="240"/>
        <w:rPr>
          <w:rFonts w:eastAsiaTheme="minorEastAsia"/>
          <w:lang w:val="en-GB"/>
        </w:rPr>
      </w:pPr>
      <w:r w:rsidRPr="00081646">
        <w:rPr>
          <w:rFonts w:eastAsiaTheme="minorEastAsia"/>
          <w:lang w:val="en-GB"/>
        </w:rPr>
        <w:t xml:space="preserve">Another approach for using the unaffected outcome is creating an adjusted version of the </w:t>
      </w:r>
      <w:r>
        <w:rPr>
          <w:rFonts w:eastAsiaTheme="minorEastAsia"/>
          <w:lang w:val="en-GB"/>
        </w:rPr>
        <w:t>affected</w:t>
      </w:r>
      <w:r w:rsidRPr="00081646">
        <w:rPr>
          <w:rFonts w:eastAsiaTheme="minorEastAsia"/>
          <w:lang w:val="en-GB"/>
        </w:rPr>
        <w:t xml:space="preserve"> outcome that is free of the time trend and the influence of the confounding factors that operate in the post-intervention period. This approach entails estimating the time trends for the untreated and treated outcome measures using only the pre-intervention observations via the following models: </w:t>
      </w:r>
    </w:p>
    <w:p w:rsidR="00CF4476" w:rsidRPr="00081646" w:rsidRDefault="00CF4476" w:rsidP="00CF4476">
      <w:pPr>
        <w:pStyle w:val="BodyText"/>
        <w:spacing w:before="240"/>
        <w:rPr>
          <w:rFonts w:eastAsiaTheme="minorEastAsia"/>
          <w:lang w:val="en-GB"/>
        </w:rPr>
      </w:pPr>
      <w:r w:rsidRPr="00081646">
        <w:rPr>
          <w:rFonts w:eastAsiaTheme="minorEastAsia"/>
          <w:lang w:val="en-GB"/>
        </w:rPr>
        <w:t xml:space="preserve"> </w:t>
      </w:r>
      <w:r w:rsidRPr="00081646">
        <w:rPr>
          <w:rFonts w:eastAsiaTheme="minorEastAsia"/>
          <w:lang w:val="en-GB"/>
        </w:rPr>
        <w:tab/>
      </w:r>
      <w:r>
        <w:rPr>
          <w:rFonts w:eastAsiaTheme="minorEastAsia"/>
          <w:lang w:val="en-GB"/>
        </w:rPr>
        <w:tab/>
      </w:r>
      <w:r w:rsidRPr="00081646">
        <w:rPr>
          <w:rFonts w:eastAsiaTheme="minorEastAsia"/>
          <w:lang w:val="en-GB"/>
        </w:rPr>
        <w:t>(</w:t>
      </w:r>
      <w:r>
        <w:rPr>
          <w:rFonts w:eastAsiaTheme="minorEastAsia"/>
          <w:lang w:val="en-GB"/>
        </w:rPr>
        <w:t>4</w:t>
      </w:r>
      <w:r w:rsidRPr="00081646">
        <w:rPr>
          <w:rFonts w:eastAsiaTheme="minorEastAsia"/>
          <w:lang w:val="en-GB"/>
        </w:rPr>
        <w:t xml:space="preserve">a) </w:t>
      </w:r>
      <m:oMath>
        <m:sSub>
          <m:sSubPr>
            <m:ctrlPr>
              <w:rPr>
                <w:rFonts w:ascii="Cambria Math" w:hAnsi="Cambria Math"/>
                <w:i/>
                <w:lang w:val="en-GB"/>
              </w:rPr>
            </m:ctrlPr>
          </m:sSubPr>
          <m:e>
            <m:r>
              <w:rPr>
                <w:rFonts w:ascii="Cambria Math" w:hAnsi="Cambria Math"/>
                <w:lang w:val="en-GB"/>
              </w:rPr>
              <m:t>Y</m:t>
            </m:r>
          </m:e>
          <m:sub>
            <m:r>
              <w:rPr>
                <w:rFonts w:ascii="Cambria Math" w:hAnsi="Cambria Math"/>
                <w:lang w:val="en-GB"/>
              </w:rPr>
              <m:t>thjk</m:t>
            </m:r>
          </m:sub>
        </m:sSub>
        <m:r>
          <w:rPr>
            <w:rFonts w:ascii="Cambria Math" w:hAnsi="Cambria Math"/>
            <w:lang w:val="en-GB"/>
          </w:rPr>
          <m:t>=</m:t>
        </m:r>
        <m:sSub>
          <m:sSubPr>
            <m:ctrlPr>
              <w:rPr>
                <w:rFonts w:ascii="Cambria Math" w:hAnsi="Cambria Math"/>
                <w:i/>
                <w:lang w:val="en-GB"/>
              </w:rPr>
            </m:ctrlPr>
          </m:sSubPr>
          <m:e>
            <m:r>
              <w:rPr>
                <w:rFonts w:ascii="Cambria Math" w:hAnsi="Cambria Math"/>
                <w:lang w:val="en-GB"/>
              </w:rPr>
              <m:t>β</m:t>
            </m:r>
          </m:e>
          <m:sub>
            <m:r>
              <w:rPr>
                <w:rFonts w:ascii="Cambria Math" w:hAnsi="Cambria Math"/>
                <w:lang w:val="en-GB"/>
              </w:rPr>
              <m:t>0</m:t>
            </m:r>
          </m:sub>
        </m:sSub>
        <m:r>
          <w:rPr>
            <w:rFonts w:ascii="Cambria Math" w:hAnsi="Cambria Math"/>
            <w:lang w:val="en-GB"/>
          </w:rPr>
          <m:t>+</m:t>
        </m:r>
        <m:sSub>
          <m:sSubPr>
            <m:ctrlPr>
              <w:rPr>
                <w:rFonts w:ascii="Cambria Math" w:hAnsi="Cambria Math"/>
                <w:i/>
                <w:lang w:val="en-GB"/>
              </w:rPr>
            </m:ctrlPr>
          </m:sSubPr>
          <m:e>
            <m:r>
              <w:rPr>
                <w:rFonts w:ascii="Cambria Math" w:hAnsi="Cambria Math"/>
                <w:lang w:val="en-GB"/>
              </w:rPr>
              <m:t>β</m:t>
            </m:r>
          </m:e>
          <m:sub>
            <m:r>
              <w:rPr>
                <w:rFonts w:ascii="Cambria Math" w:hAnsi="Cambria Math"/>
                <w:lang w:val="en-GB"/>
              </w:rPr>
              <m:t>1</m:t>
            </m:r>
          </m:sub>
        </m:sSub>
        <m:sSub>
          <m:sSubPr>
            <m:ctrlPr>
              <w:rPr>
                <w:rFonts w:ascii="Cambria Math" w:hAnsi="Cambria Math"/>
                <w:i/>
                <w:lang w:val="en-GB"/>
              </w:rPr>
            </m:ctrlPr>
          </m:sSubPr>
          <m:e>
            <m:r>
              <w:rPr>
                <w:rFonts w:ascii="Cambria Math" w:hAnsi="Cambria Math"/>
                <w:lang w:val="en-GB"/>
              </w:rPr>
              <m:t>time</m:t>
            </m:r>
          </m:e>
          <m:sub>
            <m:r>
              <w:rPr>
                <w:rFonts w:ascii="Cambria Math" w:hAnsi="Cambria Math"/>
                <w:lang w:val="en-GB"/>
              </w:rPr>
              <m:t>t</m:t>
            </m:r>
          </m:sub>
        </m:sSub>
        <m:r>
          <w:rPr>
            <w:rFonts w:ascii="Cambria Math" w:hAnsi="Cambria Math"/>
            <w:lang w:val="en-GB"/>
          </w:rPr>
          <m:t>+</m:t>
        </m:r>
        <m:nary>
          <m:naryPr>
            <m:chr m:val="∑"/>
            <m:limLoc m:val="undOvr"/>
            <m:ctrlPr>
              <w:rPr>
                <w:rFonts w:ascii="Cambria Math" w:hAnsi="Cambria Math"/>
                <w:i/>
                <w:lang w:val="en-GB"/>
              </w:rPr>
            </m:ctrlPr>
          </m:naryPr>
          <m:sub>
            <m:r>
              <w:rPr>
                <w:rFonts w:ascii="Cambria Math" w:hAnsi="Cambria Math"/>
                <w:lang w:val="en-GB"/>
              </w:rPr>
              <m:t>n=1</m:t>
            </m:r>
          </m:sub>
          <m:sup>
            <m:r>
              <w:rPr>
                <w:rFonts w:ascii="Cambria Math" w:hAnsi="Cambria Math"/>
                <w:lang w:val="en-GB"/>
              </w:rPr>
              <m:t>N</m:t>
            </m:r>
          </m:sup>
          <m:e>
            <m:sSub>
              <m:sSubPr>
                <m:ctrlPr>
                  <w:rPr>
                    <w:rFonts w:ascii="Cambria Math" w:hAnsi="Cambria Math"/>
                    <w:i/>
                    <w:lang w:val="en-GB"/>
                  </w:rPr>
                </m:ctrlPr>
              </m:sSubPr>
              <m:e>
                <m:r>
                  <w:rPr>
                    <w:rFonts w:ascii="Cambria Math" w:hAnsi="Cambria Math"/>
                    <w:lang w:val="en-GB"/>
                  </w:rPr>
                  <m:t>β</m:t>
                </m:r>
              </m:e>
              <m:sub>
                <m:r>
                  <w:rPr>
                    <w:rFonts w:ascii="Cambria Math" w:hAnsi="Cambria Math"/>
                    <w:lang w:val="en-GB"/>
                  </w:rPr>
                  <m:t>n+1</m:t>
                </m:r>
              </m:sub>
            </m:sSub>
            <m:sSubSup>
              <m:sSubSupPr>
                <m:ctrlPr>
                  <w:rPr>
                    <w:rFonts w:ascii="Cambria Math" w:hAnsi="Cambria Math"/>
                    <w:i/>
                    <w:lang w:val="en-GB"/>
                  </w:rPr>
                </m:ctrlPr>
              </m:sSubSupPr>
              <m:e>
                <m:r>
                  <w:rPr>
                    <w:rFonts w:ascii="Cambria Math" w:hAnsi="Cambria Math"/>
                    <w:lang w:val="en-GB"/>
                  </w:rPr>
                  <m:t>X</m:t>
                </m:r>
              </m:e>
              <m:sub>
                <m:r>
                  <w:rPr>
                    <w:rFonts w:ascii="Cambria Math" w:hAnsi="Cambria Math"/>
                    <w:lang w:val="en-GB"/>
                  </w:rPr>
                  <m:t>thjk</m:t>
                </m:r>
              </m:sub>
              <m:sup>
                <m:r>
                  <w:rPr>
                    <w:rFonts w:ascii="Cambria Math" w:hAnsi="Cambria Math"/>
                    <w:lang w:val="en-GB"/>
                  </w:rPr>
                  <m:t>n</m:t>
                </m:r>
              </m:sup>
            </m:sSubSup>
          </m:e>
        </m:nary>
        <m:r>
          <w:rPr>
            <w:rFonts w:ascii="Cambria Math" w:hAnsi="Cambria Math"/>
            <w:lang w:val="en-GB"/>
          </w:rPr>
          <m:t>++</m:t>
        </m:r>
        <m:nary>
          <m:naryPr>
            <m:chr m:val="∑"/>
            <m:limLoc m:val="undOvr"/>
            <m:ctrlPr>
              <w:rPr>
                <w:rFonts w:ascii="Cambria Math" w:hAnsi="Cambria Math"/>
                <w:i/>
                <w:lang w:val="en-GB"/>
              </w:rPr>
            </m:ctrlPr>
          </m:naryPr>
          <m:sub>
            <m:r>
              <w:rPr>
                <w:rFonts w:ascii="Cambria Math" w:hAnsi="Cambria Math"/>
                <w:lang w:val="en-GB"/>
              </w:rPr>
              <m:t>m=1</m:t>
            </m:r>
          </m:sub>
          <m:sup>
            <m:r>
              <w:rPr>
                <w:rFonts w:ascii="Cambria Math" w:hAnsi="Cambria Math"/>
                <w:lang w:val="en-GB"/>
              </w:rPr>
              <m:t>M</m:t>
            </m:r>
          </m:sup>
          <m:e>
            <m:sSub>
              <m:sSubPr>
                <m:ctrlPr>
                  <w:rPr>
                    <w:rFonts w:ascii="Cambria Math" w:hAnsi="Cambria Math"/>
                    <w:i/>
                    <w:lang w:val="en-GB"/>
                  </w:rPr>
                </m:ctrlPr>
              </m:sSubPr>
              <m:e>
                <m:r>
                  <w:rPr>
                    <w:rFonts w:ascii="Cambria Math" w:hAnsi="Cambria Math"/>
                    <w:lang w:val="en-GB"/>
                  </w:rPr>
                  <m:t>β</m:t>
                </m:r>
              </m:e>
              <m:sub>
                <m:r>
                  <w:rPr>
                    <w:rFonts w:ascii="Cambria Math" w:hAnsi="Cambria Math"/>
                    <w:lang w:val="en-GB"/>
                  </w:rPr>
                  <m:t>N+m+1</m:t>
                </m:r>
              </m:sub>
            </m:sSub>
          </m:e>
        </m:nary>
        <m:sSubSup>
          <m:sSubSupPr>
            <m:ctrlPr>
              <w:rPr>
                <w:rFonts w:ascii="Cambria Math" w:hAnsi="Cambria Math"/>
                <w:i/>
                <w:lang w:val="en-GB"/>
              </w:rPr>
            </m:ctrlPr>
          </m:sSubSupPr>
          <m:e>
            <m:r>
              <w:rPr>
                <w:rFonts w:ascii="Cambria Math" w:hAnsi="Cambria Math"/>
                <w:lang w:val="en-GB"/>
              </w:rPr>
              <m:t>W</m:t>
            </m:r>
          </m:e>
          <m:sub>
            <m:r>
              <w:rPr>
                <w:rFonts w:ascii="Cambria Math" w:hAnsi="Cambria Math"/>
                <w:lang w:val="en-GB"/>
              </w:rPr>
              <m:t>tjk</m:t>
            </m:r>
          </m:sub>
          <m:sup>
            <m:r>
              <w:rPr>
                <w:rFonts w:ascii="Cambria Math" w:hAnsi="Cambria Math"/>
                <w:lang w:val="en-GB"/>
              </w:rPr>
              <m:t>m</m:t>
            </m:r>
          </m:sup>
        </m:sSubSup>
        <m:r>
          <w:rPr>
            <w:rFonts w:ascii="Cambria Math" w:hAnsi="Cambria Math"/>
            <w:lang w:val="en-GB"/>
          </w:rPr>
          <m:t>+</m:t>
        </m:r>
        <m:nary>
          <m:naryPr>
            <m:chr m:val="∑"/>
            <m:limLoc m:val="undOvr"/>
            <m:ctrlPr>
              <w:rPr>
                <w:rFonts w:ascii="Cambria Math" w:hAnsi="Cambria Math"/>
                <w:i/>
                <w:lang w:val="en-GB"/>
              </w:rPr>
            </m:ctrlPr>
          </m:naryPr>
          <m:sub>
            <m:r>
              <w:rPr>
                <w:rFonts w:ascii="Cambria Math" w:hAnsi="Cambria Math"/>
                <w:lang w:val="en-GB"/>
              </w:rPr>
              <m:t>r=1</m:t>
            </m:r>
          </m:sub>
          <m:sup>
            <m:r>
              <w:rPr>
                <w:rFonts w:ascii="Cambria Math" w:hAnsi="Cambria Math"/>
                <w:lang w:val="en-GB"/>
              </w:rPr>
              <m:t>R-1</m:t>
            </m:r>
          </m:sup>
          <m:e>
            <m:sSub>
              <m:sSubPr>
                <m:ctrlPr>
                  <w:rPr>
                    <w:rFonts w:ascii="Cambria Math" w:hAnsi="Cambria Math"/>
                    <w:i/>
                    <w:lang w:val="en-GB"/>
                  </w:rPr>
                </m:ctrlPr>
              </m:sSubPr>
              <m:e>
                <m:r>
                  <w:rPr>
                    <w:rFonts w:ascii="Cambria Math" w:hAnsi="Cambria Math"/>
                    <w:lang w:val="en-GB"/>
                  </w:rPr>
                  <m:t>β</m:t>
                </m:r>
              </m:e>
              <m:sub>
                <m:r>
                  <w:rPr>
                    <w:rFonts w:ascii="Cambria Math" w:hAnsi="Cambria Math"/>
                    <w:lang w:val="en-GB"/>
                  </w:rPr>
                  <m:t>N+M+r+1</m:t>
                </m:r>
              </m:sub>
            </m:sSub>
            <m:sSubSup>
              <m:sSubSupPr>
                <m:ctrlPr>
                  <w:rPr>
                    <w:rFonts w:ascii="Cambria Math" w:hAnsi="Cambria Math"/>
                    <w:i/>
                    <w:lang w:val="en-GB"/>
                  </w:rPr>
                </m:ctrlPr>
              </m:sSubSupPr>
              <m:e>
                <m:r>
                  <w:rPr>
                    <w:rFonts w:ascii="Cambria Math" w:hAnsi="Cambria Math"/>
                    <w:lang w:val="en-GB"/>
                  </w:rPr>
                  <m:t>C</m:t>
                </m:r>
              </m:e>
              <m:sub>
                <m:r>
                  <w:rPr>
                    <w:rFonts w:ascii="Cambria Math" w:hAnsi="Cambria Math"/>
                    <w:lang w:val="en-GB"/>
                  </w:rPr>
                  <m:t>k</m:t>
                </m:r>
              </m:sub>
              <m:sup>
                <m:r>
                  <w:rPr>
                    <w:rFonts w:ascii="Cambria Math" w:hAnsi="Cambria Math"/>
                    <w:lang w:val="en-GB"/>
                  </w:rPr>
                  <m:t>r</m:t>
                </m:r>
              </m:sup>
            </m:sSubSup>
          </m:e>
        </m:nary>
        <m:r>
          <w:rPr>
            <w:rFonts w:ascii="Cambria Math" w:hAnsi="Cambria Math"/>
            <w:lang w:val="en-GB"/>
          </w:rPr>
          <m:t xml:space="preserve">+                       </m:t>
        </m:r>
        <m:sSub>
          <m:sSubPr>
            <m:ctrlPr>
              <w:rPr>
                <w:rFonts w:ascii="Cambria Math" w:hAnsi="Cambria Math"/>
                <w:i/>
                <w:lang w:val="en-GB"/>
              </w:rPr>
            </m:ctrlPr>
          </m:sSubPr>
          <m:e>
            <m:r>
              <w:rPr>
                <w:rFonts w:ascii="Cambria Math" w:hAnsi="Cambria Math"/>
                <w:lang w:val="en-GB"/>
              </w:rPr>
              <m:t>μ</m:t>
            </m:r>
          </m:e>
          <m:sub>
            <m:r>
              <w:rPr>
                <w:rFonts w:ascii="Cambria Math" w:hAnsi="Cambria Math"/>
                <w:lang w:val="en-GB"/>
              </w:rPr>
              <m:t>jk</m:t>
            </m:r>
          </m:sub>
        </m:sSub>
        <m:r>
          <w:rPr>
            <w:rFonts w:ascii="Cambria Math" w:hAnsi="Cambria Math"/>
            <w:lang w:val="en-GB"/>
          </w:rPr>
          <m:t>+</m:t>
        </m:r>
        <m:sSub>
          <m:sSubPr>
            <m:ctrlPr>
              <w:rPr>
                <w:rFonts w:ascii="Cambria Math" w:hAnsi="Cambria Math"/>
                <w:i/>
                <w:lang w:val="en-GB"/>
              </w:rPr>
            </m:ctrlPr>
          </m:sSubPr>
          <m:e>
            <m:r>
              <w:rPr>
                <w:rFonts w:ascii="Cambria Math" w:hAnsi="Cambria Math"/>
                <w:lang w:val="en-GB"/>
              </w:rPr>
              <m:t>δ</m:t>
            </m:r>
          </m:e>
          <m:sub>
            <m:r>
              <w:rPr>
                <w:rFonts w:ascii="Cambria Math" w:hAnsi="Cambria Math"/>
                <w:lang w:val="en-GB"/>
              </w:rPr>
              <m:t>hjk</m:t>
            </m:r>
          </m:sub>
        </m:sSub>
        <m:r>
          <w:rPr>
            <w:rFonts w:ascii="Cambria Math" w:hAnsi="Cambria Math"/>
            <w:lang w:val="en-GB"/>
          </w:rPr>
          <m:t>+</m:t>
        </m:r>
        <m:sSub>
          <m:sSubPr>
            <m:ctrlPr>
              <w:rPr>
                <w:rFonts w:ascii="Cambria Math" w:hAnsi="Cambria Math"/>
                <w:i/>
                <w:lang w:val="en-GB"/>
              </w:rPr>
            </m:ctrlPr>
          </m:sSubPr>
          <m:e>
            <m:r>
              <w:rPr>
                <w:rFonts w:ascii="Cambria Math" w:hAnsi="Cambria Math"/>
                <w:lang w:val="en-GB"/>
              </w:rPr>
              <m:t>ϵ</m:t>
            </m:r>
          </m:e>
          <m:sub>
            <m:r>
              <w:rPr>
                <w:rFonts w:ascii="Cambria Math" w:hAnsi="Cambria Math"/>
                <w:lang w:val="en-GB"/>
              </w:rPr>
              <m:t>thjk</m:t>
            </m:r>
          </m:sub>
        </m:sSub>
      </m:oMath>
      <w:r w:rsidRPr="00081646">
        <w:rPr>
          <w:rFonts w:eastAsiaTheme="minorEastAsia"/>
          <w:lang w:val="en-GB"/>
        </w:rPr>
        <w:t xml:space="preserve"> </w:t>
      </w:r>
    </w:p>
    <w:p w:rsidR="00CF4476" w:rsidRDefault="00CF4476" w:rsidP="00CF4476">
      <w:pPr>
        <w:pStyle w:val="BodyText"/>
        <w:spacing w:after="0"/>
        <w:rPr>
          <w:rFonts w:eastAsiaTheme="minorEastAsia"/>
          <w:lang w:val="en-GB"/>
        </w:rPr>
      </w:pPr>
      <w:r w:rsidRPr="00081646">
        <w:rPr>
          <w:lang w:val="en-GB"/>
        </w:rPr>
        <w:t xml:space="preserve">  </w:t>
      </w:r>
      <w:r w:rsidRPr="00081646">
        <w:rPr>
          <w:lang w:val="en-GB"/>
        </w:rPr>
        <w:tab/>
      </w:r>
      <w:r>
        <w:rPr>
          <w:lang w:val="en-GB"/>
        </w:rPr>
        <w:tab/>
      </w:r>
      <w:r w:rsidRPr="00081646">
        <w:rPr>
          <w:rFonts w:eastAsiaTheme="minorEastAsia"/>
          <w:lang w:val="en-GB"/>
        </w:rPr>
        <w:t>(</w:t>
      </w:r>
      <w:r>
        <w:rPr>
          <w:rFonts w:eastAsiaTheme="minorEastAsia"/>
          <w:lang w:val="en-GB"/>
        </w:rPr>
        <w:t>4</w:t>
      </w:r>
      <w:r w:rsidRPr="00081646">
        <w:rPr>
          <w:rFonts w:eastAsiaTheme="minorEastAsia"/>
          <w:lang w:val="en-GB"/>
        </w:rPr>
        <w:t>b)</w:t>
      </w:r>
    </w:p>
    <w:p w:rsidR="00CF4476" w:rsidRPr="00081646" w:rsidRDefault="00D264E5" w:rsidP="00CF4476">
      <w:pPr>
        <w:pStyle w:val="BodyText"/>
        <w:rPr>
          <w:rFonts w:eastAsiaTheme="minorEastAsia"/>
          <w:lang w:val="en-GB"/>
        </w:rPr>
      </w:pPr>
      <m:oMath>
        <m:sSub>
          <m:sSubPr>
            <m:ctrlPr>
              <w:rPr>
                <w:rFonts w:ascii="Cambria Math" w:hAnsi="Cambria Math"/>
                <w:i/>
                <w:lang w:val="en-GB"/>
              </w:rPr>
            </m:ctrlPr>
          </m:sSubPr>
          <m:e>
            <m:r>
              <w:rPr>
                <w:rFonts w:ascii="Cambria Math" w:hAnsi="Cambria Math"/>
                <w:lang w:val="en-GB"/>
              </w:rPr>
              <m:t xml:space="preserve"> Z</m:t>
            </m:r>
          </m:e>
          <m:sub>
            <m:r>
              <w:rPr>
                <w:rFonts w:ascii="Cambria Math" w:hAnsi="Cambria Math"/>
                <w:lang w:val="en-GB"/>
              </w:rPr>
              <m:t>thjk</m:t>
            </m:r>
          </m:sub>
        </m:sSub>
        <m:r>
          <w:rPr>
            <w:rFonts w:ascii="Cambria Math" w:hAnsi="Cambria Math"/>
            <w:lang w:val="en-GB"/>
          </w:rPr>
          <m:t>=</m:t>
        </m:r>
        <m:sSub>
          <m:sSubPr>
            <m:ctrlPr>
              <w:rPr>
                <w:rFonts w:ascii="Cambria Math" w:hAnsi="Cambria Math"/>
                <w:i/>
                <w:lang w:val="en-GB"/>
              </w:rPr>
            </m:ctrlPr>
          </m:sSubPr>
          <m:e>
            <m:r>
              <w:rPr>
                <w:rFonts w:ascii="Cambria Math" w:hAnsi="Cambria Math"/>
                <w:lang w:val="en-GB"/>
              </w:rPr>
              <m:t>α</m:t>
            </m:r>
          </m:e>
          <m:sub>
            <m:r>
              <w:rPr>
                <w:rFonts w:ascii="Cambria Math" w:hAnsi="Cambria Math"/>
                <w:lang w:val="en-GB"/>
              </w:rPr>
              <m:t>0</m:t>
            </m:r>
          </m:sub>
        </m:sSub>
        <m:r>
          <w:rPr>
            <w:rFonts w:ascii="Cambria Math" w:hAnsi="Cambria Math"/>
            <w:lang w:val="en-GB"/>
          </w:rPr>
          <m:t>+</m:t>
        </m:r>
        <m:sSub>
          <m:sSubPr>
            <m:ctrlPr>
              <w:rPr>
                <w:rFonts w:ascii="Cambria Math" w:hAnsi="Cambria Math"/>
                <w:i/>
                <w:lang w:val="en-GB"/>
              </w:rPr>
            </m:ctrlPr>
          </m:sSubPr>
          <m:e>
            <m:r>
              <w:rPr>
                <w:rFonts w:ascii="Cambria Math" w:hAnsi="Cambria Math"/>
                <w:lang w:val="en-GB"/>
              </w:rPr>
              <m:t>α</m:t>
            </m:r>
          </m:e>
          <m:sub>
            <m:r>
              <w:rPr>
                <w:rFonts w:ascii="Cambria Math" w:hAnsi="Cambria Math"/>
                <w:lang w:val="en-GB"/>
              </w:rPr>
              <m:t>1</m:t>
            </m:r>
          </m:sub>
        </m:sSub>
        <m:sSub>
          <m:sSubPr>
            <m:ctrlPr>
              <w:rPr>
                <w:rFonts w:ascii="Cambria Math" w:hAnsi="Cambria Math"/>
                <w:i/>
                <w:lang w:val="en-GB"/>
              </w:rPr>
            </m:ctrlPr>
          </m:sSubPr>
          <m:e>
            <m:r>
              <w:rPr>
                <w:rFonts w:ascii="Cambria Math" w:hAnsi="Cambria Math"/>
                <w:lang w:val="en-GB"/>
              </w:rPr>
              <m:t>time</m:t>
            </m:r>
          </m:e>
          <m:sub>
            <m:r>
              <w:rPr>
                <w:rFonts w:ascii="Cambria Math" w:hAnsi="Cambria Math"/>
                <w:lang w:val="en-GB"/>
              </w:rPr>
              <m:t>t</m:t>
            </m:r>
          </m:sub>
        </m:sSub>
        <m:r>
          <w:rPr>
            <w:rFonts w:ascii="Cambria Math" w:hAnsi="Cambria Math"/>
            <w:lang w:val="en-GB"/>
          </w:rPr>
          <m:t>+</m:t>
        </m:r>
        <m:nary>
          <m:naryPr>
            <m:chr m:val="∑"/>
            <m:limLoc m:val="undOvr"/>
            <m:ctrlPr>
              <w:rPr>
                <w:rFonts w:ascii="Cambria Math" w:hAnsi="Cambria Math"/>
                <w:i/>
                <w:lang w:val="en-GB"/>
              </w:rPr>
            </m:ctrlPr>
          </m:naryPr>
          <m:sub>
            <m:r>
              <w:rPr>
                <w:rFonts w:ascii="Cambria Math" w:hAnsi="Cambria Math"/>
                <w:lang w:val="en-GB"/>
              </w:rPr>
              <m:t>n=1</m:t>
            </m:r>
          </m:sub>
          <m:sup>
            <m:r>
              <w:rPr>
                <w:rFonts w:ascii="Cambria Math" w:hAnsi="Cambria Math"/>
                <w:lang w:val="en-GB"/>
              </w:rPr>
              <m:t>N</m:t>
            </m:r>
          </m:sup>
          <m:e>
            <m:sSub>
              <m:sSubPr>
                <m:ctrlPr>
                  <w:rPr>
                    <w:rFonts w:ascii="Cambria Math" w:hAnsi="Cambria Math"/>
                    <w:i/>
                    <w:lang w:val="en-GB"/>
                  </w:rPr>
                </m:ctrlPr>
              </m:sSubPr>
              <m:e>
                <m:r>
                  <w:rPr>
                    <w:rFonts w:ascii="Cambria Math" w:hAnsi="Cambria Math"/>
                    <w:lang w:val="en-GB"/>
                  </w:rPr>
                  <m:t>α</m:t>
                </m:r>
              </m:e>
              <m:sub>
                <m:r>
                  <w:rPr>
                    <w:rFonts w:ascii="Cambria Math" w:hAnsi="Cambria Math"/>
                    <w:lang w:val="en-GB"/>
                  </w:rPr>
                  <m:t>n+1</m:t>
                </m:r>
              </m:sub>
            </m:sSub>
            <m:sSubSup>
              <m:sSubSupPr>
                <m:ctrlPr>
                  <w:rPr>
                    <w:rFonts w:ascii="Cambria Math" w:hAnsi="Cambria Math"/>
                    <w:i/>
                    <w:lang w:val="en-GB"/>
                  </w:rPr>
                </m:ctrlPr>
              </m:sSubSupPr>
              <m:e>
                <m:r>
                  <w:rPr>
                    <w:rFonts w:ascii="Cambria Math" w:hAnsi="Cambria Math"/>
                    <w:lang w:val="en-GB"/>
                  </w:rPr>
                  <m:t>X</m:t>
                </m:r>
              </m:e>
              <m:sub>
                <m:r>
                  <w:rPr>
                    <w:rFonts w:ascii="Cambria Math" w:hAnsi="Cambria Math"/>
                    <w:lang w:val="en-GB"/>
                  </w:rPr>
                  <m:t>thjk</m:t>
                </m:r>
              </m:sub>
              <m:sup>
                <m:r>
                  <w:rPr>
                    <w:rFonts w:ascii="Cambria Math" w:hAnsi="Cambria Math"/>
                    <w:lang w:val="en-GB"/>
                  </w:rPr>
                  <m:t>n</m:t>
                </m:r>
              </m:sup>
            </m:sSubSup>
          </m:e>
        </m:nary>
        <m:r>
          <w:rPr>
            <w:rFonts w:ascii="Cambria Math" w:hAnsi="Cambria Math"/>
            <w:lang w:val="en-GB"/>
          </w:rPr>
          <m:t>++</m:t>
        </m:r>
        <m:nary>
          <m:naryPr>
            <m:chr m:val="∑"/>
            <m:limLoc m:val="undOvr"/>
            <m:ctrlPr>
              <w:rPr>
                <w:rFonts w:ascii="Cambria Math" w:hAnsi="Cambria Math"/>
                <w:i/>
                <w:lang w:val="en-GB"/>
              </w:rPr>
            </m:ctrlPr>
          </m:naryPr>
          <m:sub>
            <m:r>
              <w:rPr>
                <w:rFonts w:ascii="Cambria Math" w:hAnsi="Cambria Math"/>
                <w:lang w:val="en-GB"/>
              </w:rPr>
              <m:t>m=1</m:t>
            </m:r>
          </m:sub>
          <m:sup>
            <m:r>
              <w:rPr>
                <w:rFonts w:ascii="Cambria Math" w:hAnsi="Cambria Math"/>
                <w:lang w:val="en-GB"/>
              </w:rPr>
              <m:t>M</m:t>
            </m:r>
          </m:sup>
          <m:e>
            <m:sSub>
              <m:sSubPr>
                <m:ctrlPr>
                  <w:rPr>
                    <w:rFonts w:ascii="Cambria Math" w:hAnsi="Cambria Math"/>
                    <w:i/>
                    <w:lang w:val="en-GB"/>
                  </w:rPr>
                </m:ctrlPr>
              </m:sSubPr>
              <m:e>
                <m:r>
                  <w:rPr>
                    <w:rFonts w:ascii="Cambria Math" w:hAnsi="Cambria Math"/>
                    <w:lang w:val="en-GB"/>
                  </w:rPr>
                  <m:t>α</m:t>
                </m:r>
              </m:e>
              <m:sub>
                <m:r>
                  <w:rPr>
                    <w:rFonts w:ascii="Cambria Math" w:hAnsi="Cambria Math"/>
                    <w:lang w:val="en-GB"/>
                  </w:rPr>
                  <m:t>N+1+m</m:t>
                </m:r>
              </m:sub>
            </m:sSub>
          </m:e>
        </m:nary>
        <m:sSubSup>
          <m:sSubSupPr>
            <m:ctrlPr>
              <w:rPr>
                <w:rFonts w:ascii="Cambria Math" w:hAnsi="Cambria Math"/>
                <w:i/>
                <w:lang w:val="en-GB"/>
              </w:rPr>
            </m:ctrlPr>
          </m:sSubSupPr>
          <m:e>
            <m:r>
              <w:rPr>
                <w:rFonts w:ascii="Cambria Math" w:hAnsi="Cambria Math"/>
                <w:lang w:val="en-GB"/>
              </w:rPr>
              <m:t>W</m:t>
            </m:r>
          </m:e>
          <m:sub>
            <m:r>
              <w:rPr>
                <w:rFonts w:ascii="Cambria Math" w:hAnsi="Cambria Math"/>
                <w:lang w:val="en-GB"/>
              </w:rPr>
              <m:t>tjk</m:t>
            </m:r>
          </m:sub>
          <m:sup>
            <m:r>
              <w:rPr>
                <w:rFonts w:ascii="Cambria Math" w:hAnsi="Cambria Math"/>
                <w:lang w:val="en-GB"/>
              </w:rPr>
              <m:t>m</m:t>
            </m:r>
          </m:sup>
        </m:sSubSup>
        <m:r>
          <w:rPr>
            <w:rFonts w:ascii="Cambria Math" w:hAnsi="Cambria Math"/>
            <w:lang w:val="en-GB"/>
          </w:rPr>
          <m:t xml:space="preserve">+ </m:t>
        </m:r>
        <m:nary>
          <m:naryPr>
            <m:chr m:val="∑"/>
            <m:limLoc m:val="undOvr"/>
            <m:ctrlPr>
              <w:rPr>
                <w:rFonts w:ascii="Cambria Math" w:hAnsi="Cambria Math"/>
                <w:i/>
                <w:lang w:val="en-GB"/>
              </w:rPr>
            </m:ctrlPr>
          </m:naryPr>
          <m:sub>
            <m:r>
              <w:rPr>
                <w:rFonts w:ascii="Cambria Math" w:hAnsi="Cambria Math"/>
                <w:lang w:val="en-GB"/>
              </w:rPr>
              <m:t>r=1</m:t>
            </m:r>
          </m:sub>
          <m:sup>
            <m:r>
              <w:rPr>
                <w:rFonts w:ascii="Cambria Math" w:hAnsi="Cambria Math"/>
                <w:lang w:val="en-GB"/>
              </w:rPr>
              <m:t>R-1</m:t>
            </m:r>
          </m:sup>
          <m:e>
            <m:sSub>
              <m:sSubPr>
                <m:ctrlPr>
                  <w:rPr>
                    <w:rFonts w:ascii="Cambria Math" w:hAnsi="Cambria Math"/>
                    <w:i/>
                    <w:lang w:val="en-GB"/>
                  </w:rPr>
                </m:ctrlPr>
              </m:sSubPr>
              <m:e>
                <m:r>
                  <w:rPr>
                    <w:rFonts w:ascii="Cambria Math" w:hAnsi="Cambria Math"/>
                    <w:lang w:val="en-GB"/>
                  </w:rPr>
                  <m:t>α</m:t>
                </m:r>
              </m:e>
              <m:sub>
                <m:r>
                  <w:rPr>
                    <w:rFonts w:ascii="Cambria Math" w:hAnsi="Cambria Math"/>
                    <w:lang w:val="en-GB"/>
                  </w:rPr>
                  <m:t>N+M+1+r</m:t>
                </m:r>
              </m:sub>
            </m:sSub>
            <m:sSubSup>
              <m:sSubSupPr>
                <m:ctrlPr>
                  <w:rPr>
                    <w:rFonts w:ascii="Cambria Math" w:hAnsi="Cambria Math"/>
                    <w:i/>
                    <w:lang w:val="en-GB"/>
                  </w:rPr>
                </m:ctrlPr>
              </m:sSubSupPr>
              <m:e>
                <m:r>
                  <w:rPr>
                    <w:rFonts w:ascii="Cambria Math" w:hAnsi="Cambria Math"/>
                    <w:lang w:val="en-GB"/>
                  </w:rPr>
                  <m:t>C</m:t>
                </m:r>
              </m:e>
              <m:sub>
                <m:r>
                  <w:rPr>
                    <w:rFonts w:ascii="Cambria Math" w:hAnsi="Cambria Math"/>
                    <w:lang w:val="en-GB"/>
                  </w:rPr>
                  <m:t>k</m:t>
                </m:r>
              </m:sub>
              <m:sup>
                <m:r>
                  <w:rPr>
                    <w:rFonts w:ascii="Cambria Math" w:hAnsi="Cambria Math"/>
                    <w:lang w:val="en-GB"/>
                  </w:rPr>
                  <m:t>r</m:t>
                </m:r>
              </m:sup>
            </m:sSubSup>
          </m:e>
        </m:nary>
        <m:r>
          <w:rPr>
            <w:rFonts w:ascii="Cambria Math" w:hAnsi="Cambria Math"/>
            <w:lang w:val="en-GB"/>
          </w:rPr>
          <m:t xml:space="preserve">+                      </m:t>
        </m:r>
        <m:sSub>
          <m:sSubPr>
            <m:ctrlPr>
              <w:rPr>
                <w:rFonts w:ascii="Cambria Math" w:hAnsi="Cambria Math"/>
                <w:i/>
                <w:lang w:val="en-GB"/>
              </w:rPr>
            </m:ctrlPr>
          </m:sSubPr>
          <m:e>
            <m:r>
              <w:rPr>
                <w:rFonts w:ascii="Cambria Math" w:hAnsi="Cambria Math"/>
                <w:lang w:val="en-GB"/>
              </w:rPr>
              <m:t>λ</m:t>
            </m:r>
          </m:e>
          <m:sub>
            <m:r>
              <w:rPr>
                <w:rFonts w:ascii="Cambria Math" w:hAnsi="Cambria Math"/>
                <w:lang w:val="en-GB"/>
              </w:rPr>
              <m:t>jk</m:t>
            </m:r>
          </m:sub>
        </m:sSub>
        <m:r>
          <w:rPr>
            <w:rFonts w:ascii="Cambria Math" w:hAnsi="Cambria Math"/>
            <w:lang w:val="en-GB"/>
          </w:rPr>
          <m:t>+</m:t>
        </m:r>
        <m:sSub>
          <m:sSubPr>
            <m:ctrlPr>
              <w:rPr>
                <w:rFonts w:ascii="Cambria Math" w:hAnsi="Cambria Math"/>
                <w:i/>
                <w:lang w:val="en-GB"/>
              </w:rPr>
            </m:ctrlPr>
          </m:sSubPr>
          <m:e>
            <m:r>
              <w:rPr>
                <w:rFonts w:ascii="Cambria Math" w:hAnsi="Cambria Math"/>
                <w:lang w:val="en-GB"/>
              </w:rPr>
              <m:t>ν</m:t>
            </m:r>
          </m:e>
          <m:sub>
            <m:r>
              <w:rPr>
                <w:rFonts w:ascii="Cambria Math" w:hAnsi="Cambria Math"/>
                <w:lang w:val="en-GB"/>
              </w:rPr>
              <m:t>hjk</m:t>
            </m:r>
          </m:sub>
        </m:sSub>
        <m:r>
          <w:rPr>
            <w:rFonts w:ascii="Cambria Math" w:hAnsi="Cambria Math"/>
            <w:lang w:val="en-GB"/>
          </w:rPr>
          <m:t>+</m:t>
        </m:r>
        <m:sSub>
          <m:sSubPr>
            <m:ctrlPr>
              <w:rPr>
                <w:rFonts w:ascii="Cambria Math" w:hAnsi="Cambria Math"/>
                <w:i/>
                <w:lang w:val="en-GB"/>
              </w:rPr>
            </m:ctrlPr>
          </m:sSubPr>
          <m:e>
            <m:r>
              <w:rPr>
                <w:rFonts w:ascii="Cambria Math" w:hAnsi="Cambria Math"/>
                <w:lang w:val="en-GB"/>
              </w:rPr>
              <m:t>ξ</m:t>
            </m:r>
          </m:e>
          <m:sub>
            <m:r>
              <w:rPr>
                <w:rFonts w:ascii="Cambria Math" w:hAnsi="Cambria Math"/>
                <w:lang w:val="en-GB"/>
              </w:rPr>
              <m:t>thjk</m:t>
            </m:r>
          </m:sub>
        </m:sSub>
      </m:oMath>
      <w:r w:rsidR="00CF4476">
        <w:rPr>
          <w:rFonts w:eastAsiaTheme="minorEastAsia"/>
          <w:lang w:val="en-GB"/>
        </w:rPr>
        <w:t xml:space="preserve"> </w:t>
      </w:r>
    </w:p>
    <w:p w:rsidR="00CF4476" w:rsidRPr="00081646" w:rsidRDefault="00CF4476" w:rsidP="00CF4476">
      <w:pPr>
        <w:pStyle w:val="BodyText"/>
        <w:rPr>
          <w:rFonts w:eastAsiaTheme="minorEastAsia"/>
          <w:lang w:val="en-GB"/>
        </w:rPr>
      </w:pPr>
      <w:r w:rsidRPr="00081646">
        <w:rPr>
          <w:rFonts w:eastAsiaTheme="minorEastAsia"/>
          <w:lang w:val="en-GB"/>
        </w:rPr>
        <w:t xml:space="preserve">Once the time trends for the treated and untreated outcomes are obtained via models </w:t>
      </w:r>
      <w:r>
        <w:rPr>
          <w:rFonts w:eastAsiaTheme="minorEastAsia"/>
          <w:lang w:val="en-GB"/>
        </w:rPr>
        <w:t>4</w:t>
      </w:r>
      <w:r w:rsidRPr="00081646">
        <w:rPr>
          <w:rFonts w:eastAsiaTheme="minorEastAsia"/>
          <w:lang w:val="en-GB"/>
        </w:rPr>
        <w:t xml:space="preserve">a and </w:t>
      </w:r>
      <w:r>
        <w:rPr>
          <w:rFonts w:eastAsiaTheme="minorEastAsia"/>
          <w:lang w:val="en-GB"/>
        </w:rPr>
        <w:t>4</w:t>
      </w:r>
      <w:r w:rsidRPr="00081646">
        <w:rPr>
          <w:rFonts w:eastAsiaTheme="minorEastAsia"/>
          <w:lang w:val="en-GB"/>
        </w:rPr>
        <w:t>b, the modified version of the treated outcome measure is created as follows:</w:t>
      </w:r>
    </w:p>
    <w:p w:rsidR="00CF4476" w:rsidRPr="00081646" w:rsidRDefault="00D264E5" w:rsidP="00EC48D2">
      <w:pPr>
        <w:pStyle w:val="BodyText"/>
        <w:numPr>
          <w:ilvl w:val="0"/>
          <w:numId w:val="11"/>
        </w:numPr>
        <w:spacing w:before="240" w:after="120" w:line="276" w:lineRule="auto"/>
        <w:rPr>
          <w:rFonts w:eastAsiaTheme="minorEastAsia"/>
          <w:lang w:val="en-GB"/>
        </w:rPr>
      </w:pPr>
      <m:oMath>
        <m:sSubSup>
          <m:sSubSupPr>
            <m:ctrlPr>
              <w:rPr>
                <w:rFonts w:ascii="Cambria Math" w:eastAsiaTheme="minorEastAsia" w:hAnsi="Cambria Math"/>
                <w:i/>
                <w:lang w:val="en-GB"/>
              </w:rPr>
            </m:ctrlPr>
          </m:sSubSupPr>
          <m:e>
            <m:r>
              <w:rPr>
                <w:rFonts w:ascii="Cambria Math" w:eastAsiaTheme="minorEastAsia" w:hAnsi="Cambria Math"/>
                <w:lang w:val="en-GB"/>
              </w:rPr>
              <m:t>Y</m:t>
            </m:r>
          </m:e>
          <m:sub>
            <m:r>
              <w:rPr>
                <w:rFonts w:ascii="Cambria Math" w:eastAsiaTheme="minorEastAsia" w:hAnsi="Cambria Math"/>
                <w:lang w:val="en-GB"/>
              </w:rPr>
              <m:t>thjk</m:t>
            </m:r>
          </m:sub>
          <m:sup>
            <m:r>
              <w:rPr>
                <w:rFonts w:ascii="Cambria Math" w:eastAsiaTheme="minorEastAsia" w:hAnsi="Cambria Math"/>
                <w:lang w:val="en-GB"/>
              </w:rPr>
              <m:t>adj</m:t>
            </m:r>
          </m:sup>
        </m:sSubSup>
        <m:r>
          <w:rPr>
            <w:rFonts w:ascii="Cambria Math" w:eastAsiaTheme="minorEastAsia" w:hAnsi="Cambria Math"/>
            <w:lang w:val="en-GB"/>
          </w:rPr>
          <m:t>=</m:t>
        </m:r>
        <m:sSub>
          <m:sSubPr>
            <m:ctrlPr>
              <w:rPr>
                <w:rFonts w:ascii="Cambria Math" w:hAnsi="Cambria Math"/>
                <w:i/>
                <w:lang w:val="en-GB"/>
              </w:rPr>
            </m:ctrlPr>
          </m:sSubPr>
          <m:e>
            <m:r>
              <w:rPr>
                <w:rFonts w:ascii="Cambria Math" w:hAnsi="Cambria Math"/>
                <w:lang w:val="en-GB"/>
              </w:rPr>
              <m:t>Y</m:t>
            </m:r>
          </m:e>
          <m:sub>
            <m:r>
              <w:rPr>
                <w:rFonts w:ascii="Cambria Math" w:hAnsi="Cambria Math"/>
                <w:lang w:val="en-GB"/>
              </w:rPr>
              <m:t>thjk</m:t>
            </m:r>
          </m:sub>
        </m:sSub>
        <m:r>
          <w:rPr>
            <w:rFonts w:ascii="Cambria Math" w:hAnsi="Cambria Math"/>
            <w:lang w:val="en-GB"/>
          </w:rPr>
          <m:t>-</m:t>
        </m:r>
        <m:f>
          <m:fPr>
            <m:ctrlPr>
              <w:rPr>
                <w:rFonts w:ascii="Cambria Math" w:hAnsi="Cambria Math"/>
                <w:i/>
                <w:lang w:val="en-GB"/>
              </w:rPr>
            </m:ctrlPr>
          </m:fPr>
          <m:num>
            <m:sSub>
              <m:sSubPr>
                <m:ctrlPr>
                  <w:rPr>
                    <w:rFonts w:ascii="Cambria Math" w:hAnsi="Cambria Math"/>
                    <w:i/>
                    <w:lang w:val="en-GB"/>
                  </w:rPr>
                </m:ctrlPr>
              </m:sSubPr>
              <m:e>
                <m:r>
                  <w:rPr>
                    <w:rFonts w:ascii="Cambria Math" w:hAnsi="Cambria Math"/>
                    <w:lang w:val="en-GB"/>
                  </w:rPr>
                  <m:t>β</m:t>
                </m:r>
              </m:e>
              <m:sub>
                <m:r>
                  <w:rPr>
                    <w:rFonts w:ascii="Cambria Math" w:hAnsi="Cambria Math"/>
                    <w:lang w:val="en-GB"/>
                  </w:rPr>
                  <m:t>1</m:t>
                </m:r>
              </m:sub>
            </m:sSub>
          </m:num>
          <m:den>
            <m:sSub>
              <m:sSubPr>
                <m:ctrlPr>
                  <w:rPr>
                    <w:rFonts w:ascii="Cambria Math" w:hAnsi="Cambria Math"/>
                    <w:i/>
                    <w:lang w:val="en-GB"/>
                  </w:rPr>
                </m:ctrlPr>
              </m:sSubPr>
              <m:e>
                <m:r>
                  <w:rPr>
                    <w:rFonts w:ascii="Cambria Math" w:hAnsi="Cambria Math"/>
                    <w:lang w:val="en-GB"/>
                  </w:rPr>
                  <m:t>α</m:t>
                </m:r>
              </m:e>
              <m:sub>
                <m:r>
                  <w:rPr>
                    <w:rFonts w:ascii="Cambria Math" w:hAnsi="Cambria Math"/>
                    <w:lang w:val="en-GB"/>
                  </w:rPr>
                  <m:t>1</m:t>
                </m:r>
              </m:sub>
            </m:sSub>
          </m:den>
        </m:f>
        <m:sSub>
          <m:sSubPr>
            <m:ctrlPr>
              <w:rPr>
                <w:rFonts w:ascii="Cambria Math" w:hAnsi="Cambria Math"/>
                <w:i/>
                <w:lang w:val="en-GB"/>
              </w:rPr>
            </m:ctrlPr>
          </m:sSubPr>
          <m:e>
            <m:r>
              <w:rPr>
                <w:rFonts w:ascii="Cambria Math" w:hAnsi="Cambria Math"/>
                <w:lang w:val="en-GB"/>
              </w:rPr>
              <m:t xml:space="preserve"> Z</m:t>
            </m:r>
          </m:e>
          <m:sub>
            <m:r>
              <w:rPr>
                <w:rFonts w:ascii="Cambria Math" w:hAnsi="Cambria Math"/>
                <w:lang w:val="en-GB"/>
              </w:rPr>
              <m:t>thjk</m:t>
            </m:r>
          </m:sub>
        </m:sSub>
      </m:oMath>
      <w:r w:rsidR="00CF4476" w:rsidRPr="00081646">
        <w:rPr>
          <w:rFonts w:eastAsiaTheme="minorEastAsia"/>
          <w:lang w:val="en-GB"/>
        </w:rPr>
        <w:t xml:space="preserve">   </w:t>
      </w:r>
    </w:p>
    <w:p w:rsidR="00CF4476" w:rsidRPr="00081646" w:rsidRDefault="00CF4476" w:rsidP="00CF4476">
      <w:pPr>
        <w:pStyle w:val="BodyText"/>
        <w:rPr>
          <w:lang w:val="en-GB"/>
        </w:rPr>
      </w:pPr>
      <w:r w:rsidRPr="00081646">
        <w:rPr>
          <w:lang w:val="en-GB"/>
        </w:rPr>
        <w:t xml:space="preserve">This essentially creates a de-trended version of the treated outcome measure that is free of confounding factors that influence both the treated and untreated outcome measures. The adjusted outcome measure is then used in the following impact model: </w:t>
      </w:r>
    </w:p>
    <w:p w:rsidR="00CF4476" w:rsidRPr="00081646" w:rsidRDefault="00CF4476" w:rsidP="00CF4476">
      <w:pPr>
        <w:pStyle w:val="BodyText"/>
        <w:ind w:firstLine="720"/>
        <w:rPr>
          <w:rFonts w:eastAsiaTheme="minorEastAsia"/>
          <w:lang w:val="en-GB"/>
        </w:rPr>
      </w:pPr>
      <w:r w:rsidRPr="00081646">
        <w:rPr>
          <w:rFonts w:eastAsiaTheme="minorEastAsia"/>
          <w:lang w:val="en-GB"/>
        </w:rPr>
        <w:t>(</w:t>
      </w:r>
      <w:r>
        <w:rPr>
          <w:rFonts w:eastAsiaTheme="minorEastAsia"/>
          <w:lang w:val="en-GB"/>
        </w:rPr>
        <w:t>6</w:t>
      </w:r>
      <w:r w:rsidRPr="00081646">
        <w:rPr>
          <w:rFonts w:eastAsiaTheme="minorEastAsia"/>
          <w:lang w:val="en-GB"/>
        </w:rPr>
        <w:t xml:space="preserve">) </w:t>
      </w:r>
      <m:oMath>
        <m:sSubSup>
          <m:sSubSupPr>
            <m:ctrlPr>
              <w:rPr>
                <w:rFonts w:ascii="Cambria Math" w:eastAsiaTheme="minorEastAsia" w:hAnsi="Cambria Math"/>
                <w:i/>
                <w:lang w:val="en-GB"/>
              </w:rPr>
            </m:ctrlPr>
          </m:sSubSupPr>
          <m:e>
            <m:r>
              <w:rPr>
                <w:rFonts w:ascii="Cambria Math" w:eastAsiaTheme="minorEastAsia" w:hAnsi="Cambria Math"/>
                <w:lang w:val="en-GB"/>
              </w:rPr>
              <m:t>Y</m:t>
            </m:r>
          </m:e>
          <m:sub>
            <m:r>
              <w:rPr>
                <w:rFonts w:ascii="Cambria Math" w:eastAsiaTheme="minorEastAsia" w:hAnsi="Cambria Math"/>
                <w:lang w:val="en-GB"/>
              </w:rPr>
              <m:t>thjk</m:t>
            </m:r>
          </m:sub>
          <m:sup>
            <m:r>
              <w:rPr>
                <w:rFonts w:ascii="Cambria Math" w:eastAsiaTheme="minorEastAsia" w:hAnsi="Cambria Math"/>
                <w:lang w:val="en-GB"/>
              </w:rPr>
              <m:t>adj</m:t>
            </m:r>
          </m:sup>
        </m:sSubSup>
        <m:r>
          <w:rPr>
            <w:rFonts w:ascii="Cambria Math" w:hAnsi="Cambria Math"/>
            <w:lang w:val="en-GB"/>
          </w:rPr>
          <m:t>=</m:t>
        </m:r>
        <m:sSub>
          <m:sSubPr>
            <m:ctrlPr>
              <w:rPr>
                <w:rFonts w:ascii="Cambria Math" w:hAnsi="Cambria Math"/>
                <w:i/>
                <w:lang w:val="en-GB"/>
              </w:rPr>
            </m:ctrlPr>
          </m:sSubPr>
          <m:e>
            <m:r>
              <w:rPr>
                <w:rFonts w:ascii="Cambria Math" w:hAnsi="Cambria Math"/>
                <w:lang w:val="en-GB"/>
              </w:rPr>
              <m:t>π</m:t>
            </m:r>
          </m:e>
          <m:sub>
            <m:r>
              <w:rPr>
                <w:rFonts w:ascii="Cambria Math" w:hAnsi="Cambria Math"/>
                <w:lang w:val="en-GB"/>
              </w:rPr>
              <m:t>0</m:t>
            </m:r>
          </m:sub>
        </m:sSub>
        <m:r>
          <w:rPr>
            <w:rFonts w:ascii="Cambria Math" w:hAnsi="Cambria Math"/>
            <w:lang w:val="en-GB"/>
          </w:rPr>
          <m:t>+</m:t>
        </m:r>
        <m:sSub>
          <m:sSubPr>
            <m:ctrlPr>
              <w:rPr>
                <w:rFonts w:ascii="Cambria Math" w:hAnsi="Cambria Math"/>
                <w:i/>
                <w:lang w:val="en-GB"/>
              </w:rPr>
            </m:ctrlPr>
          </m:sSubPr>
          <m:e>
            <m:r>
              <m:rPr>
                <m:sty m:val="p"/>
              </m:rPr>
              <w:rPr>
                <w:rFonts w:ascii="Cambria Math" w:hAnsi="Cambria Math"/>
                <w:lang w:val="en-GB"/>
              </w:rPr>
              <m:t>π</m:t>
            </m:r>
          </m:e>
          <m:sub>
            <m:r>
              <w:rPr>
                <w:rFonts w:ascii="Cambria Math" w:hAnsi="Cambria Math"/>
                <w:lang w:val="en-GB"/>
              </w:rPr>
              <m:t>1</m:t>
            </m:r>
          </m:sub>
        </m:sSub>
        <m:sSub>
          <m:sSubPr>
            <m:ctrlPr>
              <w:rPr>
                <w:rFonts w:ascii="Cambria Math" w:hAnsi="Cambria Math"/>
                <w:i/>
                <w:lang w:val="en-GB"/>
              </w:rPr>
            </m:ctrlPr>
          </m:sSubPr>
          <m:e>
            <m:r>
              <w:rPr>
                <w:rFonts w:ascii="Cambria Math" w:hAnsi="Cambria Math"/>
                <w:lang w:val="en-GB"/>
              </w:rPr>
              <m:t>Post</m:t>
            </m:r>
          </m:e>
          <m:sub>
            <m:r>
              <w:rPr>
                <w:rFonts w:ascii="Cambria Math" w:hAnsi="Cambria Math"/>
                <w:lang w:val="en-GB"/>
              </w:rPr>
              <m:t>t</m:t>
            </m:r>
          </m:sub>
        </m:sSub>
        <m:r>
          <w:rPr>
            <w:rFonts w:ascii="Cambria Math" w:hAnsi="Cambria Math"/>
            <w:lang w:val="en-GB"/>
          </w:rPr>
          <m:t>+</m:t>
        </m:r>
        <m:nary>
          <m:naryPr>
            <m:chr m:val="∑"/>
            <m:limLoc m:val="undOvr"/>
            <m:ctrlPr>
              <w:rPr>
                <w:rFonts w:ascii="Cambria Math" w:hAnsi="Cambria Math"/>
                <w:i/>
                <w:lang w:val="en-GB"/>
              </w:rPr>
            </m:ctrlPr>
          </m:naryPr>
          <m:sub>
            <m:r>
              <w:rPr>
                <w:rFonts w:ascii="Cambria Math" w:hAnsi="Cambria Math"/>
                <w:lang w:val="en-GB"/>
              </w:rPr>
              <m:t>n=1</m:t>
            </m:r>
          </m:sub>
          <m:sup>
            <m:r>
              <w:rPr>
                <w:rFonts w:ascii="Cambria Math" w:hAnsi="Cambria Math"/>
                <w:lang w:val="en-GB"/>
              </w:rPr>
              <m:t>N</m:t>
            </m:r>
          </m:sup>
          <m:e>
            <m:sSub>
              <m:sSubPr>
                <m:ctrlPr>
                  <w:rPr>
                    <w:rFonts w:ascii="Cambria Math" w:hAnsi="Cambria Math"/>
                    <w:i/>
                    <w:lang w:val="en-GB"/>
                  </w:rPr>
                </m:ctrlPr>
              </m:sSubPr>
              <m:e>
                <m:r>
                  <w:rPr>
                    <w:rFonts w:ascii="Cambria Math" w:hAnsi="Cambria Math"/>
                    <w:lang w:val="en-GB"/>
                  </w:rPr>
                  <m:t>π</m:t>
                </m:r>
              </m:e>
              <m:sub>
                <m:r>
                  <w:rPr>
                    <w:rFonts w:ascii="Cambria Math" w:hAnsi="Cambria Math"/>
                    <w:lang w:val="en-GB"/>
                  </w:rPr>
                  <m:t>n+1</m:t>
                </m:r>
              </m:sub>
            </m:sSub>
            <m:sSubSup>
              <m:sSubSupPr>
                <m:ctrlPr>
                  <w:rPr>
                    <w:rFonts w:ascii="Cambria Math" w:hAnsi="Cambria Math"/>
                    <w:i/>
                    <w:lang w:val="en-GB"/>
                  </w:rPr>
                </m:ctrlPr>
              </m:sSubSupPr>
              <m:e>
                <m:r>
                  <w:rPr>
                    <w:rFonts w:ascii="Cambria Math" w:hAnsi="Cambria Math"/>
                    <w:lang w:val="en-GB"/>
                  </w:rPr>
                  <m:t>X</m:t>
                </m:r>
              </m:e>
              <m:sub>
                <m:r>
                  <w:rPr>
                    <w:rFonts w:ascii="Cambria Math" w:hAnsi="Cambria Math"/>
                    <w:lang w:val="en-GB"/>
                  </w:rPr>
                  <m:t>thjk</m:t>
                </m:r>
              </m:sub>
              <m:sup>
                <m:r>
                  <w:rPr>
                    <w:rFonts w:ascii="Cambria Math" w:hAnsi="Cambria Math"/>
                    <w:lang w:val="en-GB"/>
                  </w:rPr>
                  <m:t>n</m:t>
                </m:r>
              </m:sup>
            </m:sSubSup>
          </m:e>
        </m:nary>
        <m:r>
          <w:rPr>
            <w:rFonts w:ascii="Cambria Math" w:hAnsi="Cambria Math"/>
            <w:lang w:val="en-GB"/>
          </w:rPr>
          <m:t>++</m:t>
        </m:r>
        <m:nary>
          <m:naryPr>
            <m:chr m:val="∑"/>
            <m:limLoc m:val="undOvr"/>
            <m:ctrlPr>
              <w:rPr>
                <w:rFonts w:ascii="Cambria Math" w:hAnsi="Cambria Math"/>
                <w:i/>
                <w:lang w:val="en-GB"/>
              </w:rPr>
            </m:ctrlPr>
          </m:naryPr>
          <m:sub>
            <m:r>
              <w:rPr>
                <w:rFonts w:ascii="Cambria Math" w:hAnsi="Cambria Math"/>
                <w:lang w:val="en-GB"/>
              </w:rPr>
              <m:t>m=1</m:t>
            </m:r>
          </m:sub>
          <m:sup>
            <m:r>
              <w:rPr>
                <w:rFonts w:ascii="Cambria Math" w:hAnsi="Cambria Math"/>
                <w:lang w:val="en-GB"/>
              </w:rPr>
              <m:t>M</m:t>
            </m:r>
          </m:sup>
          <m:e>
            <m:sSub>
              <m:sSubPr>
                <m:ctrlPr>
                  <w:rPr>
                    <w:rFonts w:ascii="Cambria Math" w:hAnsi="Cambria Math"/>
                    <w:i/>
                    <w:lang w:val="en-GB"/>
                  </w:rPr>
                </m:ctrlPr>
              </m:sSubPr>
              <m:e>
                <m:r>
                  <w:rPr>
                    <w:rFonts w:ascii="Cambria Math" w:hAnsi="Cambria Math"/>
                    <w:lang w:val="en-GB"/>
                  </w:rPr>
                  <m:t>π</m:t>
                </m:r>
              </m:e>
              <m:sub>
                <m:r>
                  <w:rPr>
                    <w:rFonts w:ascii="Cambria Math" w:hAnsi="Cambria Math"/>
                    <w:lang w:val="en-GB"/>
                  </w:rPr>
                  <m:t>N+m+1</m:t>
                </m:r>
              </m:sub>
            </m:sSub>
          </m:e>
        </m:nary>
        <m:sSubSup>
          <m:sSubSupPr>
            <m:ctrlPr>
              <w:rPr>
                <w:rFonts w:ascii="Cambria Math" w:hAnsi="Cambria Math"/>
                <w:i/>
                <w:lang w:val="en-GB"/>
              </w:rPr>
            </m:ctrlPr>
          </m:sSubSupPr>
          <m:e>
            <m:r>
              <w:rPr>
                <w:rFonts w:ascii="Cambria Math" w:hAnsi="Cambria Math"/>
                <w:lang w:val="en-GB"/>
              </w:rPr>
              <m:t>W</m:t>
            </m:r>
          </m:e>
          <m:sub>
            <m:r>
              <w:rPr>
                <w:rFonts w:ascii="Cambria Math" w:hAnsi="Cambria Math"/>
                <w:lang w:val="en-GB"/>
              </w:rPr>
              <m:t>tjk</m:t>
            </m:r>
          </m:sub>
          <m:sup>
            <m:r>
              <w:rPr>
                <w:rFonts w:ascii="Cambria Math" w:hAnsi="Cambria Math"/>
                <w:lang w:val="en-GB"/>
              </w:rPr>
              <m:t>m</m:t>
            </m:r>
          </m:sup>
        </m:sSubSup>
        <m:r>
          <w:rPr>
            <w:rFonts w:ascii="Cambria Math" w:hAnsi="Cambria Math"/>
            <w:lang w:val="en-GB"/>
          </w:rPr>
          <m:t>+</m:t>
        </m:r>
        <m:nary>
          <m:naryPr>
            <m:chr m:val="∑"/>
            <m:limLoc m:val="undOvr"/>
            <m:ctrlPr>
              <w:rPr>
                <w:rFonts w:ascii="Cambria Math" w:hAnsi="Cambria Math"/>
                <w:i/>
                <w:lang w:val="en-GB"/>
              </w:rPr>
            </m:ctrlPr>
          </m:naryPr>
          <m:sub>
            <m:r>
              <w:rPr>
                <w:rFonts w:ascii="Cambria Math" w:hAnsi="Cambria Math"/>
                <w:lang w:val="en-GB"/>
              </w:rPr>
              <m:t>r=1</m:t>
            </m:r>
          </m:sub>
          <m:sup>
            <m:r>
              <w:rPr>
                <w:rFonts w:ascii="Cambria Math" w:hAnsi="Cambria Math"/>
                <w:lang w:val="en-GB"/>
              </w:rPr>
              <m:t>R-1</m:t>
            </m:r>
          </m:sup>
          <m:e>
            <m:sSub>
              <m:sSubPr>
                <m:ctrlPr>
                  <w:rPr>
                    <w:rFonts w:ascii="Cambria Math" w:hAnsi="Cambria Math"/>
                    <w:i/>
                    <w:lang w:val="en-GB"/>
                  </w:rPr>
                </m:ctrlPr>
              </m:sSubPr>
              <m:e>
                <m:r>
                  <w:rPr>
                    <w:rFonts w:ascii="Cambria Math" w:hAnsi="Cambria Math"/>
                    <w:lang w:val="en-GB"/>
                  </w:rPr>
                  <m:t>π</m:t>
                </m:r>
              </m:e>
              <m:sub>
                <m:r>
                  <w:rPr>
                    <w:rFonts w:ascii="Cambria Math" w:hAnsi="Cambria Math"/>
                    <w:lang w:val="en-GB"/>
                  </w:rPr>
                  <m:t>N+M+r+1</m:t>
                </m:r>
              </m:sub>
            </m:sSub>
            <m:sSubSup>
              <m:sSubSupPr>
                <m:ctrlPr>
                  <w:rPr>
                    <w:rFonts w:ascii="Cambria Math" w:hAnsi="Cambria Math"/>
                    <w:i/>
                    <w:lang w:val="en-GB"/>
                  </w:rPr>
                </m:ctrlPr>
              </m:sSubSupPr>
              <m:e>
                <m:r>
                  <w:rPr>
                    <w:rFonts w:ascii="Cambria Math" w:hAnsi="Cambria Math"/>
                    <w:lang w:val="en-GB"/>
                  </w:rPr>
                  <m:t>C</m:t>
                </m:r>
              </m:e>
              <m:sub>
                <m:r>
                  <w:rPr>
                    <w:rFonts w:ascii="Cambria Math" w:hAnsi="Cambria Math"/>
                    <w:lang w:val="en-GB"/>
                  </w:rPr>
                  <m:t>k</m:t>
                </m:r>
              </m:sub>
              <m:sup>
                <m:r>
                  <w:rPr>
                    <w:rFonts w:ascii="Cambria Math" w:hAnsi="Cambria Math"/>
                    <w:lang w:val="en-GB"/>
                  </w:rPr>
                  <m:t>r</m:t>
                </m:r>
              </m:sup>
            </m:sSubSup>
          </m:e>
        </m:nary>
        <m:r>
          <w:rPr>
            <w:rFonts w:ascii="Cambria Math" w:hAnsi="Cambria Math"/>
            <w:lang w:val="en-GB"/>
          </w:rPr>
          <m:t xml:space="preserve">+                       </m:t>
        </m:r>
        <m:sSub>
          <m:sSubPr>
            <m:ctrlPr>
              <w:rPr>
                <w:rFonts w:ascii="Cambria Math" w:hAnsi="Cambria Math"/>
                <w:i/>
                <w:lang w:val="en-GB"/>
              </w:rPr>
            </m:ctrlPr>
          </m:sSubPr>
          <m:e>
            <m:r>
              <w:rPr>
                <w:rFonts w:ascii="Cambria Math" w:hAnsi="Cambria Math"/>
                <w:lang w:val="en-GB"/>
              </w:rPr>
              <m:t>μ</m:t>
            </m:r>
          </m:e>
          <m:sub>
            <m:r>
              <w:rPr>
                <w:rFonts w:ascii="Cambria Math" w:hAnsi="Cambria Math"/>
                <w:lang w:val="en-GB"/>
              </w:rPr>
              <m:t>jk</m:t>
            </m:r>
          </m:sub>
        </m:sSub>
        <m:r>
          <w:rPr>
            <w:rFonts w:ascii="Cambria Math" w:hAnsi="Cambria Math"/>
            <w:lang w:val="en-GB"/>
          </w:rPr>
          <m:t>+</m:t>
        </m:r>
        <m:sSub>
          <m:sSubPr>
            <m:ctrlPr>
              <w:rPr>
                <w:rFonts w:ascii="Cambria Math" w:hAnsi="Cambria Math"/>
                <w:i/>
                <w:lang w:val="en-GB"/>
              </w:rPr>
            </m:ctrlPr>
          </m:sSubPr>
          <m:e>
            <m:r>
              <w:rPr>
                <w:rFonts w:ascii="Cambria Math" w:hAnsi="Cambria Math"/>
                <w:lang w:val="en-GB"/>
              </w:rPr>
              <m:t>δ</m:t>
            </m:r>
          </m:e>
          <m:sub>
            <m:r>
              <w:rPr>
                <w:rFonts w:ascii="Cambria Math" w:hAnsi="Cambria Math"/>
                <w:lang w:val="en-GB"/>
              </w:rPr>
              <m:t>hjk</m:t>
            </m:r>
          </m:sub>
        </m:sSub>
        <m:r>
          <w:rPr>
            <w:rFonts w:ascii="Cambria Math" w:hAnsi="Cambria Math"/>
            <w:lang w:val="en-GB"/>
          </w:rPr>
          <m:t>+</m:t>
        </m:r>
        <m:sSub>
          <m:sSubPr>
            <m:ctrlPr>
              <w:rPr>
                <w:rFonts w:ascii="Cambria Math" w:hAnsi="Cambria Math"/>
                <w:i/>
                <w:lang w:val="en-GB"/>
              </w:rPr>
            </m:ctrlPr>
          </m:sSubPr>
          <m:e>
            <m:r>
              <w:rPr>
                <w:rFonts w:ascii="Cambria Math" w:hAnsi="Cambria Math"/>
                <w:lang w:val="en-GB"/>
              </w:rPr>
              <m:t>ϵ</m:t>
            </m:r>
          </m:e>
          <m:sub>
            <m:r>
              <w:rPr>
                <w:rFonts w:ascii="Cambria Math" w:hAnsi="Cambria Math"/>
                <w:lang w:val="en-GB"/>
              </w:rPr>
              <m:t>thjk</m:t>
            </m:r>
          </m:sub>
        </m:sSub>
      </m:oMath>
    </w:p>
    <w:p w:rsidR="00CF4476" w:rsidRPr="00081646" w:rsidRDefault="00CF4476" w:rsidP="00CF4476">
      <w:pPr>
        <w:pStyle w:val="BodyText"/>
        <w:spacing w:before="240"/>
        <w:rPr>
          <w:rFonts w:eastAsiaTheme="minorEastAsia"/>
          <w:lang w:val="en-GB"/>
        </w:rPr>
      </w:pPr>
      <w:r w:rsidRPr="00081646">
        <w:rPr>
          <w:rFonts w:eastAsiaTheme="minorEastAsia"/>
          <w:lang w:val="en-GB"/>
        </w:rPr>
        <w:t>Note that the model specification in Equation 7 does not include the time trend</w:t>
      </w:r>
      <w:r>
        <w:rPr>
          <w:rFonts w:eastAsiaTheme="minorEastAsia"/>
          <w:lang w:val="en-GB"/>
        </w:rPr>
        <w:t>,</w:t>
      </w:r>
      <w:r w:rsidRPr="00081646">
        <w:rPr>
          <w:rFonts w:eastAsiaTheme="minorEastAsia"/>
          <w:lang w:val="en-GB"/>
        </w:rPr>
        <w:t xml:space="preserve"> which has already been netted out in the construction of the dependent variable. In this model, </w:t>
      </w:r>
      <m:oMath>
        <m:sSub>
          <m:sSubPr>
            <m:ctrlPr>
              <w:rPr>
                <w:rFonts w:ascii="Cambria Math" w:hAnsi="Cambria Math"/>
                <w:i/>
                <w:lang w:val="en-GB"/>
              </w:rPr>
            </m:ctrlPr>
          </m:sSubPr>
          <m:e>
            <m:r>
              <w:rPr>
                <w:rFonts w:ascii="Cambria Math" w:hAnsi="Cambria Math"/>
                <w:lang w:val="en-GB"/>
              </w:rPr>
              <m:t>π</m:t>
            </m:r>
          </m:e>
          <m:sub>
            <m:r>
              <w:rPr>
                <w:rFonts w:ascii="Cambria Math" w:hAnsi="Cambria Math"/>
                <w:lang w:val="en-GB"/>
              </w:rPr>
              <m:t>1</m:t>
            </m:r>
          </m:sub>
        </m:sSub>
      </m:oMath>
      <w:r w:rsidRPr="00081646">
        <w:rPr>
          <w:rFonts w:eastAsiaTheme="minorEastAsia"/>
          <w:lang w:val="en-GB"/>
        </w:rPr>
        <w:t xml:space="preserve"> captures t</w:t>
      </w:r>
      <w:r w:rsidRPr="00081646">
        <w:rPr>
          <w:lang w:val="en-GB"/>
        </w:rPr>
        <w:t xml:space="preserve">he treatment effect estimate that is adjusted for the secular time trend in the treated outcome measure. This estimate should be numerically equivalent to the adjusted impact estimate </w:t>
      </w:r>
      <m:oMath>
        <m:sSubSup>
          <m:sSubSupPr>
            <m:ctrlPr>
              <w:rPr>
                <w:rFonts w:ascii="Cambria Math" w:hAnsi="Cambria Math"/>
                <w:i/>
                <w:lang w:val="en-GB"/>
              </w:rPr>
            </m:ctrlPr>
          </m:sSubSupPr>
          <m:e>
            <m:r>
              <w:rPr>
                <w:rFonts w:ascii="Cambria Math" w:hAnsi="Cambria Math"/>
                <w:lang w:val="en-GB"/>
              </w:rPr>
              <m:t>β</m:t>
            </m:r>
          </m:e>
          <m:sub>
            <m:r>
              <w:rPr>
                <w:rFonts w:ascii="Cambria Math" w:hAnsi="Cambria Math"/>
                <w:lang w:val="en-GB"/>
              </w:rPr>
              <m:t>2</m:t>
            </m:r>
          </m:sub>
          <m:sup>
            <m:r>
              <w:rPr>
                <w:rFonts w:ascii="Cambria Math" w:hAnsi="Cambria Math"/>
                <w:lang w:val="en-GB"/>
              </w:rPr>
              <m:t>adj</m:t>
            </m:r>
          </m:sup>
        </m:sSubSup>
      </m:oMath>
      <w:r w:rsidRPr="00081646">
        <w:rPr>
          <w:rFonts w:eastAsiaTheme="minorEastAsia"/>
          <w:lang w:val="en-GB"/>
        </w:rPr>
        <w:t xml:space="preserve">in Equation </w:t>
      </w:r>
      <w:r>
        <w:rPr>
          <w:rFonts w:eastAsiaTheme="minorEastAsia"/>
          <w:lang w:val="en-GB"/>
        </w:rPr>
        <w:t>3</w:t>
      </w:r>
      <w:r w:rsidRPr="00081646">
        <w:rPr>
          <w:rFonts w:eastAsiaTheme="minorEastAsia"/>
          <w:lang w:val="en-GB"/>
        </w:rPr>
        <w:t xml:space="preserve"> while being more precise </w:t>
      </w:r>
      <w:proofErr w:type="gramStart"/>
      <w:r w:rsidRPr="00081646">
        <w:rPr>
          <w:rFonts w:eastAsiaTheme="minorEastAsia"/>
          <w:lang w:val="en-GB"/>
        </w:rPr>
        <w:t xml:space="preserve">than </w:t>
      </w:r>
      <w:proofErr w:type="gramEnd"/>
      <m:oMath>
        <m:sSubSup>
          <m:sSubSupPr>
            <m:ctrlPr>
              <w:rPr>
                <w:rFonts w:ascii="Cambria Math" w:hAnsi="Cambria Math"/>
                <w:i/>
                <w:lang w:val="en-GB"/>
              </w:rPr>
            </m:ctrlPr>
          </m:sSubSupPr>
          <m:e>
            <m:r>
              <w:rPr>
                <w:rFonts w:ascii="Cambria Math" w:hAnsi="Cambria Math"/>
                <w:lang w:val="en-GB"/>
              </w:rPr>
              <m:t>β</m:t>
            </m:r>
          </m:e>
          <m:sub>
            <m:r>
              <w:rPr>
                <w:rFonts w:ascii="Cambria Math" w:hAnsi="Cambria Math"/>
                <w:lang w:val="en-GB"/>
              </w:rPr>
              <m:t>2</m:t>
            </m:r>
          </m:sub>
          <m:sup>
            <m:r>
              <w:rPr>
                <w:rFonts w:ascii="Cambria Math" w:hAnsi="Cambria Math"/>
                <w:lang w:val="en-GB"/>
              </w:rPr>
              <m:t>adj</m:t>
            </m:r>
          </m:sup>
        </m:sSubSup>
      </m:oMath>
      <w:r w:rsidRPr="00081646">
        <w:rPr>
          <w:rFonts w:eastAsiaTheme="minorEastAsia"/>
          <w:lang w:val="en-GB"/>
        </w:rPr>
        <w:t>. The difference between the precision</w:t>
      </w:r>
      <w:r>
        <w:rPr>
          <w:rFonts w:eastAsiaTheme="minorEastAsia"/>
          <w:lang w:val="en-GB"/>
        </w:rPr>
        <w:t xml:space="preserve"> </w:t>
      </w:r>
      <w:r w:rsidRPr="00081646">
        <w:rPr>
          <w:rFonts w:eastAsiaTheme="minorEastAsia"/>
          <w:lang w:val="en-GB"/>
        </w:rPr>
        <w:t>levels of the two adjusted impact estimates is due to the time trend variable (</w:t>
      </w:r>
      <m:oMath>
        <m:sSub>
          <m:sSubPr>
            <m:ctrlPr>
              <w:rPr>
                <w:rFonts w:ascii="Cambria Math" w:hAnsi="Cambria Math"/>
                <w:i/>
                <w:lang w:val="en-GB"/>
              </w:rPr>
            </m:ctrlPr>
          </m:sSubPr>
          <m:e>
            <m:r>
              <w:rPr>
                <w:rFonts w:ascii="Cambria Math" w:hAnsi="Cambria Math"/>
                <w:lang w:val="en-GB"/>
              </w:rPr>
              <m:t>time</m:t>
            </m:r>
          </m:e>
          <m:sub>
            <m:r>
              <w:rPr>
                <w:rFonts w:ascii="Cambria Math" w:hAnsi="Cambria Math"/>
                <w:lang w:val="en-GB"/>
              </w:rPr>
              <m:t>t</m:t>
            </m:r>
          </m:sub>
        </m:sSub>
      </m:oMath>
      <w:r w:rsidRPr="00081646">
        <w:rPr>
          <w:rFonts w:eastAsiaTheme="minorEastAsia"/>
          <w:lang w:val="en-GB"/>
        </w:rPr>
        <w:t xml:space="preserve">) used in the estimation of </w:t>
      </w:r>
      <m:oMath>
        <m:sSub>
          <m:sSubPr>
            <m:ctrlPr>
              <w:rPr>
                <w:rFonts w:ascii="Cambria Math" w:hAnsi="Cambria Math"/>
                <w:i/>
                <w:lang w:val="en-GB"/>
              </w:rPr>
            </m:ctrlPr>
          </m:sSubPr>
          <m:e>
            <m:r>
              <w:rPr>
                <w:rFonts w:ascii="Cambria Math" w:hAnsi="Cambria Math"/>
                <w:lang w:val="en-GB"/>
              </w:rPr>
              <m:t>β</m:t>
            </m:r>
          </m:e>
          <m:sub>
            <m:r>
              <w:rPr>
                <w:rFonts w:ascii="Cambria Math" w:hAnsi="Cambria Math"/>
                <w:lang w:val="en-GB"/>
              </w:rPr>
              <m:t>2</m:t>
            </m:r>
          </m:sub>
        </m:sSub>
      </m:oMath>
      <w:r w:rsidRPr="00081646">
        <w:rPr>
          <w:rFonts w:eastAsiaTheme="minorEastAsia"/>
          <w:lang w:val="en-GB"/>
        </w:rPr>
        <w:t xml:space="preserve"> and </w:t>
      </w:r>
      <m:oMath>
        <m:sSub>
          <m:sSubPr>
            <m:ctrlPr>
              <w:rPr>
                <w:rFonts w:ascii="Cambria Math" w:hAnsi="Cambria Math"/>
                <w:i/>
                <w:lang w:val="en-GB"/>
              </w:rPr>
            </m:ctrlPr>
          </m:sSubPr>
          <m:e>
            <m:r>
              <w:rPr>
                <w:rFonts w:ascii="Cambria Math" w:hAnsi="Cambria Math"/>
                <w:lang w:val="en-GB"/>
              </w:rPr>
              <m:t>α</m:t>
            </m:r>
          </m:e>
          <m:sub>
            <m:r>
              <w:rPr>
                <w:rFonts w:ascii="Cambria Math" w:hAnsi="Cambria Math"/>
                <w:lang w:val="en-GB"/>
              </w:rPr>
              <m:t>2</m:t>
            </m:r>
          </m:sub>
        </m:sSub>
      </m:oMath>
      <w:r w:rsidRPr="00081646">
        <w:rPr>
          <w:rFonts w:eastAsiaTheme="minorEastAsia"/>
          <w:lang w:val="en-GB"/>
        </w:rPr>
        <w:t xml:space="preserve"> being correlated </w:t>
      </w:r>
      <w:proofErr w:type="gramStart"/>
      <w:r w:rsidRPr="00081646">
        <w:rPr>
          <w:rFonts w:eastAsiaTheme="minorEastAsia"/>
          <w:lang w:val="en-GB"/>
        </w:rPr>
        <w:t xml:space="preserve">with </w:t>
      </w:r>
      <w:proofErr w:type="gramEnd"/>
      <m:oMath>
        <m:sSub>
          <m:sSubPr>
            <m:ctrlPr>
              <w:rPr>
                <w:rFonts w:ascii="Cambria Math" w:hAnsi="Cambria Math"/>
                <w:i/>
                <w:lang w:val="en-GB"/>
              </w:rPr>
            </m:ctrlPr>
          </m:sSubPr>
          <m:e>
            <m:r>
              <w:rPr>
                <w:rFonts w:ascii="Cambria Math" w:hAnsi="Cambria Math"/>
                <w:lang w:val="en-GB"/>
              </w:rPr>
              <m:t>Post</m:t>
            </m:r>
          </m:e>
          <m:sub>
            <m:r>
              <w:rPr>
                <w:rFonts w:ascii="Cambria Math" w:hAnsi="Cambria Math"/>
                <w:lang w:val="en-GB"/>
              </w:rPr>
              <m:t>t</m:t>
            </m:r>
          </m:sub>
        </m:sSub>
      </m:oMath>
      <w:r w:rsidRPr="00081646">
        <w:rPr>
          <w:rFonts w:eastAsiaTheme="minorEastAsia"/>
          <w:lang w:val="en-GB"/>
        </w:rPr>
        <w:t xml:space="preserve">. </w:t>
      </w:r>
      <w:r>
        <w:rPr>
          <w:rFonts w:eastAsiaTheme="minorEastAsia"/>
          <w:lang w:val="en-GB"/>
        </w:rPr>
        <w:t>Such</w:t>
      </w:r>
      <w:r w:rsidRPr="00081646">
        <w:rPr>
          <w:rFonts w:eastAsiaTheme="minorEastAsia"/>
          <w:lang w:val="en-GB"/>
        </w:rPr>
        <w:t xml:space="preserve"> undesirable correlation decreases the precision </w:t>
      </w:r>
      <m:oMath>
        <m:sSubSup>
          <m:sSubSupPr>
            <m:ctrlPr>
              <w:rPr>
                <w:rFonts w:ascii="Cambria Math" w:hAnsi="Cambria Math"/>
                <w:i/>
                <w:lang w:val="en-GB"/>
              </w:rPr>
            </m:ctrlPr>
          </m:sSubSupPr>
          <m:e>
            <m:r>
              <w:rPr>
                <w:rFonts w:ascii="Cambria Math" w:hAnsi="Cambria Math"/>
                <w:lang w:val="en-GB"/>
              </w:rPr>
              <m:t>β</m:t>
            </m:r>
          </m:e>
          <m:sub>
            <m:r>
              <w:rPr>
                <w:rFonts w:ascii="Cambria Math" w:hAnsi="Cambria Math"/>
                <w:lang w:val="en-GB"/>
              </w:rPr>
              <m:t>2</m:t>
            </m:r>
          </m:sub>
          <m:sup>
            <m:r>
              <w:rPr>
                <w:rFonts w:ascii="Cambria Math" w:hAnsi="Cambria Math"/>
                <w:lang w:val="en-GB"/>
              </w:rPr>
              <m:t>adj</m:t>
            </m:r>
          </m:sup>
        </m:sSubSup>
        <m:r>
          <w:rPr>
            <w:rFonts w:ascii="Cambria Math" w:hAnsi="Cambria Math"/>
            <w:lang w:val="en-GB"/>
          </w:rPr>
          <m:t xml:space="preserve"> </m:t>
        </m:r>
      </m:oMath>
      <w:r w:rsidRPr="00081646">
        <w:rPr>
          <w:rFonts w:eastAsiaTheme="minorEastAsia"/>
          <w:lang w:val="en-GB"/>
        </w:rPr>
        <w:t xml:space="preserve">compared to that </w:t>
      </w:r>
      <w:proofErr w:type="gramStart"/>
      <w:r w:rsidRPr="00081646">
        <w:rPr>
          <w:rFonts w:eastAsiaTheme="minorEastAsia"/>
          <w:lang w:val="en-GB"/>
        </w:rPr>
        <w:t xml:space="preserve">of </w:t>
      </w:r>
      <w:proofErr w:type="gramEnd"/>
      <m:oMath>
        <m:sSub>
          <m:sSubPr>
            <m:ctrlPr>
              <w:rPr>
                <w:rFonts w:ascii="Cambria Math" w:hAnsi="Cambria Math"/>
                <w:i/>
                <w:lang w:val="en-GB"/>
              </w:rPr>
            </m:ctrlPr>
          </m:sSubPr>
          <m:e>
            <m:r>
              <m:rPr>
                <m:sty m:val="p"/>
              </m:rPr>
              <w:rPr>
                <w:rFonts w:ascii="Cambria Math" w:hAnsi="Cambria Math"/>
                <w:lang w:val="en-GB"/>
              </w:rPr>
              <m:t>π</m:t>
            </m:r>
          </m:e>
          <m:sub>
            <m:r>
              <w:rPr>
                <w:rFonts w:ascii="Cambria Math" w:hAnsi="Cambria Math"/>
                <w:lang w:val="en-GB"/>
              </w:rPr>
              <m:t>1</m:t>
            </m:r>
          </m:sub>
        </m:sSub>
      </m:oMath>
      <w:r w:rsidRPr="00081646">
        <w:rPr>
          <w:rFonts w:eastAsiaTheme="minorEastAsia"/>
          <w:lang w:val="en-GB"/>
        </w:rPr>
        <w:t xml:space="preserve">, which does not suffer from such a precision loss because the model in Equation </w:t>
      </w:r>
      <w:r>
        <w:rPr>
          <w:rFonts w:eastAsiaTheme="minorEastAsia"/>
          <w:lang w:val="en-GB"/>
        </w:rPr>
        <w:t>6</w:t>
      </w:r>
      <w:r w:rsidRPr="00081646">
        <w:rPr>
          <w:rFonts w:eastAsiaTheme="minorEastAsia"/>
          <w:lang w:val="en-GB"/>
        </w:rPr>
        <w:t xml:space="preserve"> does not include the trend variable. </w:t>
      </w:r>
    </w:p>
    <w:p w:rsidR="00CF4476" w:rsidRDefault="00326FBB" w:rsidP="00123F97">
      <w:pPr>
        <w:pStyle w:val="Heading2"/>
      </w:pPr>
      <w:bookmarkStart w:id="7" w:name="_Toc381716162"/>
      <w:bookmarkStart w:id="8" w:name="_Toc391463665"/>
      <w:r>
        <w:t xml:space="preserve">Differential impact of the </w:t>
      </w:r>
      <w:proofErr w:type="spellStart"/>
      <w:r>
        <w:t>AgR</w:t>
      </w:r>
      <w:r w:rsidR="00CF4476">
        <w:t>esults</w:t>
      </w:r>
      <w:proofErr w:type="spellEnd"/>
      <w:r w:rsidR="00CF4476">
        <w:t xml:space="preserve"> Pilot on subgroups of smallholders</w:t>
      </w:r>
      <w:bookmarkEnd w:id="7"/>
      <w:bookmarkEnd w:id="8"/>
    </w:p>
    <w:p w:rsidR="00CF4476" w:rsidRDefault="00CF4476" w:rsidP="00CF4476">
      <w:pPr>
        <w:pStyle w:val="BodyText"/>
      </w:pPr>
      <w:r>
        <w:t xml:space="preserve">In addition to reporting the overall average treatment effects, we propose to estimate the treatment effects for various subgroups of smallholders. We know that DFID is interested in </w:t>
      </w:r>
      <w:r>
        <w:lastRenderedPageBreak/>
        <w:t xml:space="preserve">exploring whether the impact of the pilot is different for female-headed households. Other potential subgroups of interest include smallholders who at baseline are (1) less credit-constrained, (2) have a higher level of education, (3) have a larger household (pool of potential laborers), or (4) have more (or more advanced) farming inputs.  All of these groups may experience different intervention impacts than smallholders not in these categories. In order to investigate whether the pilot’s impacts on any of these subgroups are different than the rest of the sample, we intend to (1) estimate the impact models specified in the previous section separately for each subgroup of interest and the rest of the sample (i.e., estimating one model using only the households in the subgroup of interest and another model for the rest of the sample) and (2) compare the resulting subgroup-specific impact estimate to that for the rest of the sample.    </w:t>
      </w:r>
    </w:p>
    <w:p w:rsidR="00CF4476" w:rsidRDefault="00CF4476" w:rsidP="00CF4476">
      <w:pPr>
        <w:pStyle w:val="BodyText"/>
      </w:pPr>
      <w:r>
        <w:t xml:space="preserve">As described in the next section, the survey sample has not been built at a scale to provide for confident analysis of subgroup-specific effects given that only a portion of the data can be used for each examined subgroup.  But it will be feasible to detect impacts on subgroups of a large magnitude for outcomes.    </w:t>
      </w:r>
    </w:p>
    <w:p w:rsidR="00676E70" w:rsidRDefault="00CF4476" w:rsidP="00123F97">
      <w:pPr>
        <w:pStyle w:val="Heading1"/>
      </w:pPr>
      <w:r>
        <w:t>Statistical Power Analysis and Sampling Frame</w:t>
      </w:r>
    </w:p>
    <w:p w:rsidR="00F70797" w:rsidRDefault="00611BE3" w:rsidP="00F70797">
      <w:pPr>
        <w:rPr>
          <w:rFonts w:eastAsiaTheme="minorEastAsia"/>
          <w:lang w:val="en-GB"/>
        </w:rPr>
      </w:pPr>
      <w:r>
        <w:rPr>
          <w:lang w:val="en-GB"/>
        </w:rPr>
        <w:t>This study relies on household-level data collected</w:t>
      </w:r>
      <w:r w:rsidR="00F70797">
        <w:rPr>
          <w:lang w:val="en-GB"/>
        </w:rPr>
        <w:t xml:space="preserve"> from a panel of </w:t>
      </w:r>
      <w:r w:rsidR="00EC48D2">
        <w:rPr>
          <w:lang w:val="en-GB"/>
        </w:rPr>
        <w:t xml:space="preserve">small farmer </w:t>
      </w:r>
      <w:r w:rsidR="00F70797">
        <w:rPr>
          <w:lang w:val="en-GB"/>
        </w:rPr>
        <w:t xml:space="preserve">households in each of the 14 counties where the pilot is active. Baseline data collection took place during July and August 2014, with a second round of baseline data to be collected in 2015 (owing to the fact that the program started later than projected and there is now an additional pre-program year on which we must collect baseline data), and </w:t>
      </w:r>
      <w:proofErr w:type="spellStart"/>
      <w:r w:rsidR="00F70797">
        <w:rPr>
          <w:lang w:val="en-GB"/>
        </w:rPr>
        <w:t>endline</w:t>
      </w:r>
      <w:proofErr w:type="spellEnd"/>
      <w:r w:rsidR="00F70797">
        <w:rPr>
          <w:lang w:val="en-GB"/>
        </w:rPr>
        <w:t xml:space="preserve"> data will be collected in 2019.</w:t>
      </w:r>
    </w:p>
    <w:p w:rsidR="00F70797" w:rsidRDefault="00F70797" w:rsidP="00123F97">
      <w:pPr>
        <w:pStyle w:val="Heading2"/>
        <w:rPr>
          <w:rFonts w:eastAsiaTheme="minorEastAsia"/>
          <w:lang w:val="en-GB"/>
        </w:rPr>
      </w:pPr>
      <w:r>
        <w:rPr>
          <w:rFonts w:eastAsiaTheme="minorEastAsia"/>
          <w:lang w:val="en-GB"/>
        </w:rPr>
        <w:t>Power Analysis</w:t>
      </w:r>
    </w:p>
    <w:p w:rsidR="00CF4476" w:rsidRPr="00081646" w:rsidRDefault="00CF4476" w:rsidP="00CF4476">
      <w:pPr>
        <w:pStyle w:val="BodyText"/>
        <w:rPr>
          <w:rFonts w:eastAsiaTheme="minorEastAsia"/>
          <w:lang w:val="en-GB"/>
        </w:rPr>
      </w:pPr>
      <w:r w:rsidRPr="00081646">
        <w:rPr>
          <w:rFonts w:eastAsiaTheme="minorEastAsia"/>
          <w:lang w:val="en-GB"/>
        </w:rPr>
        <w:t xml:space="preserve">We conducted a series of statistical power analyses to estimate the number of villages and households that would be needed in the evaluation sample to be </w:t>
      </w:r>
      <w:r w:rsidRPr="00F4192F">
        <w:rPr>
          <w:rFonts w:eastAsiaTheme="minorEastAsia"/>
          <w:lang w:val="en-GB"/>
        </w:rPr>
        <w:t xml:space="preserve">able to detect the targeted effect magnitudes with reasonable statistical power under the analysis approaches described above. </w:t>
      </w:r>
      <w:r w:rsidRPr="0071057E">
        <w:rPr>
          <w:rFonts w:eastAsiaTheme="minorEastAsia"/>
          <w:lang w:val="en-GB"/>
        </w:rPr>
        <w:t>Th</w:t>
      </w:r>
      <w:r w:rsidRPr="00F4192F">
        <w:rPr>
          <w:rFonts w:eastAsiaTheme="minorEastAsia"/>
          <w:lang w:val="en-GB"/>
        </w:rPr>
        <w:t xml:space="preserve">e sample size </w:t>
      </w:r>
      <w:r w:rsidRPr="00EB7BD7">
        <w:rPr>
          <w:rFonts w:eastAsiaTheme="minorEastAsia"/>
          <w:lang w:val="en-GB"/>
        </w:rPr>
        <w:t>requirement is</w:t>
      </w:r>
      <w:r w:rsidRPr="00F4192F">
        <w:rPr>
          <w:rFonts w:eastAsiaTheme="minorEastAsia"/>
          <w:lang w:val="en-GB"/>
        </w:rPr>
        <w:t xml:space="preserve"> determined base</w:t>
      </w:r>
      <w:r w:rsidRPr="0071057E">
        <w:rPr>
          <w:rFonts w:eastAsiaTheme="minorEastAsia"/>
          <w:lang w:val="en-GB"/>
        </w:rPr>
        <w:t xml:space="preserve">d </w:t>
      </w:r>
      <w:r w:rsidRPr="00F4192F">
        <w:rPr>
          <w:rFonts w:eastAsiaTheme="minorEastAsia"/>
          <w:lang w:val="en-GB"/>
        </w:rPr>
        <w:t>on the first outcome – uptake of storage</w:t>
      </w:r>
      <w:r w:rsidRPr="00EB7BD7">
        <w:rPr>
          <w:rFonts w:eastAsiaTheme="minorEastAsia"/>
          <w:lang w:val="en-GB"/>
        </w:rPr>
        <w:t xml:space="preserve">, which is the most proximal outcome that the program </w:t>
      </w:r>
      <w:r>
        <w:rPr>
          <w:rFonts w:eastAsiaTheme="minorEastAsia"/>
          <w:lang w:val="en-GB"/>
        </w:rPr>
        <w:t>aims to influence</w:t>
      </w:r>
      <w:r w:rsidRPr="00F4192F">
        <w:rPr>
          <w:rFonts w:eastAsiaTheme="minorEastAsia"/>
          <w:lang w:val="en-GB"/>
        </w:rPr>
        <w:t xml:space="preserve">. </w:t>
      </w:r>
      <w:r>
        <w:rPr>
          <w:rFonts w:eastAsiaTheme="minorEastAsia"/>
          <w:lang w:val="en-GB"/>
        </w:rPr>
        <w:t>We then present</w:t>
      </w:r>
      <w:r w:rsidRPr="0071057E">
        <w:rPr>
          <w:rFonts w:eastAsiaTheme="minorEastAsia"/>
          <w:lang w:val="en-GB"/>
        </w:rPr>
        <w:t xml:space="preserve"> the effect size </w:t>
      </w:r>
      <w:r>
        <w:rPr>
          <w:rFonts w:eastAsiaTheme="minorEastAsia"/>
          <w:lang w:val="en-GB"/>
        </w:rPr>
        <w:t xml:space="preserve">that can be detected </w:t>
      </w:r>
      <w:r w:rsidRPr="0071057E">
        <w:rPr>
          <w:rFonts w:eastAsiaTheme="minorEastAsia"/>
          <w:lang w:val="en-GB"/>
        </w:rPr>
        <w:t xml:space="preserve">for the </w:t>
      </w:r>
      <w:r>
        <w:rPr>
          <w:rFonts w:eastAsiaTheme="minorEastAsia"/>
          <w:lang w:val="en-GB"/>
        </w:rPr>
        <w:t>second outcome (</w:t>
      </w:r>
      <w:r w:rsidRPr="00EB7BD7">
        <w:rPr>
          <w:rFonts w:eastAsiaTheme="minorEastAsia"/>
          <w:lang w:val="en-GB"/>
        </w:rPr>
        <w:t>sale price</w:t>
      </w:r>
      <w:r>
        <w:rPr>
          <w:rFonts w:eastAsiaTheme="minorEastAsia"/>
          <w:lang w:val="en-GB"/>
        </w:rPr>
        <w:t xml:space="preserve"> of maize) with this sample size</w:t>
      </w:r>
      <w:r w:rsidRPr="00EB7BD7">
        <w:rPr>
          <w:rFonts w:eastAsiaTheme="minorEastAsia"/>
          <w:lang w:val="en-GB"/>
        </w:rPr>
        <w:t xml:space="preserve">. </w:t>
      </w:r>
      <w:r w:rsidRPr="00F4192F">
        <w:rPr>
          <w:rFonts w:eastAsiaTheme="minorEastAsia"/>
          <w:lang w:val="en-GB"/>
        </w:rPr>
        <w:t>Given</w:t>
      </w:r>
      <w:r w:rsidRPr="0071057E">
        <w:rPr>
          <w:rFonts w:eastAsiaTheme="minorEastAsia"/>
          <w:lang w:val="en-GB"/>
        </w:rPr>
        <w:t xml:space="preserve"> our plans of conducting separate analyses for the two regions and the differences between the expected effects in the two regions (which </w:t>
      </w:r>
      <w:r w:rsidRPr="00F4192F">
        <w:rPr>
          <w:rFonts w:eastAsiaTheme="minorEastAsia"/>
          <w:lang w:val="en-GB"/>
        </w:rPr>
        <w:t>is described in more detail below), we conducted the power calculations separately for the Rift Valley</w:t>
      </w:r>
      <w:r w:rsidRPr="00081646">
        <w:rPr>
          <w:rFonts w:eastAsiaTheme="minorEastAsia"/>
          <w:lang w:val="en-GB"/>
        </w:rPr>
        <w:t xml:space="preserve"> and the Eastern </w:t>
      </w:r>
      <w:r w:rsidR="006E57A3">
        <w:rPr>
          <w:rFonts w:eastAsiaTheme="minorEastAsia"/>
          <w:lang w:val="en-GB"/>
        </w:rPr>
        <w:t>regions</w:t>
      </w:r>
      <w:r w:rsidRPr="00081646">
        <w:rPr>
          <w:rFonts w:eastAsiaTheme="minorEastAsia"/>
          <w:lang w:val="en-GB"/>
        </w:rPr>
        <w:t xml:space="preserve">. </w:t>
      </w:r>
    </w:p>
    <w:p w:rsidR="00CF4476" w:rsidRPr="00081646" w:rsidRDefault="00CF4476" w:rsidP="00CF4476">
      <w:pPr>
        <w:pStyle w:val="BodyText"/>
        <w:spacing w:before="240"/>
        <w:rPr>
          <w:rFonts w:eastAsiaTheme="minorEastAsia"/>
          <w:lang w:val="en-GB"/>
        </w:rPr>
      </w:pPr>
      <w:proofErr w:type="gramStart"/>
      <w:r>
        <w:rPr>
          <w:rFonts w:eastAsiaTheme="minorEastAsia"/>
          <w:b/>
          <w:lang w:val="en-GB"/>
        </w:rPr>
        <w:t>M</w:t>
      </w:r>
      <w:r w:rsidRPr="00662E06">
        <w:rPr>
          <w:rFonts w:eastAsiaTheme="minorEastAsia"/>
          <w:b/>
          <w:lang w:val="en-GB"/>
        </w:rPr>
        <w:t xml:space="preserve">inimum detectable effect size </w:t>
      </w:r>
      <w:r>
        <w:rPr>
          <w:rFonts w:eastAsiaTheme="minorEastAsia"/>
          <w:b/>
          <w:lang w:val="en-GB"/>
        </w:rPr>
        <w:t>(</w:t>
      </w:r>
      <w:r w:rsidRPr="00081646">
        <w:rPr>
          <w:rFonts w:eastAsiaTheme="minorEastAsia"/>
          <w:b/>
          <w:lang w:val="en-GB"/>
        </w:rPr>
        <w:t>MDES</w:t>
      </w:r>
      <w:r>
        <w:rPr>
          <w:rFonts w:eastAsiaTheme="minorEastAsia"/>
          <w:b/>
          <w:lang w:val="en-GB"/>
        </w:rPr>
        <w:t>)</w:t>
      </w:r>
      <w:r w:rsidRPr="00081646">
        <w:rPr>
          <w:rFonts w:eastAsiaTheme="minorEastAsia"/>
          <w:b/>
          <w:lang w:val="en-GB"/>
        </w:rPr>
        <w:t xml:space="preserve"> formula for the preferred impact analysis model.</w:t>
      </w:r>
      <w:proofErr w:type="gramEnd"/>
      <w:r w:rsidRPr="00081646">
        <w:rPr>
          <w:rFonts w:eastAsiaTheme="minorEastAsia"/>
          <w:lang w:val="en-GB"/>
        </w:rPr>
        <w:t xml:space="preserve"> The starting point for conducting a power analysis is to stipulate the underlying model specification that will be used to estimate intervention effects. In this case, given current uncertainties associated with securing a reasonable untreated outcome and/or comparison areas and household, we decided to be conservative and base the power analysis on the SITS model specification in Equation 1, which uses pre-intervention data points to form a linear baseline trend extrapolated into the post-intervention period to serve as the counterfactual, yielding a pooled treatment effect estimate across all post-treatment data points. Specifically, the following formula is used in the power analysis:</w:t>
      </w:r>
    </w:p>
    <w:p w:rsidR="00CF4476" w:rsidRPr="00081646" w:rsidRDefault="00CF4476" w:rsidP="00CF4476">
      <w:pPr>
        <w:ind w:firstLine="720"/>
        <w:rPr>
          <w:rFonts w:eastAsiaTheme="minorEastAsia"/>
          <w:lang w:val="en-GB"/>
        </w:rPr>
      </w:pPr>
      <w:r w:rsidRPr="00081646">
        <w:rPr>
          <w:rFonts w:eastAsiaTheme="minorEastAsia"/>
          <w:lang w:val="en-GB"/>
        </w:rPr>
        <w:t>(</w:t>
      </w:r>
      <w:r>
        <w:rPr>
          <w:rFonts w:eastAsiaTheme="minorEastAsia"/>
          <w:lang w:val="en-GB"/>
        </w:rPr>
        <w:t>7</w:t>
      </w:r>
      <w:r w:rsidRPr="00081646">
        <w:rPr>
          <w:rFonts w:eastAsiaTheme="minorEastAsia"/>
          <w:lang w:val="en-GB"/>
        </w:rPr>
        <w:t xml:space="preserve">) </w:t>
      </w:r>
      <m:oMath>
        <m:r>
          <w:rPr>
            <w:rFonts w:ascii="Cambria Math" w:hAnsi="Cambria Math"/>
            <w:lang w:val="en-GB"/>
          </w:rPr>
          <m:t xml:space="preserve">MDES=Factor </m:t>
        </m:r>
        <m:d>
          <m:dPr>
            <m:ctrlPr>
              <w:rPr>
                <w:rFonts w:ascii="Cambria Math" w:hAnsi="Cambria Math"/>
                <w:i/>
                <w:lang w:val="en-GB"/>
              </w:rPr>
            </m:ctrlPr>
          </m:dPr>
          <m:e>
            <m:r>
              <w:rPr>
                <w:rFonts w:ascii="Cambria Math" w:hAnsi="Cambria Math"/>
                <w:lang w:val="en-GB"/>
              </w:rPr>
              <m:t>α,β,dof</m:t>
            </m:r>
          </m:e>
        </m:d>
        <m:r>
          <w:rPr>
            <w:rFonts w:ascii="Cambria Math" w:hAnsi="Cambria Math"/>
            <w:lang w:val="en-GB"/>
          </w:rPr>
          <m:t>*</m:t>
        </m:r>
        <m:rad>
          <m:radPr>
            <m:degHide m:val="1"/>
            <m:ctrlPr>
              <w:rPr>
                <w:rFonts w:ascii="Cambria Math" w:hAnsi="Cambria Math"/>
                <w:i/>
                <w:lang w:val="en-GB"/>
              </w:rPr>
            </m:ctrlPr>
          </m:radPr>
          <m:deg/>
          <m:e>
            <m:r>
              <w:rPr>
                <w:rFonts w:ascii="Cambria Math" w:hAnsi="Cambria Math"/>
                <w:lang w:val="en-GB"/>
              </w:rPr>
              <m:t>Var</m:t>
            </m:r>
            <m:d>
              <m:dPr>
                <m:ctrlPr>
                  <w:rPr>
                    <w:rFonts w:ascii="Cambria Math" w:hAnsi="Cambria Math"/>
                    <w:i/>
                    <w:lang w:val="en-GB"/>
                  </w:rPr>
                </m:ctrlPr>
              </m:dPr>
              <m:e>
                <m:acc>
                  <m:accPr>
                    <m:ctrlPr>
                      <w:rPr>
                        <w:rFonts w:ascii="Cambria Math" w:hAnsi="Cambria Math"/>
                        <w:i/>
                        <w:lang w:val="en-GB"/>
                      </w:rPr>
                    </m:ctrlPr>
                  </m:accPr>
                  <m:e>
                    <m:sSub>
                      <m:sSubPr>
                        <m:ctrlPr>
                          <w:rPr>
                            <w:rFonts w:ascii="Cambria Math" w:hAnsi="Cambria Math"/>
                            <w:i/>
                            <w:lang w:val="en-GB"/>
                          </w:rPr>
                        </m:ctrlPr>
                      </m:sSubPr>
                      <m:e>
                        <m:r>
                          <w:rPr>
                            <w:rFonts w:ascii="Cambria Math" w:hAnsi="Cambria Math"/>
                            <w:lang w:val="en-GB"/>
                          </w:rPr>
                          <m:t>β</m:t>
                        </m:r>
                      </m:e>
                      <m:sub>
                        <m:r>
                          <w:rPr>
                            <w:rFonts w:ascii="Cambria Math" w:hAnsi="Cambria Math"/>
                            <w:lang w:val="en-GB"/>
                          </w:rPr>
                          <m:t>2</m:t>
                        </m:r>
                      </m:sub>
                    </m:sSub>
                  </m:e>
                </m:acc>
              </m:e>
            </m:d>
          </m:e>
        </m:rad>
      </m:oMath>
      <w:r w:rsidRPr="00081646">
        <w:rPr>
          <w:rFonts w:eastAsiaTheme="minorEastAsia"/>
          <w:lang w:val="en-GB"/>
        </w:rPr>
        <w:t xml:space="preserve"> </w:t>
      </w:r>
    </w:p>
    <w:p w:rsidR="00CF4476" w:rsidRPr="00081646" w:rsidRDefault="00CF4476" w:rsidP="00CF4476">
      <w:pPr>
        <w:ind w:firstLine="360"/>
        <w:rPr>
          <w:rFonts w:eastAsiaTheme="minorEastAsia"/>
          <w:lang w:val="en-GB"/>
        </w:rPr>
      </w:pPr>
      <w:r w:rsidRPr="00081646">
        <w:rPr>
          <w:rFonts w:eastAsiaTheme="minorEastAsia"/>
          <w:lang w:val="en-GB"/>
        </w:rPr>
        <w:lastRenderedPageBreak/>
        <w:t xml:space="preserve">      </w:t>
      </w:r>
      <m:oMath>
        <m:r>
          <w:rPr>
            <w:rFonts w:ascii="Cambria Math" w:hAnsi="Cambria Math"/>
            <w:lang w:val="en-GB"/>
          </w:rPr>
          <m:t xml:space="preserve">= Factor </m:t>
        </m:r>
        <m:d>
          <m:dPr>
            <m:ctrlPr>
              <w:rPr>
                <w:rFonts w:ascii="Cambria Math" w:hAnsi="Cambria Math"/>
                <w:i/>
                <w:lang w:val="en-GB"/>
              </w:rPr>
            </m:ctrlPr>
          </m:dPr>
          <m:e>
            <m:r>
              <w:rPr>
                <w:rFonts w:ascii="Cambria Math" w:hAnsi="Cambria Math"/>
                <w:lang w:val="en-GB"/>
              </w:rPr>
              <m:t>α,Power,dof</m:t>
            </m:r>
          </m:e>
        </m:d>
        <m:r>
          <w:rPr>
            <w:rFonts w:ascii="Cambria Math" w:hAnsi="Cambria Math"/>
            <w:lang w:val="en-GB"/>
          </w:rPr>
          <m:t>*</m:t>
        </m:r>
        <m:rad>
          <m:radPr>
            <m:degHide m:val="1"/>
            <m:ctrlPr>
              <w:rPr>
                <w:rFonts w:ascii="Cambria Math" w:hAnsi="Cambria Math"/>
                <w:i/>
                <w:lang w:val="en-GB"/>
              </w:rPr>
            </m:ctrlPr>
          </m:radPr>
          <m:deg/>
          <m:e>
            <m:f>
              <m:fPr>
                <m:ctrlPr>
                  <w:rPr>
                    <w:rFonts w:ascii="Cambria Math" w:hAnsi="Cambria Math"/>
                    <w:i/>
                    <w:lang w:val="en-GB"/>
                  </w:rPr>
                </m:ctrlPr>
              </m:fPr>
              <m:num>
                <m:sSubSup>
                  <m:sSubSupPr>
                    <m:ctrlPr>
                      <w:rPr>
                        <w:rFonts w:ascii="Cambria Math" w:eastAsiaTheme="minorEastAsia" w:hAnsi="Cambria Math"/>
                        <w:i/>
                        <w:lang w:val="en-GB"/>
                      </w:rPr>
                    </m:ctrlPr>
                  </m:sSubSupPr>
                  <m:e>
                    <m:r>
                      <w:rPr>
                        <w:rFonts w:ascii="Cambria Math" w:eastAsiaTheme="minorEastAsia" w:hAnsi="Cambria Math"/>
                        <w:lang w:val="en-GB"/>
                      </w:rPr>
                      <m:t>σ</m:t>
                    </m:r>
                  </m:e>
                  <m:sub>
                    <m:r>
                      <w:rPr>
                        <w:rFonts w:ascii="Cambria Math" w:eastAsiaTheme="minorEastAsia" w:hAnsi="Cambria Math"/>
                        <w:lang w:val="en-GB"/>
                      </w:rPr>
                      <m:t>μ</m:t>
                    </m:r>
                  </m:sub>
                  <m:sup>
                    <m:r>
                      <w:rPr>
                        <w:rFonts w:ascii="Cambria Math" w:eastAsiaTheme="minorEastAsia" w:hAnsi="Cambria Math"/>
                        <w:lang w:val="en-GB"/>
                      </w:rPr>
                      <m:t>2</m:t>
                    </m:r>
                  </m:sup>
                </m:sSubSup>
                <m:d>
                  <m:dPr>
                    <m:ctrlPr>
                      <w:rPr>
                        <w:rFonts w:ascii="Cambria Math" w:eastAsiaTheme="minorEastAsia" w:hAnsi="Cambria Math"/>
                        <w:i/>
                        <w:lang w:val="en-GB"/>
                      </w:rPr>
                    </m:ctrlPr>
                  </m:dPr>
                  <m:e>
                    <m:r>
                      <w:rPr>
                        <w:rFonts w:ascii="Cambria Math" w:eastAsiaTheme="minorEastAsia" w:hAnsi="Cambria Math"/>
                        <w:lang w:val="en-GB"/>
                      </w:rPr>
                      <m:t>1-</m:t>
                    </m:r>
                    <m:sSubSup>
                      <m:sSubSupPr>
                        <m:ctrlPr>
                          <w:rPr>
                            <w:rFonts w:ascii="Cambria Math" w:eastAsiaTheme="minorEastAsia" w:hAnsi="Cambria Math"/>
                            <w:i/>
                            <w:lang w:val="en-GB"/>
                          </w:rPr>
                        </m:ctrlPr>
                      </m:sSubSupPr>
                      <m:e>
                        <m:r>
                          <w:rPr>
                            <w:rFonts w:ascii="Cambria Math" w:eastAsiaTheme="minorEastAsia" w:hAnsi="Cambria Math"/>
                            <w:lang w:val="en-GB"/>
                          </w:rPr>
                          <m:t>R</m:t>
                        </m:r>
                      </m:e>
                      <m:sub>
                        <m:r>
                          <w:rPr>
                            <w:rFonts w:ascii="Cambria Math" w:eastAsiaTheme="minorEastAsia" w:hAnsi="Cambria Math"/>
                            <w:lang w:val="en-GB"/>
                          </w:rPr>
                          <m:t>μ</m:t>
                        </m:r>
                      </m:sub>
                      <m:sup>
                        <m:r>
                          <w:rPr>
                            <w:rFonts w:ascii="Cambria Math" w:eastAsiaTheme="minorEastAsia" w:hAnsi="Cambria Math"/>
                            <w:lang w:val="en-GB"/>
                          </w:rPr>
                          <m:t>2</m:t>
                        </m:r>
                      </m:sup>
                    </m:sSubSup>
                  </m:e>
                </m:d>
              </m:num>
              <m:den>
                <m:r>
                  <w:rPr>
                    <w:rFonts w:ascii="Cambria Math" w:hAnsi="Cambria Math"/>
                    <w:lang w:val="en-GB"/>
                  </w:rPr>
                  <m:t>CJ</m:t>
                </m:r>
              </m:den>
            </m:f>
            <m:r>
              <w:rPr>
                <w:rFonts w:ascii="Cambria Math" w:hAnsi="Cambria Math"/>
                <w:lang w:val="en-GB"/>
              </w:rPr>
              <m:t>+</m:t>
            </m:r>
            <m:f>
              <m:fPr>
                <m:ctrlPr>
                  <w:rPr>
                    <w:rFonts w:ascii="Cambria Math" w:hAnsi="Cambria Math"/>
                    <w:i/>
                    <w:lang w:val="en-GB"/>
                  </w:rPr>
                </m:ctrlPr>
              </m:fPr>
              <m:num>
                <m:sSubSup>
                  <m:sSubSupPr>
                    <m:ctrlPr>
                      <w:rPr>
                        <w:rFonts w:ascii="Cambria Math" w:eastAsiaTheme="minorEastAsia" w:hAnsi="Cambria Math"/>
                        <w:i/>
                        <w:lang w:val="en-GB"/>
                      </w:rPr>
                    </m:ctrlPr>
                  </m:sSubSupPr>
                  <m:e>
                    <m:r>
                      <w:rPr>
                        <w:rFonts w:ascii="Cambria Math" w:eastAsiaTheme="minorEastAsia" w:hAnsi="Cambria Math"/>
                        <w:lang w:val="en-GB"/>
                      </w:rPr>
                      <m:t>σ</m:t>
                    </m:r>
                  </m:e>
                  <m:sub>
                    <m:r>
                      <w:rPr>
                        <w:rFonts w:ascii="Cambria Math" w:eastAsiaTheme="minorEastAsia" w:hAnsi="Cambria Math"/>
                        <w:lang w:val="en-GB"/>
                      </w:rPr>
                      <m:t>δ</m:t>
                    </m:r>
                  </m:sub>
                  <m:sup>
                    <m:r>
                      <w:rPr>
                        <w:rFonts w:ascii="Cambria Math" w:eastAsiaTheme="minorEastAsia" w:hAnsi="Cambria Math"/>
                        <w:lang w:val="en-GB"/>
                      </w:rPr>
                      <m:t>2</m:t>
                    </m:r>
                  </m:sup>
                </m:sSubSup>
                <m:d>
                  <m:dPr>
                    <m:ctrlPr>
                      <w:rPr>
                        <w:rFonts w:ascii="Cambria Math" w:eastAsiaTheme="minorEastAsia" w:hAnsi="Cambria Math"/>
                        <w:i/>
                        <w:lang w:val="en-GB"/>
                      </w:rPr>
                    </m:ctrlPr>
                  </m:dPr>
                  <m:e>
                    <m:r>
                      <w:rPr>
                        <w:rFonts w:ascii="Cambria Math" w:eastAsiaTheme="minorEastAsia" w:hAnsi="Cambria Math"/>
                        <w:lang w:val="en-GB"/>
                      </w:rPr>
                      <m:t>1-</m:t>
                    </m:r>
                    <m:sSubSup>
                      <m:sSubSupPr>
                        <m:ctrlPr>
                          <w:rPr>
                            <w:rFonts w:ascii="Cambria Math" w:eastAsiaTheme="minorEastAsia" w:hAnsi="Cambria Math"/>
                            <w:i/>
                            <w:lang w:val="en-GB"/>
                          </w:rPr>
                        </m:ctrlPr>
                      </m:sSubSupPr>
                      <m:e>
                        <m:r>
                          <w:rPr>
                            <w:rFonts w:ascii="Cambria Math" w:eastAsiaTheme="minorEastAsia" w:hAnsi="Cambria Math"/>
                            <w:lang w:val="en-GB"/>
                          </w:rPr>
                          <m:t>R</m:t>
                        </m:r>
                      </m:e>
                      <m:sub>
                        <m:r>
                          <w:rPr>
                            <w:rFonts w:ascii="Cambria Math" w:eastAsiaTheme="minorEastAsia" w:hAnsi="Cambria Math"/>
                            <w:lang w:val="en-GB"/>
                          </w:rPr>
                          <m:t>δ</m:t>
                        </m:r>
                      </m:sub>
                      <m:sup>
                        <m:r>
                          <w:rPr>
                            <w:rFonts w:ascii="Cambria Math" w:eastAsiaTheme="minorEastAsia" w:hAnsi="Cambria Math"/>
                            <w:lang w:val="en-GB"/>
                          </w:rPr>
                          <m:t>2</m:t>
                        </m:r>
                      </m:sup>
                    </m:sSubSup>
                  </m:e>
                </m:d>
              </m:num>
              <m:den>
                <m:r>
                  <w:rPr>
                    <w:rFonts w:ascii="Cambria Math" w:hAnsi="Cambria Math"/>
                    <w:lang w:val="en-GB"/>
                  </w:rPr>
                  <m:t>CJH</m:t>
                </m:r>
              </m:den>
            </m:f>
            <m:r>
              <w:rPr>
                <w:rFonts w:ascii="Cambria Math" w:hAnsi="Cambria Math"/>
                <w:lang w:val="en-GB"/>
              </w:rPr>
              <m:t>+</m:t>
            </m:r>
            <m:f>
              <m:fPr>
                <m:ctrlPr>
                  <w:rPr>
                    <w:rFonts w:ascii="Cambria Math" w:hAnsi="Cambria Math"/>
                    <w:i/>
                    <w:lang w:val="en-GB"/>
                  </w:rPr>
                </m:ctrlPr>
              </m:fPr>
              <m:num>
                <m:sSubSup>
                  <m:sSubSupPr>
                    <m:ctrlPr>
                      <w:rPr>
                        <w:rFonts w:ascii="Cambria Math" w:eastAsiaTheme="minorEastAsia" w:hAnsi="Cambria Math"/>
                        <w:i/>
                        <w:lang w:val="en-GB"/>
                      </w:rPr>
                    </m:ctrlPr>
                  </m:sSubSupPr>
                  <m:e>
                    <m:r>
                      <w:rPr>
                        <w:rFonts w:ascii="Cambria Math" w:eastAsiaTheme="minorEastAsia" w:hAnsi="Cambria Math"/>
                        <w:lang w:val="en-GB"/>
                      </w:rPr>
                      <m:t>σ</m:t>
                    </m:r>
                  </m:e>
                  <m:sub>
                    <m:r>
                      <w:rPr>
                        <w:rFonts w:ascii="Cambria Math" w:eastAsiaTheme="minorEastAsia" w:hAnsi="Cambria Math"/>
                        <w:lang w:val="en-GB"/>
                      </w:rPr>
                      <m:t>ϵ</m:t>
                    </m:r>
                  </m:sub>
                  <m:sup>
                    <m:r>
                      <w:rPr>
                        <w:rFonts w:ascii="Cambria Math" w:eastAsiaTheme="minorEastAsia" w:hAnsi="Cambria Math"/>
                        <w:lang w:val="en-GB"/>
                      </w:rPr>
                      <m:t>2</m:t>
                    </m:r>
                  </m:sup>
                </m:sSubSup>
                <m:d>
                  <m:dPr>
                    <m:ctrlPr>
                      <w:rPr>
                        <w:rFonts w:ascii="Cambria Math" w:eastAsiaTheme="minorEastAsia" w:hAnsi="Cambria Math"/>
                        <w:i/>
                        <w:lang w:val="en-GB"/>
                      </w:rPr>
                    </m:ctrlPr>
                  </m:dPr>
                  <m:e>
                    <m:r>
                      <w:rPr>
                        <w:rFonts w:ascii="Cambria Math" w:eastAsiaTheme="minorEastAsia" w:hAnsi="Cambria Math"/>
                        <w:lang w:val="en-GB"/>
                      </w:rPr>
                      <m:t>1-</m:t>
                    </m:r>
                    <m:sSubSup>
                      <m:sSubSupPr>
                        <m:ctrlPr>
                          <w:rPr>
                            <w:rFonts w:ascii="Cambria Math" w:eastAsiaTheme="minorEastAsia" w:hAnsi="Cambria Math"/>
                            <w:i/>
                            <w:lang w:val="en-GB"/>
                          </w:rPr>
                        </m:ctrlPr>
                      </m:sSubSupPr>
                      <m:e>
                        <m:r>
                          <w:rPr>
                            <w:rFonts w:ascii="Cambria Math" w:eastAsiaTheme="minorEastAsia" w:hAnsi="Cambria Math"/>
                            <w:lang w:val="en-GB"/>
                          </w:rPr>
                          <m:t>R</m:t>
                        </m:r>
                      </m:e>
                      <m:sub>
                        <m:r>
                          <w:rPr>
                            <w:rFonts w:ascii="Cambria Math" w:eastAsiaTheme="minorEastAsia" w:hAnsi="Cambria Math"/>
                            <w:lang w:val="en-GB"/>
                          </w:rPr>
                          <m:t>ϵ</m:t>
                        </m:r>
                      </m:sub>
                      <m:sup>
                        <m:r>
                          <w:rPr>
                            <w:rFonts w:ascii="Cambria Math" w:eastAsiaTheme="minorEastAsia" w:hAnsi="Cambria Math"/>
                            <w:lang w:val="en-GB"/>
                          </w:rPr>
                          <m:t>2</m:t>
                        </m:r>
                      </m:sup>
                    </m:sSubSup>
                  </m:e>
                </m:d>
              </m:num>
              <m:den>
                <m:r>
                  <w:rPr>
                    <w:rFonts w:ascii="Cambria Math" w:hAnsi="Cambria Math"/>
                    <w:lang w:val="en-GB"/>
                  </w:rPr>
                  <m:t>CJHTp(1-p)(</m:t>
                </m:r>
                <m:d>
                  <m:dPr>
                    <m:ctrlPr>
                      <w:rPr>
                        <w:rFonts w:ascii="Cambria Math" w:eastAsiaTheme="minorEastAsia" w:hAnsi="Cambria Math"/>
                        <w:i/>
                        <w:lang w:val="en-GB"/>
                      </w:rPr>
                    </m:ctrlPr>
                  </m:dPr>
                  <m:e>
                    <m:r>
                      <w:rPr>
                        <w:rFonts w:ascii="Cambria Math" w:eastAsiaTheme="minorEastAsia" w:hAnsi="Cambria Math"/>
                        <w:lang w:val="en-GB"/>
                      </w:rPr>
                      <m:t>1-</m:t>
                    </m:r>
                    <m:sSubSup>
                      <m:sSubSupPr>
                        <m:ctrlPr>
                          <w:rPr>
                            <w:rFonts w:ascii="Cambria Math" w:eastAsiaTheme="minorEastAsia" w:hAnsi="Cambria Math"/>
                            <w:i/>
                            <w:lang w:val="en-GB"/>
                          </w:rPr>
                        </m:ctrlPr>
                      </m:sSubSupPr>
                      <m:e>
                        <m:r>
                          <w:rPr>
                            <w:rFonts w:ascii="Cambria Math" w:eastAsiaTheme="minorEastAsia" w:hAnsi="Cambria Math"/>
                            <w:lang w:val="en-GB"/>
                          </w:rPr>
                          <m:t>R</m:t>
                        </m:r>
                      </m:e>
                      <m:sub>
                        <m:r>
                          <w:rPr>
                            <w:rFonts w:ascii="Cambria Math" w:eastAsiaTheme="minorEastAsia" w:hAnsi="Cambria Math"/>
                            <w:lang w:val="en-GB"/>
                          </w:rPr>
                          <m:t>time,Post</m:t>
                        </m:r>
                      </m:sub>
                      <m:sup>
                        <m:r>
                          <w:rPr>
                            <w:rFonts w:ascii="Cambria Math" w:eastAsiaTheme="minorEastAsia" w:hAnsi="Cambria Math"/>
                            <w:lang w:val="en-GB"/>
                          </w:rPr>
                          <m:t>2</m:t>
                        </m:r>
                      </m:sup>
                    </m:sSubSup>
                  </m:e>
                </m:d>
              </m:den>
            </m:f>
          </m:e>
        </m:rad>
      </m:oMath>
    </w:p>
    <w:p w:rsidR="00CF4476" w:rsidRPr="00081646" w:rsidRDefault="00CF4476" w:rsidP="00CF4476">
      <w:pPr>
        <w:ind w:firstLine="720"/>
        <w:rPr>
          <w:lang w:val="en-GB"/>
        </w:rPr>
      </w:pPr>
      <w:r w:rsidRPr="00081646">
        <w:rPr>
          <w:lang w:val="en-GB"/>
        </w:rPr>
        <w:t xml:space="preserve"> </w:t>
      </w:r>
      <w:proofErr w:type="gramStart"/>
      <w:r w:rsidRPr="00081646">
        <w:rPr>
          <w:lang w:val="en-GB"/>
        </w:rPr>
        <w:t>where</w:t>
      </w:r>
      <w:proofErr w:type="gramEnd"/>
      <w:r w:rsidRPr="00081646">
        <w:rPr>
          <w:lang w:val="en-GB"/>
        </w:rPr>
        <w:t>:</w:t>
      </w:r>
    </w:p>
    <w:p w:rsidR="00CF4476" w:rsidRPr="00081646" w:rsidRDefault="00CF4476" w:rsidP="00CF4476">
      <w:pPr>
        <w:ind w:left="720"/>
        <w:rPr>
          <w:lang w:val="en-GB"/>
        </w:rPr>
      </w:pPr>
      <m:oMath>
        <m:r>
          <w:rPr>
            <w:rFonts w:ascii="Cambria Math" w:hAnsi="Cambria Math"/>
            <w:lang w:val="en-GB"/>
          </w:rPr>
          <m:t>MDES</m:t>
        </m:r>
      </m:oMath>
      <w:r w:rsidRPr="00081646">
        <w:rPr>
          <w:rFonts w:eastAsiaTheme="minorEastAsia"/>
          <w:lang w:val="en-GB"/>
        </w:rPr>
        <w:tab/>
      </w:r>
      <w:proofErr w:type="gramStart"/>
      <w:r w:rsidRPr="00081646">
        <w:rPr>
          <w:rFonts w:eastAsiaTheme="minorEastAsia"/>
          <w:lang w:val="en-GB"/>
        </w:rPr>
        <w:t>captures</w:t>
      </w:r>
      <w:proofErr w:type="gramEnd"/>
      <w:r w:rsidRPr="00081646">
        <w:rPr>
          <w:rFonts w:eastAsiaTheme="minorEastAsia"/>
          <w:lang w:val="en-GB"/>
        </w:rPr>
        <w:t xml:space="preserve"> the smallest impact estimate that can be detected with the given significance level, statistical power, and other parameters that effect the standard error of the impact estimate including the number of counties, villages, households, and pre- and post-intervention time points. In order to have a standard measure of power that can be used across all outcomes of interest, MDES is expressed in terms of the standard deviation of the outcome measure (i.e., it corresponds to an effect size)</w:t>
      </w:r>
      <w:r>
        <w:rPr>
          <w:rFonts w:eastAsiaTheme="minorEastAsia"/>
          <w:lang w:val="en-GB"/>
        </w:rPr>
        <w:t>.</w:t>
      </w:r>
      <w:r w:rsidRPr="00081646">
        <w:rPr>
          <w:lang w:val="en-GB"/>
        </w:rPr>
        <w:t xml:space="preserve"> </w:t>
      </w:r>
    </w:p>
    <w:p w:rsidR="00CF4476" w:rsidRPr="00081646" w:rsidRDefault="00CF4476" w:rsidP="00CF4476">
      <w:pPr>
        <w:ind w:firstLine="720"/>
        <w:rPr>
          <w:lang w:val="en-GB"/>
        </w:rPr>
      </w:pPr>
      <m:oMath>
        <m:r>
          <w:rPr>
            <w:rFonts w:ascii="Cambria Math" w:hAnsi="Cambria Math"/>
            <w:lang w:val="en-GB"/>
          </w:rPr>
          <m:t>α</m:t>
        </m:r>
      </m:oMath>
      <w:r w:rsidRPr="00081646">
        <w:rPr>
          <w:lang w:val="en-GB"/>
        </w:rPr>
        <w:t xml:space="preserve"> = significance level (set to 0.05 for a 2-sided test)</w:t>
      </w:r>
      <w:r>
        <w:rPr>
          <w:lang w:val="en-GB"/>
        </w:rPr>
        <w:t>.</w:t>
      </w:r>
    </w:p>
    <w:p w:rsidR="00CF4476" w:rsidRPr="00081646" w:rsidRDefault="00CF4476" w:rsidP="00CF4476">
      <w:pPr>
        <w:ind w:left="720"/>
        <w:rPr>
          <w:lang w:val="en-GB"/>
        </w:rPr>
      </w:pPr>
      <m:oMath>
        <m:r>
          <w:rPr>
            <w:rFonts w:ascii="Cambria Math" w:hAnsi="Cambria Math"/>
            <w:lang w:val="en-GB"/>
          </w:rPr>
          <m:t>Power</m:t>
        </m:r>
      </m:oMath>
      <w:r w:rsidRPr="00081646">
        <w:rPr>
          <w:lang w:val="en-GB"/>
        </w:rPr>
        <w:t xml:space="preserve"> = desired level of statistical power (set to 0.80 which implies an 80 percent probability of detecting a true effect)</w:t>
      </w:r>
      <w:r>
        <w:rPr>
          <w:lang w:val="en-GB"/>
        </w:rPr>
        <w:t>.</w:t>
      </w:r>
    </w:p>
    <w:p w:rsidR="00CF4476" w:rsidRPr="00081646" w:rsidRDefault="00CF4476" w:rsidP="00CF4476">
      <w:pPr>
        <w:ind w:left="720"/>
        <w:rPr>
          <w:lang w:val="en-GB"/>
        </w:rPr>
      </w:pPr>
      <m:oMath>
        <m:r>
          <w:rPr>
            <w:rFonts w:ascii="Cambria Math" w:hAnsi="Cambria Math"/>
            <w:lang w:val="en-GB"/>
          </w:rPr>
          <m:t>dof</m:t>
        </m:r>
      </m:oMath>
      <w:r w:rsidRPr="00081646">
        <w:rPr>
          <w:lang w:val="en-GB"/>
        </w:rPr>
        <w:t xml:space="preserve"> =</w:t>
      </w:r>
      <w:r>
        <w:rPr>
          <w:lang w:val="en-GB"/>
        </w:rPr>
        <w:t xml:space="preserve"> </w:t>
      </w:r>
      <w:r w:rsidRPr="00081646">
        <w:rPr>
          <w:lang w:val="en-GB"/>
        </w:rPr>
        <w:t>degrees of freedom which equals the total number of observations minus number of covariates and groups (counties, villages, and households)</w:t>
      </w:r>
      <w:r>
        <w:rPr>
          <w:lang w:val="en-GB"/>
        </w:rPr>
        <w:t>.</w:t>
      </w:r>
    </w:p>
    <w:p w:rsidR="00CF4476" w:rsidRPr="00081646" w:rsidRDefault="00D264E5" w:rsidP="00CF4476">
      <w:pPr>
        <w:ind w:left="720"/>
        <w:rPr>
          <w:rFonts w:eastAsiaTheme="minorEastAsia"/>
          <w:lang w:val="en-GB"/>
        </w:rPr>
      </w:pPr>
      <m:oMath>
        <m:sSubSup>
          <m:sSubSupPr>
            <m:ctrlPr>
              <w:rPr>
                <w:rFonts w:ascii="Cambria Math" w:eastAsiaTheme="minorEastAsia" w:hAnsi="Cambria Math"/>
                <w:i/>
                <w:lang w:val="en-GB"/>
              </w:rPr>
            </m:ctrlPr>
          </m:sSubSupPr>
          <m:e>
            <m:r>
              <w:rPr>
                <w:rFonts w:ascii="Cambria Math" w:eastAsiaTheme="minorEastAsia" w:hAnsi="Cambria Math"/>
                <w:lang w:val="en-GB"/>
              </w:rPr>
              <m:t>σ</m:t>
            </m:r>
          </m:e>
          <m:sub>
            <m:r>
              <w:rPr>
                <w:rFonts w:ascii="Cambria Math" w:eastAsiaTheme="minorEastAsia" w:hAnsi="Cambria Math"/>
                <w:lang w:val="en-GB"/>
              </w:rPr>
              <m:t>μ</m:t>
            </m:r>
          </m:sub>
          <m:sup>
            <m:r>
              <w:rPr>
                <w:rFonts w:ascii="Cambria Math" w:eastAsiaTheme="minorEastAsia" w:hAnsi="Cambria Math"/>
                <w:lang w:val="en-GB"/>
              </w:rPr>
              <m:t>2</m:t>
            </m:r>
          </m:sup>
        </m:sSubSup>
      </m:oMath>
      <w:r w:rsidR="00CF4476">
        <w:rPr>
          <w:rFonts w:eastAsiaTheme="minorEastAsia"/>
          <w:lang w:val="en-GB"/>
        </w:rPr>
        <w:t xml:space="preserve"> </w:t>
      </w:r>
      <w:r w:rsidR="00CF4476" w:rsidRPr="00081646">
        <w:rPr>
          <w:rFonts w:eastAsiaTheme="minorEastAsia"/>
          <w:lang w:val="en-GB"/>
        </w:rPr>
        <w:t>= proportion of the outcome variance that lies across villages within counties</w:t>
      </w:r>
      <w:r w:rsidR="00CF4476">
        <w:rPr>
          <w:rFonts w:eastAsiaTheme="minorEastAsia"/>
          <w:lang w:val="en-GB"/>
        </w:rPr>
        <w:t>.</w:t>
      </w:r>
    </w:p>
    <w:p w:rsidR="00CF4476" w:rsidRPr="00081646" w:rsidRDefault="00D264E5" w:rsidP="00CF4476">
      <w:pPr>
        <w:ind w:left="720"/>
        <w:rPr>
          <w:rFonts w:eastAsiaTheme="minorEastAsia"/>
          <w:lang w:val="en-GB"/>
        </w:rPr>
      </w:pPr>
      <m:oMath>
        <m:sSubSup>
          <m:sSubSupPr>
            <m:ctrlPr>
              <w:rPr>
                <w:rFonts w:ascii="Cambria Math" w:eastAsiaTheme="minorEastAsia" w:hAnsi="Cambria Math"/>
                <w:i/>
                <w:lang w:val="en-GB"/>
              </w:rPr>
            </m:ctrlPr>
          </m:sSubSupPr>
          <m:e>
            <m:r>
              <w:rPr>
                <w:rFonts w:ascii="Cambria Math" w:eastAsiaTheme="minorEastAsia" w:hAnsi="Cambria Math"/>
                <w:lang w:val="en-GB"/>
              </w:rPr>
              <m:t>σ</m:t>
            </m:r>
          </m:e>
          <m:sub>
            <m:r>
              <w:rPr>
                <w:rFonts w:ascii="Cambria Math" w:eastAsiaTheme="minorEastAsia" w:hAnsi="Cambria Math"/>
                <w:lang w:val="en-GB"/>
              </w:rPr>
              <m:t>δ</m:t>
            </m:r>
          </m:sub>
          <m:sup>
            <m:r>
              <w:rPr>
                <w:rFonts w:ascii="Cambria Math" w:eastAsiaTheme="minorEastAsia" w:hAnsi="Cambria Math"/>
                <w:lang w:val="en-GB"/>
              </w:rPr>
              <m:t>2</m:t>
            </m:r>
          </m:sup>
        </m:sSubSup>
      </m:oMath>
      <w:r w:rsidR="00CF4476">
        <w:rPr>
          <w:rFonts w:eastAsiaTheme="minorEastAsia"/>
          <w:lang w:val="en-GB"/>
        </w:rPr>
        <w:t xml:space="preserve"> </w:t>
      </w:r>
      <w:r w:rsidR="00CF4476" w:rsidRPr="00081646">
        <w:rPr>
          <w:rFonts w:eastAsiaTheme="minorEastAsia"/>
          <w:lang w:val="en-GB"/>
        </w:rPr>
        <w:t>= proportion of the outcome variance that lies across households within villages</w:t>
      </w:r>
      <w:r w:rsidR="00CF4476">
        <w:rPr>
          <w:rFonts w:eastAsiaTheme="minorEastAsia"/>
          <w:lang w:val="en-GB"/>
        </w:rPr>
        <w:t>.</w:t>
      </w:r>
    </w:p>
    <w:p w:rsidR="00CF4476" w:rsidRPr="00081646" w:rsidRDefault="00D264E5" w:rsidP="00CF4476">
      <w:pPr>
        <w:ind w:left="720"/>
        <w:rPr>
          <w:rFonts w:eastAsiaTheme="minorEastAsia"/>
          <w:lang w:val="en-GB"/>
        </w:rPr>
      </w:pPr>
      <m:oMath>
        <m:sSubSup>
          <m:sSubSupPr>
            <m:ctrlPr>
              <w:rPr>
                <w:rFonts w:ascii="Cambria Math" w:eastAsiaTheme="minorEastAsia" w:hAnsi="Cambria Math"/>
                <w:i/>
                <w:lang w:val="en-GB"/>
              </w:rPr>
            </m:ctrlPr>
          </m:sSubSupPr>
          <m:e>
            <m:r>
              <w:rPr>
                <w:rFonts w:ascii="Cambria Math" w:eastAsiaTheme="minorEastAsia" w:hAnsi="Cambria Math"/>
                <w:lang w:val="en-GB"/>
              </w:rPr>
              <m:t>σ</m:t>
            </m:r>
          </m:e>
          <m:sub>
            <m:r>
              <w:rPr>
                <w:rFonts w:ascii="Cambria Math" w:eastAsiaTheme="minorEastAsia" w:hAnsi="Cambria Math"/>
                <w:lang w:val="en-GB"/>
              </w:rPr>
              <m:t>ϵ</m:t>
            </m:r>
          </m:sub>
          <m:sup>
            <m:r>
              <w:rPr>
                <w:rFonts w:ascii="Cambria Math" w:eastAsiaTheme="minorEastAsia" w:hAnsi="Cambria Math"/>
                <w:lang w:val="en-GB"/>
              </w:rPr>
              <m:t>2</m:t>
            </m:r>
          </m:sup>
        </m:sSubSup>
      </m:oMath>
      <w:r w:rsidR="00CF4476">
        <w:rPr>
          <w:rFonts w:eastAsiaTheme="minorEastAsia"/>
          <w:lang w:val="en-GB"/>
        </w:rPr>
        <w:t xml:space="preserve"> </w:t>
      </w:r>
      <w:r w:rsidR="00CF4476" w:rsidRPr="00081646">
        <w:rPr>
          <w:rFonts w:eastAsiaTheme="minorEastAsia"/>
          <w:lang w:val="en-GB"/>
        </w:rPr>
        <w:t>= proportion of the outcome variance that lies across multiple observations that belong to the same households</w:t>
      </w:r>
      <w:r w:rsidR="00CF4476">
        <w:rPr>
          <w:rFonts w:eastAsiaTheme="minorEastAsia"/>
          <w:lang w:val="en-GB"/>
        </w:rPr>
        <w:t>.</w:t>
      </w:r>
    </w:p>
    <w:p w:rsidR="00CF4476" w:rsidRPr="00081646" w:rsidRDefault="00D264E5" w:rsidP="00CF4476">
      <w:pPr>
        <w:ind w:left="720"/>
        <w:rPr>
          <w:rFonts w:eastAsiaTheme="minorEastAsia"/>
          <w:lang w:val="en-GB"/>
        </w:rPr>
      </w:pPr>
      <m:oMath>
        <m:sSubSup>
          <m:sSubSupPr>
            <m:ctrlPr>
              <w:rPr>
                <w:rFonts w:ascii="Cambria Math" w:eastAsiaTheme="minorEastAsia" w:hAnsi="Cambria Math"/>
                <w:i/>
                <w:lang w:val="en-GB"/>
              </w:rPr>
            </m:ctrlPr>
          </m:sSubSupPr>
          <m:e>
            <m:r>
              <w:rPr>
                <w:rFonts w:ascii="Cambria Math" w:eastAsiaTheme="minorEastAsia" w:hAnsi="Cambria Math"/>
                <w:lang w:val="en-GB"/>
              </w:rPr>
              <m:t>R</m:t>
            </m:r>
          </m:e>
          <m:sub>
            <m:r>
              <w:rPr>
                <w:rFonts w:ascii="Cambria Math" w:eastAsiaTheme="minorEastAsia" w:hAnsi="Cambria Math"/>
                <w:lang w:val="en-GB"/>
              </w:rPr>
              <m:t>μ</m:t>
            </m:r>
          </m:sub>
          <m:sup>
            <m:r>
              <w:rPr>
                <w:rFonts w:ascii="Cambria Math" w:eastAsiaTheme="minorEastAsia" w:hAnsi="Cambria Math"/>
                <w:lang w:val="en-GB"/>
              </w:rPr>
              <m:t>2</m:t>
            </m:r>
          </m:sup>
        </m:sSubSup>
      </m:oMath>
      <w:r w:rsidR="00CF4476">
        <w:rPr>
          <w:rFonts w:eastAsiaTheme="minorEastAsia"/>
          <w:lang w:val="en-GB"/>
        </w:rPr>
        <w:t xml:space="preserve"> </w:t>
      </w:r>
      <w:r w:rsidR="00CF4476" w:rsidRPr="00081646">
        <w:rPr>
          <w:rFonts w:eastAsiaTheme="minorEastAsia"/>
          <w:lang w:val="en-GB"/>
        </w:rPr>
        <w:t>= proportion of the outcome variance at the village-level explained by covariates included in the model</w:t>
      </w:r>
      <w:r w:rsidR="00CF4476">
        <w:rPr>
          <w:rFonts w:eastAsiaTheme="minorEastAsia"/>
          <w:lang w:val="en-GB"/>
        </w:rPr>
        <w:t>.</w:t>
      </w:r>
    </w:p>
    <w:p w:rsidR="00CF4476" w:rsidRPr="00081646" w:rsidRDefault="00D264E5" w:rsidP="00CF4476">
      <w:pPr>
        <w:ind w:left="720"/>
        <w:rPr>
          <w:rFonts w:eastAsiaTheme="minorEastAsia"/>
          <w:lang w:val="en-GB"/>
        </w:rPr>
      </w:pPr>
      <m:oMath>
        <m:sSubSup>
          <m:sSubSupPr>
            <m:ctrlPr>
              <w:rPr>
                <w:rFonts w:ascii="Cambria Math" w:eastAsiaTheme="minorEastAsia" w:hAnsi="Cambria Math"/>
                <w:i/>
                <w:lang w:val="en-GB"/>
              </w:rPr>
            </m:ctrlPr>
          </m:sSubSupPr>
          <m:e>
            <m:r>
              <w:rPr>
                <w:rFonts w:ascii="Cambria Math" w:eastAsiaTheme="minorEastAsia" w:hAnsi="Cambria Math"/>
                <w:lang w:val="en-GB"/>
              </w:rPr>
              <m:t>R</m:t>
            </m:r>
          </m:e>
          <m:sub>
            <m:r>
              <w:rPr>
                <w:rFonts w:ascii="Cambria Math" w:eastAsiaTheme="minorEastAsia" w:hAnsi="Cambria Math"/>
                <w:lang w:val="en-GB"/>
              </w:rPr>
              <m:t>δ</m:t>
            </m:r>
          </m:sub>
          <m:sup>
            <m:r>
              <w:rPr>
                <w:rFonts w:ascii="Cambria Math" w:eastAsiaTheme="minorEastAsia" w:hAnsi="Cambria Math"/>
                <w:lang w:val="en-GB"/>
              </w:rPr>
              <m:t>2</m:t>
            </m:r>
          </m:sup>
        </m:sSubSup>
      </m:oMath>
      <w:r w:rsidR="00CF4476">
        <w:rPr>
          <w:rFonts w:eastAsiaTheme="minorEastAsia"/>
          <w:lang w:val="en-GB"/>
        </w:rPr>
        <w:t xml:space="preserve"> </w:t>
      </w:r>
      <w:r w:rsidR="00CF4476" w:rsidRPr="00081646">
        <w:rPr>
          <w:rFonts w:eastAsiaTheme="minorEastAsia"/>
          <w:lang w:val="en-GB"/>
        </w:rPr>
        <w:t>= proportion of the outcome variance at the household-level explained by covariates included in the model</w:t>
      </w:r>
      <w:r w:rsidR="00CF4476">
        <w:rPr>
          <w:rFonts w:eastAsiaTheme="minorEastAsia"/>
          <w:lang w:val="en-GB"/>
        </w:rPr>
        <w:t>.</w:t>
      </w:r>
    </w:p>
    <w:p w:rsidR="00CF4476" w:rsidRPr="00081646" w:rsidRDefault="00D264E5" w:rsidP="00CF4476">
      <w:pPr>
        <w:ind w:left="720"/>
        <w:rPr>
          <w:lang w:val="en-GB"/>
        </w:rPr>
      </w:pPr>
      <m:oMath>
        <m:sSubSup>
          <m:sSubSupPr>
            <m:ctrlPr>
              <w:rPr>
                <w:rFonts w:ascii="Cambria Math" w:eastAsiaTheme="minorEastAsia" w:hAnsi="Cambria Math"/>
                <w:i/>
                <w:lang w:val="en-GB"/>
              </w:rPr>
            </m:ctrlPr>
          </m:sSubSupPr>
          <m:e>
            <m:r>
              <w:rPr>
                <w:rFonts w:ascii="Cambria Math" w:eastAsiaTheme="minorEastAsia" w:hAnsi="Cambria Math"/>
                <w:lang w:val="en-GB"/>
              </w:rPr>
              <m:t>R</m:t>
            </m:r>
          </m:e>
          <m:sub>
            <m:r>
              <w:rPr>
                <w:rFonts w:ascii="Cambria Math" w:eastAsiaTheme="minorEastAsia" w:hAnsi="Cambria Math"/>
                <w:lang w:val="en-GB"/>
              </w:rPr>
              <m:t>ϵ</m:t>
            </m:r>
          </m:sub>
          <m:sup>
            <m:r>
              <w:rPr>
                <w:rFonts w:ascii="Cambria Math" w:eastAsiaTheme="minorEastAsia" w:hAnsi="Cambria Math"/>
                <w:lang w:val="en-GB"/>
              </w:rPr>
              <m:t>2</m:t>
            </m:r>
          </m:sup>
        </m:sSubSup>
      </m:oMath>
      <w:r w:rsidR="00CF4476" w:rsidRPr="00081646">
        <w:rPr>
          <w:lang w:val="en-GB"/>
        </w:rPr>
        <w:t xml:space="preserve"> = proportion of the within-individual outcome variance explained by covariates included in the model</w:t>
      </w:r>
      <w:r w:rsidR="00CF4476">
        <w:rPr>
          <w:lang w:val="en-GB"/>
        </w:rPr>
        <w:t>.</w:t>
      </w:r>
    </w:p>
    <w:p w:rsidR="00CF4476" w:rsidRPr="00081646" w:rsidRDefault="00D264E5" w:rsidP="00CF4476">
      <w:pPr>
        <w:ind w:left="720"/>
        <w:rPr>
          <w:lang w:val="en-GB"/>
        </w:rPr>
      </w:pPr>
      <m:oMath>
        <m:sSubSup>
          <m:sSubSupPr>
            <m:ctrlPr>
              <w:rPr>
                <w:rFonts w:ascii="Cambria Math" w:eastAsiaTheme="minorEastAsia" w:hAnsi="Cambria Math"/>
                <w:i/>
                <w:lang w:val="en-GB"/>
              </w:rPr>
            </m:ctrlPr>
          </m:sSubSupPr>
          <m:e>
            <m:r>
              <w:rPr>
                <w:rFonts w:ascii="Cambria Math" w:eastAsiaTheme="minorEastAsia" w:hAnsi="Cambria Math"/>
                <w:lang w:val="en-GB"/>
              </w:rPr>
              <m:t>R</m:t>
            </m:r>
          </m:e>
          <m:sub>
            <m:r>
              <w:rPr>
                <w:rFonts w:ascii="Cambria Math" w:eastAsiaTheme="minorEastAsia" w:hAnsi="Cambria Math"/>
                <w:lang w:val="en-GB"/>
              </w:rPr>
              <m:t>time,Post</m:t>
            </m:r>
          </m:sub>
          <m:sup>
            <m:r>
              <w:rPr>
                <w:rFonts w:ascii="Cambria Math" w:eastAsiaTheme="minorEastAsia" w:hAnsi="Cambria Math"/>
                <w:lang w:val="en-GB"/>
              </w:rPr>
              <m:t>2</m:t>
            </m:r>
          </m:sup>
        </m:sSubSup>
      </m:oMath>
      <w:r w:rsidR="00CF4476" w:rsidRPr="00081646">
        <w:rPr>
          <w:rFonts w:eastAsiaTheme="minorEastAsia"/>
          <w:lang w:val="en-GB"/>
        </w:rPr>
        <w:t xml:space="preserve"> = square of the correlation between the </w:t>
      </w:r>
      <w:r w:rsidR="00CF4476" w:rsidRPr="00E939C4">
        <w:rPr>
          <w:rFonts w:eastAsiaTheme="minorEastAsia"/>
          <w:i/>
          <w:lang w:val="en-GB"/>
        </w:rPr>
        <w:t>Post</w:t>
      </w:r>
      <w:r w:rsidR="00CF4476" w:rsidRPr="00081646">
        <w:rPr>
          <w:rFonts w:eastAsiaTheme="minorEastAsia"/>
          <w:lang w:val="en-GB"/>
        </w:rPr>
        <w:t xml:space="preserve"> indicator in Equation 1 (which yields the treatment effect estimate) and the time count. Note that this correlation is proportional to the sample size requirements (i.e., a larger correlation increases the number of household keeping the MDES constant)</w:t>
      </w:r>
      <w:r w:rsidR="00CF4476">
        <w:rPr>
          <w:rFonts w:eastAsiaTheme="minorEastAsia"/>
          <w:lang w:val="en-GB"/>
        </w:rPr>
        <w:t>.</w:t>
      </w:r>
      <w:r w:rsidR="00CF4476" w:rsidRPr="00081646">
        <w:rPr>
          <w:lang w:val="en-GB"/>
        </w:rPr>
        <w:t xml:space="preserve"> </w:t>
      </w:r>
    </w:p>
    <w:p w:rsidR="00CF4476" w:rsidRPr="00081646" w:rsidRDefault="00CF4476" w:rsidP="00CF4476">
      <w:pPr>
        <w:ind w:firstLine="720"/>
        <w:rPr>
          <w:rFonts w:eastAsiaTheme="minorEastAsia"/>
          <w:lang w:val="en-GB"/>
        </w:rPr>
      </w:pPr>
      <m:oMath>
        <m:r>
          <w:rPr>
            <w:rFonts w:ascii="Cambria Math" w:hAnsi="Cambria Math"/>
            <w:lang w:val="en-GB"/>
          </w:rPr>
          <m:t>J</m:t>
        </m:r>
      </m:oMath>
      <w:r w:rsidRPr="00081646">
        <w:rPr>
          <w:rFonts w:eastAsiaTheme="minorEastAsia"/>
          <w:lang w:val="en-GB"/>
        </w:rPr>
        <w:tab/>
        <w:t>= average number of villages per county</w:t>
      </w:r>
      <w:r>
        <w:rPr>
          <w:rFonts w:eastAsiaTheme="minorEastAsia"/>
          <w:lang w:val="en-GB"/>
        </w:rPr>
        <w:t>.</w:t>
      </w:r>
    </w:p>
    <w:p w:rsidR="00CF4476" w:rsidRPr="00081646" w:rsidRDefault="00CF4476" w:rsidP="00CF4476">
      <w:pPr>
        <w:ind w:firstLine="720"/>
        <w:rPr>
          <w:rFonts w:eastAsiaTheme="minorEastAsia"/>
          <w:lang w:val="en-GB"/>
        </w:rPr>
      </w:pPr>
      <m:oMath>
        <m:r>
          <w:rPr>
            <w:rFonts w:ascii="Cambria Math" w:hAnsi="Cambria Math"/>
            <w:lang w:val="en-GB"/>
          </w:rPr>
          <m:t>H</m:t>
        </m:r>
      </m:oMath>
      <w:r w:rsidRPr="00081646">
        <w:rPr>
          <w:rFonts w:eastAsiaTheme="minorEastAsia"/>
          <w:lang w:val="en-GB"/>
        </w:rPr>
        <w:tab/>
        <w:t>= average number of households per village</w:t>
      </w:r>
      <w:r>
        <w:rPr>
          <w:rFonts w:eastAsiaTheme="minorEastAsia"/>
          <w:lang w:val="en-GB"/>
        </w:rPr>
        <w:t>.</w:t>
      </w:r>
    </w:p>
    <w:p w:rsidR="00CF4476" w:rsidRPr="00081646" w:rsidRDefault="00CF4476" w:rsidP="00CF4476">
      <w:pPr>
        <w:ind w:firstLine="720"/>
        <w:rPr>
          <w:rFonts w:eastAsiaTheme="minorEastAsia"/>
          <w:lang w:val="en-GB"/>
        </w:rPr>
      </w:pPr>
      <m:oMath>
        <m:r>
          <w:rPr>
            <w:rFonts w:ascii="Cambria Math" w:hAnsi="Cambria Math"/>
            <w:lang w:val="en-GB"/>
          </w:rPr>
          <m:t>T</m:t>
        </m:r>
      </m:oMath>
      <w:r w:rsidRPr="00081646">
        <w:rPr>
          <w:rFonts w:eastAsiaTheme="minorEastAsia"/>
          <w:lang w:val="en-GB"/>
        </w:rPr>
        <w:tab/>
        <w:t>= number of observations per household</w:t>
      </w:r>
      <w:r>
        <w:rPr>
          <w:rFonts w:eastAsiaTheme="minorEastAsia"/>
          <w:lang w:val="en-GB"/>
        </w:rPr>
        <w:t>.</w:t>
      </w:r>
    </w:p>
    <w:p w:rsidR="00CF4476" w:rsidRPr="00081646" w:rsidRDefault="00CF4476" w:rsidP="00CF4476">
      <w:pPr>
        <w:ind w:firstLine="720"/>
        <w:rPr>
          <w:rFonts w:eastAsiaTheme="minorEastAsia"/>
          <w:lang w:val="en-GB"/>
        </w:rPr>
      </w:pPr>
      <m:oMath>
        <m:r>
          <w:rPr>
            <w:rFonts w:ascii="Cambria Math" w:hAnsi="Cambria Math"/>
            <w:lang w:val="en-GB"/>
          </w:rPr>
          <m:t>p</m:t>
        </m:r>
      </m:oMath>
      <w:r w:rsidRPr="00081646">
        <w:rPr>
          <w:rFonts w:eastAsiaTheme="minorEastAsia"/>
          <w:lang w:val="en-GB"/>
        </w:rPr>
        <w:tab/>
        <w:t>= proportion of observations in the post-treatment period</w:t>
      </w:r>
      <w:r>
        <w:rPr>
          <w:rFonts w:eastAsiaTheme="minorEastAsia"/>
          <w:lang w:val="en-GB"/>
        </w:rPr>
        <w:t xml:space="preserve"> (which equals 0.25)</w:t>
      </w:r>
      <w:r w:rsidRPr="00081646">
        <w:rPr>
          <w:rFonts w:eastAsiaTheme="minorEastAsia"/>
          <w:lang w:val="en-GB"/>
        </w:rPr>
        <w:t xml:space="preserve">. </w:t>
      </w:r>
    </w:p>
    <w:p w:rsidR="00CF4476" w:rsidRPr="00081646" w:rsidRDefault="00CF4476" w:rsidP="00CF4476">
      <w:pPr>
        <w:pStyle w:val="BodyText"/>
        <w:spacing w:before="240"/>
        <w:rPr>
          <w:rFonts w:eastAsiaTheme="minorEastAsia"/>
          <w:lang w:val="en-GB"/>
        </w:rPr>
      </w:pPr>
      <w:r w:rsidRPr="00081646">
        <w:rPr>
          <w:rFonts w:eastAsiaTheme="minorEastAsia"/>
          <w:lang w:val="en-GB"/>
        </w:rPr>
        <w:lastRenderedPageBreak/>
        <w:t xml:space="preserve">Equation </w:t>
      </w:r>
      <w:r>
        <w:rPr>
          <w:rFonts w:eastAsiaTheme="minorEastAsia"/>
          <w:lang w:val="en-GB"/>
        </w:rPr>
        <w:t>7</w:t>
      </w:r>
      <w:r w:rsidRPr="00081646">
        <w:rPr>
          <w:rFonts w:eastAsiaTheme="minorEastAsia"/>
          <w:lang w:val="en-GB"/>
        </w:rPr>
        <w:t xml:space="preserve"> is based on the assumption that the outcome measure will be scaled so that its standard deviation is one and the corresponding impact estimate is expressed as an effect size. This also implies that sum of the all variance components (i.e., outcome variance that lies at the county, village, household, and time levels) is one:</w:t>
      </w:r>
    </w:p>
    <w:p w:rsidR="00CF4476" w:rsidRPr="00081646" w:rsidRDefault="00CF4476" w:rsidP="00CF4476">
      <w:pPr>
        <w:pStyle w:val="BodyText"/>
        <w:spacing w:before="240"/>
        <w:ind w:firstLine="720"/>
        <w:rPr>
          <w:rFonts w:eastAsiaTheme="minorEastAsia"/>
          <w:lang w:val="en-GB"/>
        </w:rPr>
      </w:pPr>
      <w:r w:rsidRPr="00081646">
        <w:rPr>
          <w:rFonts w:eastAsiaTheme="minorEastAsia"/>
          <w:lang w:val="en-GB"/>
        </w:rPr>
        <w:t>(</w:t>
      </w:r>
      <w:r>
        <w:rPr>
          <w:rFonts w:eastAsiaTheme="minorEastAsia"/>
          <w:lang w:val="en-GB"/>
        </w:rPr>
        <w:t>8</w:t>
      </w:r>
      <w:r w:rsidRPr="00081646">
        <w:rPr>
          <w:rFonts w:eastAsiaTheme="minorEastAsia"/>
          <w:lang w:val="en-GB"/>
        </w:rPr>
        <w:t xml:space="preserve">) </w:t>
      </w:r>
      <m:oMath>
        <m:sSubSup>
          <m:sSubSupPr>
            <m:ctrlPr>
              <w:rPr>
                <w:rFonts w:ascii="Cambria Math" w:eastAsiaTheme="minorEastAsia" w:hAnsi="Cambria Math"/>
                <w:i/>
                <w:lang w:val="en-GB"/>
              </w:rPr>
            </m:ctrlPr>
          </m:sSubSupPr>
          <m:e>
            <m:r>
              <w:rPr>
                <w:rFonts w:ascii="Cambria Math" w:eastAsiaTheme="minorEastAsia" w:hAnsi="Cambria Math"/>
                <w:lang w:val="en-GB"/>
              </w:rPr>
              <m:t>σ</m:t>
            </m:r>
          </m:e>
          <m:sub>
            <m:r>
              <w:rPr>
                <w:rFonts w:ascii="Cambria Math" w:eastAsiaTheme="minorEastAsia" w:hAnsi="Cambria Math"/>
                <w:lang w:val="en-GB"/>
              </w:rPr>
              <m:t>Y</m:t>
            </m:r>
          </m:sub>
          <m:sup>
            <m:r>
              <w:rPr>
                <w:rFonts w:ascii="Cambria Math" w:eastAsiaTheme="minorEastAsia" w:hAnsi="Cambria Math"/>
                <w:lang w:val="en-GB"/>
              </w:rPr>
              <m:t>2</m:t>
            </m:r>
          </m:sup>
        </m:sSubSup>
        <m:r>
          <w:rPr>
            <w:rFonts w:ascii="Cambria Math" w:eastAsiaTheme="minorEastAsia" w:hAnsi="Cambria Math"/>
            <w:lang w:val="en-GB"/>
          </w:rPr>
          <m:t>=</m:t>
        </m:r>
      </m:oMath>
      <w:r w:rsidRPr="00081646">
        <w:rPr>
          <w:rFonts w:eastAsiaTheme="minorEastAsia"/>
          <w:lang w:val="en-GB"/>
        </w:rPr>
        <w:t xml:space="preserve"> </w:t>
      </w:r>
      <m:oMath>
        <m:sSubSup>
          <m:sSubSupPr>
            <m:ctrlPr>
              <w:rPr>
                <w:rFonts w:ascii="Cambria Math" w:eastAsiaTheme="minorEastAsia" w:hAnsi="Cambria Math"/>
                <w:i/>
                <w:lang w:val="en-GB"/>
              </w:rPr>
            </m:ctrlPr>
          </m:sSubSupPr>
          <m:e>
            <m:r>
              <w:rPr>
                <w:rFonts w:ascii="Cambria Math" w:eastAsiaTheme="minorEastAsia" w:hAnsi="Cambria Math"/>
                <w:lang w:val="en-GB"/>
              </w:rPr>
              <m:t>σ</m:t>
            </m:r>
          </m:e>
          <m:sub>
            <m:r>
              <w:rPr>
                <w:rFonts w:ascii="Cambria Math" w:eastAsiaTheme="minorEastAsia" w:hAnsi="Cambria Math"/>
                <w:lang w:val="en-GB"/>
              </w:rPr>
              <m:t>c</m:t>
            </m:r>
          </m:sub>
          <m:sup>
            <m:r>
              <w:rPr>
                <w:rFonts w:ascii="Cambria Math" w:eastAsiaTheme="minorEastAsia" w:hAnsi="Cambria Math"/>
                <w:lang w:val="en-GB"/>
              </w:rPr>
              <m:t>2</m:t>
            </m:r>
          </m:sup>
        </m:sSubSup>
        <m:r>
          <w:rPr>
            <w:rFonts w:ascii="Cambria Math" w:eastAsiaTheme="minorEastAsia" w:hAnsi="Cambria Math"/>
            <w:lang w:val="en-GB"/>
          </w:rPr>
          <m:t>+</m:t>
        </m:r>
        <m:sSubSup>
          <m:sSubSupPr>
            <m:ctrlPr>
              <w:rPr>
                <w:rFonts w:ascii="Cambria Math" w:eastAsiaTheme="minorEastAsia" w:hAnsi="Cambria Math"/>
                <w:i/>
                <w:lang w:val="en-GB"/>
              </w:rPr>
            </m:ctrlPr>
          </m:sSubSupPr>
          <m:e>
            <m:r>
              <w:rPr>
                <w:rFonts w:ascii="Cambria Math" w:eastAsiaTheme="minorEastAsia" w:hAnsi="Cambria Math"/>
                <w:lang w:val="en-GB"/>
              </w:rPr>
              <m:t>σ</m:t>
            </m:r>
          </m:e>
          <m:sub>
            <m:r>
              <w:rPr>
                <w:rFonts w:ascii="Cambria Math" w:eastAsiaTheme="minorEastAsia" w:hAnsi="Cambria Math"/>
                <w:lang w:val="en-GB"/>
              </w:rPr>
              <m:t>μ</m:t>
            </m:r>
          </m:sub>
          <m:sup>
            <m:r>
              <w:rPr>
                <w:rFonts w:ascii="Cambria Math" w:eastAsiaTheme="minorEastAsia" w:hAnsi="Cambria Math"/>
                <w:lang w:val="en-GB"/>
              </w:rPr>
              <m:t>2</m:t>
            </m:r>
          </m:sup>
        </m:sSubSup>
        <m:r>
          <w:rPr>
            <w:rFonts w:ascii="Cambria Math" w:eastAsiaTheme="minorEastAsia" w:hAnsi="Cambria Math"/>
            <w:lang w:val="en-GB"/>
          </w:rPr>
          <m:t>+</m:t>
        </m:r>
        <m:sSubSup>
          <m:sSubSupPr>
            <m:ctrlPr>
              <w:rPr>
                <w:rFonts w:ascii="Cambria Math" w:eastAsiaTheme="minorEastAsia" w:hAnsi="Cambria Math"/>
                <w:i/>
                <w:lang w:val="en-GB"/>
              </w:rPr>
            </m:ctrlPr>
          </m:sSubSupPr>
          <m:e>
            <m:r>
              <w:rPr>
                <w:rFonts w:ascii="Cambria Math" w:eastAsiaTheme="minorEastAsia" w:hAnsi="Cambria Math"/>
                <w:lang w:val="en-GB"/>
              </w:rPr>
              <m:t>σ</m:t>
            </m:r>
          </m:e>
          <m:sub>
            <m:r>
              <w:rPr>
                <w:rFonts w:ascii="Cambria Math" w:eastAsiaTheme="minorEastAsia" w:hAnsi="Cambria Math"/>
                <w:lang w:val="en-GB"/>
              </w:rPr>
              <m:t>δ</m:t>
            </m:r>
          </m:sub>
          <m:sup>
            <m:r>
              <w:rPr>
                <w:rFonts w:ascii="Cambria Math" w:eastAsiaTheme="minorEastAsia" w:hAnsi="Cambria Math"/>
                <w:lang w:val="en-GB"/>
              </w:rPr>
              <m:t>2</m:t>
            </m:r>
          </m:sup>
        </m:sSubSup>
        <m:r>
          <w:rPr>
            <w:rFonts w:ascii="Cambria Math" w:eastAsiaTheme="minorEastAsia" w:hAnsi="Cambria Math"/>
            <w:lang w:val="en-GB"/>
          </w:rPr>
          <m:t>+</m:t>
        </m:r>
        <m:sSubSup>
          <m:sSubSupPr>
            <m:ctrlPr>
              <w:rPr>
                <w:rFonts w:ascii="Cambria Math" w:eastAsiaTheme="minorEastAsia" w:hAnsi="Cambria Math"/>
                <w:i/>
                <w:lang w:val="en-GB"/>
              </w:rPr>
            </m:ctrlPr>
          </m:sSubSupPr>
          <m:e>
            <m:r>
              <w:rPr>
                <w:rFonts w:ascii="Cambria Math" w:eastAsiaTheme="minorEastAsia" w:hAnsi="Cambria Math"/>
                <w:lang w:val="en-GB"/>
              </w:rPr>
              <m:t>σ</m:t>
            </m:r>
          </m:e>
          <m:sub>
            <m:r>
              <w:rPr>
                <w:rFonts w:ascii="Cambria Math" w:eastAsiaTheme="minorEastAsia" w:hAnsi="Cambria Math"/>
                <w:lang w:val="en-GB"/>
              </w:rPr>
              <m:t>ϵ</m:t>
            </m:r>
          </m:sub>
          <m:sup>
            <m:r>
              <w:rPr>
                <w:rFonts w:ascii="Cambria Math" w:eastAsiaTheme="minorEastAsia" w:hAnsi="Cambria Math"/>
                <w:lang w:val="en-GB"/>
              </w:rPr>
              <m:t>2</m:t>
            </m:r>
          </m:sup>
        </m:sSubSup>
        <m:r>
          <w:rPr>
            <w:rFonts w:ascii="Cambria Math" w:eastAsiaTheme="minorEastAsia" w:hAnsi="Cambria Math"/>
            <w:lang w:val="en-GB"/>
          </w:rPr>
          <m:t>=1</m:t>
        </m:r>
      </m:oMath>
      <w:r w:rsidRPr="00081646">
        <w:rPr>
          <w:rFonts w:eastAsiaTheme="minorEastAsia"/>
          <w:lang w:val="en-GB"/>
        </w:rPr>
        <w:t xml:space="preserve"> </w:t>
      </w:r>
    </w:p>
    <w:p w:rsidR="00CF4476" w:rsidRPr="00081646" w:rsidRDefault="00CF4476" w:rsidP="00CF4476">
      <w:pPr>
        <w:pStyle w:val="BodyText"/>
        <w:spacing w:before="240"/>
        <w:rPr>
          <w:rFonts w:eastAsiaTheme="minorEastAsia"/>
          <w:lang w:val="en-GB"/>
        </w:rPr>
      </w:pPr>
      <w:r w:rsidRPr="00081646">
        <w:rPr>
          <w:rFonts w:eastAsiaTheme="minorEastAsia"/>
          <w:lang w:val="en-GB"/>
        </w:rPr>
        <w:t xml:space="preserve">Of these variance components, Equation </w:t>
      </w:r>
      <w:r>
        <w:rPr>
          <w:rFonts w:eastAsiaTheme="minorEastAsia"/>
          <w:lang w:val="en-GB"/>
        </w:rPr>
        <w:t>8</w:t>
      </w:r>
      <w:r w:rsidRPr="00081646">
        <w:rPr>
          <w:rFonts w:eastAsiaTheme="minorEastAsia"/>
          <w:lang w:val="en-GB"/>
        </w:rPr>
        <w:t xml:space="preserve"> assumes that the outcome variance at the county-level (</w:t>
      </w:r>
      <m:oMath>
        <m:sSubSup>
          <m:sSubSupPr>
            <m:ctrlPr>
              <w:rPr>
                <w:rFonts w:ascii="Cambria Math" w:eastAsiaTheme="minorEastAsia" w:hAnsi="Cambria Math"/>
                <w:i/>
                <w:lang w:val="en-GB"/>
              </w:rPr>
            </m:ctrlPr>
          </m:sSubSupPr>
          <m:e>
            <m:r>
              <w:rPr>
                <w:rFonts w:ascii="Cambria Math" w:eastAsiaTheme="minorEastAsia" w:hAnsi="Cambria Math"/>
                <w:lang w:val="en-GB"/>
              </w:rPr>
              <m:t>σ</m:t>
            </m:r>
          </m:e>
          <m:sub>
            <m:r>
              <w:rPr>
                <w:rFonts w:ascii="Cambria Math" w:eastAsiaTheme="minorEastAsia" w:hAnsi="Cambria Math"/>
                <w:lang w:val="en-GB"/>
              </w:rPr>
              <m:t>c</m:t>
            </m:r>
          </m:sub>
          <m:sup>
            <m:r>
              <w:rPr>
                <w:rFonts w:ascii="Cambria Math" w:eastAsiaTheme="minorEastAsia" w:hAnsi="Cambria Math"/>
                <w:lang w:val="en-GB"/>
              </w:rPr>
              <m:t>2</m:t>
            </m:r>
          </m:sup>
        </m:sSubSup>
      </m:oMath>
      <w:r w:rsidRPr="00081646">
        <w:rPr>
          <w:rFonts w:eastAsiaTheme="minorEastAsia"/>
          <w:lang w:val="en-GB"/>
        </w:rPr>
        <w:t xml:space="preserve">) is fully explained by the county-level fixed effects included in the model represented in Equation 1. </w:t>
      </w:r>
    </w:p>
    <w:p w:rsidR="00CF4476" w:rsidRPr="00081646" w:rsidRDefault="00CF4476" w:rsidP="00CF4476">
      <w:pPr>
        <w:pStyle w:val="BodyText"/>
        <w:spacing w:before="240"/>
        <w:rPr>
          <w:rFonts w:eastAsiaTheme="minorEastAsia"/>
          <w:lang w:val="en-GB"/>
        </w:rPr>
      </w:pPr>
      <w:r w:rsidRPr="00081646">
        <w:rPr>
          <w:rFonts w:eastAsiaTheme="minorEastAsia"/>
          <w:b/>
          <w:lang w:val="en-GB"/>
        </w:rPr>
        <w:t>Required sample sizes.</w:t>
      </w:r>
      <w:r w:rsidRPr="00081646">
        <w:rPr>
          <w:rFonts w:eastAsiaTheme="minorEastAsia"/>
          <w:lang w:val="en-GB"/>
        </w:rPr>
        <w:t xml:space="preserve"> We used the MDES expression in Equation </w:t>
      </w:r>
      <w:r>
        <w:rPr>
          <w:rFonts w:eastAsiaTheme="minorEastAsia"/>
          <w:lang w:val="en-GB"/>
        </w:rPr>
        <w:t>7</w:t>
      </w:r>
      <w:r w:rsidRPr="00081646">
        <w:rPr>
          <w:rFonts w:eastAsiaTheme="minorEastAsia"/>
          <w:lang w:val="en-GB"/>
        </w:rPr>
        <w:t xml:space="preserve"> to calculate the required sample sizes of households in the Rift Valley and the Eastern </w:t>
      </w:r>
      <w:r w:rsidR="006E57A3">
        <w:rPr>
          <w:rFonts w:eastAsiaTheme="minorEastAsia"/>
          <w:lang w:val="en-GB"/>
        </w:rPr>
        <w:t>regions</w:t>
      </w:r>
      <w:r w:rsidRPr="00081646">
        <w:rPr>
          <w:rFonts w:eastAsiaTheme="minorEastAsia"/>
          <w:lang w:val="en-GB"/>
        </w:rPr>
        <w:t>. These analyses are based a number of parameter values and inputs:</w:t>
      </w:r>
    </w:p>
    <w:p w:rsidR="00CF4476" w:rsidRPr="00081646" w:rsidRDefault="00CF4476" w:rsidP="00CF4476">
      <w:pPr>
        <w:pStyle w:val="Bullets"/>
        <w:rPr>
          <w:rFonts w:eastAsiaTheme="minorEastAsia"/>
          <w:lang w:val="en-GB"/>
        </w:rPr>
      </w:pPr>
      <w:r w:rsidRPr="002E137F">
        <w:rPr>
          <w:rFonts w:eastAsiaTheme="minorEastAsia"/>
          <w:i/>
          <w:lang w:val="en-GB"/>
        </w:rPr>
        <w:t>Values for the village, household, and time-level variance components (</w:t>
      </w:r>
      <m:oMath>
        <m:sSubSup>
          <m:sSubSupPr>
            <m:ctrlPr>
              <w:rPr>
                <w:rFonts w:ascii="Cambria Math" w:eastAsiaTheme="minorEastAsia" w:hAnsi="Cambria Math"/>
                <w:i/>
                <w:lang w:val="en-GB"/>
              </w:rPr>
            </m:ctrlPr>
          </m:sSubSupPr>
          <m:e>
            <m:r>
              <w:rPr>
                <w:rFonts w:ascii="Cambria Math" w:eastAsiaTheme="minorEastAsia" w:hAnsi="Cambria Math"/>
                <w:lang w:val="en-GB"/>
              </w:rPr>
              <m:t>σ</m:t>
            </m:r>
          </m:e>
          <m:sub>
            <m:r>
              <w:rPr>
                <w:rFonts w:ascii="Cambria Math" w:eastAsiaTheme="minorEastAsia" w:hAnsi="Cambria Math"/>
                <w:lang w:val="en-GB"/>
              </w:rPr>
              <m:t>μ</m:t>
            </m:r>
          </m:sub>
          <m:sup>
            <m:r>
              <w:rPr>
                <w:rFonts w:ascii="Cambria Math" w:eastAsiaTheme="minorEastAsia" w:hAnsi="Cambria Math"/>
                <w:lang w:val="en-GB"/>
              </w:rPr>
              <m:t>2</m:t>
            </m:r>
          </m:sup>
        </m:sSubSup>
        <m:r>
          <w:rPr>
            <w:rFonts w:ascii="Cambria Math" w:eastAsiaTheme="minorEastAsia" w:hAnsi="Cambria Math"/>
            <w:lang w:val="en-GB"/>
          </w:rPr>
          <m:t>,</m:t>
        </m:r>
        <m:sSubSup>
          <m:sSubSupPr>
            <m:ctrlPr>
              <w:rPr>
                <w:rFonts w:ascii="Cambria Math" w:eastAsiaTheme="minorEastAsia" w:hAnsi="Cambria Math"/>
                <w:i/>
                <w:lang w:val="en-GB"/>
              </w:rPr>
            </m:ctrlPr>
          </m:sSubSupPr>
          <m:e>
            <m:r>
              <w:rPr>
                <w:rFonts w:ascii="Cambria Math" w:eastAsiaTheme="minorEastAsia" w:hAnsi="Cambria Math"/>
                <w:lang w:val="en-GB"/>
              </w:rPr>
              <m:t>σ</m:t>
            </m:r>
          </m:e>
          <m:sub>
            <m:r>
              <w:rPr>
                <w:rFonts w:ascii="Cambria Math" w:eastAsiaTheme="minorEastAsia" w:hAnsi="Cambria Math"/>
                <w:lang w:val="en-GB"/>
              </w:rPr>
              <m:t>δ</m:t>
            </m:r>
          </m:sub>
          <m:sup>
            <m:r>
              <w:rPr>
                <w:rFonts w:ascii="Cambria Math" w:eastAsiaTheme="minorEastAsia" w:hAnsi="Cambria Math"/>
                <w:lang w:val="en-GB"/>
              </w:rPr>
              <m:t>2</m:t>
            </m:r>
          </m:sup>
        </m:sSubSup>
      </m:oMath>
      <w:r w:rsidRPr="002E137F">
        <w:rPr>
          <w:rFonts w:eastAsiaTheme="minorEastAsia"/>
          <w:i/>
          <w:lang w:val="en-GB"/>
        </w:rPr>
        <w:t xml:space="preserve">, </w:t>
      </w:r>
      <w:proofErr w:type="gramStart"/>
      <w:r w:rsidRPr="002E137F">
        <w:rPr>
          <w:rFonts w:eastAsiaTheme="minorEastAsia"/>
          <w:i/>
          <w:lang w:val="en-GB"/>
        </w:rPr>
        <w:t xml:space="preserve">and </w:t>
      </w:r>
      <w:proofErr w:type="gramEnd"/>
      <m:oMath>
        <m:sSubSup>
          <m:sSubSupPr>
            <m:ctrlPr>
              <w:rPr>
                <w:rFonts w:ascii="Cambria Math" w:eastAsiaTheme="minorEastAsia" w:hAnsi="Cambria Math"/>
                <w:i/>
                <w:lang w:val="en-GB"/>
              </w:rPr>
            </m:ctrlPr>
          </m:sSubSupPr>
          <m:e>
            <m:r>
              <w:rPr>
                <w:rFonts w:ascii="Cambria Math" w:eastAsiaTheme="minorEastAsia" w:hAnsi="Cambria Math"/>
                <w:lang w:val="en-GB"/>
              </w:rPr>
              <m:t>σ</m:t>
            </m:r>
          </m:e>
          <m:sub>
            <m:r>
              <w:rPr>
                <w:rFonts w:ascii="Cambria Math" w:eastAsiaTheme="minorEastAsia" w:hAnsi="Cambria Math"/>
                <w:lang w:val="en-GB"/>
              </w:rPr>
              <m:t>ϵ</m:t>
            </m:r>
          </m:sub>
          <m:sup>
            <m:r>
              <w:rPr>
                <w:rFonts w:ascii="Cambria Math" w:eastAsiaTheme="minorEastAsia" w:hAnsi="Cambria Math"/>
                <w:lang w:val="en-GB"/>
              </w:rPr>
              <m:t>2</m:t>
            </m:r>
          </m:sup>
        </m:sSubSup>
      </m:oMath>
      <w:r w:rsidRPr="002E137F">
        <w:rPr>
          <w:rFonts w:eastAsiaTheme="minorEastAsia"/>
          <w:i/>
          <w:lang w:val="en-GB"/>
        </w:rPr>
        <w:t>) and the R</w:t>
      </w:r>
      <w:r w:rsidRPr="00E939C4">
        <w:rPr>
          <w:rFonts w:eastAsiaTheme="minorEastAsia"/>
          <w:i/>
          <w:vertAlign w:val="superscript"/>
          <w:lang w:val="en-GB"/>
        </w:rPr>
        <w:t>2</w:t>
      </w:r>
      <w:r w:rsidRPr="002E137F">
        <w:rPr>
          <w:rFonts w:eastAsiaTheme="minorEastAsia"/>
          <w:i/>
          <w:lang w:val="en-GB"/>
        </w:rPr>
        <w:t xml:space="preserve"> terms at these levels (</w:t>
      </w:r>
      <m:oMath>
        <m:sSubSup>
          <m:sSubSupPr>
            <m:ctrlPr>
              <w:rPr>
                <w:rFonts w:ascii="Cambria Math" w:eastAsiaTheme="minorEastAsia" w:hAnsi="Cambria Math"/>
                <w:i/>
                <w:lang w:val="en-GB"/>
              </w:rPr>
            </m:ctrlPr>
          </m:sSubSupPr>
          <m:e>
            <m:r>
              <w:rPr>
                <w:rFonts w:ascii="Cambria Math" w:eastAsiaTheme="minorEastAsia" w:hAnsi="Cambria Math"/>
                <w:lang w:val="en-GB"/>
              </w:rPr>
              <m:t>R</m:t>
            </m:r>
          </m:e>
          <m:sub>
            <m:r>
              <w:rPr>
                <w:rFonts w:ascii="Cambria Math" w:eastAsiaTheme="minorEastAsia" w:hAnsi="Cambria Math"/>
                <w:lang w:val="en-GB"/>
              </w:rPr>
              <m:t>μ</m:t>
            </m:r>
          </m:sub>
          <m:sup>
            <m:r>
              <w:rPr>
                <w:rFonts w:ascii="Cambria Math" w:eastAsiaTheme="minorEastAsia" w:hAnsi="Cambria Math"/>
                <w:lang w:val="en-GB"/>
              </w:rPr>
              <m:t>2</m:t>
            </m:r>
          </m:sup>
        </m:sSubSup>
        <m:r>
          <w:rPr>
            <w:rFonts w:ascii="Cambria Math" w:eastAsiaTheme="minorEastAsia" w:hAnsi="Cambria Math"/>
            <w:lang w:val="en-GB"/>
          </w:rPr>
          <m:t>,</m:t>
        </m:r>
        <m:sSubSup>
          <m:sSubSupPr>
            <m:ctrlPr>
              <w:rPr>
                <w:rFonts w:ascii="Cambria Math" w:eastAsiaTheme="minorEastAsia" w:hAnsi="Cambria Math"/>
                <w:i/>
                <w:lang w:val="en-GB"/>
              </w:rPr>
            </m:ctrlPr>
          </m:sSubSupPr>
          <m:e>
            <m:r>
              <w:rPr>
                <w:rFonts w:ascii="Cambria Math" w:eastAsiaTheme="minorEastAsia" w:hAnsi="Cambria Math"/>
                <w:lang w:val="en-GB"/>
              </w:rPr>
              <m:t>R</m:t>
            </m:r>
          </m:e>
          <m:sub>
            <m:r>
              <w:rPr>
                <w:rFonts w:ascii="Cambria Math" w:eastAsiaTheme="minorEastAsia" w:hAnsi="Cambria Math"/>
                <w:lang w:val="en-GB"/>
              </w:rPr>
              <m:t>δ</m:t>
            </m:r>
          </m:sub>
          <m:sup>
            <m:r>
              <w:rPr>
                <w:rFonts w:ascii="Cambria Math" w:eastAsiaTheme="minorEastAsia" w:hAnsi="Cambria Math"/>
                <w:lang w:val="en-GB"/>
              </w:rPr>
              <m:t>2</m:t>
            </m:r>
          </m:sup>
        </m:sSubSup>
      </m:oMath>
      <w:r w:rsidRPr="002E137F">
        <w:rPr>
          <w:rFonts w:eastAsiaTheme="minorEastAsia"/>
          <w:i/>
          <w:lang w:val="en-GB"/>
        </w:rPr>
        <w:t xml:space="preserve">, and </w:t>
      </w:r>
      <m:oMath>
        <m:sSubSup>
          <m:sSubSupPr>
            <m:ctrlPr>
              <w:rPr>
                <w:rFonts w:ascii="Cambria Math" w:eastAsiaTheme="minorEastAsia" w:hAnsi="Cambria Math"/>
                <w:i/>
                <w:lang w:val="en-GB"/>
              </w:rPr>
            </m:ctrlPr>
          </m:sSubSupPr>
          <m:e>
            <m:r>
              <w:rPr>
                <w:rFonts w:ascii="Cambria Math" w:eastAsiaTheme="minorEastAsia" w:hAnsi="Cambria Math"/>
                <w:lang w:val="en-GB"/>
              </w:rPr>
              <m:t>R</m:t>
            </m:r>
          </m:e>
          <m:sub>
            <m:r>
              <w:rPr>
                <w:rFonts w:ascii="Cambria Math" w:eastAsiaTheme="minorEastAsia" w:hAnsi="Cambria Math"/>
                <w:lang w:val="en-GB"/>
              </w:rPr>
              <m:t>ϵ</m:t>
            </m:r>
          </m:sub>
          <m:sup>
            <m:r>
              <w:rPr>
                <w:rFonts w:ascii="Cambria Math" w:eastAsiaTheme="minorEastAsia" w:hAnsi="Cambria Math"/>
                <w:lang w:val="en-GB"/>
              </w:rPr>
              <m:t>2</m:t>
            </m:r>
          </m:sup>
        </m:sSubSup>
      </m:oMath>
      <w:r w:rsidRPr="002E137F">
        <w:rPr>
          <w:rFonts w:eastAsiaTheme="minorEastAsia"/>
          <w:i/>
          <w:lang w:val="en-GB"/>
        </w:rPr>
        <w:t>).</w:t>
      </w:r>
      <w:r w:rsidRPr="00081646">
        <w:rPr>
          <w:rFonts w:eastAsiaTheme="minorEastAsia"/>
          <w:lang w:val="en-GB"/>
        </w:rPr>
        <w:t xml:space="preserve"> These values are obtained from secondary analysis of the panel data maintained by </w:t>
      </w:r>
      <w:proofErr w:type="spellStart"/>
      <w:r w:rsidRPr="00081646">
        <w:rPr>
          <w:rFonts w:eastAsiaTheme="minorEastAsia"/>
          <w:lang w:val="en-GB"/>
        </w:rPr>
        <w:t>Tegemeo</w:t>
      </w:r>
      <w:proofErr w:type="spellEnd"/>
      <w:r w:rsidRPr="00081646">
        <w:rPr>
          <w:rFonts w:eastAsiaTheme="minorEastAsia"/>
          <w:lang w:val="en-GB"/>
        </w:rPr>
        <w:t xml:space="preserve"> Institute and Michigan University. From this dataset, we ana</w:t>
      </w:r>
      <w:r>
        <w:rPr>
          <w:rFonts w:eastAsiaTheme="minorEastAsia"/>
          <w:lang w:val="en-GB"/>
        </w:rPr>
        <w:t>lys</w:t>
      </w:r>
      <w:r w:rsidRPr="00081646">
        <w:rPr>
          <w:rFonts w:eastAsiaTheme="minorEastAsia"/>
          <w:lang w:val="en-GB"/>
        </w:rPr>
        <w:t xml:space="preserve">ed two measures to obtain the corresponding parameter values for our two outcomes: (1) number of 90 kg bags used for storage (for the uptake of storage solutions) and (2) revenue obtained from maize sold (as a proxy for income). </w:t>
      </w:r>
    </w:p>
    <w:p w:rsidR="00CF4476" w:rsidRPr="00081646" w:rsidRDefault="00CF4476" w:rsidP="00CF4476">
      <w:pPr>
        <w:pStyle w:val="Bullets"/>
        <w:rPr>
          <w:rFonts w:eastAsiaTheme="minorEastAsia"/>
          <w:lang w:val="en-GB"/>
        </w:rPr>
      </w:pPr>
      <w:r w:rsidRPr="002E137F">
        <w:rPr>
          <w:rFonts w:eastAsiaTheme="minorEastAsia"/>
          <w:i/>
          <w:lang w:val="en-GB"/>
        </w:rPr>
        <w:t xml:space="preserve">Anticipated program penetration rates of 6 and 18 percentage points in the Eastern </w:t>
      </w:r>
      <w:r w:rsidR="006E57A3">
        <w:rPr>
          <w:rFonts w:eastAsiaTheme="minorEastAsia"/>
          <w:i/>
          <w:lang w:val="en-GB"/>
        </w:rPr>
        <w:t>regions</w:t>
      </w:r>
      <w:r w:rsidRPr="002E137F">
        <w:rPr>
          <w:rFonts w:eastAsiaTheme="minorEastAsia"/>
          <w:i/>
          <w:lang w:val="en-GB"/>
        </w:rPr>
        <w:t xml:space="preserve"> and </w:t>
      </w:r>
      <w:r>
        <w:rPr>
          <w:rFonts w:eastAsiaTheme="minorEastAsia"/>
          <w:i/>
          <w:lang w:val="en-GB"/>
        </w:rPr>
        <w:t xml:space="preserve">the </w:t>
      </w:r>
      <w:r w:rsidRPr="002E137F">
        <w:rPr>
          <w:rFonts w:eastAsiaTheme="minorEastAsia"/>
          <w:i/>
          <w:lang w:val="en-GB"/>
        </w:rPr>
        <w:t>Rift Valley</w:t>
      </w:r>
      <w:r w:rsidR="006E57A3">
        <w:rPr>
          <w:rFonts w:eastAsiaTheme="minorEastAsia"/>
          <w:i/>
          <w:lang w:val="en-GB"/>
        </w:rPr>
        <w:t xml:space="preserve"> region</w:t>
      </w:r>
      <w:r w:rsidRPr="002E137F">
        <w:rPr>
          <w:rFonts w:eastAsiaTheme="minorEastAsia"/>
          <w:i/>
          <w:lang w:val="en-GB"/>
        </w:rPr>
        <w:t xml:space="preserve">, respectively, obtained from the </w:t>
      </w:r>
      <w:proofErr w:type="spellStart"/>
      <w:r w:rsidRPr="002E137F">
        <w:rPr>
          <w:rFonts w:eastAsiaTheme="minorEastAsia"/>
          <w:i/>
          <w:lang w:val="en-GB"/>
        </w:rPr>
        <w:t>AgResults</w:t>
      </w:r>
      <w:proofErr w:type="spellEnd"/>
      <w:r w:rsidRPr="002E137F">
        <w:rPr>
          <w:rFonts w:eastAsiaTheme="minorEastAsia"/>
          <w:i/>
          <w:lang w:val="en-GB"/>
        </w:rPr>
        <w:t xml:space="preserve"> Pilot Business Plan (Dahlberg 2012).</w:t>
      </w:r>
      <w:r w:rsidRPr="00081646">
        <w:rPr>
          <w:rFonts w:eastAsiaTheme="minorEastAsia"/>
          <w:lang w:val="en-GB"/>
        </w:rPr>
        <w:t xml:space="preserve"> Given that each “treated” household is expected to have access to four 90</w:t>
      </w:r>
      <w:r>
        <w:rPr>
          <w:rFonts w:eastAsiaTheme="minorEastAsia"/>
          <w:lang w:val="en-GB"/>
        </w:rPr>
        <w:t> </w:t>
      </w:r>
      <w:r w:rsidRPr="00081646">
        <w:rPr>
          <w:rFonts w:eastAsiaTheme="minorEastAsia"/>
          <w:lang w:val="en-GB"/>
        </w:rPr>
        <w:t xml:space="preserve">kg bags and the standard deviation of the number of bags in the </w:t>
      </w:r>
      <w:proofErr w:type="spellStart"/>
      <w:r w:rsidRPr="00081646">
        <w:rPr>
          <w:rFonts w:eastAsiaTheme="minorEastAsia"/>
          <w:lang w:val="en-GB"/>
        </w:rPr>
        <w:t>Tegemeo</w:t>
      </w:r>
      <w:proofErr w:type="spellEnd"/>
      <w:r w:rsidRPr="00081646">
        <w:rPr>
          <w:rFonts w:eastAsiaTheme="minorEastAsia"/>
          <w:lang w:val="en-GB"/>
        </w:rPr>
        <w:t xml:space="preserve"> Institute dataset is close to four, the target penetration rates correspond to MDES estimates of 0.06 and 0.18 for the first outcome uptake of storage solutions (as measured by the number of storage bags each household has) in the Eastern </w:t>
      </w:r>
      <w:r w:rsidR="006E57A3">
        <w:rPr>
          <w:rFonts w:eastAsiaTheme="minorEastAsia"/>
          <w:lang w:val="en-GB"/>
        </w:rPr>
        <w:t>region</w:t>
      </w:r>
      <w:r w:rsidRPr="00081646">
        <w:rPr>
          <w:rFonts w:eastAsiaTheme="minorEastAsia"/>
          <w:lang w:val="en-GB"/>
        </w:rPr>
        <w:t xml:space="preserve"> and </w:t>
      </w:r>
      <w:r>
        <w:rPr>
          <w:rFonts w:eastAsiaTheme="minorEastAsia"/>
          <w:lang w:val="en-GB"/>
        </w:rPr>
        <w:t xml:space="preserve">the </w:t>
      </w:r>
      <w:r w:rsidRPr="00081646">
        <w:rPr>
          <w:rFonts w:eastAsiaTheme="minorEastAsia"/>
          <w:lang w:val="en-GB"/>
        </w:rPr>
        <w:t>Rift Valley</w:t>
      </w:r>
      <w:r w:rsidR="006E57A3">
        <w:rPr>
          <w:rFonts w:eastAsiaTheme="minorEastAsia"/>
          <w:lang w:val="en-GB"/>
        </w:rPr>
        <w:t xml:space="preserve"> region</w:t>
      </w:r>
      <w:r w:rsidRPr="00081646">
        <w:rPr>
          <w:rFonts w:eastAsiaTheme="minorEastAsia"/>
          <w:lang w:val="en-GB"/>
        </w:rPr>
        <w:t xml:space="preserve">, respectively. </w:t>
      </w:r>
    </w:p>
    <w:p w:rsidR="00CF4476" w:rsidRPr="00081646" w:rsidRDefault="00CF4476" w:rsidP="00CF4476">
      <w:pPr>
        <w:pStyle w:val="Bullets"/>
        <w:rPr>
          <w:rFonts w:eastAsiaTheme="minorEastAsia"/>
          <w:i/>
          <w:lang w:val="en-GB"/>
        </w:rPr>
      </w:pPr>
      <w:r w:rsidRPr="00081646">
        <w:rPr>
          <w:rFonts w:eastAsiaTheme="minorEastAsia"/>
          <w:i/>
          <w:lang w:val="en-GB"/>
        </w:rPr>
        <w:t xml:space="preserve"> Availability of three pre-intervention data points </w:t>
      </w:r>
      <w:r>
        <w:rPr>
          <w:rFonts w:eastAsiaTheme="minorEastAsia"/>
          <w:i/>
          <w:lang w:val="en-GB"/>
        </w:rPr>
        <w:t xml:space="preserve">and one post-intervention data point </w:t>
      </w:r>
      <w:r w:rsidRPr="00081646">
        <w:rPr>
          <w:rFonts w:eastAsiaTheme="minorEastAsia"/>
          <w:i/>
          <w:lang w:val="en-GB"/>
        </w:rPr>
        <w:t xml:space="preserve">for each </w:t>
      </w:r>
      <w:r>
        <w:rPr>
          <w:rFonts w:eastAsiaTheme="minorEastAsia"/>
          <w:i/>
          <w:lang w:val="en-GB"/>
        </w:rPr>
        <w:t xml:space="preserve">outcome </w:t>
      </w:r>
      <w:r w:rsidRPr="00081646">
        <w:rPr>
          <w:rFonts w:eastAsiaTheme="minorEastAsia"/>
          <w:i/>
          <w:lang w:val="en-GB"/>
        </w:rPr>
        <w:t xml:space="preserve">measure in each </w:t>
      </w:r>
      <w:r>
        <w:rPr>
          <w:rFonts w:eastAsiaTheme="minorEastAsia"/>
          <w:i/>
          <w:lang w:val="en-GB"/>
        </w:rPr>
        <w:t xml:space="preserve">region. </w:t>
      </w:r>
    </w:p>
    <w:p w:rsidR="00CF4476" w:rsidRPr="00081646" w:rsidRDefault="00CF4476" w:rsidP="00CF4476">
      <w:pPr>
        <w:pStyle w:val="Bullets"/>
        <w:rPr>
          <w:rFonts w:eastAsiaTheme="minorEastAsia"/>
          <w:lang w:val="en-GB"/>
        </w:rPr>
      </w:pPr>
      <w:r w:rsidRPr="00081646">
        <w:rPr>
          <w:rFonts w:eastAsiaTheme="minorEastAsia"/>
          <w:i/>
          <w:lang w:val="en-GB"/>
        </w:rPr>
        <w:t>Maximizing the number of villages sample</w:t>
      </w:r>
      <w:r>
        <w:rPr>
          <w:rFonts w:eastAsiaTheme="minorEastAsia"/>
          <w:i/>
          <w:lang w:val="en-GB"/>
        </w:rPr>
        <w:t>d</w:t>
      </w:r>
      <w:r w:rsidRPr="00081646">
        <w:rPr>
          <w:rFonts w:eastAsiaTheme="minorEastAsia"/>
          <w:i/>
          <w:lang w:val="en-GB"/>
        </w:rPr>
        <w:t>.</w:t>
      </w:r>
      <w:r w:rsidRPr="00081646">
        <w:rPr>
          <w:rFonts w:eastAsiaTheme="minorEastAsia"/>
          <w:lang w:val="en-GB"/>
        </w:rPr>
        <w:t xml:space="preserve"> This is desired since it would minimize the first component of the MDES formula in Equation 8 (village-level variance term scaled by the number of villages) and consequently decrease the MDES estimate. We believe that the optimum number of households that can be surveyed in each sampled village is approximately six because a smaller threshold may lead to the inefficient use of visiting time to villages</w:t>
      </w:r>
      <w:r>
        <w:rPr>
          <w:rFonts w:eastAsiaTheme="minorEastAsia"/>
          <w:lang w:val="en-GB"/>
        </w:rPr>
        <w:t>,</w:t>
      </w:r>
      <w:r w:rsidRPr="00081646">
        <w:rPr>
          <w:rFonts w:eastAsiaTheme="minorEastAsia"/>
          <w:lang w:val="en-GB"/>
        </w:rPr>
        <w:t xml:space="preserve"> while a larger number would not maximize the number of villages included.</w:t>
      </w:r>
    </w:p>
    <w:p w:rsidR="00CF4476" w:rsidRPr="00081646" w:rsidRDefault="00CF4476" w:rsidP="00CF4476">
      <w:pPr>
        <w:pStyle w:val="BodyText"/>
        <w:rPr>
          <w:rFonts w:eastAsiaTheme="minorEastAsia"/>
          <w:lang w:val="en-GB"/>
        </w:rPr>
      </w:pPr>
      <w:r w:rsidRPr="00081646">
        <w:rPr>
          <w:rFonts w:eastAsiaTheme="minorEastAsia"/>
          <w:lang w:val="en-GB"/>
        </w:rPr>
        <w:t>Based on these parameter values</w:t>
      </w:r>
      <w:r>
        <w:rPr>
          <w:rFonts w:eastAsiaTheme="minorEastAsia"/>
          <w:lang w:val="en-GB"/>
        </w:rPr>
        <w:t xml:space="preserve"> and assuming 3 data points before intervention and 1 after intervention</w:t>
      </w:r>
      <w:r w:rsidRPr="00081646">
        <w:rPr>
          <w:rFonts w:eastAsiaTheme="minorEastAsia"/>
          <w:lang w:val="en-GB"/>
        </w:rPr>
        <w:t xml:space="preserve">, in the Rift Valley we expect that we would need as many as 540 households (with the sampling of all 9 counties, 10 villages from each selected county, and the sampling of 6 households from each selected village) to reliably detect the expected effect size of 0.18 </w:t>
      </w:r>
      <w:r>
        <w:rPr>
          <w:rFonts w:eastAsiaTheme="minorEastAsia"/>
          <w:lang w:val="en-GB"/>
        </w:rPr>
        <w:t>on uptake of on farm storage</w:t>
      </w:r>
      <w:r w:rsidRPr="00081646">
        <w:rPr>
          <w:rFonts w:eastAsiaTheme="minorEastAsia"/>
          <w:lang w:val="en-GB"/>
        </w:rPr>
        <w:t xml:space="preserve">. Due to its lower penetration rate and hence smaller expected average impact, in the Eastern </w:t>
      </w:r>
      <w:r w:rsidR="006E57A3">
        <w:rPr>
          <w:rFonts w:eastAsiaTheme="minorEastAsia"/>
          <w:lang w:val="en-GB"/>
        </w:rPr>
        <w:t>region</w:t>
      </w:r>
      <w:r w:rsidRPr="00081646">
        <w:rPr>
          <w:rFonts w:eastAsiaTheme="minorEastAsia"/>
          <w:lang w:val="en-GB"/>
        </w:rPr>
        <w:t xml:space="preserve"> we estimate that a sample of </w:t>
      </w:r>
      <w:r>
        <w:rPr>
          <w:rFonts w:eastAsiaTheme="minorEastAsia"/>
          <w:lang w:val="en-GB"/>
        </w:rPr>
        <w:t>41</w:t>
      </w:r>
      <w:r w:rsidRPr="00081646">
        <w:rPr>
          <w:rFonts w:eastAsiaTheme="minorEastAsia"/>
          <w:lang w:val="en-GB"/>
        </w:rPr>
        <w:t xml:space="preserve">40 households (5 counties, </w:t>
      </w:r>
      <w:r>
        <w:rPr>
          <w:rFonts w:eastAsiaTheme="minorEastAsia"/>
          <w:lang w:val="en-GB"/>
        </w:rPr>
        <w:t>138</w:t>
      </w:r>
      <w:r w:rsidRPr="00081646">
        <w:rPr>
          <w:rFonts w:eastAsiaTheme="minorEastAsia"/>
          <w:lang w:val="en-GB"/>
        </w:rPr>
        <w:t xml:space="preserve"> villages per county, and 6 households per village) will be needed to detect the anticipated effect size of 0.06 in that region. These sample sizes would also allow us to detect similar effects on the second outcome of interest (income</w:t>
      </w:r>
      <w:r>
        <w:rPr>
          <w:rFonts w:eastAsiaTheme="minorEastAsia"/>
          <w:lang w:val="en-GB"/>
        </w:rPr>
        <w:t xml:space="preserve"> or sale price of maize</w:t>
      </w:r>
      <w:r w:rsidRPr="00081646">
        <w:rPr>
          <w:rFonts w:eastAsiaTheme="minorEastAsia"/>
          <w:lang w:val="en-GB"/>
        </w:rPr>
        <w:t xml:space="preserve">): </w:t>
      </w:r>
      <w:proofErr w:type="gramStart"/>
      <w:r w:rsidRPr="00081646">
        <w:rPr>
          <w:rFonts w:eastAsiaTheme="minorEastAsia"/>
          <w:lang w:val="en-GB"/>
        </w:rPr>
        <w:t>0.</w:t>
      </w:r>
      <w:r>
        <w:rPr>
          <w:rFonts w:eastAsiaTheme="minorEastAsia"/>
          <w:lang w:val="en-GB"/>
        </w:rPr>
        <w:t>16</w:t>
      </w:r>
      <w:r w:rsidR="0023537A">
        <w:rPr>
          <w:rFonts w:eastAsiaTheme="minorEastAsia"/>
          <w:lang w:val="en-GB"/>
        </w:rPr>
        <w:t xml:space="preserve"> </w:t>
      </w:r>
      <w:r w:rsidRPr="00081646">
        <w:rPr>
          <w:rFonts w:eastAsiaTheme="minorEastAsia"/>
          <w:lang w:val="en-GB"/>
        </w:rPr>
        <w:t xml:space="preserve"> in</w:t>
      </w:r>
      <w:proofErr w:type="gramEnd"/>
      <w:r w:rsidRPr="00081646">
        <w:rPr>
          <w:rFonts w:eastAsiaTheme="minorEastAsia"/>
          <w:lang w:val="en-GB"/>
        </w:rPr>
        <w:t xml:space="preserve"> </w:t>
      </w:r>
      <w:r>
        <w:rPr>
          <w:rFonts w:eastAsiaTheme="minorEastAsia"/>
          <w:lang w:val="en-GB"/>
        </w:rPr>
        <w:t xml:space="preserve">the </w:t>
      </w:r>
      <w:r w:rsidRPr="00081646">
        <w:rPr>
          <w:rFonts w:eastAsiaTheme="minorEastAsia"/>
          <w:lang w:val="en-GB"/>
        </w:rPr>
        <w:t xml:space="preserve">Rift Valley </w:t>
      </w:r>
      <w:r w:rsidR="000936D6">
        <w:rPr>
          <w:rFonts w:eastAsiaTheme="minorEastAsia"/>
          <w:lang w:val="en-GB"/>
        </w:rPr>
        <w:t xml:space="preserve">region </w:t>
      </w:r>
      <w:r w:rsidRPr="00081646">
        <w:rPr>
          <w:rFonts w:eastAsiaTheme="minorEastAsia"/>
          <w:lang w:val="en-GB"/>
        </w:rPr>
        <w:t>and 0.0</w:t>
      </w:r>
      <w:r>
        <w:rPr>
          <w:rFonts w:eastAsiaTheme="minorEastAsia"/>
          <w:lang w:val="en-GB"/>
        </w:rPr>
        <w:t>6</w:t>
      </w:r>
      <w:r w:rsidRPr="00081646">
        <w:rPr>
          <w:rFonts w:eastAsiaTheme="minorEastAsia"/>
          <w:lang w:val="en-GB"/>
        </w:rPr>
        <w:t xml:space="preserve"> in the Eastern </w:t>
      </w:r>
      <w:r w:rsidR="000936D6">
        <w:rPr>
          <w:rFonts w:eastAsiaTheme="minorEastAsia"/>
          <w:lang w:val="en-GB"/>
        </w:rPr>
        <w:t>region</w:t>
      </w:r>
      <w:r w:rsidRPr="00081646">
        <w:rPr>
          <w:rFonts w:eastAsiaTheme="minorEastAsia"/>
          <w:lang w:val="en-GB"/>
        </w:rPr>
        <w:t xml:space="preserve">. </w:t>
      </w:r>
    </w:p>
    <w:p w:rsidR="00CF4476" w:rsidRDefault="00CF4476" w:rsidP="00CF4476">
      <w:pPr>
        <w:pStyle w:val="BodyText"/>
        <w:rPr>
          <w:rFonts w:eastAsiaTheme="minorEastAsia"/>
          <w:lang w:val="en-GB"/>
        </w:rPr>
      </w:pPr>
      <w:r w:rsidRPr="00081646">
        <w:rPr>
          <w:rFonts w:eastAsiaTheme="minorEastAsia"/>
          <w:lang w:val="en-GB"/>
        </w:rPr>
        <w:lastRenderedPageBreak/>
        <w:t xml:space="preserve">As mentioned above, these power analyses are conservative in the sense that they do not incorporate the potential use of an untreated outcome or a comparison group to strengthen the analysis. </w:t>
      </w:r>
      <w:r>
        <w:rPr>
          <w:rFonts w:eastAsiaTheme="minorEastAsia"/>
          <w:lang w:val="en-GB"/>
        </w:rPr>
        <w:t xml:space="preserve"> It is also important to note that they do not apply to analyses of impacts on subgroups of interest such as female-headed households.  If, say, one-quarter of all smallholders fall into this category, we can be confident of detecting impacts twice the size of those stated above for such households.  For example, in the Rift Valley </w:t>
      </w:r>
      <w:r w:rsidR="006E57A3">
        <w:rPr>
          <w:rFonts w:eastAsiaTheme="minorEastAsia"/>
          <w:lang w:val="en-GB"/>
        </w:rPr>
        <w:t xml:space="preserve">region </w:t>
      </w:r>
      <w:r>
        <w:rPr>
          <w:rFonts w:eastAsiaTheme="minorEastAsia"/>
          <w:lang w:val="en-GB"/>
        </w:rPr>
        <w:t xml:space="preserve">true impacts on uptake of on farm storage in excess of 0.36 (in effect size units) could be ruled out should insignificant test results emerge, as could true impacts in excess of 0.12 (in effect size units) in the Eastern </w:t>
      </w:r>
      <w:proofErr w:type="gramStart"/>
      <w:r w:rsidR="006E57A3">
        <w:rPr>
          <w:rFonts w:eastAsiaTheme="minorEastAsia"/>
          <w:lang w:val="en-GB"/>
        </w:rPr>
        <w:t>region</w:t>
      </w:r>
      <w:r>
        <w:rPr>
          <w:rFonts w:eastAsiaTheme="minorEastAsia"/>
          <w:lang w:val="en-GB"/>
        </w:rPr>
        <w:t>.</w:t>
      </w:r>
      <w:proofErr w:type="gramEnd"/>
      <w:r>
        <w:rPr>
          <w:rFonts w:eastAsiaTheme="minorEastAsia"/>
          <w:lang w:val="en-GB"/>
        </w:rPr>
        <w:t xml:space="preserve">  Thus, even without significant findings (which are unlikely without much larger subgroup survey samples than can be afforded) something important will be learned about effects on subgroups of all sorts—not just the illustrative female-headed households discussed here.</w:t>
      </w:r>
    </w:p>
    <w:p w:rsidR="00CF4476" w:rsidRDefault="00CF4476" w:rsidP="00123F97">
      <w:pPr>
        <w:pStyle w:val="Heading2"/>
        <w:rPr>
          <w:rFonts w:eastAsiaTheme="minorEastAsia"/>
          <w:lang w:val="en-GB"/>
        </w:rPr>
      </w:pPr>
      <w:r>
        <w:rPr>
          <w:rFonts w:eastAsiaTheme="minorEastAsia"/>
          <w:lang w:val="en-GB"/>
        </w:rPr>
        <w:t>Sampling Frame</w:t>
      </w:r>
    </w:p>
    <w:p w:rsidR="00F70797" w:rsidRPr="00812B89" w:rsidRDefault="00F70797" w:rsidP="00F70797">
      <w:pPr>
        <w:pStyle w:val="BodyText"/>
        <w:rPr>
          <w:lang w:val="en-GB"/>
        </w:rPr>
      </w:pPr>
      <w:r w:rsidRPr="00812B89">
        <w:rPr>
          <w:lang w:val="en-GB"/>
        </w:rPr>
        <w:t xml:space="preserve">In each county of the two regions, survey areas (sub-counties) were purposively selected based on their likelihood of being targeted by implementers for marketing and sale of improved OFS technology based on </w:t>
      </w:r>
      <w:r>
        <w:rPr>
          <w:lang w:val="en-GB"/>
        </w:rPr>
        <w:t>(</w:t>
      </w:r>
      <w:r w:rsidRPr="00812B89">
        <w:rPr>
          <w:lang w:val="en-GB"/>
        </w:rPr>
        <w:t xml:space="preserve">1) sub-county level maize production and yield data and </w:t>
      </w:r>
      <w:r>
        <w:rPr>
          <w:lang w:val="en-GB"/>
        </w:rPr>
        <w:t>(</w:t>
      </w:r>
      <w:r w:rsidRPr="00812B89">
        <w:rPr>
          <w:lang w:val="en-GB"/>
        </w:rPr>
        <w:t xml:space="preserve">2) implementers’ own indications of which areas they planned to target as stated in their applications. </w:t>
      </w:r>
      <w:r>
        <w:rPr>
          <w:lang w:val="en-GB"/>
        </w:rPr>
        <w:t>As noted, w</w:t>
      </w:r>
      <w:r w:rsidRPr="00812B89">
        <w:rPr>
          <w:lang w:val="en-GB"/>
        </w:rPr>
        <w:t xml:space="preserve">e sampled </w:t>
      </w:r>
      <w:r>
        <w:rPr>
          <w:lang w:val="en-GB"/>
        </w:rPr>
        <w:t>10</w:t>
      </w:r>
      <w:r w:rsidRPr="00812B89">
        <w:rPr>
          <w:lang w:val="en-GB"/>
        </w:rPr>
        <w:t xml:space="preserve"> villages from each county in </w:t>
      </w:r>
      <w:r>
        <w:rPr>
          <w:lang w:val="en-GB"/>
        </w:rPr>
        <w:t xml:space="preserve">the </w:t>
      </w:r>
      <w:r w:rsidRPr="00812B89">
        <w:rPr>
          <w:lang w:val="en-GB"/>
        </w:rPr>
        <w:t>Rift Valley</w:t>
      </w:r>
      <w:r w:rsidR="006E57A3">
        <w:rPr>
          <w:lang w:val="en-GB"/>
        </w:rPr>
        <w:t xml:space="preserve"> region</w:t>
      </w:r>
      <w:r w:rsidRPr="00812B89">
        <w:rPr>
          <w:lang w:val="en-GB"/>
        </w:rPr>
        <w:t xml:space="preserve">, and 138 villages in Eastern </w:t>
      </w:r>
      <w:r w:rsidR="006E57A3">
        <w:rPr>
          <w:lang w:val="en-GB"/>
        </w:rPr>
        <w:t>region</w:t>
      </w:r>
      <w:r w:rsidRPr="00812B89">
        <w:rPr>
          <w:lang w:val="en-GB"/>
        </w:rPr>
        <w:t xml:space="preserve">. The villages were randomly selected from a list of villages compiled from the 2009 Kenya census. </w:t>
      </w:r>
    </w:p>
    <w:p w:rsidR="00F70797" w:rsidRPr="00812B89" w:rsidRDefault="00F70797" w:rsidP="00F70797">
      <w:pPr>
        <w:pStyle w:val="BodyText"/>
        <w:rPr>
          <w:lang w:val="en-GB"/>
        </w:rPr>
      </w:pPr>
      <w:r>
        <w:rPr>
          <w:lang w:val="en-GB"/>
        </w:rPr>
        <w:t>In the baseline survey, at</w:t>
      </w:r>
      <w:r w:rsidRPr="00812B89">
        <w:rPr>
          <w:lang w:val="en-GB"/>
        </w:rPr>
        <w:t xml:space="preserve"> least six households were sampled </w:t>
      </w:r>
      <w:r>
        <w:rPr>
          <w:lang w:val="en-GB"/>
        </w:rPr>
        <w:t>from</w:t>
      </w:r>
      <w:r w:rsidRPr="00812B89">
        <w:rPr>
          <w:lang w:val="en-GB"/>
        </w:rPr>
        <w:t xml:space="preserve"> each village. (The sampling plan called for six households per village, though in a handful of cases more households were </w:t>
      </w:r>
      <w:r>
        <w:rPr>
          <w:lang w:val="en-GB"/>
        </w:rPr>
        <w:t>sampled</w:t>
      </w:r>
      <w:r w:rsidRPr="00812B89">
        <w:rPr>
          <w:lang w:val="en-GB"/>
        </w:rPr>
        <w:t>.) Survey enumerators used a random walk to select households, starting from a geographic landmark such as a main road junction</w:t>
      </w:r>
      <w:r>
        <w:rPr>
          <w:lang w:val="en-GB"/>
        </w:rPr>
        <w:t xml:space="preserve"> or</w:t>
      </w:r>
      <w:r w:rsidRPr="00812B89">
        <w:rPr>
          <w:lang w:val="en-GB"/>
        </w:rPr>
        <w:t xml:space="preserve"> a permanent structure </w:t>
      </w:r>
      <w:r>
        <w:rPr>
          <w:lang w:val="en-GB"/>
        </w:rPr>
        <w:t>such as</w:t>
      </w:r>
      <w:r w:rsidRPr="00812B89">
        <w:rPr>
          <w:lang w:val="en-GB"/>
        </w:rPr>
        <w:t xml:space="preserve"> a church</w:t>
      </w:r>
      <w:r>
        <w:rPr>
          <w:lang w:val="en-GB"/>
        </w:rPr>
        <w:t xml:space="preserve"> or</w:t>
      </w:r>
      <w:r w:rsidRPr="00812B89">
        <w:rPr>
          <w:lang w:val="en-GB"/>
        </w:rPr>
        <w:t xml:space="preserve"> bridge, and followed a pre-determined skipping interval. In most cases, this interval was five</w:t>
      </w:r>
      <w:r>
        <w:rPr>
          <w:lang w:val="en-GB"/>
        </w:rPr>
        <w:t>,</w:t>
      </w:r>
      <w:r w:rsidRPr="00812B89">
        <w:rPr>
          <w:lang w:val="en-GB"/>
        </w:rPr>
        <w:t xml:space="preserve"> but in some villages where households were particularly far apart, a lower skipping interval was used. </w:t>
      </w:r>
      <w:r>
        <w:rPr>
          <w:lang w:val="en-GB"/>
        </w:rPr>
        <w:t>Survey enumerators then screened h</w:t>
      </w:r>
      <w:r w:rsidRPr="00812B89">
        <w:rPr>
          <w:lang w:val="en-GB"/>
        </w:rPr>
        <w:t xml:space="preserve">ouseholds based on two criteria to ensure that the impact evaluation targets the same population as the implementers so as to accurately capture the true change in outcomes for </w:t>
      </w:r>
      <w:r>
        <w:rPr>
          <w:lang w:val="en-GB"/>
        </w:rPr>
        <w:t xml:space="preserve">the </w:t>
      </w:r>
      <w:r w:rsidRPr="00812B89">
        <w:rPr>
          <w:lang w:val="en-GB"/>
        </w:rPr>
        <w:t>targeted population:</w:t>
      </w:r>
    </w:p>
    <w:p w:rsidR="00F70797" w:rsidRPr="00812B89" w:rsidRDefault="00F70797" w:rsidP="00F70797">
      <w:pPr>
        <w:pStyle w:val="Bullets"/>
        <w:rPr>
          <w:lang w:val="en-GB"/>
        </w:rPr>
      </w:pPr>
      <w:r w:rsidRPr="00812B89">
        <w:rPr>
          <w:lang w:val="en-GB"/>
        </w:rPr>
        <w:t xml:space="preserve">The target household </w:t>
      </w:r>
      <w:r>
        <w:rPr>
          <w:lang w:val="en-GB"/>
        </w:rPr>
        <w:t>must</w:t>
      </w:r>
      <w:r w:rsidRPr="00812B89">
        <w:rPr>
          <w:lang w:val="en-GB"/>
        </w:rPr>
        <w:t xml:space="preserve"> have grown at least one crop in 2013 (the year for which data </w:t>
      </w:r>
      <w:r>
        <w:rPr>
          <w:lang w:val="en-GB"/>
        </w:rPr>
        <w:t>were</w:t>
      </w:r>
      <w:r w:rsidRPr="00812B89">
        <w:rPr>
          <w:lang w:val="en-GB"/>
        </w:rPr>
        <w:t xml:space="preserve"> being collected) that could be stored in an improved OFS container. The</w:t>
      </w:r>
      <w:r>
        <w:rPr>
          <w:lang w:val="en-GB"/>
        </w:rPr>
        <w:t xml:space="preserve"> qualifying crops</w:t>
      </w:r>
      <w:r w:rsidRPr="00812B89">
        <w:rPr>
          <w:lang w:val="en-GB"/>
        </w:rPr>
        <w:t xml:space="preserve"> were barley, beans, cowpeas, green grams, maize, millet, </w:t>
      </w:r>
      <w:proofErr w:type="spellStart"/>
      <w:r w:rsidRPr="00812B89">
        <w:rPr>
          <w:lang w:val="en-GB"/>
        </w:rPr>
        <w:t>njahi</w:t>
      </w:r>
      <w:proofErr w:type="spellEnd"/>
      <w:r>
        <w:rPr>
          <w:lang w:val="en-GB"/>
        </w:rPr>
        <w:t xml:space="preserve"> (a type of black bean)</w:t>
      </w:r>
      <w:r w:rsidRPr="00812B89">
        <w:rPr>
          <w:lang w:val="en-GB"/>
        </w:rPr>
        <w:t>, pigeon peas, and sorghum.</w:t>
      </w:r>
    </w:p>
    <w:p w:rsidR="00CF4476" w:rsidRPr="00F70797" w:rsidRDefault="00F70797" w:rsidP="00CF4476">
      <w:pPr>
        <w:pStyle w:val="Bullets"/>
        <w:rPr>
          <w:lang w:val="en-GB"/>
        </w:rPr>
      </w:pPr>
      <w:r w:rsidRPr="00812B89">
        <w:rPr>
          <w:lang w:val="en-GB"/>
        </w:rPr>
        <w:t>The target household must have cultivated no more than 20 acres (in Eastern counties) or 35 acres (in Rift Valley counties). The purpose of this cut</w:t>
      </w:r>
      <w:r>
        <w:rPr>
          <w:lang w:val="en-GB"/>
        </w:rPr>
        <w:t>-</w:t>
      </w:r>
      <w:r w:rsidRPr="00812B89">
        <w:rPr>
          <w:lang w:val="en-GB"/>
        </w:rPr>
        <w:t xml:space="preserve">off was to exclude “large” farmers from the sample, as </w:t>
      </w:r>
      <w:proofErr w:type="spellStart"/>
      <w:r w:rsidRPr="00812B89">
        <w:rPr>
          <w:lang w:val="en-GB"/>
        </w:rPr>
        <w:t>AgResults</w:t>
      </w:r>
      <w:proofErr w:type="spellEnd"/>
      <w:r w:rsidRPr="00812B89">
        <w:rPr>
          <w:lang w:val="en-GB"/>
        </w:rPr>
        <w:t xml:space="preserve"> targets smallholders</w:t>
      </w:r>
      <w:r w:rsidRPr="00812B89">
        <w:rPr>
          <w:rStyle w:val="FootnoteReference"/>
          <w:lang w:val="en-GB"/>
        </w:rPr>
        <w:footnoteReference w:id="2"/>
      </w:r>
      <w:r>
        <w:rPr>
          <w:lang w:val="en-GB"/>
        </w:rPr>
        <w:t>.</w:t>
      </w:r>
    </w:p>
    <w:p w:rsidR="00676E70" w:rsidRDefault="00676E70" w:rsidP="00123F97">
      <w:pPr>
        <w:pStyle w:val="Heading1"/>
      </w:pPr>
      <w:r>
        <w:lastRenderedPageBreak/>
        <w:t>Key Variables and Data Sources</w:t>
      </w:r>
    </w:p>
    <w:p w:rsidR="00676E70" w:rsidRPr="00676E70" w:rsidRDefault="00676E70" w:rsidP="00676E70">
      <w:pPr>
        <w:pStyle w:val="BodyText"/>
      </w:pPr>
      <w:r>
        <w:t xml:space="preserve">The following table presents each final outcome variable along with its definition, the analytic method used to estimate changes (either SITS or before-after comparison) and the data source, including the relevant question number(s) from the </w:t>
      </w:r>
      <w:r w:rsidR="00611BE3">
        <w:t>household-level baseline survey.</w:t>
      </w:r>
    </w:p>
    <w:tbl>
      <w:tblPr>
        <w:tblStyle w:val="Abt"/>
        <w:tblW w:w="5000" w:type="pct"/>
        <w:tblLook w:val="00A0" w:firstRow="1" w:lastRow="0" w:firstColumn="1" w:lastColumn="0" w:noHBand="0" w:noVBand="0"/>
      </w:tblPr>
      <w:tblGrid>
        <w:gridCol w:w="2694"/>
        <w:gridCol w:w="2086"/>
        <w:gridCol w:w="2427"/>
        <w:gridCol w:w="2369"/>
      </w:tblGrid>
      <w:tr w:rsidR="00676E70" w:rsidTr="00FA1B2E">
        <w:trPr>
          <w:cnfStyle w:val="100000000000" w:firstRow="1" w:lastRow="0" w:firstColumn="0" w:lastColumn="0" w:oddVBand="0" w:evenVBand="0" w:oddHBand="0" w:evenHBand="0" w:firstRowFirstColumn="0" w:firstRowLastColumn="0" w:lastRowFirstColumn="0" w:lastRowLastColumn="0"/>
          <w:trHeight w:val="700"/>
        </w:trPr>
        <w:tc>
          <w:tcPr>
            <w:tcW w:w="1407" w:type="pct"/>
            <w:vAlign w:val="center"/>
          </w:tcPr>
          <w:p w:rsidR="00676E70" w:rsidRPr="00223EE6" w:rsidRDefault="00676E70" w:rsidP="00FA1B2E">
            <w:pPr>
              <w:pStyle w:val="ExhibitColumnHead"/>
              <w:rPr>
                <w:b/>
              </w:rPr>
            </w:pPr>
          </w:p>
          <w:p w:rsidR="00676E70" w:rsidRPr="00223EE6" w:rsidRDefault="00676E70" w:rsidP="00FA1B2E">
            <w:pPr>
              <w:pStyle w:val="ExhibitColumnHead"/>
              <w:rPr>
                <w:b/>
              </w:rPr>
            </w:pPr>
            <w:r>
              <w:rPr>
                <w:b/>
              </w:rPr>
              <w:t>Quantitative Sub-question</w:t>
            </w:r>
            <w:r w:rsidR="00611BE3">
              <w:rPr>
                <w:b/>
              </w:rPr>
              <w:t xml:space="preserve"> (represented as Y in the model in Section 1.2 above)</w:t>
            </w:r>
          </w:p>
          <w:p w:rsidR="00676E70" w:rsidRPr="00223EE6" w:rsidRDefault="00676E70" w:rsidP="00FA1B2E">
            <w:pPr>
              <w:pStyle w:val="ExhibitColumnHead"/>
              <w:rPr>
                <w:b/>
              </w:rPr>
            </w:pPr>
          </w:p>
        </w:tc>
        <w:tc>
          <w:tcPr>
            <w:tcW w:w="1089" w:type="pct"/>
            <w:vAlign w:val="center"/>
          </w:tcPr>
          <w:p w:rsidR="00676E70" w:rsidRPr="00223EE6" w:rsidRDefault="00676E70" w:rsidP="00FA1B2E">
            <w:pPr>
              <w:pStyle w:val="ExhibitColumnHead"/>
              <w:rPr>
                <w:b/>
              </w:rPr>
            </w:pPr>
            <w:r>
              <w:rPr>
                <w:b/>
              </w:rPr>
              <w:t>Definition of outcome variable</w:t>
            </w:r>
          </w:p>
        </w:tc>
        <w:tc>
          <w:tcPr>
            <w:tcW w:w="1267" w:type="pct"/>
            <w:vAlign w:val="center"/>
          </w:tcPr>
          <w:p w:rsidR="00676E70" w:rsidRPr="00223EE6" w:rsidRDefault="00676E70" w:rsidP="00FA1B2E">
            <w:pPr>
              <w:pStyle w:val="ExhibitColumnHead"/>
              <w:rPr>
                <w:b/>
              </w:rPr>
            </w:pPr>
          </w:p>
          <w:p w:rsidR="00676E70" w:rsidRPr="00223EE6" w:rsidRDefault="00676E70" w:rsidP="00FA1B2E">
            <w:pPr>
              <w:pStyle w:val="ExhibitColumnHead"/>
              <w:rPr>
                <w:b/>
              </w:rPr>
            </w:pPr>
            <w:r>
              <w:rPr>
                <w:b/>
              </w:rPr>
              <w:t>Analytic method</w:t>
            </w:r>
          </w:p>
        </w:tc>
        <w:tc>
          <w:tcPr>
            <w:tcW w:w="1238" w:type="pct"/>
            <w:vAlign w:val="center"/>
          </w:tcPr>
          <w:p w:rsidR="00676E70" w:rsidRPr="00223EE6" w:rsidRDefault="00676E70" w:rsidP="00FA1B2E">
            <w:pPr>
              <w:pStyle w:val="ExhibitColumnHead"/>
              <w:rPr>
                <w:b/>
              </w:rPr>
            </w:pPr>
            <w:r>
              <w:rPr>
                <w:b/>
              </w:rPr>
              <w:t>Data source and baseline survey question number(s)</w:t>
            </w:r>
          </w:p>
        </w:tc>
      </w:tr>
      <w:tr w:rsidR="009D5378" w:rsidRPr="009D49A9" w:rsidTr="00862E40">
        <w:trPr>
          <w:cnfStyle w:val="000000100000" w:firstRow="0" w:lastRow="0" w:firstColumn="0" w:lastColumn="0" w:oddVBand="0" w:evenVBand="0" w:oddHBand="1" w:evenHBand="0" w:firstRowFirstColumn="0" w:firstRowLastColumn="0" w:lastRowFirstColumn="0" w:lastRowLastColumn="0"/>
        </w:trPr>
        <w:tc>
          <w:tcPr>
            <w:tcW w:w="5000" w:type="pct"/>
            <w:gridSpan w:val="4"/>
          </w:tcPr>
          <w:p w:rsidR="009D5378" w:rsidRPr="009D49A9" w:rsidRDefault="009D5378" w:rsidP="00CF4476">
            <w:pPr>
              <w:rPr>
                <w:rFonts w:ascii="Tahoma" w:hAnsi="Tahoma" w:cs="Tahoma"/>
                <w:b/>
                <w:sz w:val="18"/>
                <w:szCs w:val="18"/>
              </w:rPr>
            </w:pPr>
            <w:r>
              <w:rPr>
                <w:rFonts w:ascii="Tahoma" w:hAnsi="Tahoma" w:cs="Tahoma"/>
                <w:b/>
                <w:sz w:val="18"/>
                <w:szCs w:val="18"/>
              </w:rPr>
              <w:t>Evaluation Question 2</w:t>
            </w:r>
          </w:p>
        </w:tc>
      </w:tr>
      <w:tr w:rsidR="00676E70" w:rsidRPr="009D49A9" w:rsidTr="00862E40">
        <w:trPr>
          <w:cnfStyle w:val="000000010000" w:firstRow="0" w:lastRow="0" w:firstColumn="0" w:lastColumn="0" w:oddVBand="0" w:evenVBand="0" w:oddHBand="0" w:evenHBand="1" w:firstRowFirstColumn="0" w:firstRowLastColumn="0" w:lastRowFirstColumn="0" w:lastRowLastColumn="0"/>
        </w:trPr>
        <w:tc>
          <w:tcPr>
            <w:tcW w:w="1407" w:type="pct"/>
          </w:tcPr>
          <w:p w:rsidR="00676E70" w:rsidRPr="009D49A9" w:rsidRDefault="00676E70" w:rsidP="00CF4476">
            <w:pPr>
              <w:autoSpaceDE w:val="0"/>
              <w:autoSpaceDN w:val="0"/>
              <w:adjustRightInd w:val="0"/>
              <w:rPr>
                <w:rFonts w:ascii="Tahoma" w:hAnsi="Tahoma" w:cs="Tahoma"/>
                <w:sz w:val="18"/>
              </w:rPr>
            </w:pPr>
            <w:r w:rsidRPr="009D49A9">
              <w:rPr>
                <w:rFonts w:ascii="Tahoma" w:hAnsi="Tahoma" w:cs="Tahoma"/>
                <w:sz w:val="18"/>
              </w:rPr>
              <w:t xml:space="preserve">What is </w:t>
            </w:r>
            <w:proofErr w:type="spellStart"/>
            <w:r w:rsidRPr="009D49A9">
              <w:rPr>
                <w:rFonts w:ascii="Tahoma" w:hAnsi="Tahoma" w:cs="Tahoma"/>
                <w:sz w:val="18"/>
              </w:rPr>
              <w:t>AgResults</w:t>
            </w:r>
            <w:proofErr w:type="spellEnd"/>
            <w:r w:rsidRPr="009D49A9">
              <w:rPr>
                <w:rFonts w:ascii="Tahoma" w:hAnsi="Tahoma" w:cs="Tahoma"/>
                <w:sz w:val="18"/>
              </w:rPr>
              <w:t xml:space="preserve">’ impact on smallholder uptake of on-farm storage solutions? </w:t>
            </w:r>
          </w:p>
        </w:tc>
        <w:tc>
          <w:tcPr>
            <w:tcW w:w="1089" w:type="pct"/>
          </w:tcPr>
          <w:p w:rsidR="00676E70" w:rsidRDefault="00676E70" w:rsidP="009D5378">
            <w:pPr>
              <w:rPr>
                <w:rFonts w:ascii="Tahoma" w:hAnsi="Tahoma" w:cs="Tahoma"/>
                <w:sz w:val="18"/>
                <w:szCs w:val="18"/>
              </w:rPr>
            </w:pPr>
            <w:r>
              <w:rPr>
                <w:rFonts w:ascii="Tahoma" w:hAnsi="Tahoma" w:cs="Tahoma"/>
                <w:sz w:val="18"/>
                <w:szCs w:val="18"/>
              </w:rPr>
              <w:t xml:space="preserve">Binary variable indicating whether household has adopted each OFS technology by the </w:t>
            </w:r>
            <w:r w:rsidR="009D5378">
              <w:rPr>
                <w:rFonts w:ascii="Tahoma" w:hAnsi="Tahoma" w:cs="Tahoma"/>
                <w:sz w:val="18"/>
                <w:szCs w:val="18"/>
              </w:rPr>
              <w:t>time period in question</w:t>
            </w:r>
          </w:p>
        </w:tc>
        <w:tc>
          <w:tcPr>
            <w:tcW w:w="1267" w:type="pct"/>
          </w:tcPr>
          <w:p w:rsidR="00676E70" w:rsidRPr="009D49A9" w:rsidRDefault="009D5378" w:rsidP="009D5378">
            <w:pPr>
              <w:rPr>
                <w:rFonts w:ascii="Tahoma" w:hAnsi="Tahoma" w:cs="Tahoma"/>
                <w:sz w:val="18"/>
                <w:szCs w:val="18"/>
              </w:rPr>
            </w:pPr>
            <w:r>
              <w:rPr>
                <w:rFonts w:ascii="Tahoma" w:hAnsi="Tahoma" w:cs="Tahoma"/>
                <w:sz w:val="18"/>
                <w:szCs w:val="18"/>
              </w:rPr>
              <w:t>Time series analysis</w:t>
            </w:r>
            <w:r w:rsidR="00676E70">
              <w:rPr>
                <w:rFonts w:ascii="Tahoma" w:hAnsi="Tahoma" w:cs="Tahoma"/>
                <w:sz w:val="18"/>
                <w:szCs w:val="18"/>
              </w:rPr>
              <w:t xml:space="preserve"> of ownership of </w:t>
            </w:r>
            <w:r>
              <w:rPr>
                <w:rFonts w:ascii="Tahoma" w:hAnsi="Tahoma" w:cs="Tahoma"/>
                <w:sz w:val="18"/>
                <w:szCs w:val="18"/>
              </w:rPr>
              <w:t>OFS</w:t>
            </w:r>
          </w:p>
        </w:tc>
        <w:tc>
          <w:tcPr>
            <w:tcW w:w="1238" w:type="pct"/>
          </w:tcPr>
          <w:p w:rsidR="00676E70" w:rsidRDefault="00FA1B2E" w:rsidP="0023123A">
            <w:pPr>
              <w:rPr>
                <w:rFonts w:ascii="Tahoma" w:hAnsi="Tahoma" w:cs="Tahoma"/>
                <w:sz w:val="18"/>
                <w:szCs w:val="18"/>
              </w:rPr>
            </w:pPr>
            <w:r>
              <w:rPr>
                <w:rFonts w:ascii="Tahoma" w:hAnsi="Tahoma" w:cs="Tahoma"/>
                <w:sz w:val="18"/>
                <w:szCs w:val="18"/>
              </w:rPr>
              <w:t>M04_A to</w:t>
            </w:r>
            <w:r w:rsidR="00676E70">
              <w:rPr>
                <w:rFonts w:ascii="Tahoma" w:hAnsi="Tahoma" w:cs="Tahoma"/>
                <w:sz w:val="18"/>
                <w:szCs w:val="18"/>
              </w:rPr>
              <w:t xml:space="preserve"> M04_J (</w:t>
            </w:r>
            <w:r w:rsidR="0023123A">
              <w:rPr>
                <w:rFonts w:ascii="Tahoma" w:hAnsi="Tahoma" w:cs="Tahoma"/>
                <w:sz w:val="18"/>
                <w:szCs w:val="18"/>
              </w:rPr>
              <w:t>household had ever used the specified OFS technology by the time period in question)</w:t>
            </w:r>
          </w:p>
        </w:tc>
      </w:tr>
      <w:tr w:rsidR="00676E70" w:rsidRPr="009D49A9" w:rsidTr="00862E40">
        <w:trPr>
          <w:cnfStyle w:val="000000100000" w:firstRow="0" w:lastRow="0" w:firstColumn="0" w:lastColumn="0" w:oddVBand="0" w:evenVBand="0" w:oddHBand="1" w:evenHBand="0" w:firstRowFirstColumn="0" w:firstRowLastColumn="0" w:lastRowFirstColumn="0" w:lastRowLastColumn="0"/>
        </w:trPr>
        <w:tc>
          <w:tcPr>
            <w:tcW w:w="5000" w:type="pct"/>
            <w:gridSpan w:val="4"/>
          </w:tcPr>
          <w:p w:rsidR="00676E70" w:rsidRPr="009D49A9" w:rsidRDefault="009D5378" w:rsidP="009D5378">
            <w:pPr>
              <w:rPr>
                <w:rFonts w:ascii="Tahoma" w:hAnsi="Tahoma" w:cs="Tahoma"/>
                <w:b/>
                <w:sz w:val="18"/>
                <w:szCs w:val="18"/>
              </w:rPr>
            </w:pPr>
            <w:r>
              <w:rPr>
                <w:rFonts w:ascii="Tahoma" w:hAnsi="Tahoma" w:cs="Tahoma"/>
                <w:b/>
                <w:sz w:val="18"/>
                <w:szCs w:val="18"/>
              </w:rPr>
              <w:t>Evaluation Question 3</w:t>
            </w:r>
          </w:p>
        </w:tc>
      </w:tr>
      <w:tr w:rsidR="00676E70" w:rsidTr="00862E40">
        <w:trPr>
          <w:cnfStyle w:val="000000010000" w:firstRow="0" w:lastRow="0" w:firstColumn="0" w:lastColumn="0" w:oddVBand="0" w:evenVBand="0" w:oddHBand="0" w:evenHBand="1" w:firstRowFirstColumn="0" w:firstRowLastColumn="0" w:lastRowFirstColumn="0" w:lastRowLastColumn="0"/>
        </w:trPr>
        <w:tc>
          <w:tcPr>
            <w:tcW w:w="1407" w:type="pct"/>
          </w:tcPr>
          <w:p w:rsidR="00676E70" w:rsidRPr="00223EE6" w:rsidRDefault="00676E70" w:rsidP="00676E70">
            <w:pPr>
              <w:rPr>
                <w:rFonts w:ascii="Tahoma" w:hAnsi="Tahoma" w:cs="Tahoma"/>
                <w:sz w:val="18"/>
                <w:szCs w:val="18"/>
              </w:rPr>
            </w:pPr>
            <w:r>
              <w:rPr>
                <w:rFonts w:ascii="Tahoma" w:hAnsi="Tahoma" w:cs="Tahoma"/>
                <w:sz w:val="18"/>
                <w:szCs w:val="18"/>
              </w:rPr>
              <w:t xml:space="preserve">What has been </w:t>
            </w:r>
            <w:proofErr w:type="spellStart"/>
            <w:r>
              <w:rPr>
                <w:rFonts w:ascii="Tahoma" w:hAnsi="Tahoma" w:cs="Tahoma"/>
                <w:sz w:val="18"/>
                <w:szCs w:val="18"/>
              </w:rPr>
              <w:t>AgResults</w:t>
            </w:r>
            <w:proofErr w:type="spellEnd"/>
            <w:r>
              <w:rPr>
                <w:rFonts w:ascii="Tahoma" w:hAnsi="Tahoma" w:cs="Tahoma"/>
                <w:sz w:val="18"/>
                <w:szCs w:val="18"/>
              </w:rPr>
              <w:t>’ impact on smallholders’ income?</w:t>
            </w:r>
          </w:p>
        </w:tc>
        <w:tc>
          <w:tcPr>
            <w:tcW w:w="1089" w:type="pct"/>
          </w:tcPr>
          <w:p w:rsidR="00676E70" w:rsidRDefault="00676E70" w:rsidP="00CF4476">
            <w:pPr>
              <w:rPr>
                <w:rFonts w:ascii="Tahoma" w:hAnsi="Tahoma" w:cs="Tahoma"/>
                <w:sz w:val="18"/>
                <w:szCs w:val="18"/>
              </w:rPr>
            </w:pPr>
            <w:r>
              <w:rPr>
                <w:rFonts w:ascii="Tahoma" w:hAnsi="Tahoma" w:cs="Tahoma"/>
                <w:sz w:val="18"/>
                <w:szCs w:val="18"/>
              </w:rPr>
              <w:t>Continuous variable constructed as total maize revenue</w:t>
            </w:r>
            <w:r w:rsidR="00FA1B2E">
              <w:rPr>
                <w:rFonts w:ascii="Tahoma" w:hAnsi="Tahoma" w:cs="Tahoma"/>
                <w:sz w:val="18"/>
                <w:szCs w:val="18"/>
              </w:rPr>
              <w:t xml:space="preserve"> (price*quantity)</w:t>
            </w:r>
          </w:p>
          <w:p w:rsidR="00676E70" w:rsidRDefault="009D5378" w:rsidP="00CF4476">
            <w:pPr>
              <w:rPr>
                <w:rFonts w:ascii="Tahoma" w:hAnsi="Tahoma" w:cs="Tahoma"/>
                <w:sz w:val="18"/>
                <w:szCs w:val="18"/>
              </w:rPr>
            </w:pPr>
            <w:r>
              <w:rPr>
                <w:rFonts w:ascii="Tahoma" w:hAnsi="Tahoma" w:cs="Tahoma"/>
                <w:sz w:val="18"/>
                <w:szCs w:val="18"/>
              </w:rPr>
              <w:t>(N</w:t>
            </w:r>
            <w:r w:rsidR="00676E70">
              <w:rPr>
                <w:rFonts w:ascii="Tahoma" w:hAnsi="Tahoma" w:cs="Tahoma"/>
                <w:sz w:val="18"/>
                <w:szCs w:val="18"/>
              </w:rPr>
              <w:t xml:space="preserve">ote: </w:t>
            </w:r>
            <w:r>
              <w:rPr>
                <w:rFonts w:ascii="Tahoma" w:hAnsi="Tahoma" w:cs="Tahoma"/>
                <w:sz w:val="18"/>
                <w:szCs w:val="18"/>
              </w:rPr>
              <w:t>maize revenue is used here as a proxy for income, as it is a more relevant gauge of income changes likely to be influenced by the pilot)</w:t>
            </w:r>
          </w:p>
        </w:tc>
        <w:tc>
          <w:tcPr>
            <w:tcW w:w="1267" w:type="pct"/>
          </w:tcPr>
          <w:p w:rsidR="00676E70" w:rsidRDefault="00FA1B2E" w:rsidP="00FA1B2E">
            <w:pPr>
              <w:rPr>
                <w:rFonts w:ascii="Tahoma" w:hAnsi="Tahoma" w:cs="Tahoma"/>
                <w:sz w:val="18"/>
                <w:szCs w:val="18"/>
              </w:rPr>
            </w:pPr>
            <w:r>
              <w:rPr>
                <w:rFonts w:ascii="Tahoma" w:hAnsi="Tahoma" w:cs="Tahoma"/>
                <w:sz w:val="18"/>
                <w:szCs w:val="18"/>
              </w:rPr>
              <w:t>Time series analysis of maize revenue</w:t>
            </w:r>
          </w:p>
          <w:p w:rsidR="00FA1B2E" w:rsidRPr="00223EE6" w:rsidRDefault="00FA1B2E" w:rsidP="00FA1B2E">
            <w:pPr>
              <w:rPr>
                <w:rFonts w:ascii="Tahoma" w:hAnsi="Tahoma" w:cs="Tahoma"/>
                <w:sz w:val="18"/>
                <w:szCs w:val="18"/>
              </w:rPr>
            </w:pPr>
            <w:r>
              <w:rPr>
                <w:rFonts w:ascii="Tahoma" w:hAnsi="Tahoma" w:cs="Tahoma"/>
                <w:sz w:val="18"/>
                <w:szCs w:val="18"/>
              </w:rPr>
              <w:t>(Note: maize revenue is considered to be zero if the household did not sell maize during that season)</w:t>
            </w:r>
          </w:p>
        </w:tc>
        <w:tc>
          <w:tcPr>
            <w:tcW w:w="1238" w:type="pct"/>
          </w:tcPr>
          <w:p w:rsidR="00676E70" w:rsidRPr="00223EE6" w:rsidRDefault="00FA1B2E" w:rsidP="00CF4476">
            <w:pPr>
              <w:rPr>
                <w:rFonts w:ascii="Tahoma" w:hAnsi="Tahoma" w:cs="Tahoma"/>
                <w:sz w:val="18"/>
                <w:szCs w:val="18"/>
              </w:rPr>
            </w:pPr>
            <w:r>
              <w:rPr>
                <w:rFonts w:ascii="Tahoma" w:hAnsi="Tahoma" w:cs="Tahoma"/>
                <w:sz w:val="18"/>
                <w:szCs w:val="18"/>
              </w:rPr>
              <w:t>I10 (quantity sold) * I11 (price)</w:t>
            </w:r>
          </w:p>
        </w:tc>
      </w:tr>
      <w:tr w:rsidR="0023123A" w:rsidRPr="009D49A9" w:rsidTr="00862E40">
        <w:trPr>
          <w:cnfStyle w:val="000000100000" w:firstRow="0" w:lastRow="0" w:firstColumn="0" w:lastColumn="0" w:oddVBand="0" w:evenVBand="0" w:oddHBand="1" w:evenHBand="0" w:firstRowFirstColumn="0" w:firstRowLastColumn="0" w:lastRowFirstColumn="0" w:lastRowLastColumn="0"/>
        </w:trPr>
        <w:tc>
          <w:tcPr>
            <w:tcW w:w="5000" w:type="pct"/>
            <w:gridSpan w:val="4"/>
          </w:tcPr>
          <w:p w:rsidR="0023123A" w:rsidRPr="009D49A9" w:rsidRDefault="00556BB1" w:rsidP="00CF4476">
            <w:pPr>
              <w:rPr>
                <w:rFonts w:ascii="Tahoma" w:hAnsi="Tahoma" w:cs="Tahoma"/>
                <w:b/>
                <w:sz w:val="18"/>
                <w:szCs w:val="18"/>
              </w:rPr>
            </w:pPr>
            <w:r>
              <w:rPr>
                <w:rFonts w:ascii="Tahoma" w:hAnsi="Tahoma" w:cs="Tahoma"/>
                <w:b/>
                <w:sz w:val="18"/>
                <w:szCs w:val="18"/>
              </w:rPr>
              <w:t>Additional</w:t>
            </w:r>
            <w:r w:rsidR="0023123A" w:rsidRPr="009D49A9">
              <w:rPr>
                <w:rFonts w:ascii="Tahoma" w:hAnsi="Tahoma" w:cs="Tahoma"/>
                <w:b/>
                <w:sz w:val="18"/>
                <w:szCs w:val="18"/>
              </w:rPr>
              <w:t xml:space="preserve"> outcomes</w:t>
            </w:r>
          </w:p>
        </w:tc>
      </w:tr>
      <w:tr w:rsidR="00676E70" w:rsidTr="00862E40">
        <w:trPr>
          <w:cnfStyle w:val="000000010000" w:firstRow="0" w:lastRow="0" w:firstColumn="0" w:lastColumn="0" w:oddVBand="0" w:evenVBand="0" w:oddHBand="0" w:evenHBand="1" w:firstRowFirstColumn="0" w:firstRowLastColumn="0" w:lastRowFirstColumn="0" w:lastRowLastColumn="0"/>
        </w:trPr>
        <w:tc>
          <w:tcPr>
            <w:tcW w:w="1407" w:type="pct"/>
          </w:tcPr>
          <w:p w:rsidR="00676E70" w:rsidRPr="00223EE6" w:rsidRDefault="00676E70" w:rsidP="00CF4476">
            <w:pPr>
              <w:rPr>
                <w:rFonts w:ascii="Tahoma" w:hAnsi="Tahoma" w:cs="Tahoma"/>
                <w:sz w:val="18"/>
                <w:szCs w:val="18"/>
              </w:rPr>
            </w:pPr>
            <w:r>
              <w:rPr>
                <w:rFonts w:ascii="Tahoma" w:hAnsi="Tahoma" w:cs="Tahoma"/>
                <w:sz w:val="18"/>
                <w:szCs w:val="18"/>
              </w:rPr>
              <w:t xml:space="preserve">What is </w:t>
            </w:r>
            <w:proofErr w:type="spellStart"/>
            <w:r>
              <w:rPr>
                <w:rFonts w:ascii="Tahoma" w:hAnsi="Tahoma" w:cs="Tahoma"/>
                <w:sz w:val="18"/>
                <w:szCs w:val="18"/>
              </w:rPr>
              <w:t>AgResults</w:t>
            </w:r>
            <w:proofErr w:type="spellEnd"/>
            <w:r>
              <w:rPr>
                <w:rFonts w:ascii="Tahoma" w:hAnsi="Tahoma" w:cs="Tahoma"/>
                <w:sz w:val="18"/>
                <w:szCs w:val="18"/>
              </w:rPr>
              <w:t>’ impact on smallholder awareness of on-farm storage solutions?</w:t>
            </w:r>
          </w:p>
        </w:tc>
        <w:tc>
          <w:tcPr>
            <w:tcW w:w="1089" w:type="pct"/>
          </w:tcPr>
          <w:p w:rsidR="00676E70" w:rsidRDefault="009D5378" w:rsidP="009D5378">
            <w:pPr>
              <w:rPr>
                <w:rFonts w:ascii="Tahoma" w:hAnsi="Tahoma" w:cs="Tahoma"/>
                <w:sz w:val="18"/>
                <w:szCs w:val="18"/>
              </w:rPr>
            </w:pPr>
            <w:r>
              <w:rPr>
                <w:rFonts w:ascii="Tahoma" w:hAnsi="Tahoma" w:cs="Tahoma"/>
                <w:sz w:val="18"/>
                <w:szCs w:val="18"/>
              </w:rPr>
              <w:t>Binary variable indicating whether respondent has ever heard of each improved OFS technology by the time period in question</w:t>
            </w:r>
          </w:p>
        </w:tc>
        <w:tc>
          <w:tcPr>
            <w:tcW w:w="1267" w:type="pct"/>
          </w:tcPr>
          <w:p w:rsidR="00676E70" w:rsidRPr="00223EE6" w:rsidRDefault="00676E70" w:rsidP="009D5378">
            <w:pPr>
              <w:rPr>
                <w:rFonts w:ascii="Tahoma" w:hAnsi="Tahoma" w:cs="Tahoma"/>
                <w:sz w:val="18"/>
                <w:szCs w:val="18"/>
              </w:rPr>
            </w:pPr>
            <w:r>
              <w:rPr>
                <w:rFonts w:ascii="Tahoma" w:hAnsi="Tahoma" w:cs="Tahoma"/>
                <w:sz w:val="18"/>
                <w:szCs w:val="18"/>
              </w:rPr>
              <w:t xml:space="preserve">Time series </w:t>
            </w:r>
            <w:r w:rsidR="009D5378">
              <w:rPr>
                <w:rFonts w:ascii="Tahoma" w:hAnsi="Tahoma" w:cs="Tahoma"/>
                <w:sz w:val="18"/>
                <w:szCs w:val="18"/>
              </w:rPr>
              <w:t>analysis</w:t>
            </w:r>
            <w:r>
              <w:rPr>
                <w:rFonts w:ascii="Tahoma" w:hAnsi="Tahoma" w:cs="Tahoma"/>
                <w:sz w:val="18"/>
                <w:szCs w:val="18"/>
              </w:rPr>
              <w:t xml:space="preserve"> of awareness of </w:t>
            </w:r>
            <w:r w:rsidR="009D5378">
              <w:rPr>
                <w:rFonts w:ascii="Tahoma" w:hAnsi="Tahoma" w:cs="Tahoma"/>
                <w:sz w:val="18"/>
                <w:szCs w:val="18"/>
              </w:rPr>
              <w:t>OFS</w:t>
            </w:r>
          </w:p>
        </w:tc>
        <w:tc>
          <w:tcPr>
            <w:tcW w:w="1238" w:type="pct"/>
          </w:tcPr>
          <w:p w:rsidR="00676E70" w:rsidRPr="009D5378" w:rsidRDefault="00FA1B2E" w:rsidP="00FA1B2E">
            <w:pPr>
              <w:rPr>
                <w:rFonts w:ascii="Tahoma" w:hAnsi="Tahoma" w:cs="Tahoma"/>
                <w:b/>
                <w:sz w:val="18"/>
                <w:szCs w:val="18"/>
              </w:rPr>
            </w:pPr>
            <w:r>
              <w:rPr>
                <w:rFonts w:ascii="Tahoma" w:hAnsi="Tahoma" w:cs="Tahoma"/>
                <w:sz w:val="18"/>
                <w:szCs w:val="18"/>
              </w:rPr>
              <w:t>2013: M01_A to</w:t>
            </w:r>
            <w:r w:rsidR="00676E70">
              <w:rPr>
                <w:rFonts w:ascii="Tahoma" w:hAnsi="Tahoma" w:cs="Tahoma"/>
                <w:sz w:val="18"/>
                <w:szCs w:val="18"/>
              </w:rPr>
              <w:t xml:space="preserve"> M01_J (</w:t>
            </w:r>
            <w:r>
              <w:rPr>
                <w:rFonts w:ascii="Tahoma" w:hAnsi="Tahoma" w:cs="Tahoma"/>
                <w:sz w:val="18"/>
                <w:szCs w:val="18"/>
              </w:rPr>
              <w:t>respondent is aware of the specified OFS technology for grain/pulse storage</w:t>
            </w:r>
            <w:r w:rsidR="00676E70">
              <w:rPr>
                <w:rFonts w:ascii="Tahoma" w:hAnsi="Tahoma" w:cs="Tahoma"/>
                <w:sz w:val="18"/>
                <w:szCs w:val="18"/>
              </w:rPr>
              <w:t xml:space="preserve">) </w:t>
            </w:r>
          </w:p>
        </w:tc>
      </w:tr>
      <w:tr w:rsidR="00676E70" w:rsidTr="00862E40">
        <w:trPr>
          <w:cnfStyle w:val="000000100000" w:firstRow="0" w:lastRow="0" w:firstColumn="0" w:lastColumn="0" w:oddVBand="0" w:evenVBand="0" w:oddHBand="1" w:evenHBand="0" w:firstRowFirstColumn="0" w:firstRowLastColumn="0" w:lastRowFirstColumn="0" w:lastRowLastColumn="0"/>
        </w:trPr>
        <w:tc>
          <w:tcPr>
            <w:tcW w:w="1407" w:type="pct"/>
            <w:shd w:val="clear" w:color="auto" w:fill="auto"/>
          </w:tcPr>
          <w:p w:rsidR="00676E70" w:rsidRPr="00223EE6" w:rsidRDefault="00676E70" w:rsidP="00CF4476">
            <w:pPr>
              <w:rPr>
                <w:rFonts w:ascii="Tahoma" w:hAnsi="Tahoma" w:cs="Tahoma"/>
                <w:sz w:val="18"/>
                <w:szCs w:val="18"/>
              </w:rPr>
            </w:pPr>
            <w:r>
              <w:rPr>
                <w:rFonts w:ascii="Tahoma" w:hAnsi="Tahoma" w:cs="Tahoma"/>
                <w:sz w:val="18"/>
                <w:szCs w:val="18"/>
              </w:rPr>
              <w:t>Change in sale price received for 9 crops that can be stored in on-farm storage solutions</w:t>
            </w:r>
          </w:p>
        </w:tc>
        <w:tc>
          <w:tcPr>
            <w:tcW w:w="1089" w:type="pct"/>
            <w:shd w:val="clear" w:color="auto" w:fill="auto"/>
          </w:tcPr>
          <w:p w:rsidR="00676E70" w:rsidRPr="00F83192" w:rsidRDefault="009D5378" w:rsidP="00CF4476">
            <w:pPr>
              <w:rPr>
                <w:rFonts w:ascii="Tahoma" w:hAnsi="Tahoma" w:cs="Tahoma"/>
                <w:sz w:val="18"/>
                <w:szCs w:val="18"/>
              </w:rPr>
            </w:pPr>
            <w:r>
              <w:rPr>
                <w:rFonts w:ascii="Tahoma" w:hAnsi="Tahoma" w:cs="Tahoma"/>
                <w:sz w:val="18"/>
                <w:szCs w:val="18"/>
              </w:rPr>
              <w:t>Sale price for largest sale (KSH/kg) of maize and other grain/pulse crops</w:t>
            </w:r>
          </w:p>
        </w:tc>
        <w:tc>
          <w:tcPr>
            <w:tcW w:w="1267" w:type="pct"/>
            <w:shd w:val="clear" w:color="auto" w:fill="auto"/>
          </w:tcPr>
          <w:p w:rsidR="00676E70" w:rsidRDefault="00676E70" w:rsidP="009D5378">
            <w:pPr>
              <w:rPr>
                <w:rFonts w:ascii="Tahoma" w:hAnsi="Tahoma" w:cs="Tahoma"/>
                <w:sz w:val="18"/>
                <w:szCs w:val="18"/>
              </w:rPr>
            </w:pPr>
            <w:r w:rsidRPr="00F83192">
              <w:rPr>
                <w:rFonts w:ascii="Tahoma" w:hAnsi="Tahoma" w:cs="Tahoma"/>
                <w:sz w:val="18"/>
                <w:szCs w:val="18"/>
              </w:rPr>
              <w:t>Time</w:t>
            </w:r>
            <w:r w:rsidR="009D5378">
              <w:rPr>
                <w:rFonts w:ascii="Tahoma" w:hAnsi="Tahoma" w:cs="Tahoma"/>
                <w:sz w:val="18"/>
                <w:szCs w:val="18"/>
              </w:rPr>
              <w:t xml:space="preserve"> series analysis of reported sale price for maize; before-after comparison of reported sale price for non-maize crops</w:t>
            </w:r>
          </w:p>
          <w:p w:rsidR="009D5378" w:rsidRPr="00F83192" w:rsidRDefault="009D5378" w:rsidP="009D5378">
            <w:pPr>
              <w:rPr>
                <w:rFonts w:ascii="Tahoma" w:hAnsi="Tahoma" w:cs="Tahoma"/>
                <w:sz w:val="18"/>
                <w:szCs w:val="18"/>
              </w:rPr>
            </w:pPr>
            <w:r>
              <w:rPr>
                <w:rFonts w:ascii="Tahoma" w:hAnsi="Tahoma" w:cs="Tahoma"/>
                <w:sz w:val="18"/>
                <w:szCs w:val="18"/>
              </w:rPr>
              <w:t>(Note: sale price is coded as missing if the household did not sell the crop)</w:t>
            </w:r>
          </w:p>
        </w:tc>
        <w:tc>
          <w:tcPr>
            <w:tcW w:w="1238" w:type="pct"/>
            <w:shd w:val="clear" w:color="auto" w:fill="auto"/>
          </w:tcPr>
          <w:p w:rsidR="00676E70" w:rsidRPr="00F83192" w:rsidRDefault="009D5378" w:rsidP="00CF4476">
            <w:pPr>
              <w:rPr>
                <w:rFonts w:ascii="Tahoma" w:hAnsi="Tahoma" w:cs="Tahoma"/>
                <w:sz w:val="18"/>
                <w:szCs w:val="18"/>
              </w:rPr>
            </w:pPr>
            <w:r>
              <w:rPr>
                <w:rFonts w:ascii="Tahoma" w:hAnsi="Tahoma" w:cs="Tahoma"/>
                <w:sz w:val="18"/>
                <w:szCs w:val="18"/>
              </w:rPr>
              <w:t xml:space="preserve">2013: </w:t>
            </w:r>
            <w:r w:rsidR="00676E70" w:rsidRPr="00F83192">
              <w:rPr>
                <w:rFonts w:ascii="Tahoma" w:hAnsi="Tahoma" w:cs="Tahoma"/>
                <w:sz w:val="18"/>
                <w:szCs w:val="18"/>
              </w:rPr>
              <w:t>I10-I11, I22-I24</w:t>
            </w:r>
            <w:r>
              <w:rPr>
                <w:rFonts w:ascii="Tahoma" w:hAnsi="Tahoma" w:cs="Tahoma"/>
                <w:sz w:val="18"/>
                <w:szCs w:val="18"/>
              </w:rPr>
              <w:t xml:space="preserve"> </w:t>
            </w:r>
            <w:r w:rsidR="00676E70" w:rsidRPr="00F83192">
              <w:rPr>
                <w:rFonts w:ascii="Tahoma" w:hAnsi="Tahoma" w:cs="Tahoma"/>
                <w:sz w:val="18"/>
                <w:szCs w:val="18"/>
              </w:rPr>
              <w:t xml:space="preserve"> (unit and sale price per unit for maize and 2</w:t>
            </w:r>
            <w:r w:rsidR="00676E70" w:rsidRPr="00F83192">
              <w:rPr>
                <w:rFonts w:ascii="Tahoma" w:hAnsi="Tahoma" w:cs="Tahoma"/>
                <w:sz w:val="18"/>
                <w:szCs w:val="18"/>
                <w:vertAlign w:val="superscript"/>
              </w:rPr>
              <w:t>nd</w:t>
            </w:r>
            <w:r w:rsidR="00676E70" w:rsidRPr="00F83192">
              <w:rPr>
                <w:rFonts w:ascii="Tahoma" w:hAnsi="Tahoma" w:cs="Tahoma"/>
                <w:sz w:val="18"/>
                <w:szCs w:val="18"/>
              </w:rPr>
              <w:t xml:space="preserve"> most important </w:t>
            </w:r>
            <w:r>
              <w:rPr>
                <w:rFonts w:ascii="Tahoma" w:hAnsi="Tahoma" w:cs="Tahoma"/>
                <w:sz w:val="18"/>
                <w:szCs w:val="18"/>
              </w:rPr>
              <w:t>grain/pulse</w:t>
            </w:r>
            <w:r w:rsidR="00676E70" w:rsidRPr="00F83192">
              <w:rPr>
                <w:rFonts w:ascii="Tahoma" w:hAnsi="Tahoma" w:cs="Tahoma"/>
                <w:sz w:val="18"/>
                <w:szCs w:val="18"/>
              </w:rPr>
              <w:t xml:space="preserve"> crop)</w:t>
            </w:r>
          </w:p>
          <w:p w:rsidR="00676E70" w:rsidRPr="00F83192" w:rsidRDefault="00676E70" w:rsidP="00CF4476">
            <w:pPr>
              <w:rPr>
                <w:rFonts w:ascii="Tahoma" w:hAnsi="Tahoma" w:cs="Tahoma"/>
                <w:sz w:val="18"/>
                <w:szCs w:val="18"/>
              </w:rPr>
            </w:pPr>
            <w:r w:rsidRPr="00F83192">
              <w:rPr>
                <w:rFonts w:ascii="Tahoma" w:hAnsi="Tahoma" w:cs="Tahoma"/>
                <w:sz w:val="18"/>
                <w:szCs w:val="18"/>
              </w:rPr>
              <w:t>2012: J02 (unit), J04 (price per unit) (maize only)</w:t>
            </w:r>
          </w:p>
          <w:p w:rsidR="00676E70" w:rsidRPr="00F83192" w:rsidRDefault="00676E70" w:rsidP="00CF4476">
            <w:pPr>
              <w:rPr>
                <w:rFonts w:ascii="Tahoma" w:hAnsi="Tahoma" w:cs="Tahoma"/>
                <w:sz w:val="18"/>
                <w:szCs w:val="18"/>
              </w:rPr>
            </w:pPr>
            <w:r w:rsidRPr="00F83192">
              <w:rPr>
                <w:rFonts w:ascii="Tahoma" w:hAnsi="Tahoma" w:cs="Tahoma"/>
                <w:sz w:val="18"/>
                <w:szCs w:val="18"/>
              </w:rPr>
              <w:t xml:space="preserve">2011: J16 (unit), J18 (price per unit) (maize </w:t>
            </w:r>
            <w:r w:rsidRPr="00F83192">
              <w:rPr>
                <w:rFonts w:ascii="Tahoma" w:hAnsi="Tahoma" w:cs="Tahoma"/>
                <w:sz w:val="18"/>
                <w:szCs w:val="18"/>
              </w:rPr>
              <w:lastRenderedPageBreak/>
              <w:t>only)</w:t>
            </w:r>
          </w:p>
        </w:tc>
      </w:tr>
      <w:tr w:rsidR="00676E70" w:rsidRPr="00141E87" w:rsidTr="00862E40">
        <w:trPr>
          <w:cnfStyle w:val="000000010000" w:firstRow="0" w:lastRow="0" w:firstColumn="0" w:lastColumn="0" w:oddVBand="0" w:evenVBand="0" w:oddHBand="0" w:evenHBand="1" w:firstRowFirstColumn="0" w:firstRowLastColumn="0" w:lastRowFirstColumn="0" w:lastRowLastColumn="0"/>
        </w:trPr>
        <w:tc>
          <w:tcPr>
            <w:tcW w:w="1407" w:type="pct"/>
            <w:shd w:val="clear" w:color="auto" w:fill="auto"/>
          </w:tcPr>
          <w:p w:rsidR="00676E70" w:rsidRPr="00A5333F" w:rsidRDefault="00676E70" w:rsidP="00CF4476">
            <w:pPr>
              <w:autoSpaceDE w:val="0"/>
              <w:autoSpaceDN w:val="0"/>
              <w:adjustRightInd w:val="0"/>
              <w:rPr>
                <w:rFonts w:ascii="Tahoma" w:hAnsi="Tahoma" w:cs="Tahoma"/>
                <w:sz w:val="18"/>
                <w:szCs w:val="18"/>
              </w:rPr>
            </w:pPr>
            <w:r w:rsidRPr="00A5333F">
              <w:rPr>
                <w:rFonts w:ascii="Tahoma" w:hAnsi="Tahoma" w:cs="Tahoma"/>
                <w:sz w:val="18"/>
                <w:szCs w:val="18"/>
              </w:rPr>
              <w:lastRenderedPageBreak/>
              <w:t>Change in quantity of maize sold right after harvest</w:t>
            </w:r>
          </w:p>
        </w:tc>
        <w:tc>
          <w:tcPr>
            <w:tcW w:w="1089" w:type="pct"/>
            <w:shd w:val="clear" w:color="auto" w:fill="auto"/>
          </w:tcPr>
          <w:p w:rsidR="00676E70" w:rsidRPr="00A5333F" w:rsidRDefault="0023123A" w:rsidP="00CF4476">
            <w:pPr>
              <w:rPr>
                <w:rFonts w:ascii="Tahoma" w:hAnsi="Tahoma" w:cs="Tahoma"/>
                <w:sz w:val="18"/>
                <w:szCs w:val="18"/>
              </w:rPr>
            </w:pPr>
            <w:r>
              <w:rPr>
                <w:rFonts w:ascii="Tahoma" w:hAnsi="Tahoma" w:cs="Tahoma"/>
                <w:sz w:val="18"/>
                <w:szCs w:val="18"/>
              </w:rPr>
              <w:t>Quantity of maize sold (kg) after harvest</w:t>
            </w:r>
          </w:p>
        </w:tc>
        <w:tc>
          <w:tcPr>
            <w:tcW w:w="1267" w:type="pct"/>
            <w:shd w:val="clear" w:color="auto" w:fill="auto"/>
          </w:tcPr>
          <w:p w:rsidR="00676E70" w:rsidRDefault="00676E70" w:rsidP="00CF4476">
            <w:pPr>
              <w:rPr>
                <w:rFonts w:ascii="Tahoma" w:hAnsi="Tahoma" w:cs="Tahoma"/>
                <w:sz w:val="18"/>
                <w:szCs w:val="18"/>
              </w:rPr>
            </w:pPr>
            <w:r w:rsidRPr="00A5333F">
              <w:rPr>
                <w:rFonts w:ascii="Tahoma" w:hAnsi="Tahoma" w:cs="Tahoma"/>
                <w:sz w:val="18"/>
                <w:szCs w:val="18"/>
              </w:rPr>
              <w:t>Time series of maize quantity sold right after harvest</w:t>
            </w:r>
          </w:p>
          <w:p w:rsidR="009D5378" w:rsidRPr="00A5333F" w:rsidRDefault="009D5378" w:rsidP="00FA1B2E">
            <w:pPr>
              <w:rPr>
                <w:rFonts w:ascii="Tahoma" w:hAnsi="Tahoma" w:cs="Tahoma"/>
                <w:sz w:val="18"/>
                <w:szCs w:val="18"/>
              </w:rPr>
            </w:pPr>
            <w:r>
              <w:rPr>
                <w:rFonts w:ascii="Tahoma" w:hAnsi="Tahoma" w:cs="Tahoma"/>
                <w:sz w:val="18"/>
                <w:szCs w:val="18"/>
              </w:rPr>
              <w:t xml:space="preserve">(Note: quantity sold is </w:t>
            </w:r>
            <w:r w:rsidR="00FA1B2E">
              <w:rPr>
                <w:rFonts w:ascii="Tahoma" w:hAnsi="Tahoma" w:cs="Tahoma"/>
                <w:sz w:val="18"/>
                <w:szCs w:val="18"/>
              </w:rPr>
              <w:t>considered to be 0</w:t>
            </w:r>
            <w:r>
              <w:rPr>
                <w:rFonts w:ascii="Tahoma" w:hAnsi="Tahoma" w:cs="Tahoma"/>
                <w:sz w:val="18"/>
                <w:szCs w:val="18"/>
              </w:rPr>
              <w:t xml:space="preserve"> if the household did not sell that season)</w:t>
            </w:r>
          </w:p>
        </w:tc>
        <w:tc>
          <w:tcPr>
            <w:tcW w:w="1238" w:type="pct"/>
            <w:shd w:val="clear" w:color="auto" w:fill="auto"/>
          </w:tcPr>
          <w:p w:rsidR="00676E70" w:rsidRPr="00A5333F" w:rsidRDefault="00676E70" w:rsidP="00CF4476">
            <w:pPr>
              <w:rPr>
                <w:rFonts w:ascii="Tahoma" w:hAnsi="Tahoma" w:cs="Tahoma"/>
                <w:sz w:val="18"/>
                <w:szCs w:val="18"/>
              </w:rPr>
            </w:pPr>
            <w:r w:rsidRPr="00A5333F">
              <w:rPr>
                <w:rFonts w:ascii="Tahoma" w:hAnsi="Tahoma" w:cs="Tahoma"/>
                <w:sz w:val="18"/>
                <w:szCs w:val="18"/>
              </w:rPr>
              <w:t>L</w:t>
            </w:r>
            <w:r>
              <w:rPr>
                <w:rFonts w:ascii="Tahoma" w:hAnsi="Tahoma" w:cs="Tahoma"/>
                <w:sz w:val="18"/>
                <w:szCs w:val="18"/>
              </w:rPr>
              <w:t>R</w:t>
            </w:r>
            <w:r w:rsidR="009D5378">
              <w:rPr>
                <w:rFonts w:ascii="Tahoma" w:hAnsi="Tahoma" w:cs="Tahoma"/>
                <w:sz w:val="18"/>
                <w:szCs w:val="18"/>
              </w:rPr>
              <w:t xml:space="preserve"> 2013: I</w:t>
            </w:r>
            <w:r w:rsidRPr="00A5333F">
              <w:rPr>
                <w:rFonts w:ascii="Tahoma" w:hAnsi="Tahoma" w:cs="Tahoma"/>
                <w:sz w:val="18"/>
                <w:szCs w:val="18"/>
              </w:rPr>
              <w:t>10</w:t>
            </w:r>
          </w:p>
          <w:p w:rsidR="00676E70" w:rsidRPr="00A5333F" w:rsidRDefault="00676E70" w:rsidP="00CF4476">
            <w:pPr>
              <w:rPr>
                <w:rFonts w:ascii="Tahoma" w:hAnsi="Tahoma" w:cs="Tahoma"/>
                <w:sz w:val="18"/>
                <w:szCs w:val="18"/>
              </w:rPr>
            </w:pPr>
            <w:r w:rsidRPr="00A5333F">
              <w:rPr>
                <w:rFonts w:ascii="Tahoma" w:hAnsi="Tahoma" w:cs="Tahoma"/>
                <w:sz w:val="18"/>
                <w:szCs w:val="18"/>
              </w:rPr>
              <w:t>LR 2012: J02</w:t>
            </w:r>
          </w:p>
          <w:p w:rsidR="00676E70" w:rsidRPr="00A5333F" w:rsidRDefault="00676E70" w:rsidP="00CF4476">
            <w:pPr>
              <w:rPr>
                <w:rFonts w:ascii="Tahoma" w:hAnsi="Tahoma" w:cs="Tahoma"/>
                <w:sz w:val="18"/>
                <w:szCs w:val="18"/>
              </w:rPr>
            </w:pPr>
            <w:r w:rsidRPr="00A5333F">
              <w:rPr>
                <w:rFonts w:ascii="Tahoma" w:hAnsi="Tahoma" w:cs="Tahoma"/>
                <w:sz w:val="18"/>
                <w:szCs w:val="18"/>
              </w:rPr>
              <w:t>LR 2011: J09</w:t>
            </w:r>
          </w:p>
        </w:tc>
      </w:tr>
      <w:tr w:rsidR="00676E70" w:rsidTr="00862E40">
        <w:trPr>
          <w:cnfStyle w:val="000000100000" w:firstRow="0" w:lastRow="0" w:firstColumn="0" w:lastColumn="0" w:oddVBand="0" w:evenVBand="0" w:oddHBand="1" w:evenHBand="0" w:firstRowFirstColumn="0" w:firstRowLastColumn="0" w:lastRowFirstColumn="0" w:lastRowLastColumn="0"/>
        </w:trPr>
        <w:tc>
          <w:tcPr>
            <w:tcW w:w="1407" w:type="pct"/>
            <w:shd w:val="clear" w:color="auto" w:fill="auto"/>
          </w:tcPr>
          <w:p w:rsidR="00676E70" w:rsidRPr="00223EE6" w:rsidRDefault="00676E70" w:rsidP="00CF4476">
            <w:pPr>
              <w:autoSpaceDE w:val="0"/>
              <w:autoSpaceDN w:val="0"/>
              <w:adjustRightInd w:val="0"/>
              <w:rPr>
                <w:rFonts w:ascii="Tahoma" w:hAnsi="Tahoma" w:cs="Tahoma"/>
                <w:sz w:val="18"/>
                <w:szCs w:val="18"/>
              </w:rPr>
            </w:pPr>
            <w:r>
              <w:rPr>
                <w:rFonts w:ascii="Tahoma" w:hAnsi="Tahoma" w:cs="Tahoma"/>
                <w:sz w:val="18"/>
                <w:szCs w:val="18"/>
              </w:rPr>
              <w:t>Change in month of sale for 9 crops that can be stored in on-farm storage solutions</w:t>
            </w:r>
          </w:p>
        </w:tc>
        <w:tc>
          <w:tcPr>
            <w:tcW w:w="1089" w:type="pct"/>
            <w:shd w:val="clear" w:color="auto" w:fill="auto"/>
          </w:tcPr>
          <w:p w:rsidR="00676E70" w:rsidRDefault="0023123A" w:rsidP="00CF4476">
            <w:pPr>
              <w:rPr>
                <w:rFonts w:ascii="Tahoma" w:hAnsi="Tahoma" w:cs="Tahoma"/>
                <w:sz w:val="18"/>
                <w:szCs w:val="18"/>
              </w:rPr>
            </w:pPr>
            <w:r>
              <w:rPr>
                <w:rFonts w:ascii="Tahoma" w:hAnsi="Tahoma" w:cs="Tahoma"/>
                <w:sz w:val="18"/>
                <w:szCs w:val="18"/>
              </w:rPr>
              <w:t>Month of sale</w:t>
            </w:r>
          </w:p>
        </w:tc>
        <w:tc>
          <w:tcPr>
            <w:tcW w:w="1267" w:type="pct"/>
            <w:shd w:val="clear" w:color="auto" w:fill="auto"/>
          </w:tcPr>
          <w:p w:rsidR="00676E70" w:rsidRPr="00223EE6" w:rsidRDefault="0023123A" w:rsidP="0023123A">
            <w:pPr>
              <w:rPr>
                <w:rFonts w:ascii="Tahoma" w:hAnsi="Tahoma" w:cs="Tahoma"/>
                <w:sz w:val="18"/>
                <w:szCs w:val="18"/>
              </w:rPr>
            </w:pPr>
            <w:r>
              <w:rPr>
                <w:rFonts w:ascii="Tahoma" w:hAnsi="Tahoma" w:cs="Tahoma"/>
                <w:sz w:val="18"/>
                <w:szCs w:val="18"/>
              </w:rPr>
              <w:t>Time series analysis for maize; before-after comparison for non-maize crops</w:t>
            </w:r>
          </w:p>
        </w:tc>
        <w:tc>
          <w:tcPr>
            <w:tcW w:w="1238" w:type="pct"/>
            <w:shd w:val="clear" w:color="auto" w:fill="auto"/>
          </w:tcPr>
          <w:p w:rsidR="00676E70" w:rsidRPr="00F83192" w:rsidRDefault="00676E70" w:rsidP="00CF4476">
            <w:pPr>
              <w:rPr>
                <w:rFonts w:ascii="Tahoma" w:hAnsi="Tahoma" w:cs="Tahoma"/>
                <w:sz w:val="18"/>
                <w:szCs w:val="18"/>
              </w:rPr>
            </w:pPr>
            <w:r>
              <w:rPr>
                <w:rFonts w:ascii="Tahoma" w:hAnsi="Tahoma" w:cs="Tahoma"/>
                <w:sz w:val="18"/>
                <w:szCs w:val="18"/>
              </w:rPr>
              <w:t>2013: I08, I20 (month/year of sale for maize and 2</w:t>
            </w:r>
            <w:r w:rsidRPr="00F52E72">
              <w:rPr>
                <w:rFonts w:ascii="Tahoma" w:hAnsi="Tahoma" w:cs="Tahoma"/>
                <w:sz w:val="18"/>
                <w:szCs w:val="18"/>
                <w:vertAlign w:val="superscript"/>
              </w:rPr>
              <w:t>nd</w:t>
            </w:r>
            <w:r>
              <w:rPr>
                <w:rFonts w:ascii="Tahoma" w:hAnsi="Tahoma" w:cs="Tahoma"/>
                <w:sz w:val="18"/>
                <w:szCs w:val="18"/>
              </w:rPr>
              <w:t xml:space="preserve"> most imp</w:t>
            </w:r>
            <w:r w:rsidRPr="00F83192">
              <w:rPr>
                <w:rFonts w:ascii="Tahoma" w:hAnsi="Tahoma" w:cs="Tahoma"/>
                <w:sz w:val="18"/>
                <w:szCs w:val="18"/>
              </w:rPr>
              <w:t>ortant storable crop)</w:t>
            </w:r>
          </w:p>
          <w:p w:rsidR="00676E70" w:rsidRPr="00F83192" w:rsidRDefault="00676E70" w:rsidP="00CF4476">
            <w:pPr>
              <w:rPr>
                <w:rFonts w:ascii="Tahoma" w:hAnsi="Tahoma" w:cs="Tahoma"/>
                <w:sz w:val="18"/>
                <w:szCs w:val="18"/>
              </w:rPr>
            </w:pPr>
            <w:r w:rsidRPr="00F83192">
              <w:rPr>
                <w:rFonts w:ascii="Tahoma" w:hAnsi="Tahoma" w:cs="Tahoma"/>
                <w:sz w:val="18"/>
                <w:szCs w:val="18"/>
              </w:rPr>
              <w:t>2012: J03 (month/year of sale for maize only)</w:t>
            </w:r>
          </w:p>
          <w:p w:rsidR="00676E70" w:rsidRPr="00223EE6" w:rsidRDefault="00676E70" w:rsidP="00CF4476">
            <w:pPr>
              <w:rPr>
                <w:rFonts w:ascii="Tahoma" w:hAnsi="Tahoma" w:cs="Tahoma"/>
                <w:sz w:val="18"/>
                <w:szCs w:val="18"/>
              </w:rPr>
            </w:pPr>
            <w:r w:rsidRPr="00F83192">
              <w:rPr>
                <w:rFonts w:ascii="Tahoma" w:hAnsi="Tahoma" w:cs="Tahoma"/>
                <w:sz w:val="18"/>
                <w:szCs w:val="18"/>
              </w:rPr>
              <w:t>2011: J17 (month/year of sale for maize only)</w:t>
            </w:r>
          </w:p>
        </w:tc>
      </w:tr>
      <w:tr w:rsidR="00676E70" w:rsidTr="00862E40">
        <w:trPr>
          <w:cnfStyle w:val="000000010000" w:firstRow="0" w:lastRow="0" w:firstColumn="0" w:lastColumn="0" w:oddVBand="0" w:evenVBand="0" w:oddHBand="0" w:evenHBand="1" w:firstRowFirstColumn="0" w:firstRowLastColumn="0" w:lastRowFirstColumn="0" w:lastRowLastColumn="0"/>
        </w:trPr>
        <w:tc>
          <w:tcPr>
            <w:tcW w:w="1407" w:type="pct"/>
            <w:shd w:val="clear" w:color="auto" w:fill="auto"/>
          </w:tcPr>
          <w:p w:rsidR="00676E70" w:rsidRPr="00223EE6" w:rsidRDefault="00676E70" w:rsidP="00CF4476">
            <w:pPr>
              <w:autoSpaceDE w:val="0"/>
              <w:autoSpaceDN w:val="0"/>
              <w:adjustRightInd w:val="0"/>
              <w:rPr>
                <w:rFonts w:ascii="Tahoma" w:hAnsi="Tahoma" w:cs="Tahoma"/>
                <w:sz w:val="18"/>
                <w:szCs w:val="18"/>
              </w:rPr>
            </w:pPr>
            <w:r>
              <w:rPr>
                <w:rFonts w:ascii="Tahoma" w:hAnsi="Tahoma" w:cs="Tahoma"/>
                <w:sz w:val="18"/>
                <w:szCs w:val="18"/>
              </w:rPr>
              <w:t>Change in length of time between maize harvest and running out of maize stored for consumption</w:t>
            </w:r>
            <w:r w:rsidR="00556BB1">
              <w:rPr>
                <w:rFonts w:ascii="Tahoma" w:hAnsi="Tahoma" w:cs="Tahoma"/>
                <w:sz w:val="18"/>
                <w:szCs w:val="18"/>
              </w:rPr>
              <w:t xml:space="preserve"> (food security)</w:t>
            </w:r>
          </w:p>
        </w:tc>
        <w:tc>
          <w:tcPr>
            <w:tcW w:w="1089" w:type="pct"/>
            <w:shd w:val="clear" w:color="auto" w:fill="auto"/>
          </w:tcPr>
          <w:p w:rsidR="00676E70" w:rsidRDefault="0023123A" w:rsidP="00CF4476">
            <w:pPr>
              <w:rPr>
                <w:rFonts w:ascii="Tahoma" w:hAnsi="Tahoma" w:cs="Tahoma"/>
                <w:sz w:val="18"/>
                <w:szCs w:val="18"/>
              </w:rPr>
            </w:pPr>
            <w:r>
              <w:rPr>
                <w:rFonts w:ascii="Tahoma" w:hAnsi="Tahoma" w:cs="Tahoma"/>
                <w:sz w:val="18"/>
                <w:szCs w:val="18"/>
              </w:rPr>
              <w:t>Number of months between end of harvest and running out of maize stored for consumption from that harvest</w:t>
            </w:r>
          </w:p>
        </w:tc>
        <w:tc>
          <w:tcPr>
            <w:tcW w:w="1267" w:type="pct"/>
            <w:shd w:val="clear" w:color="auto" w:fill="auto"/>
          </w:tcPr>
          <w:p w:rsidR="00676E70" w:rsidRPr="00223EE6" w:rsidRDefault="00676E70" w:rsidP="00CF4476">
            <w:pPr>
              <w:rPr>
                <w:rFonts w:ascii="Tahoma" w:hAnsi="Tahoma" w:cs="Tahoma"/>
                <w:sz w:val="18"/>
                <w:szCs w:val="18"/>
              </w:rPr>
            </w:pPr>
            <w:r>
              <w:rPr>
                <w:rFonts w:ascii="Tahoma" w:hAnsi="Tahoma" w:cs="Tahoma"/>
                <w:sz w:val="18"/>
                <w:szCs w:val="18"/>
              </w:rPr>
              <w:t>Before-after comparison of length of maize storage for consumption for adopters vs non-adopters</w:t>
            </w:r>
          </w:p>
        </w:tc>
        <w:tc>
          <w:tcPr>
            <w:tcW w:w="1238" w:type="pct"/>
            <w:shd w:val="clear" w:color="auto" w:fill="auto"/>
          </w:tcPr>
          <w:p w:rsidR="00676E70" w:rsidRDefault="00676E70" w:rsidP="00CF4476">
            <w:pPr>
              <w:rPr>
                <w:rFonts w:ascii="Tahoma" w:hAnsi="Tahoma" w:cs="Tahoma"/>
                <w:sz w:val="18"/>
                <w:szCs w:val="18"/>
              </w:rPr>
            </w:pPr>
            <w:r>
              <w:rPr>
                <w:rFonts w:ascii="Tahoma" w:hAnsi="Tahoma" w:cs="Tahoma"/>
                <w:sz w:val="18"/>
                <w:szCs w:val="18"/>
              </w:rPr>
              <w:t xml:space="preserve">2013: </w:t>
            </w:r>
            <w:r w:rsidR="0023123A">
              <w:rPr>
                <w:rFonts w:ascii="Tahoma" w:hAnsi="Tahoma" w:cs="Tahoma"/>
                <w:sz w:val="18"/>
                <w:szCs w:val="18"/>
              </w:rPr>
              <w:t>N03</w:t>
            </w:r>
          </w:p>
          <w:p w:rsidR="00676E70" w:rsidRDefault="00676E70" w:rsidP="00CF4476">
            <w:pPr>
              <w:rPr>
                <w:rFonts w:ascii="Tahoma" w:hAnsi="Tahoma" w:cs="Tahoma"/>
                <w:sz w:val="18"/>
                <w:szCs w:val="18"/>
              </w:rPr>
            </w:pPr>
            <w:r>
              <w:rPr>
                <w:rFonts w:ascii="Tahoma" w:hAnsi="Tahoma" w:cs="Tahoma"/>
                <w:sz w:val="18"/>
                <w:szCs w:val="18"/>
              </w:rPr>
              <w:t>2012: J06</w:t>
            </w:r>
          </w:p>
          <w:p w:rsidR="00676E70" w:rsidRPr="00223EE6" w:rsidRDefault="00676E70" w:rsidP="00CF4476">
            <w:pPr>
              <w:rPr>
                <w:rFonts w:ascii="Tahoma" w:hAnsi="Tahoma" w:cs="Tahoma"/>
                <w:sz w:val="18"/>
                <w:szCs w:val="18"/>
              </w:rPr>
            </w:pPr>
            <w:r>
              <w:rPr>
                <w:rFonts w:ascii="Tahoma" w:hAnsi="Tahoma" w:cs="Tahoma"/>
                <w:sz w:val="18"/>
                <w:szCs w:val="18"/>
              </w:rPr>
              <w:t>2011</w:t>
            </w:r>
            <w:r w:rsidRPr="00F83192">
              <w:rPr>
                <w:rFonts w:ascii="Tahoma" w:hAnsi="Tahoma" w:cs="Tahoma"/>
                <w:sz w:val="18"/>
                <w:szCs w:val="18"/>
              </w:rPr>
              <w:t>: J20</w:t>
            </w:r>
          </w:p>
        </w:tc>
      </w:tr>
      <w:tr w:rsidR="00676E70" w:rsidTr="00862E40">
        <w:trPr>
          <w:cnfStyle w:val="000000100000" w:firstRow="0" w:lastRow="0" w:firstColumn="0" w:lastColumn="0" w:oddVBand="0" w:evenVBand="0" w:oddHBand="1" w:evenHBand="0" w:firstRowFirstColumn="0" w:firstRowLastColumn="0" w:lastRowFirstColumn="0" w:lastRowLastColumn="0"/>
        </w:trPr>
        <w:tc>
          <w:tcPr>
            <w:tcW w:w="1407" w:type="pct"/>
            <w:shd w:val="clear" w:color="auto" w:fill="auto"/>
          </w:tcPr>
          <w:p w:rsidR="00676E70" w:rsidRDefault="00676E70" w:rsidP="0023123A">
            <w:pPr>
              <w:rPr>
                <w:rFonts w:ascii="Tahoma" w:hAnsi="Tahoma" w:cs="Tahoma"/>
                <w:sz w:val="18"/>
                <w:szCs w:val="18"/>
              </w:rPr>
            </w:pPr>
            <w:r>
              <w:rPr>
                <w:rFonts w:ascii="Tahoma" w:hAnsi="Tahoma" w:cs="Tahoma"/>
                <w:sz w:val="18"/>
                <w:szCs w:val="18"/>
              </w:rPr>
              <w:t xml:space="preserve">Change in </w:t>
            </w:r>
            <w:r w:rsidR="0023123A">
              <w:rPr>
                <w:rFonts w:ascii="Tahoma" w:hAnsi="Tahoma" w:cs="Tahoma"/>
                <w:sz w:val="18"/>
                <w:szCs w:val="18"/>
              </w:rPr>
              <w:t>quantity</w:t>
            </w:r>
            <w:r>
              <w:rPr>
                <w:rFonts w:ascii="Tahoma" w:hAnsi="Tahoma" w:cs="Tahoma"/>
                <w:sz w:val="18"/>
                <w:szCs w:val="18"/>
              </w:rPr>
              <w:t xml:space="preserve"> of stored grain / pulse that is lost during storage due to all causes combined</w:t>
            </w:r>
          </w:p>
        </w:tc>
        <w:tc>
          <w:tcPr>
            <w:tcW w:w="1089" w:type="pct"/>
            <w:shd w:val="clear" w:color="auto" w:fill="auto"/>
          </w:tcPr>
          <w:p w:rsidR="00676E70" w:rsidRDefault="0023123A" w:rsidP="00CF4476">
            <w:pPr>
              <w:rPr>
                <w:rFonts w:ascii="Tahoma" w:hAnsi="Tahoma" w:cs="Tahoma"/>
                <w:sz w:val="18"/>
                <w:szCs w:val="18"/>
              </w:rPr>
            </w:pPr>
            <w:r>
              <w:rPr>
                <w:rFonts w:ascii="Tahoma" w:hAnsi="Tahoma" w:cs="Tahoma"/>
                <w:sz w:val="18"/>
                <w:szCs w:val="18"/>
              </w:rPr>
              <w:t>Total quantity of loss as estimated by respondent during total length of storage (kg)</w:t>
            </w:r>
          </w:p>
        </w:tc>
        <w:tc>
          <w:tcPr>
            <w:tcW w:w="1267" w:type="pct"/>
            <w:shd w:val="clear" w:color="auto" w:fill="auto"/>
          </w:tcPr>
          <w:p w:rsidR="00676E70" w:rsidRDefault="00676E70" w:rsidP="0023123A">
            <w:pPr>
              <w:rPr>
                <w:rFonts w:ascii="Tahoma" w:hAnsi="Tahoma" w:cs="Tahoma"/>
                <w:sz w:val="18"/>
                <w:szCs w:val="18"/>
              </w:rPr>
            </w:pPr>
            <w:r>
              <w:rPr>
                <w:rFonts w:ascii="Tahoma" w:hAnsi="Tahoma" w:cs="Tahoma"/>
                <w:sz w:val="18"/>
                <w:szCs w:val="18"/>
              </w:rPr>
              <w:t>Before-after</w:t>
            </w:r>
            <w:r w:rsidR="0023123A">
              <w:rPr>
                <w:rFonts w:ascii="Tahoma" w:hAnsi="Tahoma" w:cs="Tahoma"/>
                <w:sz w:val="18"/>
                <w:szCs w:val="18"/>
              </w:rPr>
              <w:t xml:space="preserve"> comparison of reported losses for adopters vs non-adopters</w:t>
            </w:r>
          </w:p>
        </w:tc>
        <w:tc>
          <w:tcPr>
            <w:tcW w:w="1238" w:type="pct"/>
            <w:shd w:val="clear" w:color="auto" w:fill="auto"/>
          </w:tcPr>
          <w:p w:rsidR="00676E70" w:rsidRDefault="00676E70" w:rsidP="00CF4476">
            <w:pPr>
              <w:rPr>
                <w:rFonts w:ascii="Tahoma" w:hAnsi="Tahoma" w:cs="Tahoma"/>
                <w:sz w:val="18"/>
                <w:szCs w:val="18"/>
              </w:rPr>
            </w:pPr>
            <w:r>
              <w:rPr>
                <w:rFonts w:ascii="Tahoma" w:hAnsi="Tahoma" w:cs="Tahoma"/>
                <w:sz w:val="18"/>
                <w:szCs w:val="18"/>
              </w:rPr>
              <w:t>LR 2013: L10 (quantity and unit of all losses)</w:t>
            </w:r>
          </w:p>
        </w:tc>
      </w:tr>
      <w:tr w:rsidR="00676E70" w:rsidTr="00862E40">
        <w:trPr>
          <w:cnfStyle w:val="000000010000" w:firstRow="0" w:lastRow="0" w:firstColumn="0" w:lastColumn="0" w:oddVBand="0" w:evenVBand="0" w:oddHBand="0" w:evenHBand="1" w:firstRowFirstColumn="0" w:firstRowLastColumn="0" w:lastRowFirstColumn="0" w:lastRowLastColumn="0"/>
        </w:trPr>
        <w:tc>
          <w:tcPr>
            <w:tcW w:w="1407" w:type="pct"/>
            <w:shd w:val="clear" w:color="auto" w:fill="auto"/>
          </w:tcPr>
          <w:p w:rsidR="00676E70" w:rsidRPr="00223EE6" w:rsidRDefault="00676E70" w:rsidP="00CF4476">
            <w:pPr>
              <w:rPr>
                <w:rFonts w:ascii="Tahoma" w:hAnsi="Tahoma" w:cs="Tahoma"/>
                <w:sz w:val="18"/>
                <w:szCs w:val="18"/>
              </w:rPr>
            </w:pPr>
            <w:r>
              <w:rPr>
                <w:rFonts w:ascii="Tahoma" w:hAnsi="Tahoma" w:cs="Tahoma"/>
                <w:sz w:val="18"/>
                <w:szCs w:val="18"/>
              </w:rPr>
              <w:t>Change in quantity of maize purchased for consumption</w:t>
            </w:r>
            <w:r w:rsidRPr="00223EE6">
              <w:rPr>
                <w:rFonts w:ascii="Tahoma" w:hAnsi="Tahoma" w:cs="Tahoma"/>
                <w:sz w:val="18"/>
                <w:szCs w:val="18"/>
              </w:rPr>
              <w:t xml:space="preserve"> </w:t>
            </w:r>
          </w:p>
        </w:tc>
        <w:tc>
          <w:tcPr>
            <w:tcW w:w="1089" w:type="pct"/>
            <w:shd w:val="clear" w:color="auto" w:fill="auto"/>
          </w:tcPr>
          <w:p w:rsidR="00676E70" w:rsidRDefault="0023123A" w:rsidP="00CF4476">
            <w:pPr>
              <w:rPr>
                <w:rFonts w:ascii="Tahoma" w:hAnsi="Tahoma" w:cs="Tahoma"/>
                <w:sz w:val="18"/>
                <w:szCs w:val="18"/>
              </w:rPr>
            </w:pPr>
            <w:r>
              <w:rPr>
                <w:rFonts w:ascii="Tahoma" w:hAnsi="Tahoma" w:cs="Tahoma"/>
                <w:sz w:val="18"/>
                <w:szCs w:val="18"/>
              </w:rPr>
              <w:t>Quantity of maize purchased for consumption over the past 12 months (kg)</w:t>
            </w:r>
          </w:p>
        </w:tc>
        <w:tc>
          <w:tcPr>
            <w:tcW w:w="1267" w:type="pct"/>
            <w:shd w:val="clear" w:color="auto" w:fill="auto"/>
          </w:tcPr>
          <w:p w:rsidR="00676E70" w:rsidRPr="00223EE6" w:rsidRDefault="00676E70" w:rsidP="00CF4476">
            <w:pPr>
              <w:rPr>
                <w:rFonts w:ascii="Tahoma" w:hAnsi="Tahoma" w:cs="Tahoma"/>
                <w:sz w:val="18"/>
                <w:szCs w:val="18"/>
              </w:rPr>
            </w:pPr>
            <w:r>
              <w:rPr>
                <w:rFonts w:ascii="Tahoma" w:hAnsi="Tahoma" w:cs="Tahoma"/>
                <w:sz w:val="18"/>
                <w:szCs w:val="18"/>
              </w:rPr>
              <w:t>Before-after comparison of quantity of maize purchased for consumption</w:t>
            </w:r>
            <w:r w:rsidR="0023123A">
              <w:rPr>
                <w:rFonts w:ascii="Tahoma" w:hAnsi="Tahoma" w:cs="Tahoma"/>
                <w:sz w:val="18"/>
                <w:szCs w:val="18"/>
              </w:rPr>
              <w:t xml:space="preserve"> for adopters vs non-adopters</w:t>
            </w:r>
          </w:p>
        </w:tc>
        <w:tc>
          <w:tcPr>
            <w:tcW w:w="1238" w:type="pct"/>
            <w:shd w:val="clear" w:color="auto" w:fill="auto"/>
          </w:tcPr>
          <w:p w:rsidR="00676E70" w:rsidRDefault="00676E70" w:rsidP="00CF4476">
            <w:pPr>
              <w:rPr>
                <w:rFonts w:ascii="Tahoma" w:hAnsi="Tahoma" w:cs="Tahoma"/>
                <w:sz w:val="18"/>
                <w:szCs w:val="18"/>
              </w:rPr>
            </w:pPr>
            <w:r>
              <w:rPr>
                <w:rFonts w:ascii="Tahoma" w:hAnsi="Tahoma" w:cs="Tahoma"/>
                <w:sz w:val="18"/>
                <w:szCs w:val="18"/>
              </w:rPr>
              <w:t>2013: N05-N06 (quantity and unit of maize purchased for consumption over past year)</w:t>
            </w:r>
          </w:p>
        </w:tc>
      </w:tr>
      <w:tr w:rsidR="00676E70" w:rsidTr="00862E40">
        <w:trPr>
          <w:cnfStyle w:val="000000100000" w:firstRow="0" w:lastRow="0" w:firstColumn="0" w:lastColumn="0" w:oddVBand="0" w:evenVBand="0" w:oddHBand="1" w:evenHBand="0" w:firstRowFirstColumn="0" w:firstRowLastColumn="0" w:lastRowFirstColumn="0" w:lastRowLastColumn="0"/>
        </w:trPr>
        <w:tc>
          <w:tcPr>
            <w:tcW w:w="1407" w:type="pct"/>
            <w:shd w:val="clear" w:color="auto" w:fill="auto"/>
          </w:tcPr>
          <w:p w:rsidR="00676E70" w:rsidRPr="00223EE6" w:rsidRDefault="00676E70" w:rsidP="00CF4476">
            <w:pPr>
              <w:rPr>
                <w:rFonts w:ascii="Tahoma" w:hAnsi="Tahoma" w:cs="Tahoma"/>
                <w:sz w:val="18"/>
                <w:szCs w:val="18"/>
              </w:rPr>
            </w:pPr>
            <w:r>
              <w:rPr>
                <w:rFonts w:ascii="Tahoma" w:hAnsi="Tahoma" w:cs="Tahoma"/>
                <w:sz w:val="18"/>
                <w:szCs w:val="18"/>
              </w:rPr>
              <w:t>Change in amount spent on maize for consumption</w:t>
            </w:r>
            <w:r w:rsidRPr="00223EE6">
              <w:rPr>
                <w:rFonts w:ascii="Tahoma" w:hAnsi="Tahoma" w:cs="Tahoma"/>
                <w:sz w:val="18"/>
                <w:szCs w:val="18"/>
              </w:rPr>
              <w:t xml:space="preserve"> </w:t>
            </w:r>
          </w:p>
        </w:tc>
        <w:tc>
          <w:tcPr>
            <w:tcW w:w="1089" w:type="pct"/>
            <w:shd w:val="clear" w:color="auto" w:fill="auto"/>
          </w:tcPr>
          <w:p w:rsidR="00676E70" w:rsidRDefault="0023123A" w:rsidP="00CF4476">
            <w:pPr>
              <w:rPr>
                <w:rFonts w:ascii="Tahoma" w:hAnsi="Tahoma" w:cs="Tahoma"/>
                <w:sz w:val="18"/>
                <w:szCs w:val="18"/>
              </w:rPr>
            </w:pPr>
            <w:r>
              <w:rPr>
                <w:rFonts w:ascii="Tahoma" w:hAnsi="Tahoma" w:cs="Tahoma"/>
                <w:sz w:val="18"/>
                <w:szCs w:val="18"/>
              </w:rPr>
              <w:t xml:space="preserve">Amount spent on maize for household consumption over the past 12 months (KSH) </w:t>
            </w:r>
          </w:p>
        </w:tc>
        <w:tc>
          <w:tcPr>
            <w:tcW w:w="1267" w:type="pct"/>
            <w:shd w:val="clear" w:color="auto" w:fill="auto"/>
          </w:tcPr>
          <w:p w:rsidR="00676E70" w:rsidRPr="00223EE6" w:rsidRDefault="00676E70" w:rsidP="00CF4476">
            <w:pPr>
              <w:rPr>
                <w:rFonts w:ascii="Tahoma" w:hAnsi="Tahoma" w:cs="Tahoma"/>
                <w:sz w:val="18"/>
                <w:szCs w:val="18"/>
              </w:rPr>
            </w:pPr>
            <w:r>
              <w:rPr>
                <w:rFonts w:ascii="Tahoma" w:hAnsi="Tahoma" w:cs="Tahoma"/>
                <w:sz w:val="18"/>
                <w:szCs w:val="18"/>
              </w:rPr>
              <w:t>Before-after comparison amount spent on maize purchased for consumption</w:t>
            </w:r>
          </w:p>
        </w:tc>
        <w:tc>
          <w:tcPr>
            <w:tcW w:w="1238" w:type="pct"/>
            <w:shd w:val="clear" w:color="auto" w:fill="auto"/>
          </w:tcPr>
          <w:p w:rsidR="00676E70" w:rsidRDefault="00676E70" w:rsidP="00CF4476">
            <w:pPr>
              <w:rPr>
                <w:rFonts w:ascii="Tahoma" w:hAnsi="Tahoma" w:cs="Tahoma"/>
                <w:sz w:val="18"/>
                <w:szCs w:val="18"/>
              </w:rPr>
            </w:pPr>
            <w:r>
              <w:rPr>
                <w:rFonts w:ascii="Tahoma" w:hAnsi="Tahoma" w:cs="Tahoma"/>
                <w:sz w:val="18"/>
                <w:szCs w:val="18"/>
              </w:rPr>
              <w:t>2013: N05-N06 (quantity and unit of maize purchased for consumption over past year)</w:t>
            </w:r>
          </w:p>
        </w:tc>
      </w:tr>
    </w:tbl>
    <w:p w:rsidR="00676E70" w:rsidRDefault="00676E70" w:rsidP="00711FAD"/>
    <w:p w:rsidR="0023123A" w:rsidRDefault="0023123A" w:rsidP="00711FAD">
      <w:r>
        <w:t>Finally, we present here a list of covariates used in our SITS model</w:t>
      </w:r>
      <w:r w:rsidR="00611BE3">
        <w:t xml:space="preserve"> (collectively represented as </w:t>
      </w:r>
      <w:r w:rsidR="00611BE3">
        <w:rPr>
          <w:i/>
        </w:rPr>
        <w:t>w</w:t>
      </w:r>
      <w:r w:rsidR="00611BE3">
        <w:t xml:space="preserve"> in the model in Section 2.1 above)</w:t>
      </w:r>
      <w:r>
        <w:t>:</w:t>
      </w:r>
    </w:p>
    <w:tbl>
      <w:tblPr>
        <w:tblStyle w:val="Abt"/>
        <w:tblW w:w="9360" w:type="dxa"/>
        <w:tblLook w:val="04A0" w:firstRow="1" w:lastRow="0" w:firstColumn="1" w:lastColumn="0" w:noHBand="0" w:noVBand="1"/>
      </w:tblPr>
      <w:tblGrid>
        <w:gridCol w:w="4671"/>
        <w:gridCol w:w="4689"/>
      </w:tblGrid>
      <w:tr w:rsidR="00862E40" w:rsidRPr="00FA1B2E" w:rsidTr="00862E40">
        <w:trPr>
          <w:cnfStyle w:val="100000000000" w:firstRow="1" w:lastRow="0" w:firstColumn="0" w:lastColumn="0" w:oddVBand="0" w:evenVBand="0" w:oddHBand="0" w:evenHBand="0" w:firstRowFirstColumn="0" w:firstRowLastColumn="0" w:lastRowFirstColumn="0" w:lastRowLastColumn="0"/>
          <w:trHeight w:val="255"/>
        </w:trPr>
        <w:tc>
          <w:tcPr>
            <w:tcW w:w="4680" w:type="dxa"/>
          </w:tcPr>
          <w:p w:rsidR="00862E40" w:rsidRPr="00FA1B2E" w:rsidRDefault="00862E40" w:rsidP="00FA1B2E">
            <w:pPr>
              <w:pStyle w:val="ExhibitColumnHead"/>
              <w:rPr>
                <w:b/>
              </w:rPr>
            </w:pPr>
            <w:r w:rsidRPr="00FA1B2E">
              <w:rPr>
                <w:b/>
              </w:rPr>
              <w:t>Variable</w:t>
            </w:r>
          </w:p>
        </w:tc>
        <w:tc>
          <w:tcPr>
            <w:tcW w:w="4680" w:type="dxa"/>
          </w:tcPr>
          <w:p w:rsidR="00862E40" w:rsidRPr="00FA1B2E" w:rsidRDefault="00862E40" w:rsidP="00FA1B2E">
            <w:pPr>
              <w:pStyle w:val="ExhibitColumnHead"/>
              <w:rPr>
                <w:b/>
              </w:rPr>
            </w:pPr>
            <w:r w:rsidRPr="00FA1B2E">
              <w:rPr>
                <w:b/>
              </w:rPr>
              <w:t>Definition, units, and notes</w:t>
            </w:r>
          </w:p>
        </w:tc>
      </w:tr>
      <w:tr w:rsidR="0023123A" w:rsidRPr="0023123A" w:rsidTr="00862E40">
        <w:trPr>
          <w:cnfStyle w:val="000000100000" w:firstRow="0" w:lastRow="0" w:firstColumn="0" w:lastColumn="0" w:oddVBand="0" w:evenVBand="0" w:oddHBand="1" w:evenHBand="0" w:firstRowFirstColumn="0" w:firstRowLastColumn="0" w:lastRowFirstColumn="0" w:lastRowLastColumn="0"/>
          <w:trHeight w:val="255"/>
        </w:trPr>
        <w:tc>
          <w:tcPr>
            <w:tcW w:w="4680" w:type="dxa"/>
            <w:hideMark/>
          </w:tcPr>
          <w:p w:rsidR="0023123A" w:rsidRPr="0023123A" w:rsidRDefault="0023123A" w:rsidP="00FA1B2E">
            <w:pPr>
              <w:pStyle w:val="ExhibitText"/>
            </w:pPr>
            <w:r w:rsidRPr="0023123A">
              <w:t>Region</w:t>
            </w:r>
          </w:p>
        </w:tc>
        <w:tc>
          <w:tcPr>
            <w:tcW w:w="4680" w:type="dxa"/>
          </w:tcPr>
          <w:p w:rsidR="0023123A" w:rsidRPr="0023123A" w:rsidRDefault="00862E40" w:rsidP="00FA1B2E">
            <w:pPr>
              <w:pStyle w:val="ExhibitText"/>
            </w:pPr>
            <w:r>
              <w:t>Eastern or Rift Valley</w:t>
            </w:r>
          </w:p>
        </w:tc>
      </w:tr>
      <w:tr w:rsidR="0023123A" w:rsidRPr="0023123A" w:rsidTr="00862E40">
        <w:trPr>
          <w:cnfStyle w:val="000000010000" w:firstRow="0" w:lastRow="0" w:firstColumn="0" w:lastColumn="0" w:oddVBand="0" w:evenVBand="0" w:oddHBand="0" w:evenHBand="1" w:firstRowFirstColumn="0" w:firstRowLastColumn="0" w:lastRowFirstColumn="0" w:lastRowLastColumn="0"/>
          <w:trHeight w:val="255"/>
        </w:trPr>
        <w:tc>
          <w:tcPr>
            <w:tcW w:w="4680" w:type="dxa"/>
            <w:hideMark/>
          </w:tcPr>
          <w:p w:rsidR="0023123A" w:rsidRPr="0023123A" w:rsidRDefault="0023123A" w:rsidP="00FA1B2E">
            <w:pPr>
              <w:pStyle w:val="ExhibitText"/>
            </w:pPr>
            <w:r w:rsidRPr="0023123A">
              <w:t>County</w:t>
            </w:r>
          </w:p>
        </w:tc>
        <w:tc>
          <w:tcPr>
            <w:tcW w:w="4680" w:type="dxa"/>
          </w:tcPr>
          <w:p w:rsidR="0023123A" w:rsidRPr="0023123A" w:rsidRDefault="00862E40" w:rsidP="00FA1B2E">
            <w:pPr>
              <w:pStyle w:val="ExhibitText"/>
            </w:pPr>
            <w:r>
              <w:t>County in which household resides</w:t>
            </w:r>
          </w:p>
        </w:tc>
      </w:tr>
      <w:tr w:rsidR="0023123A" w:rsidRPr="0023123A" w:rsidTr="00862E40">
        <w:trPr>
          <w:cnfStyle w:val="000000100000" w:firstRow="0" w:lastRow="0" w:firstColumn="0" w:lastColumn="0" w:oddVBand="0" w:evenVBand="0" w:oddHBand="1" w:evenHBand="0" w:firstRowFirstColumn="0" w:firstRowLastColumn="0" w:lastRowFirstColumn="0" w:lastRowLastColumn="0"/>
          <w:trHeight w:val="70"/>
        </w:trPr>
        <w:tc>
          <w:tcPr>
            <w:tcW w:w="4680" w:type="dxa"/>
            <w:hideMark/>
          </w:tcPr>
          <w:p w:rsidR="0023123A" w:rsidRPr="0023123A" w:rsidRDefault="0023123A" w:rsidP="00FA1B2E">
            <w:pPr>
              <w:pStyle w:val="ExhibitText"/>
            </w:pPr>
            <w:r w:rsidRPr="0023123A">
              <w:t>Household head gender</w:t>
            </w:r>
          </w:p>
        </w:tc>
        <w:tc>
          <w:tcPr>
            <w:tcW w:w="4680" w:type="dxa"/>
          </w:tcPr>
          <w:p w:rsidR="0023123A" w:rsidRPr="0023123A" w:rsidRDefault="00862E40" w:rsidP="00FA1B2E">
            <w:pPr>
              <w:pStyle w:val="ExhibitText"/>
            </w:pPr>
            <w:r>
              <w:t>Binary indicating male or female household head</w:t>
            </w:r>
          </w:p>
        </w:tc>
      </w:tr>
      <w:tr w:rsidR="0023123A" w:rsidRPr="0023123A" w:rsidTr="00862E40">
        <w:trPr>
          <w:cnfStyle w:val="000000010000" w:firstRow="0" w:lastRow="0" w:firstColumn="0" w:lastColumn="0" w:oddVBand="0" w:evenVBand="0" w:oddHBand="0" w:evenHBand="1" w:firstRowFirstColumn="0" w:firstRowLastColumn="0" w:lastRowFirstColumn="0" w:lastRowLastColumn="0"/>
          <w:trHeight w:val="255"/>
        </w:trPr>
        <w:tc>
          <w:tcPr>
            <w:tcW w:w="4680" w:type="dxa"/>
            <w:hideMark/>
          </w:tcPr>
          <w:p w:rsidR="0023123A" w:rsidRPr="0023123A" w:rsidRDefault="0023123A" w:rsidP="00FA1B2E">
            <w:pPr>
              <w:pStyle w:val="ExhibitText"/>
            </w:pPr>
            <w:r w:rsidRPr="0023123A">
              <w:t>Household head age</w:t>
            </w:r>
          </w:p>
        </w:tc>
        <w:tc>
          <w:tcPr>
            <w:tcW w:w="4680" w:type="dxa"/>
          </w:tcPr>
          <w:p w:rsidR="0023123A" w:rsidRPr="0023123A" w:rsidRDefault="00862E40" w:rsidP="00FA1B2E">
            <w:pPr>
              <w:pStyle w:val="ExhibitText"/>
            </w:pPr>
            <w:r>
              <w:t>Age in years</w:t>
            </w:r>
          </w:p>
        </w:tc>
      </w:tr>
      <w:tr w:rsidR="0023123A" w:rsidRPr="0023123A" w:rsidTr="00862E40">
        <w:trPr>
          <w:cnfStyle w:val="000000100000" w:firstRow="0" w:lastRow="0" w:firstColumn="0" w:lastColumn="0" w:oddVBand="0" w:evenVBand="0" w:oddHBand="1" w:evenHBand="0" w:firstRowFirstColumn="0" w:firstRowLastColumn="0" w:lastRowFirstColumn="0" w:lastRowLastColumn="0"/>
          <w:trHeight w:val="305"/>
        </w:trPr>
        <w:tc>
          <w:tcPr>
            <w:tcW w:w="4680" w:type="dxa"/>
            <w:hideMark/>
          </w:tcPr>
          <w:p w:rsidR="0023123A" w:rsidRPr="0023123A" w:rsidRDefault="0023123A" w:rsidP="00FA1B2E">
            <w:pPr>
              <w:pStyle w:val="ExhibitText"/>
            </w:pPr>
            <w:r w:rsidRPr="0023123A">
              <w:lastRenderedPageBreak/>
              <w:t>Household head highest education level</w:t>
            </w:r>
          </w:p>
        </w:tc>
        <w:tc>
          <w:tcPr>
            <w:tcW w:w="4680" w:type="dxa"/>
          </w:tcPr>
          <w:p w:rsidR="0023123A" w:rsidRPr="0023123A" w:rsidRDefault="00862E40" w:rsidP="00FA1B2E">
            <w:pPr>
              <w:pStyle w:val="ExhibitText"/>
            </w:pPr>
            <w:r>
              <w:t>Highest education level completed</w:t>
            </w:r>
          </w:p>
        </w:tc>
      </w:tr>
      <w:tr w:rsidR="0023123A" w:rsidRPr="0023123A" w:rsidTr="00862E40">
        <w:trPr>
          <w:cnfStyle w:val="000000010000" w:firstRow="0" w:lastRow="0" w:firstColumn="0" w:lastColumn="0" w:oddVBand="0" w:evenVBand="0" w:oddHBand="0" w:evenHBand="1" w:firstRowFirstColumn="0" w:firstRowLastColumn="0" w:lastRowFirstColumn="0" w:lastRowLastColumn="0"/>
          <w:trHeight w:val="260"/>
        </w:trPr>
        <w:tc>
          <w:tcPr>
            <w:tcW w:w="4680" w:type="dxa"/>
            <w:hideMark/>
          </w:tcPr>
          <w:p w:rsidR="0023123A" w:rsidRPr="0023123A" w:rsidRDefault="0023123A" w:rsidP="00FA1B2E">
            <w:pPr>
              <w:pStyle w:val="ExhibitText"/>
            </w:pPr>
            <w:r w:rsidRPr="0023123A">
              <w:t>Highest education level in the household</w:t>
            </w:r>
          </w:p>
        </w:tc>
        <w:tc>
          <w:tcPr>
            <w:tcW w:w="4680" w:type="dxa"/>
          </w:tcPr>
          <w:p w:rsidR="0023123A" w:rsidRPr="0023123A" w:rsidRDefault="00862E40" w:rsidP="00FA1B2E">
            <w:pPr>
              <w:pStyle w:val="ExhibitText"/>
            </w:pPr>
            <w:r>
              <w:t>Highest education level completed</w:t>
            </w:r>
          </w:p>
        </w:tc>
      </w:tr>
      <w:tr w:rsidR="0023123A" w:rsidRPr="0023123A" w:rsidTr="00862E40">
        <w:trPr>
          <w:cnfStyle w:val="000000100000" w:firstRow="0" w:lastRow="0" w:firstColumn="0" w:lastColumn="0" w:oddVBand="0" w:evenVBand="0" w:oddHBand="1" w:evenHBand="0" w:firstRowFirstColumn="0" w:firstRowLastColumn="0" w:lastRowFirstColumn="0" w:lastRowLastColumn="0"/>
          <w:trHeight w:val="260"/>
        </w:trPr>
        <w:tc>
          <w:tcPr>
            <w:tcW w:w="4680" w:type="dxa"/>
            <w:hideMark/>
          </w:tcPr>
          <w:p w:rsidR="0023123A" w:rsidRPr="0023123A" w:rsidRDefault="0023123A" w:rsidP="00FA1B2E">
            <w:pPr>
              <w:pStyle w:val="ExhibitText"/>
            </w:pPr>
            <w:r w:rsidRPr="0023123A">
              <w:t>Household head literacy</w:t>
            </w:r>
          </w:p>
        </w:tc>
        <w:tc>
          <w:tcPr>
            <w:tcW w:w="4680" w:type="dxa"/>
          </w:tcPr>
          <w:p w:rsidR="0023123A" w:rsidRPr="0023123A" w:rsidRDefault="00862E40" w:rsidP="00FA1B2E">
            <w:pPr>
              <w:pStyle w:val="ExhibitText"/>
            </w:pPr>
            <w:r>
              <w:t>Binary indicating whether household head is literate</w:t>
            </w:r>
          </w:p>
        </w:tc>
      </w:tr>
      <w:tr w:rsidR="0023123A" w:rsidRPr="0023123A" w:rsidTr="00862E40">
        <w:trPr>
          <w:cnfStyle w:val="000000010000" w:firstRow="0" w:lastRow="0" w:firstColumn="0" w:lastColumn="0" w:oddVBand="0" w:evenVBand="0" w:oddHBand="0" w:evenHBand="1" w:firstRowFirstColumn="0" w:firstRowLastColumn="0" w:lastRowFirstColumn="0" w:lastRowLastColumn="0"/>
          <w:trHeight w:val="255"/>
        </w:trPr>
        <w:tc>
          <w:tcPr>
            <w:tcW w:w="4680" w:type="dxa"/>
            <w:hideMark/>
          </w:tcPr>
          <w:p w:rsidR="0023123A" w:rsidRPr="0023123A" w:rsidRDefault="0023123A" w:rsidP="00FA1B2E">
            <w:pPr>
              <w:pStyle w:val="ExhibitText"/>
            </w:pPr>
            <w:r w:rsidRPr="0023123A">
              <w:t xml:space="preserve">Household size </w:t>
            </w:r>
          </w:p>
        </w:tc>
        <w:tc>
          <w:tcPr>
            <w:tcW w:w="4680" w:type="dxa"/>
          </w:tcPr>
          <w:p w:rsidR="0023123A" w:rsidRPr="0023123A" w:rsidRDefault="00862E40" w:rsidP="00FA1B2E">
            <w:pPr>
              <w:pStyle w:val="ExhibitText"/>
            </w:pPr>
            <w:r>
              <w:t>No. of HH members</w:t>
            </w:r>
          </w:p>
        </w:tc>
      </w:tr>
      <w:tr w:rsidR="0023123A" w:rsidRPr="0023123A" w:rsidTr="00862E40">
        <w:trPr>
          <w:cnfStyle w:val="000000100000" w:firstRow="0" w:lastRow="0" w:firstColumn="0" w:lastColumn="0" w:oddVBand="0" w:evenVBand="0" w:oddHBand="1" w:evenHBand="0" w:firstRowFirstColumn="0" w:firstRowLastColumn="0" w:lastRowFirstColumn="0" w:lastRowLastColumn="0"/>
          <w:trHeight w:val="510"/>
        </w:trPr>
        <w:tc>
          <w:tcPr>
            <w:tcW w:w="4680" w:type="dxa"/>
            <w:hideMark/>
          </w:tcPr>
          <w:p w:rsidR="0023123A" w:rsidRPr="0023123A" w:rsidRDefault="0023123A" w:rsidP="00FA1B2E">
            <w:pPr>
              <w:pStyle w:val="ExhibitText"/>
            </w:pPr>
            <w:r w:rsidRPr="0023123A">
              <w:t>Household had any members who live in another city to work</w:t>
            </w:r>
          </w:p>
        </w:tc>
        <w:tc>
          <w:tcPr>
            <w:tcW w:w="4680" w:type="dxa"/>
          </w:tcPr>
          <w:p w:rsidR="0023123A" w:rsidRPr="0023123A" w:rsidRDefault="00FA1B2E" w:rsidP="00FA1B2E">
            <w:pPr>
              <w:pStyle w:val="ExhibitText"/>
            </w:pPr>
            <w:r>
              <w:t>Binary indicating whether any member of the household lives and works in another location</w:t>
            </w:r>
          </w:p>
        </w:tc>
      </w:tr>
      <w:tr w:rsidR="0023123A" w:rsidRPr="0023123A" w:rsidTr="00862E40">
        <w:trPr>
          <w:cnfStyle w:val="000000010000" w:firstRow="0" w:lastRow="0" w:firstColumn="0" w:lastColumn="0" w:oddVBand="0" w:evenVBand="0" w:oddHBand="0" w:evenHBand="1" w:firstRowFirstColumn="0" w:firstRowLastColumn="0" w:lastRowFirstColumn="0" w:lastRowLastColumn="0"/>
          <w:trHeight w:val="765"/>
        </w:trPr>
        <w:tc>
          <w:tcPr>
            <w:tcW w:w="4680" w:type="dxa"/>
            <w:hideMark/>
          </w:tcPr>
          <w:p w:rsidR="0023123A" w:rsidRPr="0023123A" w:rsidRDefault="0023123A" w:rsidP="00FA1B2E">
            <w:pPr>
              <w:pStyle w:val="ExhibitText"/>
            </w:pPr>
            <w:r w:rsidRPr="0023123A">
              <w:t xml:space="preserve">Household is very poor </w:t>
            </w:r>
          </w:p>
        </w:tc>
        <w:tc>
          <w:tcPr>
            <w:tcW w:w="4680" w:type="dxa"/>
          </w:tcPr>
          <w:p w:rsidR="0023123A" w:rsidRPr="0023123A" w:rsidRDefault="00862E40" w:rsidP="00FA1B2E">
            <w:pPr>
              <w:pStyle w:val="ExhibitText"/>
            </w:pPr>
            <w:r>
              <w:t>E</w:t>
            </w:r>
            <w:r w:rsidRPr="0023123A">
              <w:t>stimated; see USAID Poverty Assessment Tool documentat</w:t>
            </w:r>
            <w:r>
              <w:t xml:space="preserve">ion for more information at </w:t>
            </w:r>
            <w:r w:rsidRPr="00862E40">
              <w:t>http://www.povertytools.org/countries/Kenya/Kenya.html</w:t>
            </w:r>
          </w:p>
        </w:tc>
      </w:tr>
      <w:tr w:rsidR="0023123A" w:rsidRPr="0023123A" w:rsidTr="00862E40">
        <w:trPr>
          <w:cnfStyle w:val="000000100000" w:firstRow="0" w:lastRow="0" w:firstColumn="0" w:lastColumn="0" w:oddVBand="0" w:evenVBand="0" w:oddHBand="1" w:evenHBand="0" w:firstRowFirstColumn="0" w:firstRowLastColumn="0" w:lastRowFirstColumn="0" w:lastRowLastColumn="0"/>
          <w:trHeight w:val="255"/>
        </w:trPr>
        <w:tc>
          <w:tcPr>
            <w:tcW w:w="4680" w:type="dxa"/>
            <w:hideMark/>
          </w:tcPr>
          <w:p w:rsidR="0023123A" w:rsidRPr="0023123A" w:rsidRDefault="0023123A" w:rsidP="00FA1B2E">
            <w:pPr>
              <w:pStyle w:val="ExhibitText"/>
            </w:pPr>
            <w:r w:rsidRPr="0023123A">
              <w:t>Total land size (owned)</w:t>
            </w:r>
          </w:p>
        </w:tc>
        <w:tc>
          <w:tcPr>
            <w:tcW w:w="4680" w:type="dxa"/>
          </w:tcPr>
          <w:p w:rsidR="0023123A" w:rsidRPr="0023123A" w:rsidRDefault="00862E40" w:rsidP="00FA1B2E">
            <w:pPr>
              <w:pStyle w:val="ExhibitText"/>
            </w:pPr>
            <w:r>
              <w:t>Household’s total owned land (ha)</w:t>
            </w:r>
          </w:p>
        </w:tc>
      </w:tr>
      <w:tr w:rsidR="0023123A" w:rsidRPr="0023123A" w:rsidTr="00862E40">
        <w:trPr>
          <w:cnfStyle w:val="000000010000" w:firstRow="0" w:lastRow="0" w:firstColumn="0" w:lastColumn="0" w:oddVBand="0" w:evenVBand="0" w:oddHBand="0" w:evenHBand="1" w:firstRowFirstColumn="0" w:firstRowLastColumn="0" w:lastRowFirstColumn="0" w:lastRowLastColumn="0"/>
          <w:trHeight w:val="510"/>
        </w:trPr>
        <w:tc>
          <w:tcPr>
            <w:tcW w:w="4680" w:type="dxa"/>
            <w:hideMark/>
          </w:tcPr>
          <w:p w:rsidR="0023123A" w:rsidRPr="0023123A" w:rsidRDefault="0023123A" w:rsidP="00FA1B2E">
            <w:pPr>
              <w:pStyle w:val="ExhibitText"/>
            </w:pPr>
            <w:r w:rsidRPr="0023123A">
              <w:t>HH rents any land (for any use)</w:t>
            </w:r>
          </w:p>
        </w:tc>
        <w:tc>
          <w:tcPr>
            <w:tcW w:w="4680" w:type="dxa"/>
          </w:tcPr>
          <w:p w:rsidR="0023123A" w:rsidRPr="0023123A" w:rsidRDefault="00862E40" w:rsidP="00FA1B2E">
            <w:pPr>
              <w:pStyle w:val="ExhibitText"/>
            </w:pPr>
            <w:r>
              <w:t>Binary indicating whether household rents in any land (ha)</w:t>
            </w:r>
          </w:p>
        </w:tc>
      </w:tr>
      <w:tr w:rsidR="0023123A" w:rsidRPr="0023123A" w:rsidTr="00862E40">
        <w:trPr>
          <w:cnfStyle w:val="000000100000" w:firstRow="0" w:lastRow="0" w:firstColumn="0" w:lastColumn="0" w:oddVBand="0" w:evenVBand="0" w:oddHBand="1" w:evenHBand="0" w:firstRowFirstColumn="0" w:firstRowLastColumn="0" w:lastRowFirstColumn="0" w:lastRowLastColumn="0"/>
          <w:trHeight w:val="255"/>
        </w:trPr>
        <w:tc>
          <w:tcPr>
            <w:tcW w:w="4680" w:type="dxa"/>
            <w:hideMark/>
          </w:tcPr>
          <w:p w:rsidR="0023123A" w:rsidRPr="0023123A" w:rsidRDefault="0023123A" w:rsidP="00FA1B2E">
            <w:pPr>
              <w:pStyle w:val="ExhibitText"/>
            </w:pPr>
            <w:r w:rsidRPr="0023123A">
              <w:t>Total land size (rented in)</w:t>
            </w:r>
          </w:p>
        </w:tc>
        <w:tc>
          <w:tcPr>
            <w:tcW w:w="4680" w:type="dxa"/>
          </w:tcPr>
          <w:p w:rsidR="0023123A" w:rsidRPr="0023123A" w:rsidRDefault="00862E40" w:rsidP="00FA1B2E">
            <w:pPr>
              <w:pStyle w:val="ExhibitText"/>
            </w:pPr>
            <w:r>
              <w:t>Household’s total rented-in land (ha)</w:t>
            </w:r>
          </w:p>
        </w:tc>
      </w:tr>
      <w:tr w:rsidR="0023123A" w:rsidRPr="0023123A" w:rsidTr="00862E40">
        <w:trPr>
          <w:cnfStyle w:val="000000010000" w:firstRow="0" w:lastRow="0" w:firstColumn="0" w:lastColumn="0" w:oddVBand="0" w:evenVBand="0" w:oddHBand="0" w:evenHBand="1" w:firstRowFirstColumn="0" w:firstRowLastColumn="0" w:lastRowFirstColumn="0" w:lastRowLastColumn="0"/>
          <w:trHeight w:val="255"/>
        </w:trPr>
        <w:tc>
          <w:tcPr>
            <w:tcW w:w="4680" w:type="dxa"/>
            <w:hideMark/>
          </w:tcPr>
          <w:p w:rsidR="0023123A" w:rsidRPr="0023123A" w:rsidRDefault="0023123A" w:rsidP="00FA1B2E">
            <w:pPr>
              <w:pStyle w:val="ExhibitText"/>
            </w:pPr>
            <w:r w:rsidRPr="0023123A">
              <w:t xml:space="preserve">Distance to nearest </w:t>
            </w:r>
            <w:proofErr w:type="spellStart"/>
            <w:r w:rsidRPr="0023123A">
              <w:t>motorable</w:t>
            </w:r>
            <w:proofErr w:type="spellEnd"/>
            <w:r w:rsidRPr="0023123A">
              <w:t xml:space="preserve"> road</w:t>
            </w:r>
          </w:p>
        </w:tc>
        <w:tc>
          <w:tcPr>
            <w:tcW w:w="4680" w:type="dxa"/>
          </w:tcPr>
          <w:p w:rsidR="0023123A" w:rsidRPr="0023123A" w:rsidRDefault="00862E40" w:rsidP="00FA1B2E">
            <w:pPr>
              <w:pStyle w:val="ExhibitText"/>
            </w:pPr>
            <w:r>
              <w:t>Km</w:t>
            </w:r>
          </w:p>
        </w:tc>
      </w:tr>
      <w:tr w:rsidR="0023123A" w:rsidRPr="0023123A" w:rsidTr="00862E40">
        <w:trPr>
          <w:cnfStyle w:val="000000100000" w:firstRow="0" w:lastRow="0" w:firstColumn="0" w:lastColumn="0" w:oddVBand="0" w:evenVBand="0" w:oddHBand="1" w:evenHBand="0" w:firstRowFirstColumn="0" w:firstRowLastColumn="0" w:lastRowFirstColumn="0" w:lastRowLastColumn="0"/>
          <w:trHeight w:val="255"/>
        </w:trPr>
        <w:tc>
          <w:tcPr>
            <w:tcW w:w="4680" w:type="dxa"/>
            <w:hideMark/>
          </w:tcPr>
          <w:p w:rsidR="0023123A" w:rsidRPr="0023123A" w:rsidRDefault="0023123A" w:rsidP="00FA1B2E">
            <w:pPr>
              <w:pStyle w:val="ExhibitText"/>
            </w:pPr>
            <w:r w:rsidRPr="0023123A">
              <w:t>Distance to nearest tarmac road</w:t>
            </w:r>
          </w:p>
        </w:tc>
        <w:tc>
          <w:tcPr>
            <w:tcW w:w="4680" w:type="dxa"/>
          </w:tcPr>
          <w:p w:rsidR="0023123A" w:rsidRPr="0023123A" w:rsidRDefault="00862E40" w:rsidP="00FA1B2E">
            <w:pPr>
              <w:pStyle w:val="ExhibitText"/>
            </w:pPr>
            <w:r>
              <w:t>Km</w:t>
            </w:r>
          </w:p>
        </w:tc>
      </w:tr>
      <w:tr w:rsidR="0023123A" w:rsidRPr="0023123A" w:rsidTr="00862E40">
        <w:trPr>
          <w:cnfStyle w:val="000000010000" w:firstRow="0" w:lastRow="0" w:firstColumn="0" w:lastColumn="0" w:oddVBand="0" w:evenVBand="0" w:oddHBand="0" w:evenHBand="1" w:firstRowFirstColumn="0" w:firstRowLastColumn="0" w:lastRowFirstColumn="0" w:lastRowLastColumn="0"/>
          <w:trHeight w:val="255"/>
        </w:trPr>
        <w:tc>
          <w:tcPr>
            <w:tcW w:w="4680" w:type="dxa"/>
            <w:hideMark/>
          </w:tcPr>
          <w:p w:rsidR="0023123A" w:rsidRPr="0023123A" w:rsidRDefault="0023123A" w:rsidP="00FA1B2E">
            <w:pPr>
              <w:pStyle w:val="ExhibitText"/>
            </w:pPr>
            <w:r w:rsidRPr="0023123A">
              <w:t>Distance to nearest main market</w:t>
            </w:r>
          </w:p>
        </w:tc>
        <w:tc>
          <w:tcPr>
            <w:tcW w:w="4680" w:type="dxa"/>
          </w:tcPr>
          <w:p w:rsidR="0023123A" w:rsidRPr="0023123A" w:rsidRDefault="00862E40" w:rsidP="00FA1B2E">
            <w:pPr>
              <w:pStyle w:val="ExhibitText"/>
            </w:pPr>
            <w:r>
              <w:t>Km</w:t>
            </w:r>
          </w:p>
        </w:tc>
      </w:tr>
      <w:tr w:rsidR="0023123A" w:rsidRPr="0023123A" w:rsidTr="00862E40">
        <w:trPr>
          <w:cnfStyle w:val="000000100000" w:firstRow="0" w:lastRow="0" w:firstColumn="0" w:lastColumn="0" w:oddVBand="0" w:evenVBand="0" w:oddHBand="1" w:evenHBand="0" w:firstRowFirstColumn="0" w:firstRowLastColumn="0" w:lastRowFirstColumn="0" w:lastRowLastColumn="0"/>
          <w:trHeight w:val="255"/>
        </w:trPr>
        <w:tc>
          <w:tcPr>
            <w:tcW w:w="4680" w:type="dxa"/>
            <w:hideMark/>
          </w:tcPr>
          <w:p w:rsidR="0023123A" w:rsidRPr="0023123A" w:rsidRDefault="0023123A" w:rsidP="00FA1B2E">
            <w:pPr>
              <w:pStyle w:val="ExhibitText"/>
            </w:pPr>
            <w:r w:rsidRPr="0023123A">
              <w:t>Distance to nearest ag extension office</w:t>
            </w:r>
          </w:p>
        </w:tc>
        <w:tc>
          <w:tcPr>
            <w:tcW w:w="4680" w:type="dxa"/>
          </w:tcPr>
          <w:p w:rsidR="0023123A" w:rsidRPr="0023123A" w:rsidRDefault="00862E40" w:rsidP="00FA1B2E">
            <w:pPr>
              <w:pStyle w:val="ExhibitText"/>
            </w:pPr>
            <w:r>
              <w:t>Km</w:t>
            </w:r>
          </w:p>
        </w:tc>
      </w:tr>
      <w:tr w:rsidR="0023123A" w:rsidRPr="0023123A" w:rsidTr="00862E40">
        <w:trPr>
          <w:cnfStyle w:val="000000010000" w:firstRow="0" w:lastRow="0" w:firstColumn="0" w:lastColumn="0" w:oddVBand="0" w:evenVBand="0" w:oddHBand="0" w:evenHBand="1" w:firstRowFirstColumn="0" w:firstRowLastColumn="0" w:lastRowFirstColumn="0" w:lastRowLastColumn="0"/>
          <w:trHeight w:val="255"/>
        </w:trPr>
        <w:tc>
          <w:tcPr>
            <w:tcW w:w="4680" w:type="dxa"/>
            <w:hideMark/>
          </w:tcPr>
          <w:p w:rsidR="0023123A" w:rsidRPr="0023123A" w:rsidRDefault="0023123A" w:rsidP="00FA1B2E">
            <w:pPr>
              <w:pStyle w:val="ExhibitText"/>
            </w:pPr>
            <w:r w:rsidRPr="0023123A">
              <w:t xml:space="preserve">Distance to nearest </w:t>
            </w:r>
            <w:proofErr w:type="spellStart"/>
            <w:r w:rsidRPr="0023123A">
              <w:t>matatu</w:t>
            </w:r>
            <w:proofErr w:type="spellEnd"/>
            <w:r w:rsidRPr="0023123A">
              <w:t>/bus stop</w:t>
            </w:r>
          </w:p>
        </w:tc>
        <w:tc>
          <w:tcPr>
            <w:tcW w:w="4680" w:type="dxa"/>
          </w:tcPr>
          <w:p w:rsidR="0023123A" w:rsidRPr="0023123A" w:rsidRDefault="00862E40" w:rsidP="00FA1B2E">
            <w:pPr>
              <w:pStyle w:val="ExhibitText"/>
            </w:pPr>
            <w:r>
              <w:t>Km</w:t>
            </w:r>
          </w:p>
        </w:tc>
      </w:tr>
      <w:tr w:rsidR="0023123A" w:rsidRPr="0023123A" w:rsidTr="00862E40">
        <w:trPr>
          <w:cnfStyle w:val="000000100000" w:firstRow="0" w:lastRow="0" w:firstColumn="0" w:lastColumn="0" w:oddVBand="0" w:evenVBand="0" w:oddHBand="1" w:evenHBand="0" w:firstRowFirstColumn="0" w:firstRowLastColumn="0" w:lastRowFirstColumn="0" w:lastRowLastColumn="0"/>
          <w:trHeight w:val="255"/>
        </w:trPr>
        <w:tc>
          <w:tcPr>
            <w:tcW w:w="4680" w:type="dxa"/>
            <w:hideMark/>
          </w:tcPr>
          <w:p w:rsidR="0023123A" w:rsidRPr="0023123A" w:rsidRDefault="0023123A" w:rsidP="00FA1B2E">
            <w:pPr>
              <w:pStyle w:val="ExhibitText"/>
            </w:pPr>
            <w:r w:rsidRPr="0023123A">
              <w:t xml:space="preserve">Total spent on non-HH labor </w:t>
            </w:r>
          </w:p>
        </w:tc>
        <w:tc>
          <w:tcPr>
            <w:tcW w:w="4680" w:type="dxa"/>
          </w:tcPr>
          <w:p w:rsidR="0023123A" w:rsidRPr="0023123A" w:rsidRDefault="00862E40" w:rsidP="00FA1B2E">
            <w:pPr>
              <w:pStyle w:val="ExhibitText"/>
            </w:pPr>
            <w:r>
              <w:t>KSH</w:t>
            </w:r>
          </w:p>
        </w:tc>
      </w:tr>
      <w:tr w:rsidR="0023123A" w:rsidRPr="0023123A" w:rsidTr="00862E40">
        <w:trPr>
          <w:cnfStyle w:val="000000010000" w:firstRow="0" w:lastRow="0" w:firstColumn="0" w:lastColumn="0" w:oddVBand="0" w:evenVBand="0" w:oddHBand="0" w:evenHBand="1" w:firstRowFirstColumn="0" w:firstRowLastColumn="0" w:lastRowFirstColumn="0" w:lastRowLastColumn="0"/>
          <w:trHeight w:val="510"/>
        </w:trPr>
        <w:tc>
          <w:tcPr>
            <w:tcW w:w="4680" w:type="dxa"/>
            <w:hideMark/>
          </w:tcPr>
          <w:p w:rsidR="0023123A" w:rsidRPr="0023123A" w:rsidRDefault="00862E40" w:rsidP="00FA1B2E">
            <w:pPr>
              <w:pStyle w:val="ExhibitText"/>
            </w:pPr>
            <w:r>
              <w:t>T</w:t>
            </w:r>
            <w:r w:rsidR="0023123A" w:rsidRPr="0023123A">
              <w:t>otal spent on planting materials/other farming inputs, long rains 2013</w:t>
            </w:r>
          </w:p>
        </w:tc>
        <w:tc>
          <w:tcPr>
            <w:tcW w:w="4680" w:type="dxa"/>
          </w:tcPr>
          <w:p w:rsidR="0023123A" w:rsidRPr="0023123A" w:rsidRDefault="00862E40" w:rsidP="00FA1B2E">
            <w:pPr>
              <w:pStyle w:val="ExhibitText"/>
            </w:pPr>
            <w:r>
              <w:t>KSH</w:t>
            </w:r>
          </w:p>
        </w:tc>
      </w:tr>
      <w:tr w:rsidR="0023123A" w:rsidRPr="0023123A" w:rsidTr="00862E40">
        <w:trPr>
          <w:cnfStyle w:val="000000100000" w:firstRow="0" w:lastRow="0" w:firstColumn="0" w:lastColumn="0" w:oddVBand="0" w:evenVBand="0" w:oddHBand="1" w:evenHBand="0" w:firstRowFirstColumn="0" w:firstRowLastColumn="0" w:lastRowFirstColumn="0" w:lastRowLastColumn="0"/>
          <w:trHeight w:val="510"/>
        </w:trPr>
        <w:tc>
          <w:tcPr>
            <w:tcW w:w="4680" w:type="dxa"/>
            <w:hideMark/>
          </w:tcPr>
          <w:p w:rsidR="0023123A" w:rsidRPr="0023123A" w:rsidRDefault="0023123A" w:rsidP="00FA1B2E">
            <w:pPr>
              <w:pStyle w:val="ExhibitText"/>
            </w:pPr>
            <w:r w:rsidRPr="0023123A">
              <w:t>Whether irrigated any plot, long rains 2013</w:t>
            </w:r>
          </w:p>
        </w:tc>
        <w:tc>
          <w:tcPr>
            <w:tcW w:w="4680" w:type="dxa"/>
          </w:tcPr>
          <w:p w:rsidR="0023123A" w:rsidRPr="0023123A" w:rsidRDefault="00862E40" w:rsidP="00FA1B2E">
            <w:pPr>
              <w:pStyle w:val="ExhibitText"/>
            </w:pPr>
            <w:r>
              <w:t>Binary indicating whether household irrigated any plot during the most recent growing season</w:t>
            </w:r>
          </w:p>
        </w:tc>
      </w:tr>
      <w:tr w:rsidR="0023123A" w:rsidRPr="0023123A" w:rsidTr="00862E40">
        <w:trPr>
          <w:cnfStyle w:val="000000010000" w:firstRow="0" w:lastRow="0" w:firstColumn="0" w:lastColumn="0" w:oddVBand="0" w:evenVBand="0" w:oddHBand="0" w:evenHBand="1" w:firstRowFirstColumn="0" w:firstRowLastColumn="0" w:lastRowFirstColumn="0" w:lastRowLastColumn="0"/>
          <w:trHeight w:val="510"/>
        </w:trPr>
        <w:tc>
          <w:tcPr>
            <w:tcW w:w="4680" w:type="dxa"/>
            <w:hideMark/>
          </w:tcPr>
          <w:p w:rsidR="0023123A" w:rsidRPr="0023123A" w:rsidRDefault="0023123A" w:rsidP="00FA1B2E">
            <w:pPr>
              <w:pStyle w:val="ExhibitText"/>
            </w:pPr>
            <w:r w:rsidRPr="0023123A">
              <w:t>Number of household person-days spent on farm labor, long rains 2013</w:t>
            </w:r>
          </w:p>
        </w:tc>
        <w:tc>
          <w:tcPr>
            <w:tcW w:w="4680" w:type="dxa"/>
          </w:tcPr>
          <w:p w:rsidR="0023123A" w:rsidRPr="0023123A" w:rsidRDefault="00862E40" w:rsidP="00FA1B2E">
            <w:pPr>
              <w:pStyle w:val="ExhibitText"/>
            </w:pPr>
            <w:r>
              <w:t>Number of days</w:t>
            </w:r>
          </w:p>
        </w:tc>
      </w:tr>
      <w:tr w:rsidR="0023123A" w:rsidRPr="0023123A" w:rsidTr="00862E40">
        <w:trPr>
          <w:cnfStyle w:val="000000100000" w:firstRow="0" w:lastRow="0" w:firstColumn="0" w:lastColumn="0" w:oddVBand="0" w:evenVBand="0" w:oddHBand="1" w:evenHBand="0" w:firstRowFirstColumn="0" w:firstRowLastColumn="0" w:lastRowFirstColumn="0" w:lastRowLastColumn="0"/>
          <w:trHeight w:val="510"/>
        </w:trPr>
        <w:tc>
          <w:tcPr>
            <w:tcW w:w="4680" w:type="dxa"/>
            <w:hideMark/>
          </w:tcPr>
          <w:p w:rsidR="0023123A" w:rsidRPr="0023123A" w:rsidRDefault="0023123A" w:rsidP="00FA1B2E">
            <w:pPr>
              <w:pStyle w:val="ExhibitText"/>
            </w:pPr>
            <w:r w:rsidRPr="0023123A">
              <w:t>Household needed any loans within the past year</w:t>
            </w:r>
          </w:p>
        </w:tc>
        <w:tc>
          <w:tcPr>
            <w:tcW w:w="4680" w:type="dxa"/>
          </w:tcPr>
          <w:p w:rsidR="0023123A" w:rsidRPr="0023123A" w:rsidRDefault="00862E40" w:rsidP="00FA1B2E">
            <w:pPr>
              <w:pStyle w:val="ExhibitText"/>
            </w:pPr>
            <w:r>
              <w:t>Binary indicating whether household reported needing any loans during the past 12 months</w:t>
            </w:r>
          </w:p>
        </w:tc>
      </w:tr>
      <w:tr w:rsidR="0023123A" w:rsidRPr="0023123A" w:rsidTr="00862E40">
        <w:trPr>
          <w:cnfStyle w:val="000000010000" w:firstRow="0" w:lastRow="0" w:firstColumn="0" w:lastColumn="0" w:oddVBand="0" w:evenVBand="0" w:oddHBand="0" w:evenHBand="1" w:firstRowFirstColumn="0" w:firstRowLastColumn="0" w:lastRowFirstColumn="0" w:lastRowLastColumn="0"/>
          <w:trHeight w:val="270"/>
        </w:trPr>
        <w:tc>
          <w:tcPr>
            <w:tcW w:w="4680" w:type="dxa"/>
            <w:hideMark/>
          </w:tcPr>
          <w:p w:rsidR="0023123A" w:rsidRPr="0023123A" w:rsidRDefault="0023123A" w:rsidP="00FA1B2E">
            <w:pPr>
              <w:pStyle w:val="ExhibitText"/>
            </w:pPr>
            <w:r w:rsidRPr="0023123A">
              <w:t>Total off-farm income</w:t>
            </w:r>
          </w:p>
        </w:tc>
        <w:tc>
          <w:tcPr>
            <w:tcW w:w="4680" w:type="dxa"/>
          </w:tcPr>
          <w:p w:rsidR="0023123A" w:rsidRPr="0023123A" w:rsidRDefault="00862E40" w:rsidP="00FA1B2E">
            <w:pPr>
              <w:pStyle w:val="ExhibitText"/>
            </w:pPr>
            <w:r>
              <w:t>Total household labor income (KSH)</w:t>
            </w:r>
          </w:p>
        </w:tc>
      </w:tr>
    </w:tbl>
    <w:p w:rsidR="00044969" w:rsidRDefault="00044969" w:rsidP="00711FAD"/>
    <w:p w:rsidR="00044969" w:rsidRDefault="00044969">
      <w:pPr>
        <w:spacing w:after="0"/>
      </w:pPr>
      <w:r>
        <w:br w:type="page"/>
      </w:r>
    </w:p>
    <w:p w:rsidR="00044969" w:rsidRDefault="00044969" w:rsidP="00044969">
      <w:pPr>
        <w:pStyle w:val="Heading1Apps"/>
      </w:pPr>
      <w:bookmarkStart w:id="9" w:name="_Toc408915690"/>
      <w:bookmarkStart w:id="10" w:name="_Toc409117345"/>
      <w:r w:rsidRPr="00390234">
        <w:lastRenderedPageBreak/>
        <w:t>References</w:t>
      </w:r>
      <w:bookmarkEnd w:id="9"/>
      <w:bookmarkEnd w:id="10"/>
    </w:p>
    <w:p w:rsidR="00044969" w:rsidRPr="00044969" w:rsidRDefault="00044969" w:rsidP="00044969">
      <w:pPr>
        <w:rPr>
          <w:szCs w:val="24"/>
          <w:lang w:val="en-GB"/>
        </w:rPr>
      </w:pPr>
      <w:proofErr w:type="gramStart"/>
      <w:r w:rsidRPr="00044969">
        <w:rPr>
          <w:szCs w:val="24"/>
        </w:rPr>
        <w:t>Bloom, Howard S. 2003.</w:t>
      </w:r>
      <w:proofErr w:type="gramEnd"/>
      <w:r w:rsidRPr="00044969">
        <w:rPr>
          <w:szCs w:val="24"/>
        </w:rPr>
        <w:t xml:space="preserve"> "Using "Short" Interrupted Time-Series Analysis to Measure the Impacts of Whole-School Reforms." </w:t>
      </w:r>
      <w:r w:rsidRPr="00044969">
        <w:rPr>
          <w:i/>
          <w:szCs w:val="24"/>
        </w:rPr>
        <w:t>Evaluation Review</w:t>
      </w:r>
      <w:r w:rsidRPr="00044969">
        <w:rPr>
          <w:szCs w:val="24"/>
        </w:rPr>
        <w:t xml:space="preserve"> 27:3-49.</w:t>
      </w:r>
    </w:p>
    <w:p w:rsidR="00044969" w:rsidRPr="00044969" w:rsidRDefault="00044969" w:rsidP="00044969">
      <w:pPr>
        <w:rPr>
          <w:szCs w:val="24"/>
          <w:lang w:val="en-GB"/>
        </w:rPr>
      </w:pPr>
      <w:proofErr w:type="spellStart"/>
      <w:proofErr w:type="gramStart"/>
      <w:r w:rsidRPr="00044969">
        <w:rPr>
          <w:rStyle w:val="Strong"/>
          <w:b w:val="0"/>
          <w:color w:val="000000"/>
          <w:szCs w:val="24"/>
          <w:shd w:val="clear" w:color="auto" w:fill="FFFFFF"/>
        </w:rPr>
        <w:t>Coryn</w:t>
      </w:r>
      <w:proofErr w:type="spellEnd"/>
      <w:r w:rsidRPr="00044969">
        <w:rPr>
          <w:rStyle w:val="Strong"/>
          <w:b w:val="0"/>
          <w:color w:val="000000"/>
          <w:szCs w:val="24"/>
          <w:shd w:val="clear" w:color="auto" w:fill="FFFFFF"/>
        </w:rPr>
        <w:t>, C. L. S.</w:t>
      </w:r>
      <w:r w:rsidRPr="00044969">
        <w:rPr>
          <w:color w:val="000000"/>
          <w:szCs w:val="24"/>
          <w:shd w:val="clear" w:color="auto" w:fill="FFFFFF"/>
        </w:rPr>
        <w:t>, &amp; Hobson, K. A. (2011).</w:t>
      </w:r>
      <w:proofErr w:type="gramEnd"/>
      <w:r w:rsidRPr="00044969">
        <w:rPr>
          <w:color w:val="000000"/>
          <w:szCs w:val="24"/>
          <w:shd w:val="clear" w:color="auto" w:fill="FFFFFF"/>
        </w:rPr>
        <w:t xml:space="preserve"> </w:t>
      </w:r>
      <w:proofErr w:type="gramStart"/>
      <w:r w:rsidRPr="00044969">
        <w:rPr>
          <w:color w:val="000000"/>
          <w:szCs w:val="24"/>
          <w:shd w:val="clear" w:color="auto" w:fill="FFFFFF"/>
        </w:rPr>
        <w:t>Using nonequivalent dependent variables to reduce internal validity threats in quasi-experiments: Rationale, history, and examples from practice.</w:t>
      </w:r>
      <w:proofErr w:type="gramEnd"/>
      <w:r w:rsidRPr="00044969">
        <w:rPr>
          <w:color w:val="000000"/>
          <w:szCs w:val="24"/>
          <w:shd w:val="clear" w:color="auto" w:fill="FFFFFF"/>
        </w:rPr>
        <w:t xml:space="preserve"> In S. </w:t>
      </w:r>
      <w:proofErr w:type="spellStart"/>
      <w:r w:rsidRPr="00044969">
        <w:rPr>
          <w:color w:val="000000"/>
          <w:szCs w:val="24"/>
          <w:shd w:val="clear" w:color="auto" w:fill="FFFFFF"/>
        </w:rPr>
        <w:t>Mathison</w:t>
      </w:r>
      <w:proofErr w:type="spellEnd"/>
      <w:r w:rsidRPr="00044969">
        <w:rPr>
          <w:color w:val="000000"/>
          <w:szCs w:val="24"/>
          <w:shd w:val="clear" w:color="auto" w:fill="FFFFFF"/>
        </w:rPr>
        <w:t xml:space="preserve"> (Ed.),</w:t>
      </w:r>
      <w:r w:rsidRPr="00044969">
        <w:rPr>
          <w:rStyle w:val="apple-converted-space"/>
          <w:color w:val="000000"/>
          <w:szCs w:val="24"/>
          <w:shd w:val="clear" w:color="auto" w:fill="FFFFFF"/>
        </w:rPr>
        <w:t> </w:t>
      </w:r>
      <w:r w:rsidRPr="00044969">
        <w:rPr>
          <w:rStyle w:val="Emphasis"/>
          <w:color w:val="000000"/>
          <w:szCs w:val="24"/>
          <w:shd w:val="clear" w:color="auto" w:fill="FFFFFF"/>
        </w:rPr>
        <w:t>Really new directions in evaluation: Young evaluators’ perspectives</w:t>
      </w:r>
      <w:r w:rsidRPr="00044969">
        <w:rPr>
          <w:color w:val="000000"/>
          <w:szCs w:val="24"/>
          <w:shd w:val="clear" w:color="auto" w:fill="FFFFFF"/>
        </w:rPr>
        <w:t>.</w:t>
      </w:r>
      <w:r w:rsidRPr="00044969">
        <w:rPr>
          <w:rStyle w:val="apple-converted-space"/>
          <w:color w:val="000000"/>
          <w:szCs w:val="24"/>
          <w:shd w:val="clear" w:color="auto" w:fill="FFFFFF"/>
        </w:rPr>
        <w:t> </w:t>
      </w:r>
      <w:r w:rsidRPr="00044969">
        <w:rPr>
          <w:rStyle w:val="Emphasis"/>
          <w:color w:val="000000"/>
          <w:szCs w:val="24"/>
          <w:shd w:val="clear" w:color="auto" w:fill="FFFFFF"/>
        </w:rPr>
        <w:t>New Directions for Evaluation</w:t>
      </w:r>
      <w:r w:rsidRPr="00044969">
        <w:rPr>
          <w:color w:val="000000"/>
          <w:szCs w:val="24"/>
          <w:shd w:val="clear" w:color="auto" w:fill="FFFFFF"/>
        </w:rPr>
        <w:t>,</w:t>
      </w:r>
      <w:r w:rsidRPr="00044969">
        <w:rPr>
          <w:rStyle w:val="apple-converted-space"/>
          <w:color w:val="000000"/>
          <w:szCs w:val="24"/>
          <w:shd w:val="clear" w:color="auto" w:fill="FFFFFF"/>
        </w:rPr>
        <w:t> </w:t>
      </w:r>
      <w:r w:rsidRPr="00044969">
        <w:rPr>
          <w:rStyle w:val="Emphasis"/>
          <w:color w:val="000000"/>
          <w:szCs w:val="24"/>
          <w:shd w:val="clear" w:color="auto" w:fill="FFFFFF"/>
        </w:rPr>
        <w:t>No. 131</w:t>
      </w:r>
      <w:r w:rsidRPr="00044969">
        <w:rPr>
          <w:color w:val="000000"/>
          <w:szCs w:val="24"/>
          <w:shd w:val="clear" w:color="auto" w:fill="FFFFFF"/>
        </w:rPr>
        <w:t xml:space="preserve">, 31-39. San Francisco, CA: </w:t>
      </w:r>
      <w:proofErr w:type="spellStart"/>
      <w:r w:rsidRPr="00044969">
        <w:rPr>
          <w:color w:val="000000"/>
          <w:szCs w:val="24"/>
          <w:shd w:val="clear" w:color="auto" w:fill="FFFFFF"/>
        </w:rPr>
        <w:t>Jossey</w:t>
      </w:r>
      <w:proofErr w:type="spellEnd"/>
      <w:r w:rsidRPr="00044969">
        <w:rPr>
          <w:color w:val="000000"/>
          <w:szCs w:val="24"/>
          <w:shd w:val="clear" w:color="auto" w:fill="FFFFFF"/>
        </w:rPr>
        <w:t>-Bass.</w:t>
      </w:r>
    </w:p>
    <w:p w:rsidR="00044969" w:rsidRPr="00044969" w:rsidRDefault="00044969" w:rsidP="00044969">
      <w:pPr>
        <w:rPr>
          <w:szCs w:val="24"/>
          <w:lang w:val="en-GB"/>
        </w:rPr>
      </w:pPr>
      <w:r w:rsidRPr="00044969">
        <w:rPr>
          <w:szCs w:val="24"/>
          <w:lang w:val="en-GB"/>
        </w:rPr>
        <w:t xml:space="preserve">Cook, T. D., </w:t>
      </w:r>
      <w:proofErr w:type="spellStart"/>
      <w:r w:rsidRPr="00044969">
        <w:rPr>
          <w:szCs w:val="24"/>
          <w:lang w:val="en-GB"/>
        </w:rPr>
        <w:t>Shadish</w:t>
      </w:r>
      <w:proofErr w:type="spellEnd"/>
      <w:r w:rsidRPr="00044969">
        <w:rPr>
          <w:szCs w:val="24"/>
          <w:lang w:val="en-GB"/>
        </w:rPr>
        <w:t xml:space="preserve">, W. R., &amp; Wong, V. C. (2008) </w:t>
      </w:r>
      <w:proofErr w:type="gramStart"/>
      <w:r w:rsidRPr="00044969">
        <w:rPr>
          <w:szCs w:val="24"/>
          <w:lang w:val="en-GB"/>
        </w:rPr>
        <w:t>Three</w:t>
      </w:r>
      <w:proofErr w:type="gramEnd"/>
      <w:r w:rsidRPr="00044969">
        <w:rPr>
          <w:szCs w:val="24"/>
          <w:lang w:val="en-GB"/>
        </w:rPr>
        <w:t xml:space="preserve"> conditions under which experiments and observational studies produce comparable causal estimates: New findings from within-study comparisons. </w:t>
      </w:r>
      <w:r w:rsidRPr="00044969">
        <w:rPr>
          <w:i/>
          <w:szCs w:val="24"/>
          <w:lang w:val="en-GB"/>
        </w:rPr>
        <w:t>Journal of Policy Analysis and Management</w:t>
      </w:r>
      <w:r w:rsidRPr="00044969">
        <w:rPr>
          <w:szCs w:val="24"/>
          <w:lang w:val="en-GB"/>
        </w:rPr>
        <w:t>, 27(4), 724–750.</w:t>
      </w:r>
    </w:p>
    <w:p w:rsidR="0023123A" w:rsidRPr="00044969" w:rsidRDefault="00044969" w:rsidP="00044969">
      <w:pPr>
        <w:rPr>
          <w:szCs w:val="24"/>
        </w:rPr>
      </w:pPr>
      <w:proofErr w:type="spellStart"/>
      <w:proofErr w:type="gramStart"/>
      <w:r w:rsidRPr="00044969">
        <w:rPr>
          <w:color w:val="222222"/>
          <w:szCs w:val="24"/>
          <w:shd w:val="clear" w:color="auto" w:fill="FFFFFF"/>
        </w:rPr>
        <w:t>Trochim</w:t>
      </w:r>
      <w:proofErr w:type="spellEnd"/>
      <w:r w:rsidRPr="00044969">
        <w:rPr>
          <w:color w:val="222222"/>
          <w:szCs w:val="24"/>
          <w:shd w:val="clear" w:color="auto" w:fill="FFFFFF"/>
        </w:rPr>
        <w:t>, W</w:t>
      </w:r>
      <w:r w:rsidRPr="00044969">
        <w:rPr>
          <w:color w:val="222222"/>
          <w:szCs w:val="24"/>
          <w:shd w:val="clear" w:color="auto" w:fill="FFFFFF"/>
        </w:rPr>
        <w:t>. M. K, &amp; Donnelly, JP (2007).</w:t>
      </w:r>
      <w:proofErr w:type="gramEnd"/>
      <w:r w:rsidRPr="00044969">
        <w:rPr>
          <w:rStyle w:val="apple-converted-space"/>
          <w:color w:val="222222"/>
          <w:szCs w:val="24"/>
          <w:shd w:val="clear" w:color="auto" w:fill="FFFFFF"/>
        </w:rPr>
        <w:t> </w:t>
      </w:r>
      <w:proofErr w:type="gramStart"/>
      <w:r w:rsidRPr="00044969">
        <w:rPr>
          <w:i/>
          <w:iCs/>
          <w:color w:val="222222"/>
          <w:szCs w:val="24"/>
          <w:shd w:val="clear" w:color="auto" w:fill="FFFFFF"/>
        </w:rPr>
        <w:t>Research methods knowledge base</w:t>
      </w:r>
      <w:r w:rsidRPr="00044969">
        <w:rPr>
          <w:color w:val="222222"/>
          <w:szCs w:val="24"/>
          <w:shd w:val="clear" w:color="auto" w:fill="FFFFFF"/>
        </w:rPr>
        <w:t>.</w:t>
      </w:r>
      <w:proofErr w:type="gramEnd"/>
      <w:r w:rsidRPr="00044969">
        <w:rPr>
          <w:color w:val="222222"/>
          <w:szCs w:val="24"/>
          <w:shd w:val="clear" w:color="auto" w:fill="FFFFFF"/>
        </w:rPr>
        <w:t xml:space="preserve"> Cincinnati, OH: Atomic Dog Publishing.</w:t>
      </w:r>
    </w:p>
    <w:sectPr w:rsidR="0023123A" w:rsidRPr="00044969" w:rsidSect="00877153">
      <w:headerReference w:type="default" r:id="rId16"/>
      <w:footerReference w:type="default" r:id="rId17"/>
      <w:pgSz w:w="12240" w:h="15840" w:code="1"/>
      <w:pgMar w:top="1440" w:right="1440" w:bottom="1440" w:left="1440" w:header="1080" w:footer="720" w:gutter="0"/>
      <w:pgNumType w:start="1"/>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264E5" w:rsidRDefault="00D264E5" w:rsidP="00D979EA">
      <w:r>
        <w:separator/>
      </w:r>
    </w:p>
  </w:endnote>
  <w:endnote w:type="continuationSeparator" w:id="0">
    <w:p w:rsidR="00D264E5" w:rsidRDefault="00D264E5" w:rsidP="00D979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Arial Bold">
    <w:panose1 w:val="020B0704020202020204"/>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Gotham">
    <w:altName w:val="Times New Roman"/>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roman"/>
    <w:pitch w:val="variable"/>
    <w:sig w:usb0="20002A87" w:usb1="00000000" w:usb2="00000000"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23F97" w:rsidRDefault="00123F97" w:rsidP="00744E2C">
    <w:pPr>
      <w:pStyle w:val="Footer"/>
      <w:pBdr>
        <w:top w:val="none" w:sz="0" w:space="0" w:color="auto"/>
      </w:pBd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64E5" w:rsidRPr="0066134E" w:rsidRDefault="00D264E5" w:rsidP="00677314">
    <w:pPr>
      <w:pStyle w:val="Footer"/>
      <w:tabs>
        <w:tab w:val="clear" w:pos="9000"/>
        <w:tab w:val="right" w:pos="9360"/>
      </w:tabs>
    </w:pPr>
    <w:proofErr w:type="spellStart"/>
    <w:r w:rsidRPr="00967D7C">
      <w:rPr>
        <w:color w:val="DA291C"/>
      </w:rPr>
      <w:t>Abt</w:t>
    </w:r>
    <w:proofErr w:type="spellEnd"/>
    <w:r w:rsidRPr="00967D7C">
      <w:rPr>
        <w:color w:val="DA291C"/>
      </w:rPr>
      <w:t xml:space="preserve"> Associates</w:t>
    </w:r>
    <w:r>
      <w:rPr>
        <w:color w:val="DA291C"/>
      </w:rPr>
      <w:tab/>
    </w:r>
    <w:r w:rsidRPr="0066134E">
      <w:rPr>
        <w:rStyle w:val="PageNumber"/>
        <w:b/>
      </w:rPr>
      <w:tab/>
    </w:r>
    <w:r>
      <w:rPr>
        <w:rStyle w:val="PageNumber"/>
        <w:b/>
      </w:rPr>
      <w:t>March 2015</w:t>
    </w:r>
    <w:r>
      <w:rPr>
        <w:rStyle w:val="PageNumber"/>
        <w:b/>
      </w:rPr>
      <w:t> </w:t>
    </w:r>
    <w:r>
      <w:rPr>
        <w:rStyle w:val="PageNumber"/>
        <w:rFonts w:cs="Arial"/>
        <w:b/>
      </w:rPr>
      <w:t>▌</w:t>
    </w:r>
    <w:r w:rsidRPr="00597B60">
      <w:rPr>
        <w:rStyle w:val="PageNumber"/>
        <w:b/>
        <w:color w:val="DA291C"/>
      </w:rPr>
      <w:fldChar w:fldCharType="begin"/>
    </w:r>
    <w:r w:rsidRPr="00597B60">
      <w:rPr>
        <w:rStyle w:val="PageNumber"/>
        <w:b/>
        <w:color w:val="DA291C"/>
      </w:rPr>
      <w:instrText xml:space="preserve"> PAGE   \* MERGEFORMAT </w:instrText>
    </w:r>
    <w:r w:rsidRPr="00597B60">
      <w:rPr>
        <w:rStyle w:val="PageNumber"/>
        <w:b/>
        <w:color w:val="DA291C"/>
      </w:rPr>
      <w:fldChar w:fldCharType="separate"/>
    </w:r>
    <w:r w:rsidR="00412D64">
      <w:rPr>
        <w:rStyle w:val="PageNumber"/>
        <w:b/>
        <w:noProof/>
        <w:color w:val="DA291C"/>
      </w:rPr>
      <w:t>2</w:t>
    </w:r>
    <w:r w:rsidRPr="00597B60">
      <w:rPr>
        <w:rStyle w:val="PageNumber"/>
        <w:b/>
        <w:noProof/>
        <w:color w:val="DA291C"/>
      </w:rPr>
      <w:fldChar w:fldCharType="end"/>
    </w:r>
  </w:p>
  <w:p w:rsidR="00D264E5" w:rsidRPr="00967D7C" w:rsidRDefault="00D264E5" w:rsidP="005A4B86">
    <w:pPr>
      <w:pStyle w:val="Footer"/>
      <w:jc w:val="center"/>
      <w:rPr>
        <w:b w:val="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264E5" w:rsidRDefault="00D264E5" w:rsidP="00D979EA">
      <w:r>
        <w:separator/>
      </w:r>
    </w:p>
  </w:footnote>
  <w:footnote w:type="continuationSeparator" w:id="0">
    <w:p w:rsidR="00D264E5" w:rsidRDefault="00D264E5" w:rsidP="00D979EA">
      <w:r>
        <w:continuationSeparator/>
      </w:r>
    </w:p>
  </w:footnote>
  <w:footnote w:id="1">
    <w:p w:rsidR="00D264E5" w:rsidRDefault="00D264E5" w:rsidP="00711FAD">
      <w:pPr>
        <w:rPr>
          <w:sz w:val="20"/>
        </w:rPr>
      </w:pPr>
      <w:r w:rsidRPr="00711FAD">
        <w:rPr>
          <w:rStyle w:val="FootnoteReference"/>
          <w:sz w:val="20"/>
        </w:rPr>
        <w:footnoteRef/>
      </w:r>
      <w:r w:rsidRPr="00711FAD">
        <w:rPr>
          <w:sz w:val="20"/>
        </w:rPr>
        <w:t xml:space="preserve"> See, for example: </w:t>
      </w:r>
    </w:p>
    <w:p w:rsidR="00D264E5" w:rsidRPr="00711FAD" w:rsidRDefault="00D264E5" w:rsidP="00711FAD">
      <w:pPr>
        <w:rPr>
          <w:rFonts w:eastAsia="Calibri"/>
          <w:sz w:val="20"/>
          <w:lang w:val="en-GB"/>
        </w:rPr>
      </w:pPr>
      <w:proofErr w:type="spellStart"/>
      <w:proofErr w:type="gramStart"/>
      <w:r w:rsidRPr="00711FAD">
        <w:rPr>
          <w:rFonts w:eastAsia="Calibri"/>
          <w:sz w:val="20"/>
          <w:lang w:val="en-GB"/>
        </w:rPr>
        <w:t>Shadish</w:t>
      </w:r>
      <w:proofErr w:type="spellEnd"/>
      <w:r w:rsidRPr="00711FAD">
        <w:rPr>
          <w:rFonts w:eastAsia="Calibri"/>
          <w:sz w:val="20"/>
          <w:lang w:val="en-GB"/>
        </w:rPr>
        <w:t>, William R., Cook, Thomas D., Campbell, Donald T. (2002).</w:t>
      </w:r>
      <w:proofErr w:type="gramEnd"/>
      <w:r w:rsidRPr="00711FAD">
        <w:rPr>
          <w:rFonts w:eastAsia="Calibri"/>
          <w:sz w:val="20"/>
          <w:lang w:val="en-GB"/>
        </w:rPr>
        <w:t xml:space="preserve"> </w:t>
      </w:r>
      <w:proofErr w:type="gramStart"/>
      <w:r w:rsidRPr="00711FAD">
        <w:rPr>
          <w:rFonts w:eastAsia="Calibri"/>
          <w:sz w:val="20"/>
          <w:lang w:val="en-GB"/>
        </w:rPr>
        <w:t>Experimental and quasi-experimental designs for generalized causal inference.</w:t>
      </w:r>
      <w:proofErr w:type="gramEnd"/>
      <w:r w:rsidRPr="00711FAD">
        <w:rPr>
          <w:rFonts w:eastAsia="Calibri"/>
          <w:sz w:val="20"/>
          <w:lang w:val="en-GB"/>
        </w:rPr>
        <w:t xml:space="preserve"> Boston, MA, US: Houghton, Mifflin and Company</w:t>
      </w:r>
    </w:p>
    <w:p w:rsidR="00D264E5" w:rsidRPr="00711FAD" w:rsidRDefault="00D264E5" w:rsidP="00711FAD">
      <w:pPr>
        <w:spacing w:after="120"/>
        <w:rPr>
          <w:sz w:val="20"/>
          <w:szCs w:val="24"/>
          <w:lang w:val="en-GB"/>
        </w:rPr>
      </w:pPr>
      <w:proofErr w:type="gramStart"/>
      <w:r w:rsidRPr="00711FAD">
        <w:rPr>
          <w:sz w:val="20"/>
          <w:szCs w:val="24"/>
          <w:lang w:val="en-GB"/>
        </w:rPr>
        <w:t>Bloom, H. (2003).</w:t>
      </w:r>
      <w:proofErr w:type="gramEnd"/>
      <w:r w:rsidRPr="00711FAD">
        <w:rPr>
          <w:sz w:val="20"/>
          <w:szCs w:val="24"/>
          <w:lang w:val="en-GB"/>
        </w:rPr>
        <w:t xml:space="preserve"> </w:t>
      </w:r>
      <w:r w:rsidRPr="00711FAD">
        <w:rPr>
          <w:bCs/>
          <w:sz w:val="20"/>
          <w:szCs w:val="24"/>
          <w:lang w:val="en-GB"/>
        </w:rPr>
        <w:t>Using “short” interrupted time-series analysis to measure the impacts of whole-school reforms: With applications to a study of accelerated schools</w:t>
      </w:r>
      <w:r w:rsidRPr="00711FAD">
        <w:rPr>
          <w:sz w:val="20"/>
          <w:szCs w:val="24"/>
          <w:lang w:val="en-GB"/>
        </w:rPr>
        <w:t xml:space="preserve">. </w:t>
      </w:r>
      <w:r w:rsidRPr="00711FAD">
        <w:rPr>
          <w:i/>
          <w:iCs/>
          <w:sz w:val="20"/>
          <w:szCs w:val="24"/>
          <w:lang w:val="en-GB"/>
        </w:rPr>
        <w:t>Evaluation Review, 27</w:t>
      </w:r>
      <w:r w:rsidRPr="00711FAD">
        <w:rPr>
          <w:sz w:val="20"/>
          <w:szCs w:val="24"/>
          <w:lang w:val="en-GB"/>
        </w:rPr>
        <w:t>(1), 3–49.</w:t>
      </w:r>
    </w:p>
    <w:p w:rsidR="00D264E5" w:rsidRDefault="00D264E5">
      <w:pPr>
        <w:pStyle w:val="FootnoteText"/>
      </w:pPr>
    </w:p>
  </w:footnote>
  <w:footnote w:id="2">
    <w:p w:rsidR="00D264E5" w:rsidRDefault="00D264E5" w:rsidP="00F70797">
      <w:pPr>
        <w:pStyle w:val="FootnoteText"/>
      </w:pPr>
      <w:r>
        <w:rPr>
          <w:rStyle w:val="FootnoteReference"/>
        </w:rPr>
        <w:footnoteRef/>
      </w:r>
      <w:r>
        <w:t xml:space="preserve"> </w:t>
      </w:r>
      <w:r>
        <w:tab/>
      </w:r>
      <w:r w:rsidRPr="00B26E16">
        <w:rPr>
          <w:rStyle w:val="FootnoteTextChar"/>
        </w:rPr>
        <w:t>There was disagreement among various experts and officials at the Kenyan Ministry of Agriculture as to what amount of land holdings qualifies small versus medium or larger farm</w:t>
      </w:r>
      <w:r>
        <w:rPr>
          <w:rStyle w:val="FootnoteTextChar"/>
        </w:rPr>
        <w:t>s</w:t>
      </w:r>
      <w:r w:rsidRPr="00B26E16">
        <w:rPr>
          <w:rStyle w:val="FootnoteTextChar"/>
        </w:rPr>
        <w:t xml:space="preserve">. Furthermore, at the time of the survey </w:t>
      </w:r>
      <w:r>
        <w:rPr>
          <w:rStyle w:val="FootnoteTextChar"/>
        </w:rPr>
        <w:t xml:space="preserve">the </w:t>
      </w:r>
      <w:proofErr w:type="spellStart"/>
      <w:r w:rsidRPr="00B26E16">
        <w:rPr>
          <w:rStyle w:val="FootnoteTextChar"/>
        </w:rPr>
        <w:t>AgResults</w:t>
      </w:r>
      <w:proofErr w:type="spellEnd"/>
      <w:r w:rsidRPr="00B26E16">
        <w:rPr>
          <w:rStyle w:val="FootnoteTextChar"/>
        </w:rPr>
        <w:t xml:space="preserve"> </w:t>
      </w:r>
      <w:r>
        <w:rPr>
          <w:rStyle w:val="FootnoteTextChar"/>
        </w:rPr>
        <w:t>pilot team</w:t>
      </w:r>
      <w:r w:rsidRPr="00B26E16">
        <w:rPr>
          <w:rStyle w:val="FootnoteTextChar"/>
        </w:rPr>
        <w:t xml:space="preserve"> had not yet determined the cut</w:t>
      </w:r>
      <w:r>
        <w:rPr>
          <w:rStyle w:val="FootnoteTextChar"/>
        </w:rPr>
        <w:t>-</w:t>
      </w:r>
      <w:r w:rsidRPr="00B26E16">
        <w:rPr>
          <w:rStyle w:val="FootnoteTextChar"/>
        </w:rPr>
        <w:t xml:space="preserve">off to be considered a smallholder. The </w:t>
      </w:r>
      <w:proofErr w:type="spellStart"/>
      <w:r w:rsidRPr="00B26E16">
        <w:rPr>
          <w:rStyle w:val="FootnoteTextChar"/>
        </w:rPr>
        <w:t>Abt</w:t>
      </w:r>
      <w:proofErr w:type="spellEnd"/>
      <w:r w:rsidRPr="00B26E16">
        <w:rPr>
          <w:rStyle w:val="FootnoteTextChar"/>
        </w:rPr>
        <w:t xml:space="preserve"> team’s earlier qualitative research also indicated that slightly larger and/or wealthier farmers may be more able and willing to buy improved OFS than truly “small” farmers. As such, the cut</w:t>
      </w:r>
      <w:r>
        <w:rPr>
          <w:rStyle w:val="FootnoteTextChar"/>
        </w:rPr>
        <w:t>-</w:t>
      </w:r>
      <w:r w:rsidRPr="00B26E16">
        <w:rPr>
          <w:rStyle w:val="FootnoteTextChar"/>
        </w:rPr>
        <w:t>off was set such that all small- to medium-scale farms would be included in the sample. A higher cut</w:t>
      </w:r>
      <w:r>
        <w:rPr>
          <w:rStyle w:val="FootnoteTextChar"/>
        </w:rPr>
        <w:t>-</w:t>
      </w:r>
      <w:r w:rsidRPr="00B26E16">
        <w:rPr>
          <w:rStyle w:val="FootnoteTextChar"/>
        </w:rPr>
        <w:t xml:space="preserve">off was set in </w:t>
      </w:r>
      <w:r>
        <w:rPr>
          <w:rStyle w:val="FootnoteTextChar"/>
        </w:rPr>
        <w:t xml:space="preserve">the </w:t>
      </w:r>
      <w:r w:rsidRPr="00B26E16">
        <w:rPr>
          <w:rStyle w:val="FootnoteTextChar"/>
        </w:rPr>
        <w:t>Rift Valley because farms there tend to be larger on average.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64E5" w:rsidRPr="007F4BFB" w:rsidRDefault="00D264E5" w:rsidP="007F4BFB">
    <w:pPr>
      <w:spacing w:after="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F3020B9"/>
    <w:multiLevelType w:val="hybridMultilevel"/>
    <w:tmpl w:val="40C4FE70"/>
    <w:lvl w:ilvl="0" w:tplc="9C88AC36">
      <w:start w:val="5"/>
      <w:numFmt w:val="decimal"/>
      <w:lvlText w:val="(%1)"/>
      <w:lvlJc w:val="left"/>
      <w:pPr>
        <w:ind w:left="1080" w:hanging="360"/>
      </w:pPr>
      <w:rPr>
        <w:rFonts w:eastAsiaTheme="minorEastAsi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24AC259B"/>
    <w:multiLevelType w:val="singleLevel"/>
    <w:tmpl w:val="01AC6EA0"/>
    <w:lvl w:ilvl="0">
      <w:start w:val="1"/>
      <w:numFmt w:val="decimal"/>
      <w:pStyle w:val="Numbers"/>
      <w:lvlText w:val="%1."/>
      <w:lvlJc w:val="left"/>
      <w:pPr>
        <w:tabs>
          <w:tab w:val="num" w:pos="1080"/>
        </w:tabs>
        <w:ind w:left="1080" w:hanging="360"/>
      </w:pPr>
    </w:lvl>
  </w:abstractNum>
  <w:abstractNum w:abstractNumId="2">
    <w:nsid w:val="2A9C543C"/>
    <w:multiLevelType w:val="multilevel"/>
    <w:tmpl w:val="0409001D"/>
    <w:styleLink w:val="Multipunch"/>
    <w:lvl w:ilvl="0">
      <w:start w:val="1"/>
      <w:numFmt w:val="bullet"/>
      <w:lvlText w:val=""/>
      <w:lvlJc w:val="left"/>
      <w:pPr>
        <w:ind w:left="360" w:hanging="360"/>
      </w:pPr>
      <w:rPr>
        <w:rFonts w:ascii="Wingdings" w:hAnsi="Wingdings"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nsid w:val="2B9A7A77"/>
    <w:multiLevelType w:val="hybridMultilevel"/>
    <w:tmpl w:val="2BD8701C"/>
    <w:lvl w:ilvl="0" w:tplc="CE8434D2">
      <w:start w:val="1"/>
      <w:numFmt w:val="decimal"/>
      <w:lvlText w:val="(%1)"/>
      <w:lvlJc w:val="left"/>
      <w:pPr>
        <w:ind w:left="1080" w:hanging="360"/>
      </w:pPr>
      <w:rPr>
        <w:rFonts w:eastAsiaTheme="minorEastAsia"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3CF835DD"/>
    <w:multiLevelType w:val="hybridMultilevel"/>
    <w:tmpl w:val="08F0510C"/>
    <w:lvl w:ilvl="0" w:tplc="8DB83544">
      <w:start w:val="1"/>
      <w:numFmt w:val="bullet"/>
      <w:pStyle w:val="ExhibitTextBullets"/>
      <w:lvlText w:val=""/>
      <w:lvlJc w:val="left"/>
      <w:pPr>
        <w:ind w:left="720" w:hanging="360"/>
      </w:pPr>
      <w:rPr>
        <w:rFonts w:ascii="Symbol" w:hAnsi="Symbol" w:hint="default"/>
        <w:color w:val="DA291C"/>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3EAD33C4"/>
    <w:multiLevelType w:val="multilevel"/>
    <w:tmpl w:val="4748E592"/>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8910"/>
        </w:tabs>
        <w:ind w:left="8910" w:hanging="720"/>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none"/>
      <w:pStyle w:val="Heading4"/>
      <w:lvlText w:val=""/>
      <w:lvlJc w:val="left"/>
      <w:pPr>
        <w:tabs>
          <w:tab w:val="num" w:pos="0"/>
        </w:tabs>
        <w:ind w:left="0" w:firstLine="0"/>
      </w:pPr>
      <w:rPr>
        <w:rFonts w:hint="default"/>
      </w:rPr>
    </w:lvl>
    <w:lvl w:ilvl="4">
      <w:start w:val="1"/>
      <w:numFmt w:val="none"/>
      <w:pStyle w:val="Heading5"/>
      <w:suff w:val="nothing"/>
      <w:lvlText w:val=""/>
      <w:lvlJc w:val="left"/>
      <w:pPr>
        <w:ind w:left="0" w:firstLine="0"/>
      </w:pPr>
      <w:rPr>
        <w:rFonts w:hint="default"/>
      </w:rPr>
    </w:lvl>
    <w:lvl w:ilvl="5">
      <w:start w:val="1"/>
      <w:numFmt w:val="none"/>
      <w:pStyle w:val="Heading6"/>
      <w:suff w:val="nothing"/>
      <w:lvlText w:val=""/>
      <w:lvlJc w:val="left"/>
      <w:pPr>
        <w:ind w:left="0" w:firstLine="0"/>
      </w:pPr>
      <w:rPr>
        <w:rFonts w:hint="default"/>
      </w:rPr>
    </w:lvl>
    <w:lvl w:ilvl="6">
      <w:start w:val="1"/>
      <w:numFmt w:val="upperLetter"/>
      <w:pStyle w:val="Heading7"/>
      <w:suff w:val="space"/>
      <w:lvlText w:val="Appendix %7"/>
      <w:lvlJc w:val="left"/>
      <w:pPr>
        <w:ind w:left="0" w:firstLine="0"/>
      </w:pPr>
      <w:rPr>
        <w:rFonts w:hint="default"/>
      </w:rPr>
    </w:lvl>
    <w:lvl w:ilvl="7">
      <w:start w:val="1"/>
      <w:numFmt w:val="none"/>
      <w:pStyle w:val="Heading8"/>
      <w:suff w:val="nothing"/>
      <w:lvlText w:val=""/>
      <w:lvlJc w:val="left"/>
      <w:pPr>
        <w:ind w:left="0" w:firstLine="0"/>
      </w:pPr>
      <w:rPr>
        <w:rFonts w:hint="default"/>
      </w:rPr>
    </w:lvl>
    <w:lvl w:ilvl="8">
      <w:start w:val="1"/>
      <w:numFmt w:val="none"/>
      <w:pStyle w:val="Heading9"/>
      <w:suff w:val="nothing"/>
      <w:lvlText w:val=""/>
      <w:lvlJc w:val="left"/>
      <w:pPr>
        <w:ind w:left="0" w:firstLine="0"/>
      </w:pPr>
      <w:rPr>
        <w:rFonts w:hint="default"/>
      </w:rPr>
    </w:lvl>
  </w:abstractNum>
  <w:abstractNum w:abstractNumId="6">
    <w:nsid w:val="4308540A"/>
    <w:multiLevelType w:val="hybridMultilevel"/>
    <w:tmpl w:val="888A8F60"/>
    <w:lvl w:ilvl="0" w:tplc="83DC0042">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
    <w:nsid w:val="4A2778A6"/>
    <w:multiLevelType w:val="multilevel"/>
    <w:tmpl w:val="0409001D"/>
    <w:styleLink w:val="Singlepunch"/>
    <w:lvl w:ilvl="0">
      <w:start w:val="1"/>
      <w:numFmt w:val="bullet"/>
      <w:lvlText w:val=""/>
      <w:lvlJc w:val="left"/>
      <w:pPr>
        <w:ind w:left="360" w:hanging="360"/>
      </w:pPr>
      <w:rPr>
        <w:rFonts w:ascii="Wingdings" w:hAnsi="Wingdings"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nsid w:val="726F644F"/>
    <w:multiLevelType w:val="singleLevel"/>
    <w:tmpl w:val="4852FEBA"/>
    <w:lvl w:ilvl="0">
      <w:start w:val="1"/>
      <w:numFmt w:val="decimal"/>
      <w:pStyle w:val="RefNumbers"/>
      <w:lvlText w:val="%1."/>
      <w:lvlJc w:val="left"/>
      <w:pPr>
        <w:tabs>
          <w:tab w:val="num" w:pos="720"/>
        </w:tabs>
        <w:ind w:left="720" w:hanging="720"/>
      </w:pPr>
    </w:lvl>
  </w:abstractNum>
  <w:abstractNum w:abstractNumId="9">
    <w:nsid w:val="7AD63DA6"/>
    <w:multiLevelType w:val="singleLevel"/>
    <w:tmpl w:val="D1227EF6"/>
    <w:lvl w:ilvl="0">
      <w:start w:val="1"/>
      <w:numFmt w:val="bullet"/>
      <w:pStyle w:val="Bullets"/>
      <w:lvlText w:val=""/>
      <w:lvlJc w:val="left"/>
      <w:pPr>
        <w:ind w:left="360" w:hanging="360"/>
      </w:pPr>
      <w:rPr>
        <w:rFonts w:ascii="Symbol" w:hAnsi="Symbol" w:hint="default"/>
        <w:color w:val="DA291C"/>
        <w:sz w:val="22"/>
      </w:rPr>
    </w:lvl>
  </w:abstractNum>
  <w:abstractNum w:abstractNumId="10">
    <w:nsid w:val="7FCF753D"/>
    <w:multiLevelType w:val="hybridMultilevel"/>
    <w:tmpl w:val="A1E6A41C"/>
    <w:lvl w:ilvl="0" w:tplc="31A62D50">
      <w:start w:val="1"/>
      <w:numFmt w:val="bullet"/>
      <w:pStyle w:val="Bullet2"/>
      <w:lvlText w:val=""/>
      <w:lvlJc w:val="left"/>
      <w:pPr>
        <w:tabs>
          <w:tab w:val="num" w:pos="720"/>
        </w:tabs>
        <w:ind w:left="720" w:hanging="360"/>
      </w:pPr>
      <w:rPr>
        <w:rFonts w:ascii="Symbol" w:hAnsi="Symbol" w:hint="default"/>
        <w:color w:val="0000AC"/>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8"/>
  </w:num>
  <w:num w:numId="3">
    <w:abstractNumId w:val="9"/>
  </w:num>
  <w:num w:numId="4">
    <w:abstractNumId w:val="5"/>
  </w:num>
  <w:num w:numId="5">
    <w:abstractNumId w:val="10"/>
  </w:num>
  <w:num w:numId="6">
    <w:abstractNumId w:val="4"/>
  </w:num>
  <w:num w:numId="7">
    <w:abstractNumId w:val="6"/>
  </w:num>
  <w:num w:numId="8">
    <w:abstractNumId w:val="3"/>
  </w:num>
  <w:num w:numId="9">
    <w:abstractNumId w:val="2"/>
  </w:num>
  <w:num w:numId="10">
    <w:abstractNumId w:val="7"/>
  </w:num>
  <w:num w:numId="11">
    <w:abstractNumId w:val="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en-US" w:vendorID="8" w:dllVersion="513" w:checkStyle="1"/>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360"/>
  <w:drawingGridHorizontalSpacing w:val="110"/>
  <w:drawingGridVerticalSpacing w:val="299"/>
  <w:displayHorizontalDrawingGridEvery w:val="0"/>
  <w:displayVerticalDrawingGridEvery w:val="0"/>
  <w:noPunctuationKerning/>
  <w:characterSpacingControl w:val="doNotCompress"/>
  <w:hdrShapeDefaults>
    <o:shapedefaults v:ext="edit" spidmax="4097">
      <o:colormru v:ext="edit" colors="#e1e1ff,#069,#bad1e8,#afd787,#cde6b4,#d1e8ba,#0000ac"/>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77153"/>
    <w:rsid w:val="00003A2C"/>
    <w:rsid w:val="00003CA6"/>
    <w:rsid w:val="00006B3A"/>
    <w:rsid w:val="00012536"/>
    <w:rsid w:val="000136F3"/>
    <w:rsid w:val="00016E17"/>
    <w:rsid w:val="0002216E"/>
    <w:rsid w:val="000247F7"/>
    <w:rsid w:val="00040E00"/>
    <w:rsid w:val="00044969"/>
    <w:rsid w:val="00046728"/>
    <w:rsid w:val="000525E0"/>
    <w:rsid w:val="000530E6"/>
    <w:rsid w:val="00053EEF"/>
    <w:rsid w:val="000543DC"/>
    <w:rsid w:val="00055022"/>
    <w:rsid w:val="0005750B"/>
    <w:rsid w:val="0006045E"/>
    <w:rsid w:val="0006587B"/>
    <w:rsid w:val="0006787D"/>
    <w:rsid w:val="00070322"/>
    <w:rsid w:val="00082D01"/>
    <w:rsid w:val="0008514F"/>
    <w:rsid w:val="00086384"/>
    <w:rsid w:val="00087856"/>
    <w:rsid w:val="00087E2E"/>
    <w:rsid w:val="000902AA"/>
    <w:rsid w:val="000936D6"/>
    <w:rsid w:val="00093E92"/>
    <w:rsid w:val="00095D40"/>
    <w:rsid w:val="000A00A2"/>
    <w:rsid w:val="000A1C6D"/>
    <w:rsid w:val="000A7D69"/>
    <w:rsid w:val="000B04AE"/>
    <w:rsid w:val="000B33D1"/>
    <w:rsid w:val="000B6CB5"/>
    <w:rsid w:val="000B788A"/>
    <w:rsid w:val="000C08AE"/>
    <w:rsid w:val="000C0A39"/>
    <w:rsid w:val="000C3040"/>
    <w:rsid w:val="000D05C1"/>
    <w:rsid w:val="000D53F1"/>
    <w:rsid w:val="000D5777"/>
    <w:rsid w:val="000E6B75"/>
    <w:rsid w:val="000F0472"/>
    <w:rsid w:val="000F53F4"/>
    <w:rsid w:val="001034D7"/>
    <w:rsid w:val="00104792"/>
    <w:rsid w:val="00104F2A"/>
    <w:rsid w:val="00107A04"/>
    <w:rsid w:val="0011170B"/>
    <w:rsid w:val="001178CA"/>
    <w:rsid w:val="00123056"/>
    <w:rsid w:val="00123F97"/>
    <w:rsid w:val="001307A5"/>
    <w:rsid w:val="00132441"/>
    <w:rsid w:val="00152153"/>
    <w:rsid w:val="00157E04"/>
    <w:rsid w:val="00160657"/>
    <w:rsid w:val="00160B87"/>
    <w:rsid w:val="001677DC"/>
    <w:rsid w:val="00172119"/>
    <w:rsid w:val="001A04CE"/>
    <w:rsid w:val="001A0E0A"/>
    <w:rsid w:val="001A23B5"/>
    <w:rsid w:val="001A403F"/>
    <w:rsid w:val="001A4633"/>
    <w:rsid w:val="001B4509"/>
    <w:rsid w:val="001C0891"/>
    <w:rsid w:val="001C10AF"/>
    <w:rsid w:val="001D4FDD"/>
    <w:rsid w:val="001D6C62"/>
    <w:rsid w:val="001E2CF1"/>
    <w:rsid w:val="001F2D0D"/>
    <w:rsid w:val="00200E58"/>
    <w:rsid w:val="00203A3C"/>
    <w:rsid w:val="002064D3"/>
    <w:rsid w:val="002106BF"/>
    <w:rsid w:val="00214B73"/>
    <w:rsid w:val="002176B8"/>
    <w:rsid w:val="002216AD"/>
    <w:rsid w:val="00221D99"/>
    <w:rsid w:val="00223A9F"/>
    <w:rsid w:val="0022674D"/>
    <w:rsid w:val="00227977"/>
    <w:rsid w:val="0023123A"/>
    <w:rsid w:val="0023449A"/>
    <w:rsid w:val="0023537A"/>
    <w:rsid w:val="00235F88"/>
    <w:rsid w:val="002409BE"/>
    <w:rsid w:val="00240E92"/>
    <w:rsid w:val="00255975"/>
    <w:rsid w:val="002607C5"/>
    <w:rsid w:val="002702F7"/>
    <w:rsid w:val="00273EAA"/>
    <w:rsid w:val="00276702"/>
    <w:rsid w:val="0028328D"/>
    <w:rsid w:val="002838F5"/>
    <w:rsid w:val="00285BB6"/>
    <w:rsid w:val="0029491C"/>
    <w:rsid w:val="002A4078"/>
    <w:rsid w:val="002A5CE0"/>
    <w:rsid w:val="002B2F3C"/>
    <w:rsid w:val="002C24EF"/>
    <w:rsid w:val="002C32AB"/>
    <w:rsid w:val="002C41F9"/>
    <w:rsid w:val="002C4495"/>
    <w:rsid w:val="002C5AC8"/>
    <w:rsid w:val="002C61F0"/>
    <w:rsid w:val="002C6E58"/>
    <w:rsid w:val="002C76AB"/>
    <w:rsid w:val="002D4536"/>
    <w:rsid w:val="002E059A"/>
    <w:rsid w:val="002F48C8"/>
    <w:rsid w:val="002F55CE"/>
    <w:rsid w:val="002F76F5"/>
    <w:rsid w:val="00307FE6"/>
    <w:rsid w:val="00312920"/>
    <w:rsid w:val="00314A8A"/>
    <w:rsid w:val="00320C20"/>
    <w:rsid w:val="00323E05"/>
    <w:rsid w:val="00324EC2"/>
    <w:rsid w:val="00326FBB"/>
    <w:rsid w:val="003279F2"/>
    <w:rsid w:val="00342BA9"/>
    <w:rsid w:val="003455BC"/>
    <w:rsid w:val="003470C3"/>
    <w:rsid w:val="00354503"/>
    <w:rsid w:val="003623F0"/>
    <w:rsid w:val="00370164"/>
    <w:rsid w:val="003711CD"/>
    <w:rsid w:val="003729AE"/>
    <w:rsid w:val="00380DB1"/>
    <w:rsid w:val="00383BFC"/>
    <w:rsid w:val="00384611"/>
    <w:rsid w:val="00384CA0"/>
    <w:rsid w:val="003870BA"/>
    <w:rsid w:val="00395A89"/>
    <w:rsid w:val="003A2FA8"/>
    <w:rsid w:val="003A3403"/>
    <w:rsid w:val="003B0708"/>
    <w:rsid w:val="003B4770"/>
    <w:rsid w:val="003C20BF"/>
    <w:rsid w:val="003D5616"/>
    <w:rsid w:val="003D7950"/>
    <w:rsid w:val="003E666B"/>
    <w:rsid w:val="003F3E19"/>
    <w:rsid w:val="00412D64"/>
    <w:rsid w:val="00423092"/>
    <w:rsid w:val="004253E8"/>
    <w:rsid w:val="0042544A"/>
    <w:rsid w:val="00427EA9"/>
    <w:rsid w:val="004319BC"/>
    <w:rsid w:val="004350B0"/>
    <w:rsid w:val="00436CE5"/>
    <w:rsid w:val="0044013C"/>
    <w:rsid w:val="00470AB4"/>
    <w:rsid w:val="00472E16"/>
    <w:rsid w:val="004734DF"/>
    <w:rsid w:val="00486943"/>
    <w:rsid w:val="00495B91"/>
    <w:rsid w:val="004A226F"/>
    <w:rsid w:val="004A5408"/>
    <w:rsid w:val="004B3401"/>
    <w:rsid w:val="004C18DF"/>
    <w:rsid w:val="004C24AC"/>
    <w:rsid w:val="004C29E5"/>
    <w:rsid w:val="004C2B46"/>
    <w:rsid w:val="004D4C6D"/>
    <w:rsid w:val="004E01A4"/>
    <w:rsid w:val="004E26E2"/>
    <w:rsid w:val="004F6742"/>
    <w:rsid w:val="004F709B"/>
    <w:rsid w:val="00503049"/>
    <w:rsid w:val="005074D6"/>
    <w:rsid w:val="00514193"/>
    <w:rsid w:val="0052257A"/>
    <w:rsid w:val="0053086A"/>
    <w:rsid w:val="00534B03"/>
    <w:rsid w:val="00534C33"/>
    <w:rsid w:val="00536DB4"/>
    <w:rsid w:val="0054025D"/>
    <w:rsid w:val="0055123E"/>
    <w:rsid w:val="005547AE"/>
    <w:rsid w:val="00556BB1"/>
    <w:rsid w:val="005707D6"/>
    <w:rsid w:val="00574572"/>
    <w:rsid w:val="00585CA4"/>
    <w:rsid w:val="00597948"/>
    <w:rsid w:val="00597B60"/>
    <w:rsid w:val="005A4B86"/>
    <w:rsid w:val="005B1AC5"/>
    <w:rsid w:val="005B6A25"/>
    <w:rsid w:val="005C4647"/>
    <w:rsid w:val="005D2A87"/>
    <w:rsid w:val="005E0CF2"/>
    <w:rsid w:val="005E2AEA"/>
    <w:rsid w:val="005E6B70"/>
    <w:rsid w:val="00611BE3"/>
    <w:rsid w:val="006122D8"/>
    <w:rsid w:val="0061247A"/>
    <w:rsid w:val="00615938"/>
    <w:rsid w:val="006247AB"/>
    <w:rsid w:val="0063014E"/>
    <w:rsid w:val="00631A2C"/>
    <w:rsid w:val="006409D1"/>
    <w:rsid w:val="00642069"/>
    <w:rsid w:val="0065112D"/>
    <w:rsid w:val="0066134E"/>
    <w:rsid w:val="00676E70"/>
    <w:rsid w:val="00677314"/>
    <w:rsid w:val="006814BB"/>
    <w:rsid w:val="006840EB"/>
    <w:rsid w:val="00687C1D"/>
    <w:rsid w:val="006900A6"/>
    <w:rsid w:val="0069342C"/>
    <w:rsid w:val="00696F05"/>
    <w:rsid w:val="006A541C"/>
    <w:rsid w:val="006A5B3B"/>
    <w:rsid w:val="006B1D27"/>
    <w:rsid w:val="006C1434"/>
    <w:rsid w:val="006C61C5"/>
    <w:rsid w:val="006C7A4C"/>
    <w:rsid w:val="006D1378"/>
    <w:rsid w:val="006D3C6D"/>
    <w:rsid w:val="006D406B"/>
    <w:rsid w:val="006E2B32"/>
    <w:rsid w:val="006E57A3"/>
    <w:rsid w:val="006F2B34"/>
    <w:rsid w:val="007057ED"/>
    <w:rsid w:val="0070672F"/>
    <w:rsid w:val="007105A6"/>
    <w:rsid w:val="00711FAD"/>
    <w:rsid w:val="00715417"/>
    <w:rsid w:val="00726DD4"/>
    <w:rsid w:val="00730F56"/>
    <w:rsid w:val="007406DD"/>
    <w:rsid w:val="00744E2C"/>
    <w:rsid w:val="00747C79"/>
    <w:rsid w:val="00752119"/>
    <w:rsid w:val="00754408"/>
    <w:rsid w:val="007631C7"/>
    <w:rsid w:val="00763CCC"/>
    <w:rsid w:val="00776C72"/>
    <w:rsid w:val="0078258F"/>
    <w:rsid w:val="00782E74"/>
    <w:rsid w:val="007846BC"/>
    <w:rsid w:val="00794B6E"/>
    <w:rsid w:val="007969A4"/>
    <w:rsid w:val="007A0114"/>
    <w:rsid w:val="007B1321"/>
    <w:rsid w:val="007B1904"/>
    <w:rsid w:val="007D6370"/>
    <w:rsid w:val="007D668A"/>
    <w:rsid w:val="007E092F"/>
    <w:rsid w:val="007E5EC0"/>
    <w:rsid w:val="007E772D"/>
    <w:rsid w:val="007F4BFB"/>
    <w:rsid w:val="007F5611"/>
    <w:rsid w:val="0080098A"/>
    <w:rsid w:val="00801761"/>
    <w:rsid w:val="008111EB"/>
    <w:rsid w:val="008130C9"/>
    <w:rsid w:val="00813D02"/>
    <w:rsid w:val="00814833"/>
    <w:rsid w:val="0082033D"/>
    <w:rsid w:val="008222AD"/>
    <w:rsid w:val="0083104D"/>
    <w:rsid w:val="008349AE"/>
    <w:rsid w:val="008355D2"/>
    <w:rsid w:val="00846D77"/>
    <w:rsid w:val="00852480"/>
    <w:rsid w:val="00856632"/>
    <w:rsid w:val="00862448"/>
    <w:rsid w:val="00862E40"/>
    <w:rsid w:val="00867308"/>
    <w:rsid w:val="00877153"/>
    <w:rsid w:val="008877CC"/>
    <w:rsid w:val="008A0E05"/>
    <w:rsid w:val="008B0327"/>
    <w:rsid w:val="008B0543"/>
    <w:rsid w:val="008B4532"/>
    <w:rsid w:val="008B592F"/>
    <w:rsid w:val="008C0888"/>
    <w:rsid w:val="008C3505"/>
    <w:rsid w:val="008C6195"/>
    <w:rsid w:val="008D30EA"/>
    <w:rsid w:val="008D55C8"/>
    <w:rsid w:val="008D7633"/>
    <w:rsid w:val="008E20DE"/>
    <w:rsid w:val="008F1770"/>
    <w:rsid w:val="008F55DE"/>
    <w:rsid w:val="0090106D"/>
    <w:rsid w:val="009013C5"/>
    <w:rsid w:val="009061A4"/>
    <w:rsid w:val="00912E02"/>
    <w:rsid w:val="00932425"/>
    <w:rsid w:val="009375EB"/>
    <w:rsid w:val="00942024"/>
    <w:rsid w:val="00944550"/>
    <w:rsid w:val="00947565"/>
    <w:rsid w:val="009550AD"/>
    <w:rsid w:val="0095725F"/>
    <w:rsid w:val="00965363"/>
    <w:rsid w:val="00967D7C"/>
    <w:rsid w:val="00975EE7"/>
    <w:rsid w:val="00977D73"/>
    <w:rsid w:val="00981271"/>
    <w:rsid w:val="0099262A"/>
    <w:rsid w:val="009A05F3"/>
    <w:rsid w:val="009A3A27"/>
    <w:rsid w:val="009A4ABA"/>
    <w:rsid w:val="009B56DA"/>
    <w:rsid w:val="009D13BB"/>
    <w:rsid w:val="009D278A"/>
    <w:rsid w:val="009D50EB"/>
    <w:rsid w:val="009D5378"/>
    <w:rsid w:val="009E32F5"/>
    <w:rsid w:val="009E6279"/>
    <w:rsid w:val="009F0238"/>
    <w:rsid w:val="009F12FA"/>
    <w:rsid w:val="009F2219"/>
    <w:rsid w:val="009F2649"/>
    <w:rsid w:val="009F704C"/>
    <w:rsid w:val="009F7C58"/>
    <w:rsid w:val="00A008C7"/>
    <w:rsid w:val="00A0215D"/>
    <w:rsid w:val="00A04591"/>
    <w:rsid w:val="00A06666"/>
    <w:rsid w:val="00A105E0"/>
    <w:rsid w:val="00A3018B"/>
    <w:rsid w:val="00A3128D"/>
    <w:rsid w:val="00A324EA"/>
    <w:rsid w:val="00A33A46"/>
    <w:rsid w:val="00A429C1"/>
    <w:rsid w:val="00A45B43"/>
    <w:rsid w:val="00A4794A"/>
    <w:rsid w:val="00A533DE"/>
    <w:rsid w:val="00A53E2B"/>
    <w:rsid w:val="00A546BE"/>
    <w:rsid w:val="00A65B0B"/>
    <w:rsid w:val="00A7437A"/>
    <w:rsid w:val="00A817CE"/>
    <w:rsid w:val="00A928FA"/>
    <w:rsid w:val="00AA7B0B"/>
    <w:rsid w:val="00AB15E4"/>
    <w:rsid w:val="00AB32CF"/>
    <w:rsid w:val="00AB65FC"/>
    <w:rsid w:val="00AC59EB"/>
    <w:rsid w:val="00AD0A5F"/>
    <w:rsid w:val="00AD2235"/>
    <w:rsid w:val="00B0119F"/>
    <w:rsid w:val="00B02599"/>
    <w:rsid w:val="00B06116"/>
    <w:rsid w:val="00B1289D"/>
    <w:rsid w:val="00B14060"/>
    <w:rsid w:val="00B16B3C"/>
    <w:rsid w:val="00B25EE3"/>
    <w:rsid w:val="00B269D4"/>
    <w:rsid w:val="00B3357C"/>
    <w:rsid w:val="00B51D54"/>
    <w:rsid w:val="00B547C1"/>
    <w:rsid w:val="00B619DA"/>
    <w:rsid w:val="00B61C4A"/>
    <w:rsid w:val="00B61EC9"/>
    <w:rsid w:val="00B679AD"/>
    <w:rsid w:val="00B7744A"/>
    <w:rsid w:val="00B82D4D"/>
    <w:rsid w:val="00B84F4F"/>
    <w:rsid w:val="00B87EE6"/>
    <w:rsid w:val="00B9148E"/>
    <w:rsid w:val="00B9260A"/>
    <w:rsid w:val="00B96ABD"/>
    <w:rsid w:val="00BC3552"/>
    <w:rsid w:val="00BE64E1"/>
    <w:rsid w:val="00BF18DC"/>
    <w:rsid w:val="00C04B4F"/>
    <w:rsid w:val="00C13DE2"/>
    <w:rsid w:val="00C14408"/>
    <w:rsid w:val="00C14776"/>
    <w:rsid w:val="00C17F58"/>
    <w:rsid w:val="00C2140F"/>
    <w:rsid w:val="00C21938"/>
    <w:rsid w:val="00C307E7"/>
    <w:rsid w:val="00C33C0B"/>
    <w:rsid w:val="00C34A92"/>
    <w:rsid w:val="00C35829"/>
    <w:rsid w:val="00C370A7"/>
    <w:rsid w:val="00C57E90"/>
    <w:rsid w:val="00C62F1C"/>
    <w:rsid w:val="00C6380F"/>
    <w:rsid w:val="00C744A3"/>
    <w:rsid w:val="00C81DB5"/>
    <w:rsid w:val="00C900FF"/>
    <w:rsid w:val="00C914D1"/>
    <w:rsid w:val="00CB3FC8"/>
    <w:rsid w:val="00CB442A"/>
    <w:rsid w:val="00CD4B2E"/>
    <w:rsid w:val="00CD4DE4"/>
    <w:rsid w:val="00CD604F"/>
    <w:rsid w:val="00CD6527"/>
    <w:rsid w:val="00CD6B3F"/>
    <w:rsid w:val="00CE11C3"/>
    <w:rsid w:val="00CF3E63"/>
    <w:rsid w:val="00CF4476"/>
    <w:rsid w:val="00CF561E"/>
    <w:rsid w:val="00D143BA"/>
    <w:rsid w:val="00D20DD2"/>
    <w:rsid w:val="00D264E5"/>
    <w:rsid w:val="00D34EEE"/>
    <w:rsid w:val="00D37BAF"/>
    <w:rsid w:val="00D51B1E"/>
    <w:rsid w:val="00D94184"/>
    <w:rsid w:val="00D96598"/>
    <w:rsid w:val="00D979EA"/>
    <w:rsid w:val="00DA02B9"/>
    <w:rsid w:val="00DA42EA"/>
    <w:rsid w:val="00DA7FEA"/>
    <w:rsid w:val="00DB269B"/>
    <w:rsid w:val="00DB3BA2"/>
    <w:rsid w:val="00DC02B5"/>
    <w:rsid w:val="00DD27D1"/>
    <w:rsid w:val="00DE221A"/>
    <w:rsid w:val="00DE2334"/>
    <w:rsid w:val="00DE5C1E"/>
    <w:rsid w:val="00DF2F52"/>
    <w:rsid w:val="00DF68F0"/>
    <w:rsid w:val="00DF6CDE"/>
    <w:rsid w:val="00E0113D"/>
    <w:rsid w:val="00E039CB"/>
    <w:rsid w:val="00E104A3"/>
    <w:rsid w:val="00E1423B"/>
    <w:rsid w:val="00E317E1"/>
    <w:rsid w:val="00E3608D"/>
    <w:rsid w:val="00E570B7"/>
    <w:rsid w:val="00E617EF"/>
    <w:rsid w:val="00E6186E"/>
    <w:rsid w:val="00E72F03"/>
    <w:rsid w:val="00E7429A"/>
    <w:rsid w:val="00E75D89"/>
    <w:rsid w:val="00E8205A"/>
    <w:rsid w:val="00E834B0"/>
    <w:rsid w:val="00E84434"/>
    <w:rsid w:val="00EA0512"/>
    <w:rsid w:val="00EB30F5"/>
    <w:rsid w:val="00EB5C8B"/>
    <w:rsid w:val="00EC14FE"/>
    <w:rsid w:val="00EC47CA"/>
    <w:rsid w:val="00EC48D2"/>
    <w:rsid w:val="00EC4C30"/>
    <w:rsid w:val="00ED18BA"/>
    <w:rsid w:val="00ED263C"/>
    <w:rsid w:val="00ED2A92"/>
    <w:rsid w:val="00ED503D"/>
    <w:rsid w:val="00EE11FD"/>
    <w:rsid w:val="00EE1D07"/>
    <w:rsid w:val="00F13235"/>
    <w:rsid w:val="00F13342"/>
    <w:rsid w:val="00F1494E"/>
    <w:rsid w:val="00F23798"/>
    <w:rsid w:val="00F260AC"/>
    <w:rsid w:val="00F26DFB"/>
    <w:rsid w:val="00F27043"/>
    <w:rsid w:val="00F32E6E"/>
    <w:rsid w:val="00F366BC"/>
    <w:rsid w:val="00F4134A"/>
    <w:rsid w:val="00F4263A"/>
    <w:rsid w:val="00F461CB"/>
    <w:rsid w:val="00F47E96"/>
    <w:rsid w:val="00F50A3A"/>
    <w:rsid w:val="00F62A1E"/>
    <w:rsid w:val="00F64DB9"/>
    <w:rsid w:val="00F65513"/>
    <w:rsid w:val="00F70797"/>
    <w:rsid w:val="00F85399"/>
    <w:rsid w:val="00F93183"/>
    <w:rsid w:val="00FA035F"/>
    <w:rsid w:val="00FA1B2E"/>
    <w:rsid w:val="00FA686C"/>
    <w:rsid w:val="00FA6932"/>
    <w:rsid w:val="00FB3972"/>
    <w:rsid w:val="00FB70DE"/>
    <w:rsid w:val="00FC2BD1"/>
    <w:rsid w:val="00FD17C2"/>
    <w:rsid w:val="00FD634F"/>
    <w:rsid w:val="00FE0A7C"/>
    <w:rsid w:val="00FE2611"/>
    <w:rsid w:val="00FF2067"/>
    <w:rsid w:val="00FF2319"/>
    <w:rsid w:val="00FF3FF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colormru v:ext="edit" colors="#e1e1ff,#069,#bad1e8,#afd787,#cde6b4,#d1e8ba,#0000ac"/>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footnote text" w:uiPriority="99"/>
    <w:lsdException w:name="annotation text" w:uiPriority="99"/>
    <w:lsdException w:name="header" w:uiPriority="99"/>
    <w:lsdException w:name="caption" w:qFormat="1"/>
    <w:lsdException w:name="table of figures" w:uiPriority="99"/>
    <w:lsdException w:name="footnote reference" w:uiPriority="99"/>
    <w:lsdException w:name="annotation reference" w:uiPriority="99"/>
    <w:lsdException w:name="Title" w:qFormat="1"/>
    <w:lsdException w:name="Body Text" w:uiPriority="99"/>
    <w:lsdException w:name="Subtitle" w:qFormat="1"/>
    <w:lsdException w:name="Hyperlink" w:uiPriority="99"/>
    <w:lsdException w:name="Strong" w:uiPriority="22" w:qFormat="1"/>
    <w:lsdException w:name="Emphasis" w:uiPriority="20" w:qFormat="1"/>
    <w:lsdException w:name="Normal (Web)"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11FAD"/>
    <w:pPr>
      <w:spacing w:after="180"/>
    </w:pPr>
    <w:rPr>
      <w:sz w:val="24"/>
    </w:rPr>
  </w:style>
  <w:style w:type="paragraph" w:styleId="Heading1">
    <w:name w:val="heading 1"/>
    <w:basedOn w:val="Normal"/>
    <w:next w:val="BodyText"/>
    <w:link w:val="Heading1Char"/>
    <w:qFormat/>
    <w:rsid w:val="00747C79"/>
    <w:pPr>
      <w:keepNext/>
      <w:keepLines/>
      <w:numPr>
        <w:numId w:val="4"/>
      </w:numPr>
      <w:pBdr>
        <w:top w:val="single" w:sz="12" w:space="1" w:color="898D8D" w:themeColor="text2"/>
        <w:bottom w:val="single" w:sz="12" w:space="2" w:color="898D8D" w:themeColor="text2"/>
      </w:pBdr>
      <w:shd w:val="clear" w:color="auto" w:fill="898D8D" w:themeFill="text2"/>
      <w:tabs>
        <w:tab w:val="clear" w:pos="432"/>
        <w:tab w:val="num" w:pos="720"/>
      </w:tabs>
      <w:ind w:left="720" w:hanging="720"/>
      <w:outlineLvl w:val="0"/>
    </w:pPr>
    <w:rPr>
      <w:rFonts w:ascii="Arial" w:hAnsi="Arial"/>
      <w:b/>
      <w:noProof/>
      <w:color w:val="FFFFFF"/>
      <w:kern w:val="28"/>
      <w:sz w:val="28"/>
    </w:rPr>
  </w:style>
  <w:style w:type="paragraph" w:styleId="Heading2">
    <w:name w:val="heading 2"/>
    <w:basedOn w:val="Normal"/>
    <w:next w:val="BodyText"/>
    <w:link w:val="Heading2Char"/>
    <w:qFormat/>
    <w:rsid w:val="007F4BFB"/>
    <w:pPr>
      <w:keepNext/>
      <w:numPr>
        <w:ilvl w:val="1"/>
        <w:numId w:val="4"/>
      </w:numPr>
      <w:tabs>
        <w:tab w:val="clear" w:pos="8910"/>
        <w:tab w:val="num" w:pos="720"/>
      </w:tabs>
      <w:spacing w:after="0"/>
      <w:ind w:left="720"/>
      <w:outlineLvl w:val="1"/>
    </w:pPr>
    <w:rPr>
      <w:rFonts w:ascii="Arial" w:hAnsi="Arial" w:cs="Arial"/>
      <w:b/>
      <w:bCs/>
      <w:iCs/>
      <w:color w:val="4F5353"/>
      <w:szCs w:val="28"/>
    </w:rPr>
  </w:style>
  <w:style w:type="paragraph" w:styleId="Heading3">
    <w:name w:val="heading 3"/>
    <w:basedOn w:val="Normal"/>
    <w:next w:val="BodyText"/>
    <w:link w:val="Heading3Char"/>
    <w:qFormat/>
    <w:rsid w:val="004E26E2"/>
    <w:pPr>
      <w:keepNext/>
      <w:numPr>
        <w:ilvl w:val="2"/>
        <w:numId w:val="4"/>
      </w:numPr>
      <w:spacing w:after="0"/>
      <w:outlineLvl w:val="2"/>
    </w:pPr>
    <w:rPr>
      <w:b/>
      <w:color w:val="DA291C" w:themeColor="accent1"/>
      <w:szCs w:val="24"/>
    </w:rPr>
  </w:style>
  <w:style w:type="paragraph" w:styleId="Heading4">
    <w:name w:val="heading 4"/>
    <w:basedOn w:val="Normal"/>
    <w:next w:val="BodyText"/>
    <w:link w:val="Heading4Char"/>
    <w:qFormat/>
    <w:rsid w:val="004E26E2"/>
    <w:pPr>
      <w:keepNext/>
      <w:numPr>
        <w:ilvl w:val="3"/>
        <w:numId w:val="4"/>
      </w:numPr>
      <w:spacing w:after="0"/>
      <w:outlineLvl w:val="3"/>
    </w:pPr>
    <w:rPr>
      <w:rFonts w:ascii="Arial Bold" w:hAnsi="Arial Bold"/>
      <w:b/>
      <w:sz w:val="20"/>
    </w:rPr>
  </w:style>
  <w:style w:type="paragraph" w:styleId="Heading5">
    <w:name w:val="heading 5"/>
    <w:basedOn w:val="Normal"/>
    <w:next w:val="BodyText"/>
    <w:link w:val="Heading5Char"/>
    <w:qFormat/>
    <w:rsid w:val="004E26E2"/>
    <w:pPr>
      <w:keepNext/>
      <w:keepLines/>
      <w:numPr>
        <w:ilvl w:val="4"/>
        <w:numId w:val="4"/>
      </w:numPr>
      <w:spacing w:after="0"/>
      <w:outlineLvl w:val="4"/>
    </w:pPr>
    <w:rPr>
      <w:rFonts w:ascii="Arial" w:hAnsi="Arial" w:cs="Arial"/>
      <w:b/>
      <w:i/>
      <w:color w:val="DA291C" w:themeColor="accent1"/>
      <w:sz w:val="20"/>
    </w:rPr>
  </w:style>
  <w:style w:type="paragraph" w:styleId="Heading6">
    <w:name w:val="heading 6"/>
    <w:basedOn w:val="Normal"/>
    <w:next w:val="Normal"/>
    <w:link w:val="Heading6Char"/>
    <w:qFormat/>
    <w:rsid w:val="00495B91"/>
    <w:pPr>
      <w:numPr>
        <w:ilvl w:val="5"/>
        <w:numId w:val="4"/>
      </w:numPr>
      <w:spacing w:before="60" w:after="60"/>
      <w:outlineLvl w:val="5"/>
    </w:pPr>
    <w:rPr>
      <w:b/>
      <w:bCs/>
      <w:szCs w:val="22"/>
    </w:rPr>
  </w:style>
  <w:style w:type="paragraph" w:styleId="Heading7">
    <w:name w:val="heading 7"/>
    <w:basedOn w:val="Normal"/>
    <w:next w:val="Normal"/>
    <w:link w:val="Heading7Char"/>
    <w:qFormat/>
    <w:rsid w:val="003A3403"/>
    <w:pPr>
      <w:numPr>
        <w:ilvl w:val="6"/>
        <w:numId w:val="4"/>
      </w:numPr>
      <w:spacing w:before="240" w:after="60"/>
      <w:outlineLvl w:val="6"/>
    </w:pPr>
    <w:rPr>
      <w:szCs w:val="24"/>
    </w:rPr>
  </w:style>
  <w:style w:type="paragraph" w:styleId="Heading8">
    <w:name w:val="heading 8"/>
    <w:basedOn w:val="Normal"/>
    <w:next w:val="Normal"/>
    <w:link w:val="Heading8Char"/>
    <w:qFormat/>
    <w:rsid w:val="003A3403"/>
    <w:pPr>
      <w:numPr>
        <w:ilvl w:val="7"/>
        <w:numId w:val="4"/>
      </w:numPr>
      <w:spacing w:before="240" w:after="60"/>
      <w:outlineLvl w:val="7"/>
    </w:pPr>
    <w:rPr>
      <w:i/>
      <w:iCs/>
      <w:szCs w:val="24"/>
    </w:rPr>
  </w:style>
  <w:style w:type="paragraph" w:styleId="Heading9">
    <w:name w:val="heading 9"/>
    <w:basedOn w:val="Normal"/>
    <w:next w:val="Normal"/>
    <w:link w:val="Heading9Char"/>
    <w:qFormat/>
    <w:rsid w:val="003A3403"/>
    <w:pPr>
      <w:numPr>
        <w:ilvl w:val="8"/>
        <w:numId w:val="4"/>
      </w:numPr>
      <w:spacing w:before="240" w:after="60"/>
      <w:outlineLvl w:val="8"/>
    </w:pPr>
    <w:rPr>
      <w:rFonts w:ascii="Arial" w:hAnsi="Arial"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rsid w:val="00967D7C"/>
    <w:pPr>
      <w:pBdr>
        <w:top w:val="single" w:sz="12" w:space="1" w:color="898D8D"/>
      </w:pBdr>
      <w:tabs>
        <w:tab w:val="center" w:pos="4507"/>
        <w:tab w:val="right" w:pos="9000"/>
      </w:tabs>
      <w:spacing w:after="0"/>
    </w:pPr>
    <w:rPr>
      <w:rFonts w:ascii="Arial" w:hAnsi="Arial"/>
      <w:b/>
      <w:color w:val="595959" w:themeColor="text1" w:themeTint="A6"/>
      <w:sz w:val="18"/>
    </w:rPr>
  </w:style>
  <w:style w:type="character" w:customStyle="1" w:styleId="FooterChar">
    <w:name w:val="Footer Char"/>
    <w:basedOn w:val="DefaultParagraphFont"/>
    <w:link w:val="Footer"/>
    <w:rsid w:val="00967D7C"/>
    <w:rPr>
      <w:rFonts w:ascii="Arial" w:hAnsi="Arial"/>
      <w:b/>
      <w:color w:val="595959" w:themeColor="text1" w:themeTint="A6"/>
      <w:sz w:val="18"/>
    </w:rPr>
  </w:style>
  <w:style w:type="paragraph" w:customStyle="1" w:styleId="ExhibitRowHeader">
    <w:name w:val="Exhibit Row Header"/>
    <w:rsid w:val="003470C3"/>
    <w:pPr>
      <w:spacing w:before="20" w:after="20"/>
    </w:pPr>
    <w:rPr>
      <w:rFonts w:ascii="Arial" w:hAnsi="Arial" w:cs="Arial"/>
      <w:b/>
      <w:color w:val="F8F8F8"/>
    </w:rPr>
  </w:style>
  <w:style w:type="paragraph" w:styleId="BodyText">
    <w:name w:val="Body Text"/>
    <w:basedOn w:val="Normal"/>
    <w:link w:val="BodyTextChar"/>
    <w:uiPriority w:val="99"/>
    <w:rsid w:val="00EC4C30"/>
  </w:style>
  <w:style w:type="character" w:customStyle="1" w:styleId="BodyTextChar">
    <w:name w:val="Body Text Char"/>
    <w:basedOn w:val="DefaultParagraphFont"/>
    <w:link w:val="BodyText"/>
    <w:uiPriority w:val="99"/>
    <w:rsid w:val="00EC4C30"/>
    <w:rPr>
      <w:sz w:val="24"/>
    </w:rPr>
  </w:style>
  <w:style w:type="character" w:styleId="PageNumber">
    <w:name w:val="page number"/>
    <w:basedOn w:val="DefaultParagraphFont"/>
    <w:rsid w:val="001034D7"/>
    <w:rPr>
      <w:rFonts w:ascii="Arial" w:hAnsi="Arial"/>
      <w:b/>
      <w:dstrike w:val="0"/>
      <w:color w:val="595959" w:themeColor="text1" w:themeTint="A6"/>
      <w:sz w:val="18"/>
      <w:bdr w:val="none" w:sz="0" w:space="0" w:color="auto"/>
      <w:vertAlign w:val="baseline"/>
    </w:rPr>
  </w:style>
  <w:style w:type="paragraph" w:customStyle="1" w:styleId="Bullets">
    <w:name w:val="Bullets"/>
    <w:basedOn w:val="BodyText"/>
    <w:rsid w:val="007406DD"/>
    <w:pPr>
      <w:numPr>
        <w:numId w:val="3"/>
      </w:numPr>
      <w:contextualSpacing/>
    </w:pPr>
  </w:style>
  <w:style w:type="paragraph" w:customStyle="1" w:styleId="RefNumbers">
    <w:name w:val="Ref Numbers"/>
    <w:basedOn w:val="BodyText"/>
    <w:pPr>
      <w:numPr>
        <w:numId w:val="2"/>
      </w:numPr>
      <w:spacing w:after="240"/>
    </w:pPr>
  </w:style>
  <w:style w:type="paragraph" w:styleId="Header">
    <w:name w:val="header"/>
    <w:basedOn w:val="Normal"/>
    <w:link w:val="HeaderChar"/>
    <w:uiPriority w:val="99"/>
    <w:rsid w:val="0042544A"/>
    <w:pPr>
      <w:pBdr>
        <w:top w:val="single" w:sz="12" w:space="1" w:color="4F5353"/>
        <w:bottom w:val="single" w:sz="12" w:space="1" w:color="4F5353"/>
      </w:pBdr>
      <w:shd w:val="clear" w:color="auto" w:fill="4F5353"/>
      <w:tabs>
        <w:tab w:val="right" w:pos="9000"/>
      </w:tabs>
      <w:jc w:val="right"/>
    </w:pPr>
    <w:rPr>
      <w:rFonts w:ascii="Arial" w:hAnsi="Arial" w:cs="Arial"/>
      <w:b/>
      <w:color w:val="FFFFFF"/>
      <w:spacing w:val="20"/>
      <w:szCs w:val="24"/>
    </w:rPr>
  </w:style>
  <w:style w:type="paragraph" w:styleId="TOC1">
    <w:name w:val="toc 1"/>
    <w:next w:val="BodyText"/>
    <w:uiPriority w:val="39"/>
    <w:rsid w:val="006247AB"/>
    <w:pPr>
      <w:tabs>
        <w:tab w:val="left" w:pos="540"/>
        <w:tab w:val="left" w:pos="1440"/>
        <w:tab w:val="right" w:leader="dot" w:pos="9360"/>
      </w:tabs>
      <w:spacing w:before="240"/>
      <w:ind w:left="540" w:right="360" w:hanging="540"/>
    </w:pPr>
    <w:rPr>
      <w:rFonts w:ascii="Arial" w:hAnsi="Arial"/>
      <w:b/>
      <w:noProof/>
      <w:sz w:val="24"/>
    </w:rPr>
  </w:style>
  <w:style w:type="character" w:styleId="CommentReference">
    <w:name w:val="annotation reference"/>
    <w:basedOn w:val="DefaultParagraphFont"/>
    <w:uiPriority w:val="99"/>
    <w:semiHidden/>
    <w:rPr>
      <w:sz w:val="16"/>
    </w:rPr>
  </w:style>
  <w:style w:type="paragraph" w:styleId="TOC2">
    <w:name w:val="toc 2"/>
    <w:next w:val="BodyText"/>
    <w:uiPriority w:val="39"/>
    <w:rsid w:val="006247AB"/>
    <w:pPr>
      <w:tabs>
        <w:tab w:val="left" w:pos="1080"/>
        <w:tab w:val="right" w:leader="dot" w:pos="9360"/>
      </w:tabs>
      <w:ind w:left="1080" w:right="360" w:hanging="540"/>
    </w:pPr>
    <w:rPr>
      <w:noProof/>
      <w:sz w:val="24"/>
    </w:rPr>
  </w:style>
  <w:style w:type="paragraph" w:styleId="TOC3">
    <w:name w:val="toc 3"/>
    <w:next w:val="BodyText"/>
    <w:uiPriority w:val="39"/>
    <w:rsid w:val="006247AB"/>
    <w:pPr>
      <w:tabs>
        <w:tab w:val="left" w:pos="1800"/>
        <w:tab w:val="right" w:leader="dot" w:pos="9360"/>
      </w:tabs>
      <w:ind w:left="1800" w:right="360" w:hanging="720"/>
    </w:pPr>
    <w:rPr>
      <w:noProof/>
      <w:sz w:val="24"/>
    </w:rPr>
  </w:style>
  <w:style w:type="paragraph" w:styleId="TOC4">
    <w:name w:val="toc 4"/>
    <w:basedOn w:val="BodyText"/>
    <w:next w:val="BodyText"/>
    <w:uiPriority w:val="39"/>
    <w:rsid w:val="006C61C5"/>
    <w:pPr>
      <w:tabs>
        <w:tab w:val="right" w:leader="dot" w:pos="8990"/>
      </w:tabs>
      <w:spacing w:after="0"/>
      <w:ind w:left="117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FootnoteReference">
    <w:name w:val="footnote reference"/>
    <w:basedOn w:val="DefaultParagraphFont"/>
    <w:uiPriority w:val="99"/>
    <w:rsid w:val="007B1904"/>
    <w:rPr>
      <w:vertAlign w:val="superscript"/>
    </w:rPr>
  </w:style>
  <w:style w:type="paragraph" w:styleId="FootnoteText">
    <w:name w:val="footnote text"/>
    <w:basedOn w:val="Normal"/>
    <w:link w:val="FootnoteTextChar"/>
    <w:uiPriority w:val="99"/>
    <w:pPr>
      <w:spacing w:after="120"/>
      <w:ind w:left="360" w:hanging="360"/>
    </w:pPr>
    <w:rPr>
      <w:sz w:val="20"/>
    </w:rPr>
  </w:style>
  <w:style w:type="paragraph" w:styleId="Index1">
    <w:name w:val="index 1"/>
    <w:basedOn w:val="Normal"/>
    <w:next w:val="Normal"/>
    <w:autoRedefine/>
    <w:semiHidden/>
    <w:pPr>
      <w:ind w:left="220" w:hanging="220"/>
    </w:pPr>
    <w:rPr>
      <w:sz w:val="20"/>
    </w:rPr>
  </w:style>
  <w:style w:type="paragraph" w:styleId="Index2">
    <w:name w:val="index 2"/>
    <w:basedOn w:val="Normal"/>
    <w:next w:val="Normal"/>
    <w:autoRedefine/>
    <w:semiHidden/>
    <w:pPr>
      <w:ind w:left="440" w:hanging="220"/>
    </w:pPr>
    <w:rPr>
      <w:sz w:val="20"/>
    </w:rPr>
  </w:style>
  <w:style w:type="paragraph" w:styleId="Index3">
    <w:name w:val="index 3"/>
    <w:basedOn w:val="Normal"/>
    <w:next w:val="Normal"/>
    <w:autoRedefine/>
    <w:semiHidden/>
    <w:pPr>
      <w:ind w:left="660" w:hanging="220"/>
    </w:pPr>
    <w:rPr>
      <w:sz w:val="20"/>
    </w:rPr>
  </w:style>
  <w:style w:type="paragraph" w:customStyle="1" w:styleId="Numbers">
    <w:name w:val="Numbers"/>
    <w:basedOn w:val="BodyText"/>
    <w:pPr>
      <w:numPr>
        <w:numId w:val="1"/>
      </w:numPr>
      <w:ind w:left="720"/>
    </w:pPr>
  </w:style>
  <w:style w:type="paragraph" w:customStyle="1" w:styleId="BoxText">
    <w:name w:val="Box Text"/>
    <w:basedOn w:val="BodyText"/>
    <w:rsid w:val="00C6380F"/>
    <w:rPr>
      <w:rFonts w:ascii="Arial" w:hAnsi="Arial" w:cs="Arial"/>
      <w:sz w:val="18"/>
    </w:rPr>
  </w:style>
  <w:style w:type="paragraph" w:styleId="CommentText">
    <w:name w:val="annotation text"/>
    <w:basedOn w:val="Normal"/>
    <w:link w:val="CommentTextChar"/>
    <w:uiPriority w:val="99"/>
    <w:semiHidden/>
    <w:rsid w:val="00D34EEE"/>
    <w:rPr>
      <w:sz w:val="20"/>
    </w:rPr>
  </w:style>
  <w:style w:type="paragraph" w:styleId="CommentSubject">
    <w:name w:val="annotation subject"/>
    <w:basedOn w:val="CommentText"/>
    <w:next w:val="CommentText"/>
    <w:link w:val="CommentSubjectChar"/>
    <w:uiPriority w:val="99"/>
    <w:semiHidden/>
    <w:rsid w:val="00D34EEE"/>
    <w:rPr>
      <w:b/>
      <w:bCs/>
    </w:rPr>
  </w:style>
  <w:style w:type="paragraph" w:styleId="BalloonText">
    <w:name w:val="Balloon Text"/>
    <w:basedOn w:val="Normal"/>
    <w:link w:val="BalloonTextChar"/>
    <w:uiPriority w:val="99"/>
    <w:semiHidden/>
    <w:rsid w:val="00D34EEE"/>
    <w:rPr>
      <w:rFonts w:ascii="Tahoma" w:hAnsi="Tahoma" w:cs="Tahoma"/>
      <w:sz w:val="16"/>
      <w:szCs w:val="16"/>
    </w:rPr>
  </w:style>
  <w:style w:type="table" w:styleId="TableGrid">
    <w:name w:val="Table Grid"/>
    <w:basedOn w:val="TableNormal"/>
    <w:uiPriority w:val="59"/>
    <w:rsid w:val="005B1AC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752119"/>
    <w:rPr>
      <w:color w:val="0000FF"/>
      <w:u w:val="single"/>
    </w:rPr>
  </w:style>
  <w:style w:type="paragraph" w:customStyle="1" w:styleId="TOCHeader">
    <w:name w:val="TOC Header"/>
    <w:basedOn w:val="Normal"/>
    <w:next w:val="BodyText"/>
    <w:rsid w:val="002064D3"/>
    <w:rPr>
      <w:rFonts w:ascii="Arial" w:hAnsi="Arial"/>
      <w:b/>
      <w:color w:val="898D8D"/>
    </w:rPr>
  </w:style>
  <w:style w:type="paragraph" w:customStyle="1" w:styleId="VolumeHeader">
    <w:name w:val="Volume Header"/>
    <w:basedOn w:val="Normal"/>
    <w:next w:val="BodyText"/>
    <w:rsid w:val="002064D3"/>
    <w:pPr>
      <w:pBdr>
        <w:top w:val="single" w:sz="2" w:space="2" w:color="DA291C"/>
        <w:bottom w:val="single" w:sz="2" w:space="2" w:color="DA291C"/>
      </w:pBdr>
      <w:shd w:val="clear" w:color="auto" w:fill="DA291C"/>
      <w:tabs>
        <w:tab w:val="left" w:pos="1170"/>
      </w:tabs>
    </w:pPr>
    <w:rPr>
      <w:rFonts w:ascii="Arial Bold" w:hAnsi="Arial Bold"/>
      <w:b/>
      <w:color w:val="FFFFFF"/>
      <w:szCs w:val="24"/>
    </w:rPr>
  </w:style>
  <w:style w:type="paragraph" w:styleId="Caption">
    <w:name w:val="caption"/>
    <w:basedOn w:val="Normal"/>
    <w:next w:val="Normal"/>
    <w:qFormat/>
    <w:rsid w:val="00642069"/>
    <w:pPr>
      <w:keepNext/>
      <w:keepLines/>
      <w:widowControl w:val="0"/>
      <w:tabs>
        <w:tab w:val="left" w:pos="1440"/>
      </w:tabs>
      <w:spacing w:after="120"/>
      <w:ind w:left="1440" w:hanging="1440"/>
    </w:pPr>
    <w:rPr>
      <w:rFonts w:ascii="Arial" w:hAnsi="Arial"/>
      <w:b/>
      <w:bCs/>
    </w:rPr>
  </w:style>
  <w:style w:type="paragraph" w:customStyle="1" w:styleId="FooterLandscape">
    <w:name w:val="Footer Landscape"/>
    <w:basedOn w:val="Footer"/>
    <w:rsid w:val="00EE1D07"/>
    <w:pPr>
      <w:tabs>
        <w:tab w:val="clear" w:pos="4507"/>
        <w:tab w:val="clear" w:pos="9000"/>
        <w:tab w:val="center" w:pos="6480"/>
        <w:tab w:val="right" w:pos="12960"/>
      </w:tabs>
    </w:pPr>
  </w:style>
  <w:style w:type="paragraph" w:customStyle="1" w:styleId="CoverTechorBusiness">
    <w:name w:val="Cover Tech or Business"/>
    <w:basedOn w:val="Normal"/>
    <w:qFormat/>
    <w:rsid w:val="0099262A"/>
    <w:pPr>
      <w:shd w:val="solid" w:color="FFFFFF" w:fill="FFFFFF"/>
      <w:spacing w:line="276" w:lineRule="auto"/>
      <w:jc w:val="right"/>
    </w:pPr>
    <w:rPr>
      <w:rFonts w:ascii="Arial" w:hAnsi="Arial"/>
      <w:color w:val="DA291C"/>
      <w:sz w:val="20"/>
    </w:rPr>
  </w:style>
  <w:style w:type="paragraph" w:customStyle="1" w:styleId="Bullet2">
    <w:name w:val="Bullet2"/>
    <w:basedOn w:val="Normal"/>
    <w:rsid w:val="00240E92"/>
    <w:pPr>
      <w:numPr>
        <w:numId w:val="5"/>
      </w:numPr>
      <w:spacing w:after="0"/>
    </w:pPr>
  </w:style>
  <w:style w:type="paragraph" w:customStyle="1" w:styleId="ProposalTitle">
    <w:name w:val="Proposal Title"/>
    <w:basedOn w:val="Normal"/>
    <w:qFormat/>
    <w:rsid w:val="00536DB4"/>
    <w:pPr>
      <w:autoSpaceDE w:val="0"/>
      <w:autoSpaceDN w:val="0"/>
      <w:adjustRightInd w:val="0"/>
      <w:ind w:left="6696" w:right="-792"/>
    </w:pPr>
    <w:rPr>
      <w:b/>
      <w:sz w:val="32"/>
      <w:szCs w:val="32"/>
    </w:rPr>
  </w:style>
  <w:style w:type="paragraph" w:customStyle="1" w:styleId="RFPNumber">
    <w:name w:val="RFP Number"/>
    <w:basedOn w:val="Normal"/>
    <w:qFormat/>
    <w:rsid w:val="00536DB4"/>
    <w:pPr>
      <w:autoSpaceDE w:val="0"/>
      <w:autoSpaceDN w:val="0"/>
      <w:adjustRightInd w:val="0"/>
      <w:ind w:left="6696" w:right="-792"/>
    </w:pPr>
    <w:rPr>
      <w:sz w:val="32"/>
      <w:szCs w:val="32"/>
    </w:rPr>
  </w:style>
  <w:style w:type="paragraph" w:customStyle="1" w:styleId="CoverTextRed14pt">
    <w:name w:val="Cover Text  Red 14pt"/>
    <w:basedOn w:val="Normal"/>
    <w:qFormat/>
    <w:rsid w:val="00AB65FC"/>
    <w:pPr>
      <w:tabs>
        <w:tab w:val="left" w:pos="720"/>
        <w:tab w:val="left" w:pos="1080"/>
        <w:tab w:val="left" w:pos="1440"/>
        <w:tab w:val="left" w:pos="1800"/>
        <w:tab w:val="left" w:pos="6660"/>
      </w:tabs>
      <w:spacing w:after="0"/>
      <w:ind w:left="6494" w:right="-547"/>
      <w:jc w:val="right"/>
    </w:pPr>
    <w:rPr>
      <w:rFonts w:ascii="Arial" w:hAnsi="Arial"/>
      <w:b/>
      <w:color w:val="DA291C" w:themeColor="accent1"/>
      <w:sz w:val="28"/>
      <w:szCs w:val="32"/>
    </w:rPr>
  </w:style>
  <w:style w:type="paragraph" w:customStyle="1" w:styleId="CoverText11pt">
    <w:name w:val="Cover Text 11 pt"/>
    <w:basedOn w:val="Normal"/>
    <w:qFormat/>
    <w:rsid w:val="001E2CF1"/>
    <w:pPr>
      <w:tabs>
        <w:tab w:val="left" w:pos="720"/>
        <w:tab w:val="left" w:pos="1080"/>
        <w:tab w:val="left" w:pos="1440"/>
        <w:tab w:val="left" w:pos="1800"/>
        <w:tab w:val="left" w:pos="6660"/>
      </w:tabs>
      <w:spacing w:after="0"/>
      <w:ind w:left="6490" w:right="-540"/>
      <w:jc w:val="right"/>
    </w:pPr>
    <w:rPr>
      <w:rFonts w:ascii="Arial" w:hAnsi="Arial"/>
      <w:i/>
      <w:color w:val="616662"/>
      <w:szCs w:val="24"/>
    </w:rPr>
  </w:style>
  <w:style w:type="paragraph" w:customStyle="1" w:styleId="CoverText-Address">
    <w:name w:val="Cover Text - Address"/>
    <w:basedOn w:val="Normal"/>
    <w:qFormat/>
    <w:rsid w:val="00AB65FC"/>
    <w:pPr>
      <w:tabs>
        <w:tab w:val="left" w:pos="720"/>
        <w:tab w:val="left" w:pos="1080"/>
        <w:tab w:val="left" w:pos="1440"/>
        <w:tab w:val="left" w:pos="1800"/>
        <w:tab w:val="left" w:pos="6660"/>
      </w:tabs>
      <w:spacing w:after="0"/>
      <w:ind w:left="6494" w:right="-547"/>
      <w:jc w:val="right"/>
    </w:pPr>
    <w:rPr>
      <w:rFonts w:ascii="Arial" w:hAnsi="Arial"/>
      <w:color w:val="616662"/>
      <w:szCs w:val="24"/>
    </w:rPr>
  </w:style>
  <w:style w:type="character" w:customStyle="1" w:styleId="FootnoteTextChar">
    <w:name w:val="Footnote Text Char"/>
    <w:basedOn w:val="DefaultParagraphFont"/>
    <w:link w:val="FootnoteText"/>
    <w:uiPriority w:val="99"/>
    <w:rsid w:val="00574572"/>
  </w:style>
  <w:style w:type="paragraph" w:customStyle="1" w:styleId="TableText">
    <w:name w:val="Table Text"/>
    <w:basedOn w:val="Normal"/>
    <w:qFormat/>
    <w:rsid w:val="009550AD"/>
    <w:pPr>
      <w:spacing w:before="40" w:after="40"/>
    </w:pPr>
    <w:rPr>
      <w:rFonts w:ascii="Arial" w:hAnsi="Arial" w:cs="Arial"/>
      <w:bCs/>
      <w:color w:val="000000"/>
      <w:sz w:val="20"/>
    </w:rPr>
  </w:style>
  <w:style w:type="paragraph" w:customStyle="1" w:styleId="ExhibitSource">
    <w:name w:val="Exhibit Source"/>
    <w:basedOn w:val="Normal"/>
    <w:qFormat/>
    <w:rsid w:val="003729AE"/>
    <w:pPr>
      <w:spacing w:before="120" w:after="240"/>
    </w:pPr>
    <w:rPr>
      <w:rFonts w:ascii="Arial Narrow" w:hAnsi="Arial Narrow" w:cs="Arial"/>
      <w:sz w:val="18"/>
    </w:rPr>
  </w:style>
  <w:style w:type="paragraph" w:customStyle="1" w:styleId="ExhibitText">
    <w:name w:val="Exhibit Text"/>
    <w:basedOn w:val="TableText"/>
    <w:qFormat/>
    <w:rsid w:val="007F4BFB"/>
    <w:rPr>
      <w:rFonts w:ascii="Arial Narrow" w:hAnsi="Arial Narrow"/>
      <w:sz w:val="22"/>
    </w:rPr>
  </w:style>
  <w:style w:type="paragraph" w:customStyle="1" w:styleId="CoverTextGreyBold">
    <w:name w:val="Cover Text Grey Bold"/>
    <w:basedOn w:val="Normal"/>
    <w:qFormat/>
    <w:rsid w:val="00744E2C"/>
    <w:pPr>
      <w:tabs>
        <w:tab w:val="left" w:pos="720"/>
        <w:tab w:val="left" w:pos="1080"/>
        <w:tab w:val="left" w:pos="1440"/>
        <w:tab w:val="left" w:pos="1800"/>
        <w:tab w:val="left" w:pos="6660"/>
      </w:tabs>
      <w:spacing w:after="0"/>
      <w:ind w:left="6490" w:right="-540"/>
      <w:jc w:val="right"/>
    </w:pPr>
    <w:rPr>
      <w:rFonts w:ascii="Arial" w:hAnsi="Arial"/>
      <w:b/>
      <w:color w:val="616662"/>
      <w:szCs w:val="24"/>
    </w:rPr>
  </w:style>
  <w:style w:type="paragraph" w:customStyle="1" w:styleId="Disclaimer">
    <w:name w:val="Disclaimer"/>
    <w:basedOn w:val="Normal"/>
    <w:qFormat/>
    <w:rsid w:val="00744E2C"/>
    <w:pPr>
      <w:shd w:val="solid" w:color="FFFFFF" w:fill="FFFFFF"/>
      <w:jc w:val="both"/>
    </w:pPr>
    <w:rPr>
      <w:rFonts w:ascii="Arial" w:hAnsi="Arial"/>
      <w:color w:val="000000"/>
      <w:sz w:val="18"/>
    </w:rPr>
  </w:style>
  <w:style w:type="table" w:customStyle="1" w:styleId="AbtFinal">
    <w:name w:val="Abt Final"/>
    <w:basedOn w:val="TableNormal"/>
    <w:uiPriority w:val="99"/>
    <w:rsid w:val="007F5611"/>
    <w:rPr>
      <w:rFonts w:ascii="Arial Narrow" w:hAnsi="Arial Narrow"/>
      <w:sz w:val="18"/>
    </w:rPr>
    <w:tblPr>
      <w:tblStyleRow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jc w:val="left"/>
      </w:pPr>
      <w:rPr>
        <w:rFonts w:ascii="Arial Narrow" w:hAnsi="Arial Narrow"/>
        <w:b/>
        <w:caps w:val="0"/>
        <w:smallCaps w:val="0"/>
        <w:strike w:val="0"/>
        <w:dstrike w:val="0"/>
        <w:vanish w:val="0"/>
        <w:sz w:val="18"/>
        <w:vertAlign w:val="baseline"/>
      </w:rPr>
      <w:tblPr/>
      <w:tcPr>
        <w:tcBorders>
          <w:top w:val="single" w:sz="8" w:space="0" w:color="auto"/>
          <w:left w:val="single" w:sz="8" w:space="0" w:color="auto"/>
          <w:bottom w:val="single" w:sz="8" w:space="0" w:color="auto"/>
          <w:right w:val="single" w:sz="8" w:space="0" w:color="auto"/>
          <w:insideH w:val="single" w:sz="4" w:space="0" w:color="auto"/>
          <w:insideV w:val="single" w:sz="8" w:space="0" w:color="auto"/>
        </w:tcBorders>
        <w:shd w:val="clear" w:color="auto" w:fill="C3C6A8" w:themeFill="accent4"/>
      </w:tcPr>
    </w:tblStylePr>
    <w:tblStylePr w:type="lastRow">
      <w:pPr>
        <w:jc w:val="left"/>
      </w:pPr>
      <w:rPr>
        <w:rFonts w:ascii="Arial" w:hAnsi="Arial"/>
        <w:sz w:val="18"/>
      </w:rPr>
      <w:tblPr/>
      <w:tcPr>
        <w:tcBorders>
          <w:top w:val="single" w:sz="8" w:space="0" w:color="auto"/>
          <w:left w:val="single" w:sz="8" w:space="0" w:color="auto"/>
          <w:bottom w:val="single" w:sz="8" w:space="0" w:color="auto"/>
          <w:right w:val="single" w:sz="8" w:space="0" w:color="auto"/>
          <w:insideH w:val="nil"/>
          <w:insideV w:val="single" w:sz="8" w:space="0" w:color="auto"/>
          <w:tl2br w:val="nil"/>
          <w:tr2bl w:val="nil"/>
        </w:tcBorders>
        <w:shd w:val="clear" w:color="auto" w:fill="898D8D" w:themeFill="accent2"/>
      </w:tcPr>
    </w:tblStylePr>
    <w:tblStylePr w:type="band1Horz">
      <w:rPr>
        <w:rFonts w:ascii="Arial Narrow" w:hAnsi="Arial Narrow"/>
        <w:sz w:val="18"/>
      </w:rPr>
      <w:tblPr/>
      <w:tcPr>
        <w:tcBorders>
          <w:top w:val="single" w:sz="8"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l2br w:val="nil"/>
          <w:tr2bl w:val="nil"/>
        </w:tcBorders>
        <w:shd w:val="clear" w:color="auto" w:fill="E7E8E8" w:themeFill="accent2" w:themeFillTint="33"/>
      </w:tcPr>
    </w:tblStylePr>
    <w:tblStylePr w:type="band2Horz">
      <w:rPr>
        <w:rFonts w:ascii="Arial Narrow" w:hAnsi="Arial Narrow"/>
        <w:sz w:val="18"/>
      </w:rPr>
      <w:tblPr/>
      <w:tcPr>
        <w:tc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l2br w:val="nil"/>
          <w:tr2bl w:val="nil"/>
        </w:tcBorders>
      </w:tcPr>
    </w:tblStylePr>
  </w:style>
  <w:style w:type="paragraph" w:customStyle="1" w:styleId="Default">
    <w:name w:val="Default"/>
    <w:rsid w:val="006C1434"/>
    <w:pPr>
      <w:autoSpaceDE w:val="0"/>
      <w:autoSpaceDN w:val="0"/>
      <w:adjustRightInd w:val="0"/>
    </w:pPr>
    <w:rPr>
      <w:rFonts w:ascii="Gotham" w:hAnsi="Gotham" w:cs="Gotham"/>
      <w:color w:val="000000"/>
      <w:sz w:val="24"/>
      <w:szCs w:val="24"/>
    </w:rPr>
  </w:style>
  <w:style w:type="paragraph" w:styleId="NoSpacing">
    <w:name w:val="No Spacing"/>
    <w:uiPriority w:val="1"/>
    <w:qFormat/>
    <w:rsid w:val="00B9148E"/>
    <w:rPr>
      <w:rFonts w:asciiTheme="minorHAnsi" w:eastAsiaTheme="minorHAnsi" w:hAnsiTheme="minorHAnsi" w:cstheme="minorBidi"/>
      <w:sz w:val="22"/>
      <w:szCs w:val="22"/>
    </w:rPr>
  </w:style>
  <w:style w:type="paragraph" w:customStyle="1" w:styleId="TaskStyle">
    <w:name w:val="Task Style"/>
    <w:basedOn w:val="Heading3"/>
    <w:next w:val="BodyText"/>
    <w:link w:val="TaskStyleChar"/>
    <w:qFormat/>
    <w:rsid w:val="00E8205A"/>
    <w:pPr>
      <w:pBdr>
        <w:bottom w:val="single" w:sz="12" w:space="1" w:color="898D8D" w:themeColor="accent2"/>
      </w:pBdr>
      <w:spacing w:after="60"/>
    </w:pPr>
    <w:rPr>
      <w:rFonts w:ascii="Arial" w:hAnsi="Arial" w:cs="Arial"/>
    </w:rPr>
  </w:style>
  <w:style w:type="character" w:customStyle="1" w:styleId="Heading4Char">
    <w:name w:val="Heading 4 Char"/>
    <w:basedOn w:val="DefaultParagraphFont"/>
    <w:link w:val="Heading4"/>
    <w:rsid w:val="004E26E2"/>
    <w:rPr>
      <w:rFonts w:ascii="Arial Bold" w:hAnsi="Arial Bold"/>
      <w:b/>
    </w:rPr>
  </w:style>
  <w:style w:type="character" w:customStyle="1" w:styleId="TaskStyleChar">
    <w:name w:val="Task Style Char"/>
    <w:basedOn w:val="Heading4Char"/>
    <w:link w:val="TaskStyle"/>
    <w:rsid w:val="00E8205A"/>
    <w:rPr>
      <w:rFonts w:ascii="Arial" w:hAnsi="Arial" w:cs="Arial"/>
      <w:b/>
      <w:color w:val="DA291C" w:themeColor="accent1"/>
      <w:sz w:val="24"/>
      <w:szCs w:val="24"/>
    </w:rPr>
  </w:style>
  <w:style w:type="paragraph" w:styleId="ListParagraph">
    <w:name w:val="List Paragraph"/>
    <w:basedOn w:val="Normal"/>
    <w:link w:val="ListParagraphChar"/>
    <w:uiPriority w:val="34"/>
    <w:qFormat/>
    <w:rsid w:val="00947565"/>
    <w:pPr>
      <w:spacing w:after="200" w:line="276" w:lineRule="auto"/>
      <w:ind w:left="720"/>
      <w:contextualSpacing/>
    </w:pPr>
    <w:rPr>
      <w:rFonts w:asciiTheme="minorHAnsi" w:eastAsiaTheme="minorHAnsi" w:hAnsiTheme="minorHAnsi" w:cstheme="minorBidi"/>
      <w:szCs w:val="22"/>
    </w:rPr>
  </w:style>
  <w:style w:type="paragraph" w:customStyle="1" w:styleId="TOCMainHeaders">
    <w:name w:val="TOC Main Headers"/>
    <w:basedOn w:val="TOC1"/>
    <w:qFormat/>
    <w:rsid w:val="0053086A"/>
    <w:pPr>
      <w:tabs>
        <w:tab w:val="left" w:pos="576"/>
        <w:tab w:val="right" w:leader="dot" w:pos="8990"/>
      </w:tabs>
      <w:spacing w:after="180"/>
    </w:pPr>
    <w:rPr>
      <w:rFonts w:cs="Arial"/>
      <w:color w:val="DA291C" w:themeColor="accent1"/>
      <w:sz w:val="28"/>
    </w:rPr>
  </w:style>
  <w:style w:type="paragraph" w:customStyle="1" w:styleId="Call-OutBoxTextHeader">
    <w:name w:val="Call-Out Box Text Header"/>
    <w:basedOn w:val="NoSpacing"/>
    <w:qFormat/>
    <w:rsid w:val="0053086A"/>
    <w:pPr>
      <w:ind w:left="180" w:right="204"/>
    </w:pPr>
    <w:rPr>
      <w:rFonts w:ascii="Arial" w:hAnsi="Arial" w:cs="Arial"/>
      <w:b/>
      <w:color w:val="DA291C" w:themeColor="accent1"/>
    </w:rPr>
  </w:style>
  <w:style w:type="paragraph" w:customStyle="1" w:styleId="Call-OutBoxTextArial">
    <w:name w:val="Call-Out Box Text (Arial)"/>
    <w:basedOn w:val="NoSpacing"/>
    <w:qFormat/>
    <w:rsid w:val="00862448"/>
    <w:pPr>
      <w:ind w:left="180" w:right="204"/>
    </w:pPr>
    <w:rPr>
      <w:rFonts w:ascii="Arial" w:hAnsi="Arial" w:cs="Arial"/>
      <w:i/>
    </w:rPr>
  </w:style>
  <w:style w:type="table" w:styleId="Table3Deffects1">
    <w:name w:val="Table 3D effects 1"/>
    <w:basedOn w:val="TableNormal"/>
    <w:rsid w:val="000247F7"/>
    <w:pPr>
      <w:spacing w:after="180" w:line="264" w:lineRule="auto"/>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Abt">
    <w:name w:val="Abt"/>
    <w:basedOn w:val="AbtFinal"/>
    <w:uiPriority w:val="99"/>
    <w:rsid w:val="00EC14FE"/>
    <w:rPr>
      <w:sz w:val="22"/>
    </w:rPr>
    <w:tblPr/>
    <w:tblStylePr w:type="firstRow">
      <w:pPr>
        <w:jc w:val="left"/>
      </w:pPr>
      <w:rPr>
        <w:rFonts w:ascii="Arial Narrow" w:hAnsi="Arial Narrow"/>
        <w:b/>
        <w:caps w:val="0"/>
        <w:smallCaps w:val="0"/>
        <w:strike w:val="0"/>
        <w:dstrike w:val="0"/>
        <w:vanish w:val="0"/>
        <w:sz w:val="18"/>
        <w:vertAlign w:val="baseline"/>
      </w:rPr>
      <w:tblPr/>
      <w:tcPr>
        <w:tcBorders>
          <w:top w:val="single" w:sz="8" w:space="0" w:color="auto"/>
          <w:left w:val="single" w:sz="8" w:space="0" w:color="auto"/>
          <w:bottom w:val="single" w:sz="8" w:space="0" w:color="auto"/>
          <w:right w:val="single" w:sz="8" w:space="0" w:color="auto"/>
          <w:insideH w:val="single" w:sz="4" w:space="0" w:color="auto"/>
          <w:insideV w:val="single" w:sz="8" w:space="0" w:color="auto"/>
        </w:tcBorders>
        <w:shd w:val="clear" w:color="auto" w:fill="C3C6A8" w:themeFill="accent4"/>
      </w:tcPr>
    </w:tblStylePr>
    <w:tblStylePr w:type="lastRow">
      <w:pPr>
        <w:jc w:val="left"/>
      </w:pPr>
      <w:rPr>
        <w:rFonts w:ascii="Arial" w:hAnsi="Arial"/>
        <w:sz w:val="18"/>
      </w:rPr>
      <w:tblPr/>
      <w:tcPr>
        <w:tcBorders>
          <w:top w:val="single" w:sz="8" w:space="0" w:color="auto"/>
          <w:left w:val="single" w:sz="8" w:space="0" w:color="auto"/>
          <w:bottom w:val="single" w:sz="8" w:space="0" w:color="auto"/>
          <w:right w:val="single" w:sz="8" w:space="0" w:color="auto"/>
          <w:insideH w:val="nil"/>
          <w:insideV w:val="single" w:sz="8" w:space="0" w:color="auto"/>
          <w:tl2br w:val="nil"/>
          <w:tr2bl w:val="nil"/>
        </w:tcBorders>
        <w:shd w:val="clear" w:color="auto" w:fill="898D8D" w:themeFill="accent2"/>
      </w:tcPr>
    </w:tblStylePr>
    <w:tblStylePr w:type="band1Horz">
      <w:rPr>
        <w:rFonts w:ascii="Arial Narrow" w:hAnsi="Arial Narrow"/>
        <w:sz w:val="18"/>
      </w:rPr>
      <w:tblPr/>
      <w:tcPr>
        <w:tcBorders>
          <w:top w:val="single" w:sz="8"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l2br w:val="nil"/>
          <w:tr2bl w:val="nil"/>
        </w:tcBorders>
        <w:shd w:val="clear" w:color="auto" w:fill="E7E8E8" w:themeFill="accent2" w:themeFillTint="33"/>
      </w:tcPr>
    </w:tblStylePr>
    <w:tblStylePr w:type="band2Horz">
      <w:rPr>
        <w:rFonts w:ascii="Arial Narrow" w:hAnsi="Arial Narrow"/>
        <w:sz w:val="18"/>
      </w:rPr>
      <w:tblPr/>
      <w:tcPr>
        <w:tc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l2br w:val="nil"/>
          <w:tr2bl w:val="nil"/>
        </w:tcBorders>
      </w:tcPr>
    </w:tblStylePr>
  </w:style>
  <w:style w:type="paragraph" w:customStyle="1" w:styleId="CoverLetterTextOnly">
    <w:name w:val="Cover Letter Text Only"/>
    <w:qFormat/>
    <w:rsid w:val="00C33C0B"/>
    <w:rPr>
      <w:sz w:val="24"/>
    </w:rPr>
  </w:style>
  <w:style w:type="paragraph" w:customStyle="1" w:styleId="ExhibitColumnHead">
    <w:name w:val="Exhibit Column Head"/>
    <w:qFormat/>
    <w:rsid w:val="00862448"/>
    <w:pPr>
      <w:jc w:val="center"/>
    </w:pPr>
    <w:rPr>
      <w:rFonts w:ascii="Arial Narrow" w:hAnsi="Arial Narrow" w:cs="Arial"/>
      <w:b/>
      <w:color w:val="000000" w:themeColor="text1"/>
      <w:sz w:val="22"/>
    </w:rPr>
  </w:style>
  <w:style w:type="paragraph" w:customStyle="1" w:styleId="StaffResumeList">
    <w:name w:val="Staff Resume List"/>
    <w:qFormat/>
    <w:rsid w:val="005707D6"/>
    <w:pPr>
      <w:tabs>
        <w:tab w:val="right" w:pos="9000"/>
      </w:tabs>
    </w:pPr>
    <w:rPr>
      <w:rFonts w:eastAsiaTheme="minorHAnsi"/>
      <w:spacing w:val="-4"/>
      <w:sz w:val="24"/>
    </w:rPr>
  </w:style>
  <w:style w:type="paragraph" w:customStyle="1" w:styleId="Heading1Apps">
    <w:name w:val="Heading 1 Apps"/>
    <w:basedOn w:val="Heading1"/>
    <w:qFormat/>
    <w:rsid w:val="008877CC"/>
    <w:pPr>
      <w:numPr>
        <w:numId w:val="0"/>
      </w:numPr>
    </w:pPr>
  </w:style>
  <w:style w:type="paragraph" w:customStyle="1" w:styleId="ExhibitTextBullets">
    <w:name w:val="Exhibit Text Bullets"/>
    <w:basedOn w:val="ExhibitText"/>
    <w:qFormat/>
    <w:rsid w:val="003729AE"/>
    <w:pPr>
      <w:numPr>
        <w:numId w:val="6"/>
      </w:numPr>
      <w:spacing w:before="0" w:after="0"/>
      <w:ind w:left="252" w:hanging="180"/>
    </w:pPr>
  </w:style>
  <w:style w:type="paragraph" w:customStyle="1" w:styleId="TableParagraph">
    <w:name w:val="Table Paragraph"/>
    <w:basedOn w:val="Normal"/>
    <w:uiPriority w:val="1"/>
    <w:qFormat/>
    <w:rsid w:val="00AB65FC"/>
    <w:pPr>
      <w:widowControl w:val="0"/>
      <w:spacing w:after="0"/>
    </w:pPr>
    <w:rPr>
      <w:rFonts w:asciiTheme="minorHAnsi" w:eastAsiaTheme="minorHAnsi" w:hAnsiTheme="minorHAnsi" w:cstheme="minorBidi"/>
      <w:sz w:val="22"/>
      <w:szCs w:val="22"/>
    </w:rPr>
  </w:style>
  <w:style w:type="character" w:customStyle="1" w:styleId="CommentTextChar">
    <w:name w:val="Comment Text Char"/>
    <w:basedOn w:val="DefaultParagraphFont"/>
    <w:link w:val="CommentText"/>
    <w:uiPriority w:val="99"/>
    <w:semiHidden/>
    <w:rsid w:val="00711FAD"/>
  </w:style>
  <w:style w:type="character" w:customStyle="1" w:styleId="ListParagraphChar">
    <w:name w:val="List Paragraph Char"/>
    <w:link w:val="ListParagraph"/>
    <w:uiPriority w:val="34"/>
    <w:locked/>
    <w:rsid w:val="00676E70"/>
    <w:rPr>
      <w:rFonts w:asciiTheme="minorHAnsi" w:eastAsiaTheme="minorHAnsi" w:hAnsiTheme="minorHAnsi" w:cstheme="minorBidi"/>
      <w:sz w:val="24"/>
      <w:szCs w:val="22"/>
    </w:rPr>
  </w:style>
  <w:style w:type="paragraph" w:styleId="TOCHeading">
    <w:name w:val="TOC Heading"/>
    <w:basedOn w:val="Heading1"/>
    <w:next w:val="Normal"/>
    <w:uiPriority w:val="39"/>
    <w:semiHidden/>
    <w:unhideWhenUsed/>
    <w:qFormat/>
    <w:rsid w:val="00CF4476"/>
    <w:pPr>
      <w:numPr>
        <w:numId w:val="0"/>
      </w:numPr>
      <w:pBdr>
        <w:top w:val="none" w:sz="0" w:space="0" w:color="auto"/>
        <w:bottom w:val="none" w:sz="0" w:space="0" w:color="auto"/>
      </w:pBdr>
      <w:shd w:val="clear" w:color="auto" w:fill="auto"/>
      <w:spacing w:before="480" w:after="0"/>
      <w:outlineLvl w:val="9"/>
    </w:pPr>
    <w:rPr>
      <w:rFonts w:asciiTheme="majorHAnsi" w:eastAsiaTheme="majorEastAsia" w:hAnsiTheme="majorHAnsi" w:cstheme="majorBidi"/>
      <w:bCs/>
      <w:noProof w:val="0"/>
      <w:color w:val="A31E15" w:themeColor="accent1" w:themeShade="BF"/>
      <w:kern w:val="0"/>
      <w:szCs w:val="28"/>
    </w:rPr>
  </w:style>
  <w:style w:type="paragraph" w:customStyle="1" w:styleId="Spacer">
    <w:name w:val="Spacer"/>
    <w:basedOn w:val="BodyText"/>
    <w:uiPriority w:val="99"/>
    <w:rsid w:val="00CF4476"/>
    <w:pPr>
      <w:spacing w:after="0"/>
    </w:pPr>
    <w:rPr>
      <w:sz w:val="18"/>
    </w:rPr>
  </w:style>
  <w:style w:type="character" w:customStyle="1" w:styleId="Heading1Char">
    <w:name w:val="Heading 1 Char"/>
    <w:basedOn w:val="DefaultParagraphFont"/>
    <w:link w:val="Heading1"/>
    <w:rsid w:val="00CF4476"/>
    <w:rPr>
      <w:rFonts w:ascii="Arial" w:hAnsi="Arial"/>
      <w:b/>
      <w:noProof/>
      <w:color w:val="FFFFFF"/>
      <w:kern w:val="28"/>
      <w:sz w:val="28"/>
      <w:shd w:val="clear" w:color="auto" w:fill="898D8D" w:themeFill="text2"/>
    </w:rPr>
  </w:style>
  <w:style w:type="character" w:customStyle="1" w:styleId="Heading2Char">
    <w:name w:val="Heading 2 Char"/>
    <w:basedOn w:val="DefaultParagraphFont"/>
    <w:link w:val="Heading2"/>
    <w:rsid w:val="00CF4476"/>
    <w:rPr>
      <w:rFonts w:ascii="Arial" w:hAnsi="Arial" w:cs="Arial"/>
      <w:b/>
      <w:bCs/>
      <w:iCs/>
      <w:color w:val="4F5353"/>
      <w:sz w:val="24"/>
      <w:szCs w:val="28"/>
    </w:rPr>
  </w:style>
  <w:style w:type="character" w:customStyle="1" w:styleId="Heading3Char">
    <w:name w:val="Heading 3 Char"/>
    <w:basedOn w:val="DefaultParagraphFont"/>
    <w:link w:val="Heading3"/>
    <w:rsid w:val="00CF4476"/>
    <w:rPr>
      <w:b/>
      <w:color w:val="DA291C" w:themeColor="accent1"/>
      <w:sz w:val="24"/>
      <w:szCs w:val="24"/>
    </w:rPr>
  </w:style>
  <w:style w:type="paragraph" w:styleId="NormalWeb">
    <w:name w:val="Normal (Web)"/>
    <w:basedOn w:val="Normal"/>
    <w:uiPriority w:val="99"/>
    <w:unhideWhenUsed/>
    <w:rsid w:val="00CF4476"/>
    <w:pPr>
      <w:spacing w:before="100" w:beforeAutospacing="1" w:after="100" w:afterAutospacing="1"/>
    </w:pPr>
    <w:rPr>
      <w:szCs w:val="24"/>
    </w:rPr>
  </w:style>
  <w:style w:type="character" w:customStyle="1" w:styleId="BalloonTextChar">
    <w:name w:val="Balloon Text Char"/>
    <w:basedOn w:val="DefaultParagraphFont"/>
    <w:link w:val="BalloonText"/>
    <w:uiPriority w:val="99"/>
    <w:semiHidden/>
    <w:rsid w:val="00CF4476"/>
    <w:rPr>
      <w:rFonts w:ascii="Tahoma" w:hAnsi="Tahoma" w:cs="Tahoma"/>
      <w:sz w:val="16"/>
      <w:szCs w:val="16"/>
    </w:rPr>
  </w:style>
  <w:style w:type="character" w:customStyle="1" w:styleId="HeaderChar">
    <w:name w:val="Header Char"/>
    <w:basedOn w:val="DefaultParagraphFont"/>
    <w:link w:val="Header"/>
    <w:uiPriority w:val="99"/>
    <w:rsid w:val="00CF4476"/>
    <w:rPr>
      <w:rFonts w:ascii="Arial" w:hAnsi="Arial" w:cs="Arial"/>
      <w:b/>
      <w:color w:val="FFFFFF"/>
      <w:spacing w:val="20"/>
      <w:sz w:val="24"/>
      <w:szCs w:val="24"/>
      <w:shd w:val="clear" w:color="auto" w:fill="4F5353"/>
    </w:rPr>
  </w:style>
  <w:style w:type="character" w:customStyle="1" w:styleId="CommentSubjectChar">
    <w:name w:val="Comment Subject Char"/>
    <w:basedOn w:val="CommentTextChar"/>
    <w:link w:val="CommentSubject"/>
    <w:uiPriority w:val="99"/>
    <w:semiHidden/>
    <w:rsid w:val="00CF4476"/>
    <w:rPr>
      <w:b/>
      <w:bCs/>
    </w:rPr>
  </w:style>
  <w:style w:type="character" w:styleId="PlaceholderText">
    <w:name w:val="Placeholder Text"/>
    <w:basedOn w:val="DefaultParagraphFont"/>
    <w:uiPriority w:val="99"/>
    <w:semiHidden/>
    <w:rsid w:val="00CF4476"/>
    <w:rPr>
      <w:color w:val="808080"/>
    </w:rPr>
  </w:style>
  <w:style w:type="paragraph" w:styleId="Revision">
    <w:name w:val="Revision"/>
    <w:hidden/>
    <w:uiPriority w:val="99"/>
    <w:semiHidden/>
    <w:rsid w:val="00CF4476"/>
    <w:rPr>
      <w:sz w:val="24"/>
    </w:rPr>
  </w:style>
  <w:style w:type="character" w:customStyle="1" w:styleId="mw-headline">
    <w:name w:val="mw-headline"/>
    <w:basedOn w:val="DefaultParagraphFont"/>
    <w:rsid w:val="00CF4476"/>
  </w:style>
  <w:style w:type="character" w:customStyle="1" w:styleId="mw-editsection">
    <w:name w:val="mw-editsection"/>
    <w:basedOn w:val="DefaultParagraphFont"/>
    <w:rsid w:val="00CF4476"/>
  </w:style>
  <w:style w:type="character" w:customStyle="1" w:styleId="mw-editsection-bracket">
    <w:name w:val="mw-editsection-bracket"/>
    <w:basedOn w:val="DefaultParagraphFont"/>
    <w:rsid w:val="00CF4476"/>
  </w:style>
  <w:style w:type="character" w:styleId="Strong">
    <w:name w:val="Strong"/>
    <w:basedOn w:val="DefaultParagraphFont"/>
    <w:uiPriority w:val="22"/>
    <w:qFormat/>
    <w:rsid w:val="00CF4476"/>
    <w:rPr>
      <w:b/>
      <w:bCs/>
    </w:rPr>
  </w:style>
  <w:style w:type="character" w:customStyle="1" w:styleId="reference-text">
    <w:name w:val="reference-text"/>
    <w:basedOn w:val="DefaultParagraphFont"/>
    <w:rsid w:val="00CF4476"/>
  </w:style>
  <w:style w:type="character" w:customStyle="1" w:styleId="Heading5Char">
    <w:name w:val="Heading 5 Char"/>
    <w:basedOn w:val="DefaultParagraphFont"/>
    <w:link w:val="Heading5"/>
    <w:rsid w:val="00CF4476"/>
    <w:rPr>
      <w:rFonts w:ascii="Arial" w:hAnsi="Arial" w:cs="Arial"/>
      <w:b/>
      <w:i/>
      <w:color w:val="DA291C" w:themeColor="accent1"/>
    </w:rPr>
  </w:style>
  <w:style w:type="character" w:customStyle="1" w:styleId="Heading6Char">
    <w:name w:val="Heading 6 Char"/>
    <w:basedOn w:val="DefaultParagraphFont"/>
    <w:link w:val="Heading6"/>
    <w:rsid w:val="00CF4476"/>
    <w:rPr>
      <w:b/>
      <w:bCs/>
      <w:sz w:val="24"/>
      <w:szCs w:val="22"/>
    </w:rPr>
  </w:style>
  <w:style w:type="character" w:customStyle="1" w:styleId="Heading7Char">
    <w:name w:val="Heading 7 Char"/>
    <w:basedOn w:val="DefaultParagraphFont"/>
    <w:link w:val="Heading7"/>
    <w:rsid w:val="00CF4476"/>
    <w:rPr>
      <w:sz w:val="24"/>
      <w:szCs w:val="24"/>
    </w:rPr>
  </w:style>
  <w:style w:type="character" w:customStyle="1" w:styleId="Heading8Char">
    <w:name w:val="Heading 8 Char"/>
    <w:basedOn w:val="DefaultParagraphFont"/>
    <w:link w:val="Heading8"/>
    <w:rsid w:val="00CF4476"/>
    <w:rPr>
      <w:i/>
      <w:iCs/>
      <w:sz w:val="24"/>
      <w:szCs w:val="24"/>
    </w:rPr>
  </w:style>
  <w:style w:type="character" w:customStyle="1" w:styleId="Heading9Char">
    <w:name w:val="Heading 9 Char"/>
    <w:basedOn w:val="DefaultParagraphFont"/>
    <w:link w:val="Heading9"/>
    <w:rsid w:val="00CF4476"/>
    <w:rPr>
      <w:rFonts w:ascii="Arial" w:hAnsi="Arial" w:cs="Arial"/>
      <w:sz w:val="24"/>
      <w:szCs w:val="22"/>
    </w:rPr>
  </w:style>
  <w:style w:type="table" w:styleId="LightList-Accent4">
    <w:name w:val="Light List Accent 4"/>
    <w:basedOn w:val="TableNormal"/>
    <w:uiPriority w:val="61"/>
    <w:rsid w:val="00CF4476"/>
    <w:tblPr>
      <w:tblStyleRowBandSize w:val="1"/>
      <w:tblStyleColBandSize w:val="1"/>
      <w:tblBorders>
        <w:top w:val="single" w:sz="8" w:space="0" w:color="C3C6A8" w:themeColor="accent4"/>
        <w:left w:val="single" w:sz="8" w:space="0" w:color="C3C6A8" w:themeColor="accent4"/>
        <w:bottom w:val="single" w:sz="8" w:space="0" w:color="C3C6A8" w:themeColor="accent4"/>
        <w:right w:val="single" w:sz="8" w:space="0" w:color="C3C6A8" w:themeColor="accent4"/>
      </w:tblBorders>
    </w:tblPr>
    <w:tblStylePr w:type="firstRow">
      <w:pPr>
        <w:spacing w:before="0" w:after="0" w:line="240" w:lineRule="auto"/>
      </w:pPr>
      <w:rPr>
        <w:b/>
        <w:bCs/>
        <w:color w:val="B7C9D3" w:themeColor="background1"/>
      </w:rPr>
      <w:tblPr/>
      <w:tcPr>
        <w:shd w:val="clear" w:color="auto" w:fill="C3C6A8" w:themeFill="accent4"/>
      </w:tcPr>
    </w:tblStylePr>
    <w:tblStylePr w:type="lastRow">
      <w:pPr>
        <w:spacing w:before="0" w:after="0" w:line="240" w:lineRule="auto"/>
      </w:pPr>
      <w:rPr>
        <w:b/>
        <w:bCs/>
      </w:rPr>
      <w:tblPr/>
      <w:tcPr>
        <w:tcBorders>
          <w:top w:val="double" w:sz="6" w:space="0" w:color="C3C6A8" w:themeColor="accent4"/>
          <w:left w:val="single" w:sz="8" w:space="0" w:color="C3C6A8" w:themeColor="accent4"/>
          <w:bottom w:val="single" w:sz="8" w:space="0" w:color="C3C6A8" w:themeColor="accent4"/>
          <w:right w:val="single" w:sz="8" w:space="0" w:color="C3C6A8" w:themeColor="accent4"/>
        </w:tcBorders>
      </w:tcPr>
    </w:tblStylePr>
    <w:tblStylePr w:type="firstCol">
      <w:rPr>
        <w:b/>
        <w:bCs/>
      </w:rPr>
    </w:tblStylePr>
    <w:tblStylePr w:type="lastCol">
      <w:rPr>
        <w:b/>
        <w:bCs/>
      </w:rPr>
    </w:tblStylePr>
    <w:tblStylePr w:type="band1Vert">
      <w:tblPr/>
      <w:tcPr>
        <w:tcBorders>
          <w:top w:val="single" w:sz="8" w:space="0" w:color="C3C6A8" w:themeColor="accent4"/>
          <w:left w:val="single" w:sz="8" w:space="0" w:color="C3C6A8" w:themeColor="accent4"/>
          <w:bottom w:val="single" w:sz="8" w:space="0" w:color="C3C6A8" w:themeColor="accent4"/>
          <w:right w:val="single" w:sz="8" w:space="0" w:color="C3C6A8" w:themeColor="accent4"/>
        </w:tcBorders>
      </w:tcPr>
    </w:tblStylePr>
    <w:tblStylePr w:type="band1Horz">
      <w:tblPr/>
      <w:tcPr>
        <w:tcBorders>
          <w:top w:val="single" w:sz="8" w:space="0" w:color="C3C6A8" w:themeColor="accent4"/>
          <w:left w:val="single" w:sz="8" w:space="0" w:color="C3C6A8" w:themeColor="accent4"/>
          <w:bottom w:val="single" w:sz="8" w:space="0" w:color="C3C6A8" w:themeColor="accent4"/>
          <w:right w:val="single" w:sz="8" w:space="0" w:color="C3C6A8" w:themeColor="accent4"/>
        </w:tcBorders>
      </w:tcPr>
    </w:tblStylePr>
  </w:style>
  <w:style w:type="character" w:customStyle="1" w:styleId="apple-converted-space">
    <w:name w:val="apple-converted-space"/>
    <w:basedOn w:val="DefaultParagraphFont"/>
    <w:rsid w:val="00CF4476"/>
  </w:style>
  <w:style w:type="paragraph" w:styleId="TableofFigures">
    <w:name w:val="table of figures"/>
    <w:basedOn w:val="Normal"/>
    <w:next w:val="Normal"/>
    <w:uiPriority w:val="99"/>
    <w:rsid w:val="00CF4476"/>
    <w:pPr>
      <w:spacing w:after="0"/>
    </w:pPr>
  </w:style>
  <w:style w:type="paragraph" w:styleId="Quote">
    <w:name w:val="Quote"/>
    <w:basedOn w:val="Normal"/>
    <w:next w:val="Normal"/>
    <w:link w:val="QuoteChar"/>
    <w:uiPriority w:val="29"/>
    <w:qFormat/>
    <w:rsid w:val="00CF4476"/>
    <w:pPr>
      <w:ind w:left="360" w:right="360"/>
    </w:pPr>
    <w:rPr>
      <w:iCs/>
      <w:color w:val="000000" w:themeColor="text1"/>
      <w:sz w:val="20"/>
    </w:rPr>
  </w:style>
  <w:style w:type="character" w:customStyle="1" w:styleId="QuoteChar">
    <w:name w:val="Quote Char"/>
    <w:basedOn w:val="DefaultParagraphFont"/>
    <w:link w:val="Quote"/>
    <w:uiPriority w:val="29"/>
    <w:rsid w:val="00CF4476"/>
    <w:rPr>
      <w:iCs/>
      <w:color w:val="000000" w:themeColor="text1"/>
    </w:rPr>
  </w:style>
  <w:style w:type="paragraph" w:customStyle="1" w:styleId="TableBullets">
    <w:name w:val="Table Bullets"/>
    <w:basedOn w:val="Bullets"/>
    <w:rsid w:val="00CF4476"/>
    <w:pPr>
      <w:spacing w:after="40"/>
      <w:contextualSpacing w:val="0"/>
    </w:pPr>
    <w:rPr>
      <w:rFonts w:ascii="Arial" w:hAnsi="Arial" w:cs="Arial"/>
      <w:sz w:val="20"/>
    </w:rPr>
  </w:style>
  <w:style w:type="paragraph" w:customStyle="1" w:styleId="TableBullet2">
    <w:name w:val="Table Bullet2"/>
    <w:basedOn w:val="Bullet2"/>
    <w:rsid w:val="00CF4476"/>
    <w:rPr>
      <w:rFonts w:ascii="Arial" w:hAnsi="Arial" w:cs="Arial"/>
      <w:sz w:val="20"/>
    </w:rPr>
  </w:style>
  <w:style w:type="table" w:customStyle="1" w:styleId="QQuestionTable">
    <w:name w:val="QQuestionTable"/>
    <w:uiPriority w:val="99"/>
    <w:qFormat/>
    <w:rsid w:val="00CF4476"/>
    <w:pPr>
      <w:jc w:val="center"/>
    </w:pPr>
    <w:rPr>
      <w:rFonts w:ascii="Arial" w:hAnsi="Arial"/>
      <w:sz w:val="22"/>
      <w:szCs w:val="22"/>
      <w:lang w:val="en-GB" w:eastAsia="en-GB"/>
    </w:rPr>
    <w:tblPr>
      <w:tblStyleRowBandSize w:val="1"/>
      <w:tblInd w:w="0" w:type="dxa"/>
      <w:tblBorders>
        <w:top w:val="single" w:sz="4" w:space="0" w:color="818386"/>
        <w:left w:val="single" w:sz="4" w:space="0" w:color="818386"/>
        <w:bottom w:val="single" w:sz="4" w:space="0" w:color="818386"/>
        <w:right w:val="single" w:sz="4" w:space="0" w:color="818386"/>
        <w:insideV w:val="single" w:sz="4" w:space="0" w:color="808080"/>
      </w:tblBorders>
      <w:tblCellMar>
        <w:top w:w="43" w:type="dxa"/>
        <w:left w:w="115" w:type="dxa"/>
        <w:bottom w:w="43" w:type="dxa"/>
        <w:right w:w="115" w:type="dxa"/>
      </w:tblCellMar>
    </w:tblPr>
    <w:tcPr>
      <w:shd w:val="clear" w:color="auto" w:fill="auto"/>
      <w:vAlign w:val="center"/>
    </w:tcPr>
    <w:tblStylePr w:type="firstRow">
      <w:pPr>
        <w:wordWrap/>
        <w:jc w:val="center"/>
      </w:pPr>
      <w:rPr>
        <w:color w:val="FFFFFF"/>
      </w:rPr>
      <w:tblPr/>
      <w:tcPr>
        <w:tcBorders>
          <w:insideV w:val="single" w:sz="4" w:space="0" w:color="969696"/>
        </w:tcBorders>
        <w:shd w:val="clear" w:color="auto" w:fill="58595B"/>
        <w:vAlign w:val="top"/>
      </w:tcPr>
    </w:tblStylePr>
    <w:tblStylePr w:type="lastRow">
      <w:tblPr/>
      <w:tcPr>
        <w:tcBorders>
          <w:top w:val="single" w:sz="4" w:space="0" w:color="818386"/>
          <w:left w:val="single" w:sz="4" w:space="0" w:color="818386"/>
          <w:bottom w:val="single" w:sz="4" w:space="0" w:color="818386"/>
          <w:right w:val="single" w:sz="4" w:space="0" w:color="818386"/>
          <w:insideH w:val="single" w:sz="4" w:space="0" w:color="818386"/>
          <w:insideV w:val="single" w:sz="4" w:space="0" w:color="818386"/>
        </w:tcBorders>
        <w:shd w:val="clear" w:color="auto" w:fill="FEFBE7"/>
      </w:tcPr>
    </w:tblStylePr>
  </w:style>
  <w:style w:type="numbering" w:customStyle="1" w:styleId="Multipunch">
    <w:name w:val="Multi punch"/>
    <w:rsid w:val="00CF4476"/>
    <w:pPr>
      <w:numPr>
        <w:numId w:val="9"/>
      </w:numPr>
    </w:pPr>
  </w:style>
  <w:style w:type="numbering" w:customStyle="1" w:styleId="Singlepunch">
    <w:name w:val="Single punch"/>
    <w:rsid w:val="00CF4476"/>
    <w:pPr>
      <w:numPr>
        <w:numId w:val="10"/>
      </w:numPr>
    </w:pPr>
  </w:style>
  <w:style w:type="table" w:customStyle="1" w:styleId="QQuestionTable1">
    <w:name w:val="QQuestionTable1"/>
    <w:uiPriority w:val="99"/>
    <w:qFormat/>
    <w:rsid w:val="00CF4476"/>
    <w:pPr>
      <w:jc w:val="center"/>
    </w:pPr>
    <w:rPr>
      <w:rFonts w:ascii="Arial" w:hAnsi="Arial"/>
      <w:sz w:val="22"/>
      <w:szCs w:val="22"/>
      <w:lang w:val="en-GB" w:eastAsia="en-GB"/>
    </w:rPr>
    <w:tblPr>
      <w:tblStyleRowBandSize w:val="1"/>
      <w:tblInd w:w="0" w:type="dxa"/>
      <w:tblBorders>
        <w:top w:val="single" w:sz="4" w:space="0" w:color="818386"/>
        <w:left w:val="single" w:sz="4" w:space="0" w:color="818386"/>
        <w:bottom w:val="single" w:sz="4" w:space="0" w:color="818386"/>
        <w:right w:val="single" w:sz="4" w:space="0" w:color="818386"/>
        <w:insideV w:val="single" w:sz="4" w:space="0" w:color="808080"/>
      </w:tblBorders>
      <w:tblCellMar>
        <w:top w:w="43" w:type="dxa"/>
        <w:left w:w="115" w:type="dxa"/>
        <w:bottom w:w="43" w:type="dxa"/>
        <w:right w:w="115" w:type="dxa"/>
      </w:tblCellMar>
    </w:tblPr>
    <w:tcPr>
      <w:shd w:val="clear" w:color="auto" w:fill="auto"/>
      <w:vAlign w:val="center"/>
    </w:tcPr>
    <w:tblStylePr w:type="firstRow">
      <w:pPr>
        <w:wordWrap/>
        <w:jc w:val="center"/>
      </w:pPr>
      <w:rPr>
        <w:color w:val="FFFFFF"/>
      </w:rPr>
      <w:tblPr/>
      <w:tcPr>
        <w:tcBorders>
          <w:insideV w:val="single" w:sz="4" w:space="0" w:color="969696"/>
        </w:tcBorders>
        <w:shd w:val="clear" w:color="auto" w:fill="58595B"/>
        <w:vAlign w:val="top"/>
      </w:tcPr>
    </w:tblStylePr>
    <w:tblStylePr w:type="lastRow">
      <w:tblPr/>
      <w:tcPr>
        <w:tcBorders>
          <w:top w:val="single" w:sz="4" w:space="0" w:color="818386"/>
          <w:left w:val="single" w:sz="4" w:space="0" w:color="818386"/>
          <w:bottom w:val="single" w:sz="4" w:space="0" w:color="818386"/>
          <w:right w:val="single" w:sz="4" w:space="0" w:color="818386"/>
          <w:insideH w:val="single" w:sz="4" w:space="0" w:color="818386"/>
          <w:insideV w:val="single" w:sz="4" w:space="0" w:color="818386"/>
        </w:tcBorders>
        <w:shd w:val="clear" w:color="auto" w:fill="FEFBE7"/>
      </w:tcPr>
    </w:tblStylePr>
  </w:style>
  <w:style w:type="numbering" w:customStyle="1" w:styleId="Singlepunch1">
    <w:name w:val="Single punch1"/>
    <w:rsid w:val="00CF4476"/>
  </w:style>
  <w:style w:type="character" w:styleId="Emphasis">
    <w:name w:val="Emphasis"/>
    <w:basedOn w:val="DefaultParagraphFont"/>
    <w:uiPriority w:val="20"/>
    <w:qFormat/>
    <w:rsid w:val="00044969"/>
    <w:rPr>
      <w:i/>
      <w:iCs/>
    </w:rPr>
  </w:style>
  <w:style w:type="paragraph" w:customStyle="1" w:styleId="CoverTextRed16pt">
    <w:name w:val="Cover Text  Red 16pt"/>
    <w:basedOn w:val="Normal"/>
    <w:qFormat/>
    <w:rsid w:val="00123F97"/>
    <w:pPr>
      <w:tabs>
        <w:tab w:val="left" w:pos="720"/>
        <w:tab w:val="left" w:pos="1080"/>
        <w:tab w:val="left" w:pos="1440"/>
        <w:tab w:val="left" w:pos="1800"/>
        <w:tab w:val="left" w:pos="6660"/>
      </w:tabs>
      <w:spacing w:after="0" w:line="264" w:lineRule="auto"/>
      <w:ind w:left="6490" w:right="-540"/>
      <w:jc w:val="right"/>
    </w:pPr>
    <w:rPr>
      <w:rFonts w:ascii="Arial" w:hAnsi="Arial"/>
      <w:b/>
      <w:color w:val="DA291C"/>
      <w:sz w:val="32"/>
      <w:szCs w:val="3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footnote text" w:uiPriority="99"/>
    <w:lsdException w:name="annotation text" w:uiPriority="99"/>
    <w:lsdException w:name="header" w:uiPriority="99"/>
    <w:lsdException w:name="caption" w:qFormat="1"/>
    <w:lsdException w:name="table of figures" w:uiPriority="99"/>
    <w:lsdException w:name="footnote reference" w:uiPriority="99"/>
    <w:lsdException w:name="annotation reference" w:uiPriority="99"/>
    <w:lsdException w:name="Title" w:qFormat="1"/>
    <w:lsdException w:name="Body Text" w:uiPriority="99"/>
    <w:lsdException w:name="Subtitle" w:qFormat="1"/>
    <w:lsdException w:name="Hyperlink" w:uiPriority="99"/>
    <w:lsdException w:name="Strong" w:uiPriority="22" w:qFormat="1"/>
    <w:lsdException w:name="Emphasis" w:uiPriority="20" w:qFormat="1"/>
    <w:lsdException w:name="Normal (Web)"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11FAD"/>
    <w:pPr>
      <w:spacing w:after="180"/>
    </w:pPr>
    <w:rPr>
      <w:sz w:val="24"/>
    </w:rPr>
  </w:style>
  <w:style w:type="paragraph" w:styleId="Heading1">
    <w:name w:val="heading 1"/>
    <w:basedOn w:val="Normal"/>
    <w:next w:val="BodyText"/>
    <w:link w:val="Heading1Char"/>
    <w:qFormat/>
    <w:rsid w:val="00747C79"/>
    <w:pPr>
      <w:keepNext/>
      <w:keepLines/>
      <w:numPr>
        <w:numId w:val="4"/>
      </w:numPr>
      <w:pBdr>
        <w:top w:val="single" w:sz="12" w:space="1" w:color="898D8D" w:themeColor="text2"/>
        <w:bottom w:val="single" w:sz="12" w:space="2" w:color="898D8D" w:themeColor="text2"/>
      </w:pBdr>
      <w:shd w:val="clear" w:color="auto" w:fill="898D8D" w:themeFill="text2"/>
      <w:tabs>
        <w:tab w:val="clear" w:pos="432"/>
        <w:tab w:val="num" w:pos="720"/>
      </w:tabs>
      <w:ind w:left="720" w:hanging="720"/>
      <w:outlineLvl w:val="0"/>
    </w:pPr>
    <w:rPr>
      <w:rFonts w:ascii="Arial" w:hAnsi="Arial"/>
      <w:b/>
      <w:noProof/>
      <w:color w:val="FFFFFF"/>
      <w:kern w:val="28"/>
      <w:sz w:val="28"/>
    </w:rPr>
  </w:style>
  <w:style w:type="paragraph" w:styleId="Heading2">
    <w:name w:val="heading 2"/>
    <w:basedOn w:val="Normal"/>
    <w:next w:val="BodyText"/>
    <w:link w:val="Heading2Char"/>
    <w:qFormat/>
    <w:rsid w:val="007F4BFB"/>
    <w:pPr>
      <w:keepNext/>
      <w:numPr>
        <w:ilvl w:val="1"/>
        <w:numId w:val="4"/>
      </w:numPr>
      <w:tabs>
        <w:tab w:val="clear" w:pos="8910"/>
        <w:tab w:val="num" w:pos="720"/>
      </w:tabs>
      <w:spacing w:after="0"/>
      <w:ind w:left="720"/>
      <w:outlineLvl w:val="1"/>
    </w:pPr>
    <w:rPr>
      <w:rFonts w:ascii="Arial" w:hAnsi="Arial" w:cs="Arial"/>
      <w:b/>
      <w:bCs/>
      <w:iCs/>
      <w:color w:val="4F5353"/>
      <w:szCs w:val="28"/>
    </w:rPr>
  </w:style>
  <w:style w:type="paragraph" w:styleId="Heading3">
    <w:name w:val="heading 3"/>
    <w:basedOn w:val="Normal"/>
    <w:next w:val="BodyText"/>
    <w:link w:val="Heading3Char"/>
    <w:qFormat/>
    <w:rsid w:val="004E26E2"/>
    <w:pPr>
      <w:keepNext/>
      <w:numPr>
        <w:ilvl w:val="2"/>
        <w:numId w:val="4"/>
      </w:numPr>
      <w:spacing w:after="0"/>
      <w:outlineLvl w:val="2"/>
    </w:pPr>
    <w:rPr>
      <w:b/>
      <w:color w:val="DA291C" w:themeColor="accent1"/>
      <w:szCs w:val="24"/>
    </w:rPr>
  </w:style>
  <w:style w:type="paragraph" w:styleId="Heading4">
    <w:name w:val="heading 4"/>
    <w:basedOn w:val="Normal"/>
    <w:next w:val="BodyText"/>
    <w:link w:val="Heading4Char"/>
    <w:qFormat/>
    <w:rsid w:val="004E26E2"/>
    <w:pPr>
      <w:keepNext/>
      <w:numPr>
        <w:ilvl w:val="3"/>
        <w:numId w:val="4"/>
      </w:numPr>
      <w:spacing w:after="0"/>
      <w:outlineLvl w:val="3"/>
    </w:pPr>
    <w:rPr>
      <w:rFonts w:ascii="Arial Bold" w:hAnsi="Arial Bold"/>
      <w:b/>
      <w:sz w:val="20"/>
    </w:rPr>
  </w:style>
  <w:style w:type="paragraph" w:styleId="Heading5">
    <w:name w:val="heading 5"/>
    <w:basedOn w:val="Normal"/>
    <w:next w:val="BodyText"/>
    <w:link w:val="Heading5Char"/>
    <w:qFormat/>
    <w:rsid w:val="004E26E2"/>
    <w:pPr>
      <w:keepNext/>
      <w:keepLines/>
      <w:numPr>
        <w:ilvl w:val="4"/>
        <w:numId w:val="4"/>
      </w:numPr>
      <w:spacing w:after="0"/>
      <w:outlineLvl w:val="4"/>
    </w:pPr>
    <w:rPr>
      <w:rFonts w:ascii="Arial" w:hAnsi="Arial" w:cs="Arial"/>
      <w:b/>
      <w:i/>
      <w:color w:val="DA291C" w:themeColor="accent1"/>
      <w:sz w:val="20"/>
    </w:rPr>
  </w:style>
  <w:style w:type="paragraph" w:styleId="Heading6">
    <w:name w:val="heading 6"/>
    <w:basedOn w:val="Normal"/>
    <w:next w:val="Normal"/>
    <w:link w:val="Heading6Char"/>
    <w:qFormat/>
    <w:rsid w:val="00495B91"/>
    <w:pPr>
      <w:numPr>
        <w:ilvl w:val="5"/>
        <w:numId w:val="4"/>
      </w:numPr>
      <w:spacing w:before="60" w:after="60"/>
      <w:outlineLvl w:val="5"/>
    </w:pPr>
    <w:rPr>
      <w:b/>
      <w:bCs/>
      <w:szCs w:val="22"/>
    </w:rPr>
  </w:style>
  <w:style w:type="paragraph" w:styleId="Heading7">
    <w:name w:val="heading 7"/>
    <w:basedOn w:val="Normal"/>
    <w:next w:val="Normal"/>
    <w:link w:val="Heading7Char"/>
    <w:qFormat/>
    <w:rsid w:val="003A3403"/>
    <w:pPr>
      <w:numPr>
        <w:ilvl w:val="6"/>
        <w:numId w:val="4"/>
      </w:numPr>
      <w:spacing w:before="240" w:after="60"/>
      <w:outlineLvl w:val="6"/>
    </w:pPr>
    <w:rPr>
      <w:szCs w:val="24"/>
    </w:rPr>
  </w:style>
  <w:style w:type="paragraph" w:styleId="Heading8">
    <w:name w:val="heading 8"/>
    <w:basedOn w:val="Normal"/>
    <w:next w:val="Normal"/>
    <w:link w:val="Heading8Char"/>
    <w:qFormat/>
    <w:rsid w:val="003A3403"/>
    <w:pPr>
      <w:numPr>
        <w:ilvl w:val="7"/>
        <w:numId w:val="4"/>
      </w:numPr>
      <w:spacing w:before="240" w:after="60"/>
      <w:outlineLvl w:val="7"/>
    </w:pPr>
    <w:rPr>
      <w:i/>
      <w:iCs/>
      <w:szCs w:val="24"/>
    </w:rPr>
  </w:style>
  <w:style w:type="paragraph" w:styleId="Heading9">
    <w:name w:val="heading 9"/>
    <w:basedOn w:val="Normal"/>
    <w:next w:val="Normal"/>
    <w:link w:val="Heading9Char"/>
    <w:qFormat/>
    <w:rsid w:val="003A3403"/>
    <w:pPr>
      <w:numPr>
        <w:ilvl w:val="8"/>
        <w:numId w:val="4"/>
      </w:numPr>
      <w:spacing w:before="240" w:after="60"/>
      <w:outlineLvl w:val="8"/>
    </w:pPr>
    <w:rPr>
      <w:rFonts w:ascii="Arial" w:hAnsi="Arial"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rsid w:val="00967D7C"/>
    <w:pPr>
      <w:pBdr>
        <w:top w:val="single" w:sz="12" w:space="1" w:color="898D8D"/>
      </w:pBdr>
      <w:tabs>
        <w:tab w:val="center" w:pos="4507"/>
        <w:tab w:val="right" w:pos="9000"/>
      </w:tabs>
      <w:spacing w:after="0"/>
    </w:pPr>
    <w:rPr>
      <w:rFonts w:ascii="Arial" w:hAnsi="Arial"/>
      <w:b/>
      <w:color w:val="595959" w:themeColor="text1" w:themeTint="A6"/>
      <w:sz w:val="18"/>
    </w:rPr>
  </w:style>
  <w:style w:type="character" w:customStyle="1" w:styleId="FooterChar">
    <w:name w:val="Footer Char"/>
    <w:basedOn w:val="DefaultParagraphFont"/>
    <w:link w:val="Footer"/>
    <w:rsid w:val="00967D7C"/>
    <w:rPr>
      <w:rFonts w:ascii="Arial" w:hAnsi="Arial"/>
      <w:b/>
      <w:color w:val="595959" w:themeColor="text1" w:themeTint="A6"/>
      <w:sz w:val="18"/>
    </w:rPr>
  </w:style>
  <w:style w:type="paragraph" w:customStyle="1" w:styleId="ExhibitRowHeader">
    <w:name w:val="Exhibit Row Header"/>
    <w:rsid w:val="003470C3"/>
    <w:pPr>
      <w:spacing w:before="20" w:after="20"/>
    </w:pPr>
    <w:rPr>
      <w:rFonts w:ascii="Arial" w:hAnsi="Arial" w:cs="Arial"/>
      <w:b/>
      <w:color w:val="F8F8F8"/>
    </w:rPr>
  </w:style>
  <w:style w:type="paragraph" w:styleId="BodyText">
    <w:name w:val="Body Text"/>
    <w:basedOn w:val="Normal"/>
    <w:link w:val="BodyTextChar"/>
    <w:uiPriority w:val="99"/>
    <w:rsid w:val="00EC4C30"/>
  </w:style>
  <w:style w:type="character" w:customStyle="1" w:styleId="BodyTextChar">
    <w:name w:val="Body Text Char"/>
    <w:basedOn w:val="DefaultParagraphFont"/>
    <w:link w:val="BodyText"/>
    <w:uiPriority w:val="99"/>
    <w:rsid w:val="00EC4C30"/>
    <w:rPr>
      <w:sz w:val="24"/>
    </w:rPr>
  </w:style>
  <w:style w:type="character" w:styleId="PageNumber">
    <w:name w:val="page number"/>
    <w:basedOn w:val="DefaultParagraphFont"/>
    <w:rsid w:val="001034D7"/>
    <w:rPr>
      <w:rFonts w:ascii="Arial" w:hAnsi="Arial"/>
      <w:b/>
      <w:dstrike w:val="0"/>
      <w:color w:val="595959" w:themeColor="text1" w:themeTint="A6"/>
      <w:sz w:val="18"/>
      <w:bdr w:val="none" w:sz="0" w:space="0" w:color="auto"/>
      <w:vertAlign w:val="baseline"/>
    </w:rPr>
  </w:style>
  <w:style w:type="paragraph" w:customStyle="1" w:styleId="Bullets">
    <w:name w:val="Bullets"/>
    <w:basedOn w:val="BodyText"/>
    <w:rsid w:val="007406DD"/>
    <w:pPr>
      <w:numPr>
        <w:numId w:val="3"/>
      </w:numPr>
      <w:contextualSpacing/>
    </w:pPr>
  </w:style>
  <w:style w:type="paragraph" w:customStyle="1" w:styleId="RefNumbers">
    <w:name w:val="Ref Numbers"/>
    <w:basedOn w:val="BodyText"/>
    <w:pPr>
      <w:numPr>
        <w:numId w:val="2"/>
      </w:numPr>
      <w:spacing w:after="240"/>
    </w:pPr>
  </w:style>
  <w:style w:type="paragraph" w:styleId="Header">
    <w:name w:val="header"/>
    <w:basedOn w:val="Normal"/>
    <w:link w:val="HeaderChar"/>
    <w:uiPriority w:val="99"/>
    <w:rsid w:val="0042544A"/>
    <w:pPr>
      <w:pBdr>
        <w:top w:val="single" w:sz="12" w:space="1" w:color="4F5353"/>
        <w:bottom w:val="single" w:sz="12" w:space="1" w:color="4F5353"/>
      </w:pBdr>
      <w:shd w:val="clear" w:color="auto" w:fill="4F5353"/>
      <w:tabs>
        <w:tab w:val="right" w:pos="9000"/>
      </w:tabs>
      <w:jc w:val="right"/>
    </w:pPr>
    <w:rPr>
      <w:rFonts w:ascii="Arial" w:hAnsi="Arial" w:cs="Arial"/>
      <w:b/>
      <w:color w:val="FFFFFF"/>
      <w:spacing w:val="20"/>
      <w:szCs w:val="24"/>
    </w:rPr>
  </w:style>
  <w:style w:type="paragraph" w:styleId="TOC1">
    <w:name w:val="toc 1"/>
    <w:next w:val="BodyText"/>
    <w:uiPriority w:val="39"/>
    <w:rsid w:val="006247AB"/>
    <w:pPr>
      <w:tabs>
        <w:tab w:val="left" w:pos="540"/>
        <w:tab w:val="left" w:pos="1440"/>
        <w:tab w:val="right" w:leader="dot" w:pos="9360"/>
      </w:tabs>
      <w:spacing w:before="240"/>
      <w:ind w:left="540" w:right="360" w:hanging="540"/>
    </w:pPr>
    <w:rPr>
      <w:rFonts w:ascii="Arial" w:hAnsi="Arial"/>
      <w:b/>
      <w:noProof/>
      <w:sz w:val="24"/>
    </w:rPr>
  </w:style>
  <w:style w:type="character" w:styleId="CommentReference">
    <w:name w:val="annotation reference"/>
    <w:basedOn w:val="DefaultParagraphFont"/>
    <w:uiPriority w:val="99"/>
    <w:semiHidden/>
    <w:rPr>
      <w:sz w:val="16"/>
    </w:rPr>
  </w:style>
  <w:style w:type="paragraph" w:styleId="TOC2">
    <w:name w:val="toc 2"/>
    <w:next w:val="BodyText"/>
    <w:uiPriority w:val="39"/>
    <w:rsid w:val="006247AB"/>
    <w:pPr>
      <w:tabs>
        <w:tab w:val="left" w:pos="1080"/>
        <w:tab w:val="right" w:leader="dot" w:pos="9360"/>
      </w:tabs>
      <w:ind w:left="1080" w:right="360" w:hanging="540"/>
    </w:pPr>
    <w:rPr>
      <w:noProof/>
      <w:sz w:val="24"/>
    </w:rPr>
  </w:style>
  <w:style w:type="paragraph" w:styleId="TOC3">
    <w:name w:val="toc 3"/>
    <w:next w:val="BodyText"/>
    <w:uiPriority w:val="39"/>
    <w:rsid w:val="006247AB"/>
    <w:pPr>
      <w:tabs>
        <w:tab w:val="left" w:pos="1800"/>
        <w:tab w:val="right" w:leader="dot" w:pos="9360"/>
      </w:tabs>
      <w:ind w:left="1800" w:right="360" w:hanging="720"/>
    </w:pPr>
    <w:rPr>
      <w:noProof/>
      <w:sz w:val="24"/>
    </w:rPr>
  </w:style>
  <w:style w:type="paragraph" w:styleId="TOC4">
    <w:name w:val="toc 4"/>
    <w:basedOn w:val="BodyText"/>
    <w:next w:val="BodyText"/>
    <w:uiPriority w:val="39"/>
    <w:rsid w:val="006C61C5"/>
    <w:pPr>
      <w:tabs>
        <w:tab w:val="right" w:leader="dot" w:pos="8990"/>
      </w:tabs>
      <w:spacing w:after="0"/>
      <w:ind w:left="117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FootnoteReference">
    <w:name w:val="footnote reference"/>
    <w:basedOn w:val="DefaultParagraphFont"/>
    <w:uiPriority w:val="99"/>
    <w:rsid w:val="007B1904"/>
    <w:rPr>
      <w:vertAlign w:val="superscript"/>
    </w:rPr>
  </w:style>
  <w:style w:type="paragraph" w:styleId="FootnoteText">
    <w:name w:val="footnote text"/>
    <w:basedOn w:val="Normal"/>
    <w:link w:val="FootnoteTextChar"/>
    <w:uiPriority w:val="99"/>
    <w:pPr>
      <w:spacing w:after="120"/>
      <w:ind w:left="360" w:hanging="360"/>
    </w:pPr>
    <w:rPr>
      <w:sz w:val="20"/>
    </w:rPr>
  </w:style>
  <w:style w:type="paragraph" w:styleId="Index1">
    <w:name w:val="index 1"/>
    <w:basedOn w:val="Normal"/>
    <w:next w:val="Normal"/>
    <w:autoRedefine/>
    <w:semiHidden/>
    <w:pPr>
      <w:ind w:left="220" w:hanging="220"/>
    </w:pPr>
    <w:rPr>
      <w:sz w:val="20"/>
    </w:rPr>
  </w:style>
  <w:style w:type="paragraph" w:styleId="Index2">
    <w:name w:val="index 2"/>
    <w:basedOn w:val="Normal"/>
    <w:next w:val="Normal"/>
    <w:autoRedefine/>
    <w:semiHidden/>
    <w:pPr>
      <w:ind w:left="440" w:hanging="220"/>
    </w:pPr>
    <w:rPr>
      <w:sz w:val="20"/>
    </w:rPr>
  </w:style>
  <w:style w:type="paragraph" w:styleId="Index3">
    <w:name w:val="index 3"/>
    <w:basedOn w:val="Normal"/>
    <w:next w:val="Normal"/>
    <w:autoRedefine/>
    <w:semiHidden/>
    <w:pPr>
      <w:ind w:left="660" w:hanging="220"/>
    </w:pPr>
    <w:rPr>
      <w:sz w:val="20"/>
    </w:rPr>
  </w:style>
  <w:style w:type="paragraph" w:customStyle="1" w:styleId="Numbers">
    <w:name w:val="Numbers"/>
    <w:basedOn w:val="BodyText"/>
    <w:pPr>
      <w:numPr>
        <w:numId w:val="1"/>
      </w:numPr>
      <w:ind w:left="720"/>
    </w:pPr>
  </w:style>
  <w:style w:type="paragraph" w:customStyle="1" w:styleId="BoxText">
    <w:name w:val="Box Text"/>
    <w:basedOn w:val="BodyText"/>
    <w:rsid w:val="00C6380F"/>
    <w:rPr>
      <w:rFonts w:ascii="Arial" w:hAnsi="Arial" w:cs="Arial"/>
      <w:sz w:val="18"/>
    </w:rPr>
  </w:style>
  <w:style w:type="paragraph" w:styleId="CommentText">
    <w:name w:val="annotation text"/>
    <w:basedOn w:val="Normal"/>
    <w:link w:val="CommentTextChar"/>
    <w:uiPriority w:val="99"/>
    <w:semiHidden/>
    <w:rsid w:val="00D34EEE"/>
    <w:rPr>
      <w:sz w:val="20"/>
    </w:rPr>
  </w:style>
  <w:style w:type="paragraph" w:styleId="CommentSubject">
    <w:name w:val="annotation subject"/>
    <w:basedOn w:val="CommentText"/>
    <w:next w:val="CommentText"/>
    <w:link w:val="CommentSubjectChar"/>
    <w:uiPriority w:val="99"/>
    <w:semiHidden/>
    <w:rsid w:val="00D34EEE"/>
    <w:rPr>
      <w:b/>
      <w:bCs/>
    </w:rPr>
  </w:style>
  <w:style w:type="paragraph" w:styleId="BalloonText">
    <w:name w:val="Balloon Text"/>
    <w:basedOn w:val="Normal"/>
    <w:link w:val="BalloonTextChar"/>
    <w:uiPriority w:val="99"/>
    <w:semiHidden/>
    <w:rsid w:val="00D34EEE"/>
    <w:rPr>
      <w:rFonts w:ascii="Tahoma" w:hAnsi="Tahoma" w:cs="Tahoma"/>
      <w:sz w:val="16"/>
      <w:szCs w:val="16"/>
    </w:rPr>
  </w:style>
  <w:style w:type="table" w:styleId="TableGrid">
    <w:name w:val="Table Grid"/>
    <w:basedOn w:val="TableNormal"/>
    <w:uiPriority w:val="59"/>
    <w:rsid w:val="005B1AC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752119"/>
    <w:rPr>
      <w:color w:val="0000FF"/>
      <w:u w:val="single"/>
    </w:rPr>
  </w:style>
  <w:style w:type="paragraph" w:customStyle="1" w:styleId="TOCHeader">
    <w:name w:val="TOC Header"/>
    <w:basedOn w:val="Normal"/>
    <w:next w:val="BodyText"/>
    <w:rsid w:val="002064D3"/>
    <w:rPr>
      <w:rFonts w:ascii="Arial" w:hAnsi="Arial"/>
      <w:b/>
      <w:color w:val="898D8D"/>
    </w:rPr>
  </w:style>
  <w:style w:type="paragraph" w:customStyle="1" w:styleId="VolumeHeader">
    <w:name w:val="Volume Header"/>
    <w:basedOn w:val="Normal"/>
    <w:next w:val="BodyText"/>
    <w:rsid w:val="002064D3"/>
    <w:pPr>
      <w:pBdr>
        <w:top w:val="single" w:sz="2" w:space="2" w:color="DA291C"/>
        <w:bottom w:val="single" w:sz="2" w:space="2" w:color="DA291C"/>
      </w:pBdr>
      <w:shd w:val="clear" w:color="auto" w:fill="DA291C"/>
      <w:tabs>
        <w:tab w:val="left" w:pos="1170"/>
      </w:tabs>
    </w:pPr>
    <w:rPr>
      <w:rFonts w:ascii="Arial Bold" w:hAnsi="Arial Bold"/>
      <w:b/>
      <w:color w:val="FFFFFF"/>
      <w:szCs w:val="24"/>
    </w:rPr>
  </w:style>
  <w:style w:type="paragraph" w:styleId="Caption">
    <w:name w:val="caption"/>
    <w:basedOn w:val="Normal"/>
    <w:next w:val="Normal"/>
    <w:qFormat/>
    <w:rsid w:val="00642069"/>
    <w:pPr>
      <w:keepNext/>
      <w:keepLines/>
      <w:widowControl w:val="0"/>
      <w:tabs>
        <w:tab w:val="left" w:pos="1440"/>
      </w:tabs>
      <w:spacing w:after="120"/>
      <w:ind w:left="1440" w:hanging="1440"/>
    </w:pPr>
    <w:rPr>
      <w:rFonts w:ascii="Arial" w:hAnsi="Arial"/>
      <w:b/>
      <w:bCs/>
    </w:rPr>
  </w:style>
  <w:style w:type="paragraph" w:customStyle="1" w:styleId="FooterLandscape">
    <w:name w:val="Footer Landscape"/>
    <w:basedOn w:val="Footer"/>
    <w:rsid w:val="00EE1D07"/>
    <w:pPr>
      <w:tabs>
        <w:tab w:val="clear" w:pos="4507"/>
        <w:tab w:val="clear" w:pos="9000"/>
        <w:tab w:val="center" w:pos="6480"/>
        <w:tab w:val="right" w:pos="12960"/>
      </w:tabs>
    </w:pPr>
  </w:style>
  <w:style w:type="paragraph" w:customStyle="1" w:styleId="CoverTechorBusiness">
    <w:name w:val="Cover Tech or Business"/>
    <w:basedOn w:val="Normal"/>
    <w:qFormat/>
    <w:rsid w:val="0099262A"/>
    <w:pPr>
      <w:shd w:val="solid" w:color="FFFFFF" w:fill="FFFFFF"/>
      <w:spacing w:line="276" w:lineRule="auto"/>
      <w:jc w:val="right"/>
    </w:pPr>
    <w:rPr>
      <w:rFonts w:ascii="Arial" w:hAnsi="Arial"/>
      <w:color w:val="DA291C"/>
      <w:sz w:val="20"/>
    </w:rPr>
  </w:style>
  <w:style w:type="paragraph" w:customStyle="1" w:styleId="Bullet2">
    <w:name w:val="Bullet2"/>
    <w:basedOn w:val="Normal"/>
    <w:rsid w:val="00240E92"/>
    <w:pPr>
      <w:numPr>
        <w:numId w:val="5"/>
      </w:numPr>
      <w:spacing w:after="0"/>
    </w:pPr>
  </w:style>
  <w:style w:type="paragraph" w:customStyle="1" w:styleId="ProposalTitle">
    <w:name w:val="Proposal Title"/>
    <w:basedOn w:val="Normal"/>
    <w:qFormat/>
    <w:rsid w:val="00536DB4"/>
    <w:pPr>
      <w:autoSpaceDE w:val="0"/>
      <w:autoSpaceDN w:val="0"/>
      <w:adjustRightInd w:val="0"/>
      <w:ind w:left="6696" w:right="-792"/>
    </w:pPr>
    <w:rPr>
      <w:b/>
      <w:sz w:val="32"/>
      <w:szCs w:val="32"/>
    </w:rPr>
  </w:style>
  <w:style w:type="paragraph" w:customStyle="1" w:styleId="RFPNumber">
    <w:name w:val="RFP Number"/>
    <w:basedOn w:val="Normal"/>
    <w:qFormat/>
    <w:rsid w:val="00536DB4"/>
    <w:pPr>
      <w:autoSpaceDE w:val="0"/>
      <w:autoSpaceDN w:val="0"/>
      <w:adjustRightInd w:val="0"/>
      <w:ind w:left="6696" w:right="-792"/>
    </w:pPr>
    <w:rPr>
      <w:sz w:val="32"/>
      <w:szCs w:val="32"/>
    </w:rPr>
  </w:style>
  <w:style w:type="paragraph" w:customStyle="1" w:styleId="CoverTextRed14pt">
    <w:name w:val="Cover Text  Red 14pt"/>
    <w:basedOn w:val="Normal"/>
    <w:qFormat/>
    <w:rsid w:val="00AB65FC"/>
    <w:pPr>
      <w:tabs>
        <w:tab w:val="left" w:pos="720"/>
        <w:tab w:val="left" w:pos="1080"/>
        <w:tab w:val="left" w:pos="1440"/>
        <w:tab w:val="left" w:pos="1800"/>
        <w:tab w:val="left" w:pos="6660"/>
      </w:tabs>
      <w:spacing w:after="0"/>
      <w:ind w:left="6494" w:right="-547"/>
      <w:jc w:val="right"/>
    </w:pPr>
    <w:rPr>
      <w:rFonts w:ascii="Arial" w:hAnsi="Arial"/>
      <w:b/>
      <w:color w:val="DA291C" w:themeColor="accent1"/>
      <w:sz w:val="28"/>
      <w:szCs w:val="32"/>
    </w:rPr>
  </w:style>
  <w:style w:type="paragraph" w:customStyle="1" w:styleId="CoverText11pt">
    <w:name w:val="Cover Text 11 pt"/>
    <w:basedOn w:val="Normal"/>
    <w:qFormat/>
    <w:rsid w:val="001E2CF1"/>
    <w:pPr>
      <w:tabs>
        <w:tab w:val="left" w:pos="720"/>
        <w:tab w:val="left" w:pos="1080"/>
        <w:tab w:val="left" w:pos="1440"/>
        <w:tab w:val="left" w:pos="1800"/>
        <w:tab w:val="left" w:pos="6660"/>
      </w:tabs>
      <w:spacing w:after="0"/>
      <w:ind w:left="6490" w:right="-540"/>
      <w:jc w:val="right"/>
    </w:pPr>
    <w:rPr>
      <w:rFonts w:ascii="Arial" w:hAnsi="Arial"/>
      <w:i/>
      <w:color w:val="616662"/>
      <w:szCs w:val="24"/>
    </w:rPr>
  </w:style>
  <w:style w:type="paragraph" w:customStyle="1" w:styleId="CoverText-Address">
    <w:name w:val="Cover Text - Address"/>
    <w:basedOn w:val="Normal"/>
    <w:qFormat/>
    <w:rsid w:val="00AB65FC"/>
    <w:pPr>
      <w:tabs>
        <w:tab w:val="left" w:pos="720"/>
        <w:tab w:val="left" w:pos="1080"/>
        <w:tab w:val="left" w:pos="1440"/>
        <w:tab w:val="left" w:pos="1800"/>
        <w:tab w:val="left" w:pos="6660"/>
      </w:tabs>
      <w:spacing w:after="0"/>
      <w:ind w:left="6494" w:right="-547"/>
      <w:jc w:val="right"/>
    </w:pPr>
    <w:rPr>
      <w:rFonts w:ascii="Arial" w:hAnsi="Arial"/>
      <w:color w:val="616662"/>
      <w:szCs w:val="24"/>
    </w:rPr>
  </w:style>
  <w:style w:type="character" w:customStyle="1" w:styleId="FootnoteTextChar">
    <w:name w:val="Footnote Text Char"/>
    <w:basedOn w:val="DefaultParagraphFont"/>
    <w:link w:val="FootnoteText"/>
    <w:uiPriority w:val="99"/>
    <w:rsid w:val="00574572"/>
  </w:style>
  <w:style w:type="paragraph" w:customStyle="1" w:styleId="TableText">
    <w:name w:val="Table Text"/>
    <w:basedOn w:val="Normal"/>
    <w:qFormat/>
    <w:rsid w:val="009550AD"/>
    <w:pPr>
      <w:spacing w:before="40" w:after="40"/>
    </w:pPr>
    <w:rPr>
      <w:rFonts w:ascii="Arial" w:hAnsi="Arial" w:cs="Arial"/>
      <w:bCs/>
      <w:color w:val="000000"/>
      <w:sz w:val="20"/>
    </w:rPr>
  </w:style>
  <w:style w:type="paragraph" w:customStyle="1" w:styleId="ExhibitSource">
    <w:name w:val="Exhibit Source"/>
    <w:basedOn w:val="Normal"/>
    <w:qFormat/>
    <w:rsid w:val="003729AE"/>
    <w:pPr>
      <w:spacing w:before="120" w:after="240"/>
    </w:pPr>
    <w:rPr>
      <w:rFonts w:ascii="Arial Narrow" w:hAnsi="Arial Narrow" w:cs="Arial"/>
      <w:sz w:val="18"/>
    </w:rPr>
  </w:style>
  <w:style w:type="paragraph" w:customStyle="1" w:styleId="ExhibitText">
    <w:name w:val="Exhibit Text"/>
    <w:basedOn w:val="TableText"/>
    <w:qFormat/>
    <w:rsid w:val="007F4BFB"/>
    <w:rPr>
      <w:rFonts w:ascii="Arial Narrow" w:hAnsi="Arial Narrow"/>
      <w:sz w:val="22"/>
    </w:rPr>
  </w:style>
  <w:style w:type="paragraph" w:customStyle="1" w:styleId="CoverTextGreyBold">
    <w:name w:val="Cover Text Grey Bold"/>
    <w:basedOn w:val="Normal"/>
    <w:qFormat/>
    <w:rsid w:val="00744E2C"/>
    <w:pPr>
      <w:tabs>
        <w:tab w:val="left" w:pos="720"/>
        <w:tab w:val="left" w:pos="1080"/>
        <w:tab w:val="left" w:pos="1440"/>
        <w:tab w:val="left" w:pos="1800"/>
        <w:tab w:val="left" w:pos="6660"/>
      </w:tabs>
      <w:spacing w:after="0"/>
      <w:ind w:left="6490" w:right="-540"/>
      <w:jc w:val="right"/>
    </w:pPr>
    <w:rPr>
      <w:rFonts w:ascii="Arial" w:hAnsi="Arial"/>
      <w:b/>
      <w:color w:val="616662"/>
      <w:szCs w:val="24"/>
    </w:rPr>
  </w:style>
  <w:style w:type="paragraph" w:customStyle="1" w:styleId="Disclaimer">
    <w:name w:val="Disclaimer"/>
    <w:basedOn w:val="Normal"/>
    <w:qFormat/>
    <w:rsid w:val="00744E2C"/>
    <w:pPr>
      <w:shd w:val="solid" w:color="FFFFFF" w:fill="FFFFFF"/>
      <w:jc w:val="both"/>
    </w:pPr>
    <w:rPr>
      <w:rFonts w:ascii="Arial" w:hAnsi="Arial"/>
      <w:color w:val="000000"/>
      <w:sz w:val="18"/>
    </w:rPr>
  </w:style>
  <w:style w:type="table" w:customStyle="1" w:styleId="AbtFinal">
    <w:name w:val="Abt Final"/>
    <w:basedOn w:val="TableNormal"/>
    <w:uiPriority w:val="99"/>
    <w:rsid w:val="007F5611"/>
    <w:rPr>
      <w:rFonts w:ascii="Arial Narrow" w:hAnsi="Arial Narrow"/>
      <w:sz w:val="18"/>
    </w:rPr>
    <w:tblPr>
      <w:tblStyleRow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jc w:val="left"/>
      </w:pPr>
      <w:rPr>
        <w:rFonts w:ascii="Arial Narrow" w:hAnsi="Arial Narrow"/>
        <w:b/>
        <w:caps w:val="0"/>
        <w:smallCaps w:val="0"/>
        <w:strike w:val="0"/>
        <w:dstrike w:val="0"/>
        <w:vanish w:val="0"/>
        <w:sz w:val="18"/>
        <w:vertAlign w:val="baseline"/>
      </w:rPr>
      <w:tblPr/>
      <w:tcPr>
        <w:tcBorders>
          <w:top w:val="single" w:sz="8" w:space="0" w:color="auto"/>
          <w:left w:val="single" w:sz="8" w:space="0" w:color="auto"/>
          <w:bottom w:val="single" w:sz="8" w:space="0" w:color="auto"/>
          <w:right w:val="single" w:sz="8" w:space="0" w:color="auto"/>
          <w:insideH w:val="single" w:sz="4" w:space="0" w:color="auto"/>
          <w:insideV w:val="single" w:sz="8" w:space="0" w:color="auto"/>
        </w:tcBorders>
        <w:shd w:val="clear" w:color="auto" w:fill="C3C6A8" w:themeFill="accent4"/>
      </w:tcPr>
    </w:tblStylePr>
    <w:tblStylePr w:type="lastRow">
      <w:pPr>
        <w:jc w:val="left"/>
      </w:pPr>
      <w:rPr>
        <w:rFonts w:ascii="Arial" w:hAnsi="Arial"/>
        <w:sz w:val="18"/>
      </w:rPr>
      <w:tblPr/>
      <w:tcPr>
        <w:tcBorders>
          <w:top w:val="single" w:sz="8" w:space="0" w:color="auto"/>
          <w:left w:val="single" w:sz="8" w:space="0" w:color="auto"/>
          <w:bottom w:val="single" w:sz="8" w:space="0" w:color="auto"/>
          <w:right w:val="single" w:sz="8" w:space="0" w:color="auto"/>
          <w:insideH w:val="nil"/>
          <w:insideV w:val="single" w:sz="8" w:space="0" w:color="auto"/>
          <w:tl2br w:val="nil"/>
          <w:tr2bl w:val="nil"/>
        </w:tcBorders>
        <w:shd w:val="clear" w:color="auto" w:fill="898D8D" w:themeFill="accent2"/>
      </w:tcPr>
    </w:tblStylePr>
    <w:tblStylePr w:type="band1Horz">
      <w:rPr>
        <w:rFonts w:ascii="Arial Narrow" w:hAnsi="Arial Narrow"/>
        <w:sz w:val="18"/>
      </w:rPr>
      <w:tblPr/>
      <w:tcPr>
        <w:tcBorders>
          <w:top w:val="single" w:sz="8"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l2br w:val="nil"/>
          <w:tr2bl w:val="nil"/>
        </w:tcBorders>
        <w:shd w:val="clear" w:color="auto" w:fill="E7E8E8" w:themeFill="accent2" w:themeFillTint="33"/>
      </w:tcPr>
    </w:tblStylePr>
    <w:tblStylePr w:type="band2Horz">
      <w:rPr>
        <w:rFonts w:ascii="Arial Narrow" w:hAnsi="Arial Narrow"/>
        <w:sz w:val="18"/>
      </w:rPr>
      <w:tblPr/>
      <w:tcPr>
        <w:tc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l2br w:val="nil"/>
          <w:tr2bl w:val="nil"/>
        </w:tcBorders>
      </w:tcPr>
    </w:tblStylePr>
  </w:style>
  <w:style w:type="paragraph" w:customStyle="1" w:styleId="Default">
    <w:name w:val="Default"/>
    <w:rsid w:val="006C1434"/>
    <w:pPr>
      <w:autoSpaceDE w:val="0"/>
      <w:autoSpaceDN w:val="0"/>
      <w:adjustRightInd w:val="0"/>
    </w:pPr>
    <w:rPr>
      <w:rFonts w:ascii="Gotham" w:hAnsi="Gotham" w:cs="Gotham"/>
      <w:color w:val="000000"/>
      <w:sz w:val="24"/>
      <w:szCs w:val="24"/>
    </w:rPr>
  </w:style>
  <w:style w:type="paragraph" w:styleId="NoSpacing">
    <w:name w:val="No Spacing"/>
    <w:uiPriority w:val="1"/>
    <w:qFormat/>
    <w:rsid w:val="00B9148E"/>
    <w:rPr>
      <w:rFonts w:asciiTheme="minorHAnsi" w:eastAsiaTheme="minorHAnsi" w:hAnsiTheme="minorHAnsi" w:cstheme="minorBidi"/>
      <w:sz w:val="22"/>
      <w:szCs w:val="22"/>
    </w:rPr>
  </w:style>
  <w:style w:type="paragraph" w:customStyle="1" w:styleId="TaskStyle">
    <w:name w:val="Task Style"/>
    <w:basedOn w:val="Heading3"/>
    <w:next w:val="BodyText"/>
    <w:link w:val="TaskStyleChar"/>
    <w:qFormat/>
    <w:rsid w:val="00E8205A"/>
    <w:pPr>
      <w:pBdr>
        <w:bottom w:val="single" w:sz="12" w:space="1" w:color="898D8D" w:themeColor="accent2"/>
      </w:pBdr>
      <w:spacing w:after="60"/>
    </w:pPr>
    <w:rPr>
      <w:rFonts w:ascii="Arial" w:hAnsi="Arial" w:cs="Arial"/>
    </w:rPr>
  </w:style>
  <w:style w:type="character" w:customStyle="1" w:styleId="Heading4Char">
    <w:name w:val="Heading 4 Char"/>
    <w:basedOn w:val="DefaultParagraphFont"/>
    <w:link w:val="Heading4"/>
    <w:rsid w:val="004E26E2"/>
    <w:rPr>
      <w:rFonts w:ascii="Arial Bold" w:hAnsi="Arial Bold"/>
      <w:b/>
    </w:rPr>
  </w:style>
  <w:style w:type="character" w:customStyle="1" w:styleId="TaskStyleChar">
    <w:name w:val="Task Style Char"/>
    <w:basedOn w:val="Heading4Char"/>
    <w:link w:val="TaskStyle"/>
    <w:rsid w:val="00E8205A"/>
    <w:rPr>
      <w:rFonts w:ascii="Arial" w:hAnsi="Arial" w:cs="Arial"/>
      <w:b/>
      <w:color w:val="DA291C" w:themeColor="accent1"/>
      <w:sz w:val="24"/>
      <w:szCs w:val="24"/>
    </w:rPr>
  </w:style>
  <w:style w:type="paragraph" w:styleId="ListParagraph">
    <w:name w:val="List Paragraph"/>
    <w:basedOn w:val="Normal"/>
    <w:link w:val="ListParagraphChar"/>
    <w:uiPriority w:val="34"/>
    <w:qFormat/>
    <w:rsid w:val="00947565"/>
    <w:pPr>
      <w:spacing w:after="200" w:line="276" w:lineRule="auto"/>
      <w:ind w:left="720"/>
      <w:contextualSpacing/>
    </w:pPr>
    <w:rPr>
      <w:rFonts w:asciiTheme="minorHAnsi" w:eastAsiaTheme="minorHAnsi" w:hAnsiTheme="minorHAnsi" w:cstheme="minorBidi"/>
      <w:szCs w:val="22"/>
    </w:rPr>
  </w:style>
  <w:style w:type="paragraph" w:customStyle="1" w:styleId="TOCMainHeaders">
    <w:name w:val="TOC Main Headers"/>
    <w:basedOn w:val="TOC1"/>
    <w:qFormat/>
    <w:rsid w:val="0053086A"/>
    <w:pPr>
      <w:tabs>
        <w:tab w:val="left" w:pos="576"/>
        <w:tab w:val="right" w:leader="dot" w:pos="8990"/>
      </w:tabs>
      <w:spacing w:after="180"/>
    </w:pPr>
    <w:rPr>
      <w:rFonts w:cs="Arial"/>
      <w:color w:val="DA291C" w:themeColor="accent1"/>
      <w:sz w:val="28"/>
    </w:rPr>
  </w:style>
  <w:style w:type="paragraph" w:customStyle="1" w:styleId="Call-OutBoxTextHeader">
    <w:name w:val="Call-Out Box Text Header"/>
    <w:basedOn w:val="NoSpacing"/>
    <w:qFormat/>
    <w:rsid w:val="0053086A"/>
    <w:pPr>
      <w:ind w:left="180" w:right="204"/>
    </w:pPr>
    <w:rPr>
      <w:rFonts w:ascii="Arial" w:hAnsi="Arial" w:cs="Arial"/>
      <w:b/>
      <w:color w:val="DA291C" w:themeColor="accent1"/>
    </w:rPr>
  </w:style>
  <w:style w:type="paragraph" w:customStyle="1" w:styleId="Call-OutBoxTextArial">
    <w:name w:val="Call-Out Box Text (Arial)"/>
    <w:basedOn w:val="NoSpacing"/>
    <w:qFormat/>
    <w:rsid w:val="00862448"/>
    <w:pPr>
      <w:ind w:left="180" w:right="204"/>
    </w:pPr>
    <w:rPr>
      <w:rFonts w:ascii="Arial" w:hAnsi="Arial" w:cs="Arial"/>
      <w:i/>
    </w:rPr>
  </w:style>
  <w:style w:type="table" w:styleId="Table3Deffects1">
    <w:name w:val="Table 3D effects 1"/>
    <w:basedOn w:val="TableNormal"/>
    <w:rsid w:val="000247F7"/>
    <w:pPr>
      <w:spacing w:after="180" w:line="264" w:lineRule="auto"/>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Abt">
    <w:name w:val="Abt"/>
    <w:basedOn w:val="AbtFinal"/>
    <w:uiPriority w:val="99"/>
    <w:rsid w:val="00EC14FE"/>
    <w:rPr>
      <w:sz w:val="22"/>
    </w:rPr>
    <w:tblPr/>
    <w:tblStylePr w:type="firstRow">
      <w:pPr>
        <w:jc w:val="left"/>
      </w:pPr>
      <w:rPr>
        <w:rFonts w:ascii="Arial Narrow" w:hAnsi="Arial Narrow"/>
        <w:b/>
        <w:caps w:val="0"/>
        <w:smallCaps w:val="0"/>
        <w:strike w:val="0"/>
        <w:dstrike w:val="0"/>
        <w:vanish w:val="0"/>
        <w:sz w:val="18"/>
        <w:vertAlign w:val="baseline"/>
      </w:rPr>
      <w:tblPr/>
      <w:tcPr>
        <w:tcBorders>
          <w:top w:val="single" w:sz="8" w:space="0" w:color="auto"/>
          <w:left w:val="single" w:sz="8" w:space="0" w:color="auto"/>
          <w:bottom w:val="single" w:sz="8" w:space="0" w:color="auto"/>
          <w:right w:val="single" w:sz="8" w:space="0" w:color="auto"/>
          <w:insideH w:val="single" w:sz="4" w:space="0" w:color="auto"/>
          <w:insideV w:val="single" w:sz="8" w:space="0" w:color="auto"/>
        </w:tcBorders>
        <w:shd w:val="clear" w:color="auto" w:fill="C3C6A8" w:themeFill="accent4"/>
      </w:tcPr>
    </w:tblStylePr>
    <w:tblStylePr w:type="lastRow">
      <w:pPr>
        <w:jc w:val="left"/>
      </w:pPr>
      <w:rPr>
        <w:rFonts w:ascii="Arial" w:hAnsi="Arial"/>
        <w:sz w:val="18"/>
      </w:rPr>
      <w:tblPr/>
      <w:tcPr>
        <w:tcBorders>
          <w:top w:val="single" w:sz="8" w:space="0" w:color="auto"/>
          <w:left w:val="single" w:sz="8" w:space="0" w:color="auto"/>
          <w:bottom w:val="single" w:sz="8" w:space="0" w:color="auto"/>
          <w:right w:val="single" w:sz="8" w:space="0" w:color="auto"/>
          <w:insideH w:val="nil"/>
          <w:insideV w:val="single" w:sz="8" w:space="0" w:color="auto"/>
          <w:tl2br w:val="nil"/>
          <w:tr2bl w:val="nil"/>
        </w:tcBorders>
        <w:shd w:val="clear" w:color="auto" w:fill="898D8D" w:themeFill="accent2"/>
      </w:tcPr>
    </w:tblStylePr>
    <w:tblStylePr w:type="band1Horz">
      <w:rPr>
        <w:rFonts w:ascii="Arial Narrow" w:hAnsi="Arial Narrow"/>
        <w:sz w:val="18"/>
      </w:rPr>
      <w:tblPr/>
      <w:tcPr>
        <w:tcBorders>
          <w:top w:val="single" w:sz="8"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l2br w:val="nil"/>
          <w:tr2bl w:val="nil"/>
        </w:tcBorders>
        <w:shd w:val="clear" w:color="auto" w:fill="E7E8E8" w:themeFill="accent2" w:themeFillTint="33"/>
      </w:tcPr>
    </w:tblStylePr>
    <w:tblStylePr w:type="band2Horz">
      <w:rPr>
        <w:rFonts w:ascii="Arial Narrow" w:hAnsi="Arial Narrow"/>
        <w:sz w:val="18"/>
      </w:rPr>
      <w:tblPr/>
      <w:tcPr>
        <w:tc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l2br w:val="nil"/>
          <w:tr2bl w:val="nil"/>
        </w:tcBorders>
      </w:tcPr>
    </w:tblStylePr>
  </w:style>
  <w:style w:type="paragraph" w:customStyle="1" w:styleId="CoverLetterTextOnly">
    <w:name w:val="Cover Letter Text Only"/>
    <w:qFormat/>
    <w:rsid w:val="00C33C0B"/>
    <w:rPr>
      <w:sz w:val="24"/>
    </w:rPr>
  </w:style>
  <w:style w:type="paragraph" w:customStyle="1" w:styleId="ExhibitColumnHead">
    <w:name w:val="Exhibit Column Head"/>
    <w:qFormat/>
    <w:rsid w:val="00862448"/>
    <w:pPr>
      <w:jc w:val="center"/>
    </w:pPr>
    <w:rPr>
      <w:rFonts w:ascii="Arial Narrow" w:hAnsi="Arial Narrow" w:cs="Arial"/>
      <w:b/>
      <w:color w:val="000000" w:themeColor="text1"/>
      <w:sz w:val="22"/>
    </w:rPr>
  </w:style>
  <w:style w:type="paragraph" w:customStyle="1" w:styleId="StaffResumeList">
    <w:name w:val="Staff Resume List"/>
    <w:qFormat/>
    <w:rsid w:val="005707D6"/>
    <w:pPr>
      <w:tabs>
        <w:tab w:val="right" w:pos="9000"/>
      </w:tabs>
    </w:pPr>
    <w:rPr>
      <w:rFonts w:eastAsiaTheme="minorHAnsi"/>
      <w:spacing w:val="-4"/>
      <w:sz w:val="24"/>
    </w:rPr>
  </w:style>
  <w:style w:type="paragraph" w:customStyle="1" w:styleId="Heading1Apps">
    <w:name w:val="Heading 1 Apps"/>
    <w:basedOn w:val="Heading1"/>
    <w:qFormat/>
    <w:rsid w:val="008877CC"/>
    <w:pPr>
      <w:numPr>
        <w:numId w:val="0"/>
      </w:numPr>
    </w:pPr>
  </w:style>
  <w:style w:type="paragraph" w:customStyle="1" w:styleId="ExhibitTextBullets">
    <w:name w:val="Exhibit Text Bullets"/>
    <w:basedOn w:val="ExhibitText"/>
    <w:qFormat/>
    <w:rsid w:val="003729AE"/>
    <w:pPr>
      <w:numPr>
        <w:numId w:val="6"/>
      </w:numPr>
      <w:spacing w:before="0" w:after="0"/>
      <w:ind w:left="252" w:hanging="180"/>
    </w:pPr>
  </w:style>
  <w:style w:type="paragraph" w:customStyle="1" w:styleId="TableParagraph">
    <w:name w:val="Table Paragraph"/>
    <w:basedOn w:val="Normal"/>
    <w:uiPriority w:val="1"/>
    <w:qFormat/>
    <w:rsid w:val="00AB65FC"/>
    <w:pPr>
      <w:widowControl w:val="0"/>
      <w:spacing w:after="0"/>
    </w:pPr>
    <w:rPr>
      <w:rFonts w:asciiTheme="minorHAnsi" w:eastAsiaTheme="minorHAnsi" w:hAnsiTheme="minorHAnsi" w:cstheme="minorBidi"/>
      <w:sz w:val="22"/>
      <w:szCs w:val="22"/>
    </w:rPr>
  </w:style>
  <w:style w:type="character" w:customStyle="1" w:styleId="CommentTextChar">
    <w:name w:val="Comment Text Char"/>
    <w:basedOn w:val="DefaultParagraphFont"/>
    <w:link w:val="CommentText"/>
    <w:uiPriority w:val="99"/>
    <w:semiHidden/>
    <w:rsid w:val="00711FAD"/>
  </w:style>
  <w:style w:type="character" w:customStyle="1" w:styleId="ListParagraphChar">
    <w:name w:val="List Paragraph Char"/>
    <w:link w:val="ListParagraph"/>
    <w:uiPriority w:val="34"/>
    <w:locked/>
    <w:rsid w:val="00676E70"/>
    <w:rPr>
      <w:rFonts w:asciiTheme="minorHAnsi" w:eastAsiaTheme="minorHAnsi" w:hAnsiTheme="minorHAnsi" w:cstheme="minorBidi"/>
      <w:sz w:val="24"/>
      <w:szCs w:val="22"/>
    </w:rPr>
  </w:style>
  <w:style w:type="paragraph" w:styleId="TOCHeading">
    <w:name w:val="TOC Heading"/>
    <w:basedOn w:val="Heading1"/>
    <w:next w:val="Normal"/>
    <w:uiPriority w:val="39"/>
    <w:semiHidden/>
    <w:unhideWhenUsed/>
    <w:qFormat/>
    <w:rsid w:val="00CF4476"/>
    <w:pPr>
      <w:numPr>
        <w:numId w:val="0"/>
      </w:numPr>
      <w:pBdr>
        <w:top w:val="none" w:sz="0" w:space="0" w:color="auto"/>
        <w:bottom w:val="none" w:sz="0" w:space="0" w:color="auto"/>
      </w:pBdr>
      <w:shd w:val="clear" w:color="auto" w:fill="auto"/>
      <w:spacing w:before="480" w:after="0"/>
      <w:outlineLvl w:val="9"/>
    </w:pPr>
    <w:rPr>
      <w:rFonts w:asciiTheme="majorHAnsi" w:eastAsiaTheme="majorEastAsia" w:hAnsiTheme="majorHAnsi" w:cstheme="majorBidi"/>
      <w:bCs/>
      <w:noProof w:val="0"/>
      <w:color w:val="A31E15" w:themeColor="accent1" w:themeShade="BF"/>
      <w:kern w:val="0"/>
      <w:szCs w:val="28"/>
    </w:rPr>
  </w:style>
  <w:style w:type="paragraph" w:customStyle="1" w:styleId="Spacer">
    <w:name w:val="Spacer"/>
    <w:basedOn w:val="BodyText"/>
    <w:uiPriority w:val="99"/>
    <w:rsid w:val="00CF4476"/>
    <w:pPr>
      <w:spacing w:after="0"/>
    </w:pPr>
    <w:rPr>
      <w:sz w:val="18"/>
    </w:rPr>
  </w:style>
  <w:style w:type="character" w:customStyle="1" w:styleId="Heading1Char">
    <w:name w:val="Heading 1 Char"/>
    <w:basedOn w:val="DefaultParagraphFont"/>
    <w:link w:val="Heading1"/>
    <w:rsid w:val="00CF4476"/>
    <w:rPr>
      <w:rFonts w:ascii="Arial" w:hAnsi="Arial"/>
      <w:b/>
      <w:noProof/>
      <w:color w:val="FFFFFF"/>
      <w:kern w:val="28"/>
      <w:sz w:val="28"/>
      <w:shd w:val="clear" w:color="auto" w:fill="898D8D" w:themeFill="text2"/>
    </w:rPr>
  </w:style>
  <w:style w:type="character" w:customStyle="1" w:styleId="Heading2Char">
    <w:name w:val="Heading 2 Char"/>
    <w:basedOn w:val="DefaultParagraphFont"/>
    <w:link w:val="Heading2"/>
    <w:rsid w:val="00CF4476"/>
    <w:rPr>
      <w:rFonts w:ascii="Arial" w:hAnsi="Arial" w:cs="Arial"/>
      <w:b/>
      <w:bCs/>
      <w:iCs/>
      <w:color w:val="4F5353"/>
      <w:sz w:val="24"/>
      <w:szCs w:val="28"/>
    </w:rPr>
  </w:style>
  <w:style w:type="character" w:customStyle="1" w:styleId="Heading3Char">
    <w:name w:val="Heading 3 Char"/>
    <w:basedOn w:val="DefaultParagraphFont"/>
    <w:link w:val="Heading3"/>
    <w:rsid w:val="00CF4476"/>
    <w:rPr>
      <w:b/>
      <w:color w:val="DA291C" w:themeColor="accent1"/>
      <w:sz w:val="24"/>
      <w:szCs w:val="24"/>
    </w:rPr>
  </w:style>
  <w:style w:type="paragraph" w:styleId="NormalWeb">
    <w:name w:val="Normal (Web)"/>
    <w:basedOn w:val="Normal"/>
    <w:uiPriority w:val="99"/>
    <w:unhideWhenUsed/>
    <w:rsid w:val="00CF4476"/>
    <w:pPr>
      <w:spacing w:before="100" w:beforeAutospacing="1" w:after="100" w:afterAutospacing="1"/>
    </w:pPr>
    <w:rPr>
      <w:szCs w:val="24"/>
    </w:rPr>
  </w:style>
  <w:style w:type="character" w:customStyle="1" w:styleId="BalloonTextChar">
    <w:name w:val="Balloon Text Char"/>
    <w:basedOn w:val="DefaultParagraphFont"/>
    <w:link w:val="BalloonText"/>
    <w:uiPriority w:val="99"/>
    <w:semiHidden/>
    <w:rsid w:val="00CF4476"/>
    <w:rPr>
      <w:rFonts w:ascii="Tahoma" w:hAnsi="Tahoma" w:cs="Tahoma"/>
      <w:sz w:val="16"/>
      <w:szCs w:val="16"/>
    </w:rPr>
  </w:style>
  <w:style w:type="character" w:customStyle="1" w:styleId="HeaderChar">
    <w:name w:val="Header Char"/>
    <w:basedOn w:val="DefaultParagraphFont"/>
    <w:link w:val="Header"/>
    <w:uiPriority w:val="99"/>
    <w:rsid w:val="00CF4476"/>
    <w:rPr>
      <w:rFonts w:ascii="Arial" w:hAnsi="Arial" w:cs="Arial"/>
      <w:b/>
      <w:color w:val="FFFFFF"/>
      <w:spacing w:val="20"/>
      <w:sz w:val="24"/>
      <w:szCs w:val="24"/>
      <w:shd w:val="clear" w:color="auto" w:fill="4F5353"/>
    </w:rPr>
  </w:style>
  <w:style w:type="character" w:customStyle="1" w:styleId="CommentSubjectChar">
    <w:name w:val="Comment Subject Char"/>
    <w:basedOn w:val="CommentTextChar"/>
    <w:link w:val="CommentSubject"/>
    <w:uiPriority w:val="99"/>
    <w:semiHidden/>
    <w:rsid w:val="00CF4476"/>
    <w:rPr>
      <w:b/>
      <w:bCs/>
    </w:rPr>
  </w:style>
  <w:style w:type="character" w:styleId="PlaceholderText">
    <w:name w:val="Placeholder Text"/>
    <w:basedOn w:val="DefaultParagraphFont"/>
    <w:uiPriority w:val="99"/>
    <w:semiHidden/>
    <w:rsid w:val="00CF4476"/>
    <w:rPr>
      <w:color w:val="808080"/>
    </w:rPr>
  </w:style>
  <w:style w:type="paragraph" w:styleId="Revision">
    <w:name w:val="Revision"/>
    <w:hidden/>
    <w:uiPriority w:val="99"/>
    <w:semiHidden/>
    <w:rsid w:val="00CF4476"/>
    <w:rPr>
      <w:sz w:val="24"/>
    </w:rPr>
  </w:style>
  <w:style w:type="character" w:customStyle="1" w:styleId="mw-headline">
    <w:name w:val="mw-headline"/>
    <w:basedOn w:val="DefaultParagraphFont"/>
    <w:rsid w:val="00CF4476"/>
  </w:style>
  <w:style w:type="character" w:customStyle="1" w:styleId="mw-editsection">
    <w:name w:val="mw-editsection"/>
    <w:basedOn w:val="DefaultParagraphFont"/>
    <w:rsid w:val="00CF4476"/>
  </w:style>
  <w:style w:type="character" w:customStyle="1" w:styleId="mw-editsection-bracket">
    <w:name w:val="mw-editsection-bracket"/>
    <w:basedOn w:val="DefaultParagraphFont"/>
    <w:rsid w:val="00CF4476"/>
  </w:style>
  <w:style w:type="character" w:styleId="Strong">
    <w:name w:val="Strong"/>
    <w:basedOn w:val="DefaultParagraphFont"/>
    <w:uiPriority w:val="22"/>
    <w:qFormat/>
    <w:rsid w:val="00CF4476"/>
    <w:rPr>
      <w:b/>
      <w:bCs/>
    </w:rPr>
  </w:style>
  <w:style w:type="character" w:customStyle="1" w:styleId="reference-text">
    <w:name w:val="reference-text"/>
    <w:basedOn w:val="DefaultParagraphFont"/>
    <w:rsid w:val="00CF4476"/>
  </w:style>
  <w:style w:type="character" w:customStyle="1" w:styleId="Heading5Char">
    <w:name w:val="Heading 5 Char"/>
    <w:basedOn w:val="DefaultParagraphFont"/>
    <w:link w:val="Heading5"/>
    <w:rsid w:val="00CF4476"/>
    <w:rPr>
      <w:rFonts w:ascii="Arial" w:hAnsi="Arial" w:cs="Arial"/>
      <w:b/>
      <w:i/>
      <w:color w:val="DA291C" w:themeColor="accent1"/>
    </w:rPr>
  </w:style>
  <w:style w:type="character" w:customStyle="1" w:styleId="Heading6Char">
    <w:name w:val="Heading 6 Char"/>
    <w:basedOn w:val="DefaultParagraphFont"/>
    <w:link w:val="Heading6"/>
    <w:rsid w:val="00CF4476"/>
    <w:rPr>
      <w:b/>
      <w:bCs/>
      <w:sz w:val="24"/>
      <w:szCs w:val="22"/>
    </w:rPr>
  </w:style>
  <w:style w:type="character" w:customStyle="1" w:styleId="Heading7Char">
    <w:name w:val="Heading 7 Char"/>
    <w:basedOn w:val="DefaultParagraphFont"/>
    <w:link w:val="Heading7"/>
    <w:rsid w:val="00CF4476"/>
    <w:rPr>
      <w:sz w:val="24"/>
      <w:szCs w:val="24"/>
    </w:rPr>
  </w:style>
  <w:style w:type="character" w:customStyle="1" w:styleId="Heading8Char">
    <w:name w:val="Heading 8 Char"/>
    <w:basedOn w:val="DefaultParagraphFont"/>
    <w:link w:val="Heading8"/>
    <w:rsid w:val="00CF4476"/>
    <w:rPr>
      <w:i/>
      <w:iCs/>
      <w:sz w:val="24"/>
      <w:szCs w:val="24"/>
    </w:rPr>
  </w:style>
  <w:style w:type="character" w:customStyle="1" w:styleId="Heading9Char">
    <w:name w:val="Heading 9 Char"/>
    <w:basedOn w:val="DefaultParagraphFont"/>
    <w:link w:val="Heading9"/>
    <w:rsid w:val="00CF4476"/>
    <w:rPr>
      <w:rFonts w:ascii="Arial" w:hAnsi="Arial" w:cs="Arial"/>
      <w:sz w:val="24"/>
      <w:szCs w:val="22"/>
    </w:rPr>
  </w:style>
  <w:style w:type="table" w:styleId="LightList-Accent4">
    <w:name w:val="Light List Accent 4"/>
    <w:basedOn w:val="TableNormal"/>
    <w:uiPriority w:val="61"/>
    <w:rsid w:val="00CF4476"/>
    <w:tblPr>
      <w:tblStyleRowBandSize w:val="1"/>
      <w:tblStyleColBandSize w:val="1"/>
      <w:tblBorders>
        <w:top w:val="single" w:sz="8" w:space="0" w:color="C3C6A8" w:themeColor="accent4"/>
        <w:left w:val="single" w:sz="8" w:space="0" w:color="C3C6A8" w:themeColor="accent4"/>
        <w:bottom w:val="single" w:sz="8" w:space="0" w:color="C3C6A8" w:themeColor="accent4"/>
        <w:right w:val="single" w:sz="8" w:space="0" w:color="C3C6A8" w:themeColor="accent4"/>
      </w:tblBorders>
    </w:tblPr>
    <w:tblStylePr w:type="firstRow">
      <w:pPr>
        <w:spacing w:before="0" w:after="0" w:line="240" w:lineRule="auto"/>
      </w:pPr>
      <w:rPr>
        <w:b/>
        <w:bCs/>
        <w:color w:val="B7C9D3" w:themeColor="background1"/>
      </w:rPr>
      <w:tblPr/>
      <w:tcPr>
        <w:shd w:val="clear" w:color="auto" w:fill="C3C6A8" w:themeFill="accent4"/>
      </w:tcPr>
    </w:tblStylePr>
    <w:tblStylePr w:type="lastRow">
      <w:pPr>
        <w:spacing w:before="0" w:after="0" w:line="240" w:lineRule="auto"/>
      </w:pPr>
      <w:rPr>
        <w:b/>
        <w:bCs/>
      </w:rPr>
      <w:tblPr/>
      <w:tcPr>
        <w:tcBorders>
          <w:top w:val="double" w:sz="6" w:space="0" w:color="C3C6A8" w:themeColor="accent4"/>
          <w:left w:val="single" w:sz="8" w:space="0" w:color="C3C6A8" w:themeColor="accent4"/>
          <w:bottom w:val="single" w:sz="8" w:space="0" w:color="C3C6A8" w:themeColor="accent4"/>
          <w:right w:val="single" w:sz="8" w:space="0" w:color="C3C6A8" w:themeColor="accent4"/>
        </w:tcBorders>
      </w:tcPr>
    </w:tblStylePr>
    <w:tblStylePr w:type="firstCol">
      <w:rPr>
        <w:b/>
        <w:bCs/>
      </w:rPr>
    </w:tblStylePr>
    <w:tblStylePr w:type="lastCol">
      <w:rPr>
        <w:b/>
        <w:bCs/>
      </w:rPr>
    </w:tblStylePr>
    <w:tblStylePr w:type="band1Vert">
      <w:tblPr/>
      <w:tcPr>
        <w:tcBorders>
          <w:top w:val="single" w:sz="8" w:space="0" w:color="C3C6A8" w:themeColor="accent4"/>
          <w:left w:val="single" w:sz="8" w:space="0" w:color="C3C6A8" w:themeColor="accent4"/>
          <w:bottom w:val="single" w:sz="8" w:space="0" w:color="C3C6A8" w:themeColor="accent4"/>
          <w:right w:val="single" w:sz="8" w:space="0" w:color="C3C6A8" w:themeColor="accent4"/>
        </w:tcBorders>
      </w:tcPr>
    </w:tblStylePr>
    <w:tblStylePr w:type="band1Horz">
      <w:tblPr/>
      <w:tcPr>
        <w:tcBorders>
          <w:top w:val="single" w:sz="8" w:space="0" w:color="C3C6A8" w:themeColor="accent4"/>
          <w:left w:val="single" w:sz="8" w:space="0" w:color="C3C6A8" w:themeColor="accent4"/>
          <w:bottom w:val="single" w:sz="8" w:space="0" w:color="C3C6A8" w:themeColor="accent4"/>
          <w:right w:val="single" w:sz="8" w:space="0" w:color="C3C6A8" w:themeColor="accent4"/>
        </w:tcBorders>
      </w:tcPr>
    </w:tblStylePr>
  </w:style>
  <w:style w:type="character" w:customStyle="1" w:styleId="apple-converted-space">
    <w:name w:val="apple-converted-space"/>
    <w:basedOn w:val="DefaultParagraphFont"/>
    <w:rsid w:val="00CF4476"/>
  </w:style>
  <w:style w:type="paragraph" w:styleId="TableofFigures">
    <w:name w:val="table of figures"/>
    <w:basedOn w:val="Normal"/>
    <w:next w:val="Normal"/>
    <w:uiPriority w:val="99"/>
    <w:rsid w:val="00CF4476"/>
    <w:pPr>
      <w:spacing w:after="0"/>
    </w:pPr>
  </w:style>
  <w:style w:type="paragraph" w:styleId="Quote">
    <w:name w:val="Quote"/>
    <w:basedOn w:val="Normal"/>
    <w:next w:val="Normal"/>
    <w:link w:val="QuoteChar"/>
    <w:uiPriority w:val="29"/>
    <w:qFormat/>
    <w:rsid w:val="00CF4476"/>
    <w:pPr>
      <w:ind w:left="360" w:right="360"/>
    </w:pPr>
    <w:rPr>
      <w:iCs/>
      <w:color w:val="000000" w:themeColor="text1"/>
      <w:sz w:val="20"/>
    </w:rPr>
  </w:style>
  <w:style w:type="character" w:customStyle="1" w:styleId="QuoteChar">
    <w:name w:val="Quote Char"/>
    <w:basedOn w:val="DefaultParagraphFont"/>
    <w:link w:val="Quote"/>
    <w:uiPriority w:val="29"/>
    <w:rsid w:val="00CF4476"/>
    <w:rPr>
      <w:iCs/>
      <w:color w:val="000000" w:themeColor="text1"/>
    </w:rPr>
  </w:style>
  <w:style w:type="paragraph" w:customStyle="1" w:styleId="TableBullets">
    <w:name w:val="Table Bullets"/>
    <w:basedOn w:val="Bullets"/>
    <w:rsid w:val="00CF4476"/>
    <w:pPr>
      <w:spacing w:after="40"/>
      <w:contextualSpacing w:val="0"/>
    </w:pPr>
    <w:rPr>
      <w:rFonts w:ascii="Arial" w:hAnsi="Arial" w:cs="Arial"/>
      <w:sz w:val="20"/>
    </w:rPr>
  </w:style>
  <w:style w:type="paragraph" w:customStyle="1" w:styleId="TableBullet2">
    <w:name w:val="Table Bullet2"/>
    <w:basedOn w:val="Bullet2"/>
    <w:rsid w:val="00CF4476"/>
    <w:rPr>
      <w:rFonts w:ascii="Arial" w:hAnsi="Arial" w:cs="Arial"/>
      <w:sz w:val="20"/>
    </w:rPr>
  </w:style>
  <w:style w:type="table" w:customStyle="1" w:styleId="QQuestionTable">
    <w:name w:val="QQuestionTable"/>
    <w:uiPriority w:val="99"/>
    <w:qFormat/>
    <w:rsid w:val="00CF4476"/>
    <w:pPr>
      <w:jc w:val="center"/>
    </w:pPr>
    <w:rPr>
      <w:rFonts w:ascii="Arial" w:hAnsi="Arial"/>
      <w:sz w:val="22"/>
      <w:szCs w:val="22"/>
      <w:lang w:val="en-GB" w:eastAsia="en-GB"/>
    </w:rPr>
    <w:tblPr>
      <w:tblStyleRowBandSize w:val="1"/>
      <w:tblInd w:w="0" w:type="dxa"/>
      <w:tblBorders>
        <w:top w:val="single" w:sz="4" w:space="0" w:color="818386"/>
        <w:left w:val="single" w:sz="4" w:space="0" w:color="818386"/>
        <w:bottom w:val="single" w:sz="4" w:space="0" w:color="818386"/>
        <w:right w:val="single" w:sz="4" w:space="0" w:color="818386"/>
        <w:insideV w:val="single" w:sz="4" w:space="0" w:color="808080"/>
      </w:tblBorders>
      <w:tblCellMar>
        <w:top w:w="43" w:type="dxa"/>
        <w:left w:w="115" w:type="dxa"/>
        <w:bottom w:w="43" w:type="dxa"/>
        <w:right w:w="115" w:type="dxa"/>
      </w:tblCellMar>
    </w:tblPr>
    <w:tcPr>
      <w:shd w:val="clear" w:color="auto" w:fill="auto"/>
      <w:vAlign w:val="center"/>
    </w:tcPr>
    <w:tblStylePr w:type="firstRow">
      <w:pPr>
        <w:wordWrap/>
        <w:jc w:val="center"/>
      </w:pPr>
      <w:rPr>
        <w:color w:val="FFFFFF"/>
      </w:rPr>
      <w:tblPr/>
      <w:tcPr>
        <w:tcBorders>
          <w:insideV w:val="single" w:sz="4" w:space="0" w:color="969696"/>
        </w:tcBorders>
        <w:shd w:val="clear" w:color="auto" w:fill="58595B"/>
        <w:vAlign w:val="top"/>
      </w:tcPr>
    </w:tblStylePr>
    <w:tblStylePr w:type="lastRow">
      <w:tblPr/>
      <w:tcPr>
        <w:tcBorders>
          <w:top w:val="single" w:sz="4" w:space="0" w:color="818386"/>
          <w:left w:val="single" w:sz="4" w:space="0" w:color="818386"/>
          <w:bottom w:val="single" w:sz="4" w:space="0" w:color="818386"/>
          <w:right w:val="single" w:sz="4" w:space="0" w:color="818386"/>
          <w:insideH w:val="single" w:sz="4" w:space="0" w:color="818386"/>
          <w:insideV w:val="single" w:sz="4" w:space="0" w:color="818386"/>
        </w:tcBorders>
        <w:shd w:val="clear" w:color="auto" w:fill="FEFBE7"/>
      </w:tcPr>
    </w:tblStylePr>
  </w:style>
  <w:style w:type="numbering" w:customStyle="1" w:styleId="Multipunch">
    <w:name w:val="Multi punch"/>
    <w:rsid w:val="00CF4476"/>
    <w:pPr>
      <w:numPr>
        <w:numId w:val="9"/>
      </w:numPr>
    </w:pPr>
  </w:style>
  <w:style w:type="numbering" w:customStyle="1" w:styleId="Singlepunch">
    <w:name w:val="Single punch"/>
    <w:rsid w:val="00CF4476"/>
    <w:pPr>
      <w:numPr>
        <w:numId w:val="10"/>
      </w:numPr>
    </w:pPr>
  </w:style>
  <w:style w:type="table" w:customStyle="1" w:styleId="QQuestionTable1">
    <w:name w:val="QQuestionTable1"/>
    <w:uiPriority w:val="99"/>
    <w:qFormat/>
    <w:rsid w:val="00CF4476"/>
    <w:pPr>
      <w:jc w:val="center"/>
    </w:pPr>
    <w:rPr>
      <w:rFonts w:ascii="Arial" w:hAnsi="Arial"/>
      <w:sz w:val="22"/>
      <w:szCs w:val="22"/>
      <w:lang w:val="en-GB" w:eastAsia="en-GB"/>
    </w:rPr>
    <w:tblPr>
      <w:tblStyleRowBandSize w:val="1"/>
      <w:tblInd w:w="0" w:type="dxa"/>
      <w:tblBorders>
        <w:top w:val="single" w:sz="4" w:space="0" w:color="818386"/>
        <w:left w:val="single" w:sz="4" w:space="0" w:color="818386"/>
        <w:bottom w:val="single" w:sz="4" w:space="0" w:color="818386"/>
        <w:right w:val="single" w:sz="4" w:space="0" w:color="818386"/>
        <w:insideV w:val="single" w:sz="4" w:space="0" w:color="808080"/>
      </w:tblBorders>
      <w:tblCellMar>
        <w:top w:w="43" w:type="dxa"/>
        <w:left w:w="115" w:type="dxa"/>
        <w:bottom w:w="43" w:type="dxa"/>
        <w:right w:w="115" w:type="dxa"/>
      </w:tblCellMar>
    </w:tblPr>
    <w:tcPr>
      <w:shd w:val="clear" w:color="auto" w:fill="auto"/>
      <w:vAlign w:val="center"/>
    </w:tcPr>
    <w:tblStylePr w:type="firstRow">
      <w:pPr>
        <w:wordWrap/>
        <w:jc w:val="center"/>
      </w:pPr>
      <w:rPr>
        <w:color w:val="FFFFFF"/>
      </w:rPr>
      <w:tblPr/>
      <w:tcPr>
        <w:tcBorders>
          <w:insideV w:val="single" w:sz="4" w:space="0" w:color="969696"/>
        </w:tcBorders>
        <w:shd w:val="clear" w:color="auto" w:fill="58595B"/>
        <w:vAlign w:val="top"/>
      </w:tcPr>
    </w:tblStylePr>
    <w:tblStylePr w:type="lastRow">
      <w:tblPr/>
      <w:tcPr>
        <w:tcBorders>
          <w:top w:val="single" w:sz="4" w:space="0" w:color="818386"/>
          <w:left w:val="single" w:sz="4" w:space="0" w:color="818386"/>
          <w:bottom w:val="single" w:sz="4" w:space="0" w:color="818386"/>
          <w:right w:val="single" w:sz="4" w:space="0" w:color="818386"/>
          <w:insideH w:val="single" w:sz="4" w:space="0" w:color="818386"/>
          <w:insideV w:val="single" w:sz="4" w:space="0" w:color="818386"/>
        </w:tcBorders>
        <w:shd w:val="clear" w:color="auto" w:fill="FEFBE7"/>
      </w:tcPr>
    </w:tblStylePr>
  </w:style>
  <w:style w:type="numbering" w:customStyle="1" w:styleId="Singlepunch1">
    <w:name w:val="Single punch1"/>
    <w:rsid w:val="00CF4476"/>
  </w:style>
  <w:style w:type="character" w:styleId="Emphasis">
    <w:name w:val="Emphasis"/>
    <w:basedOn w:val="DefaultParagraphFont"/>
    <w:uiPriority w:val="20"/>
    <w:qFormat/>
    <w:rsid w:val="00044969"/>
    <w:rPr>
      <w:i/>
      <w:iCs/>
    </w:rPr>
  </w:style>
  <w:style w:type="paragraph" w:customStyle="1" w:styleId="CoverTextRed16pt">
    <w:name w:val="Cover Text  Red 16pt"/>
    <w:basedOn w:val="Normal"/>
    <w:qFormat/>
    <w:rsid w:val="00123F97"/>
    <w:pPr>
      <w:tabs>
        <w:tab w:val="left" w:pos="720"/>
        <w:tab w:val="left" w:pos="1080"/>
        <w:tab w:val="left" w:pos="1440"/>
        <w:tab w:val="left" w:pos="1800"/>
        <w:tab w:val="left" w:pos="6660"/>
      </w:tabs>
      <w:spacing w:after="0" w:line="264" w:lineRule="auto"/>
      <w:ind w:left="6490" w:right="-540"/>
      <w:jc w:val="right"/>
    </w:pPr>
    <w:rPr>
      <w:rFonts w:ascii="Arial" w:hAnsi="Arial"/>
      <w:b/>
      <w:color w:val="DA291C"/>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57347497">
      <w:bodyDiv w:val="1"/>
      <w:marLeft w:val="0"/>
      <w:marRight w:val="0"/>
      <w:marTop w:val="0"/>
      <w:marBottom w:val="1800"/>
      <w:divBdr>
        <w:top w:val="none" w:sz="0" w:space="0" w:color="auto"/>
        <w:left w:val="none" w:sz="0" w:space="0" w:color="auto"/>
        <w:bottom w:val="none" w:sz="0" w:space="0" w:color="auto"/>
        <w:right w:val="none" w:sz="0" w:space="0" w:color="auto"/>
      </w:divBdr>
      <w:divsChild>
        <w:div w:id="1440101814">
          <w:marLeft w:val="0"/>
          <w:marRight w:val="0"/>
          <w:marTop w:val="0"/>
          <w:marBottom w:val="0"/>
          <w:divBdr>
            <w:top w:val="none" w:sz="0" w:space="0" w:color="auto"/>
            <w:left w:val="none" w:sz="0" w:space="0" w:color="auto"/>
            <w:bottom w:val="none" w:sz="0" w:space="0" w:color="auto"/>
            <w:right w:val="none" w:sz="0" w:space="0" w:color="auto"/>
          </w:divBdr>
          <w:divsChild>
            <w:div w:id="849493669">
              <w:marLeft w:val="0"/>
              <w:marRight w:val="0"/>
              <w:marTop w:val="360"/>
              <w:marBottom w:val="330"/>
              <w:divBdr>
                <w:top w:val="none" w:sz="0" w:space="0" w:color="auto"/>
                <w:left w:val="none" w:sz="0" w:space="0" w:color="auto"/>
                <w:bottom w:val="none" w:sz="0" w:space="0" w:color="auto"/>
                <w:right w:val="none" w:sz="0" w:space="0" w:color="auto"/>
              </w:divBdr>
              <w:divsChild>
                <w:div w:id="126823485">
                  <w:marLeft w:val="0"/>
                  <w:marRight w:val="0"/>
                  <w:marTop w:val="0"/>
                  <w:marBottom w:val="0"/>
                  <w:divBdr>
                    <w:top w:val="none" w:sz="0" w:space="0" w:color="auto"/>
                    <w:left w:val="none" w:sz="0" w:space="0" w:color="auto"/>
                    <w:bottom w:val="none" w:sz="0" w:space="0" w:color="auto"/>
                    <w:right w:val="none" w:sz="0" w:space="0" w:color="auto"/>
                  </w:divBdr>
                  <w:divsChild>
                    <w:div w:id="1718431948">
                      <w:marLeft w:val="0"/>
                      <w:marRight w:val="0"/>
                      <w:marTop w:val="0"/>
                      <w:marBottom w:val="0"/>
                      <w:divBdr>
                        <w:top w:val="none" w:sz="0" w:space="0" w:color="auto"/>
                        <w:left w:val="none" w:sz="0" w:space="0" w:color="auto"/>
                        <w:bottom w:val="none" w:sz="0" w:space="0" w:color="auto"/>
                        <w:right w:val="none" w:sz="0" w:space="0" w:color="auto"/>
                      </w:divBdr>
                      <w:divsChild>
                        <w:div w:id="736245366">
                          <w:marLeft w:val="0"/>
                          <w:marRight w:val="735"/>
                          <w:marTop w:val="0"/>
                          <w:marBottom w:val="300"/>
                          <w:divBdr>
                            <w:top w:val="none" w:sz="0" w:space="0" w:color="auto"/>
                            <w:left w:val="none" w:sz="0" w:space="0" w:color="auto"/>
                            <w:bottom w:val="none" w:sz="0" w:space="0" w:color="auto"/>
                            <w:right w:val="none" w:sz="0" w:space="0" w:color="auto"/>
                          </w:divBdr>
                        </w:div>
                      </w:divsChild>
                    </w:div>
                  </w:divsChild>
                </w:div>
              </w:divsChild>
            </w:div>
          </w:divsChild>
        </w:div>
      </w:divsChild>
    </w:div>
    <w:div w:id="1528178199">
      <w:bodyDiv w:val="1"/>
      <w:marLeft w:val="0"/>
      <w:marRight w:val="0"/>
      <w:marTop w:val="0"/>
      <w:marBottom w:val="0"/>
      <w:divBdr>
        <w:top w:val="none" w:sz="0" w:space="0" w:color="auto"/>
        <w:left w:val="none" w:sz="0" w:space="0" w:color="auto"/>
        <w:bottom w:val="none" w:sz="0" w:space="0" w:color="auto"/>
        <w:right w:val="none" w:sz="0" w:space="0" w:color="auto"/>
      </w:divBdr>
      <w:divsChild>
        <w:div w:id="807550729">
          <w:marLeft w:val="0"/>
          <w:marRight w:val="0"/>
          <w:marTop w:val="0"/>
          <w:marBottom w:val="0"/>
          <w:divBdr>
            <w:top w:val="none" w:sz="0" w:space="0" w:color="auto"/>
            <w:left w:val="none" w:sz="0" w:space="0" w:color="auto"/>
            <w:bottom w:val="none" w:sz="0" w:space="0" w:color="auto"/>
            <w:right w:val="none" w:sz="0" w:space="0" w:color="auto"/>
          </w:divBdr>
          <w:divsChild>
            <w:div w:id="370114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96433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2.emf"/><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abtassociates.com/" TargetMode="External"/><Relationship Id="rId5" Type="http://schemas.openxmlformats.org/officeDocument/2006/relationships/settings" Target="settings.xml"/><Relationship Id="rId15" Type="http://schemas.openxmlformats.org/officeDocument/2006/relationships/image" Target="media/image5.emf"/><Relationship Id="rId10" Type="http://schemas.openxmlformats.org/officeDocument/2006/relationships/footer" Target="footer1.xm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wmf"/><Relationship Id="rId14" Type="http://schemas.openxmlformats.org/officeDocument/2006/relationships/image" Target="media/image4.emf"/></Relationships>
</file>

<file path=word/_rels/settings.xml.rels><?xml version="1.0" encoding="UTF-8" standalone="yes"?>
<Relationships xmlns="http://schemas.openxmlformats.org/package/2006/relationships"><Relationship Id="rId1" Type="http://schemas.openxmlformats.org/officeDocument/2006/relationships/attachedTemplate" Target="file:///C:\windows\templates\abttemplates\Abt%20Standards\FY15%20International%20Technical%20Proposal%20Template.dotx" TargetMode="External"/></Relationships>
</file>

<file path=word/theme/theme1.xml><?xml version="1.0" encoding="utf-8"?>
<a:theme xmlns:a="http://schemas.openxmlformats.org/drawingml/2006/main" name="Office Theme">
  <a:themeElements>
    <a:clrScheme name="Abt New Branding Colors">
      <a:dk1>
        <a:sysClr val="windowText" lastClr="000000"/>
      </a:dk1>
      <a:lt1>
        <a:srgbClr val="B7C9D3"/>
      </a:lt1>
      <a:dk2>
        <a:srgbClr val="898D8D"/>
      </a:dk2>
      <a:lt2>
        <a:srgbClr val="D0D3D4"/>
      </a:lt2>
      <a:accent1>
        <a:srgbClr val="DA291C"/>
      </a:accent1>
      <a:accent2>
        <a:srgbClr val="898D8D"/>
      </a:accent2>
      <a:accent3>
        <a:srgbClr val="D0D3D4"/>
      </a:accent3>
      <a:accent4>
        <a:srgbClr val="C3C6A8"/>
      </a:accent4>
      <a:accent5>
        <a:srgbClr val="DFD1A7"/>
      </a:accent5>
      <a:accent6>
        <a:srgbClr val="E87722"/>
      </a:accent6>
      <a:hlink>
        <a:srgbClr val="0070C0"/>
      </a:hlink>
      <a:folHlink>
        <a:srgbClr val="0070C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BDD532-8ED4-4C0D-9639-642DA94018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FY15 International Technical Proposal Template</Template>
  <TotalTime>193</TotalTime>
  <Pages>23</Pages>
  <Words>8760</Words>
  <Characters>49716</Characters>
  <Application>Microsoft Office Word</Application>
  <DocSecurity>0</DocSecurity>
  <Lines>414</Lines>
  <Paragraphs>116</Paragraphs>
  <ScaleCrop>false</ScaleCrop>
  <HeadingPairs>
    <vt:vector size="2" baseType="variant">
      <vt:variant>
        <vt:lpstr>Title</vt:lpstr>
      </vt:variant>
      <vt:variant>
        <vt:i4>1</vt:i4>
      </vt:variant>
    </vt:vector>
  </HeadingPairs>
  <TitlesOfParts>
    <vt:vector size="1" baseType="lpstr">
      <vt:lpstr>Abt Single-Sided Body Template</vt:lpstr>
    </vt:vector>
  </TitlesOfParts>
  <Company>Abt Associates Inc.</Company>
  <LinksUpToDate>false</LinksUpToDate>
  <CharactersWithSpaces>58360</CharactersWithSpaces>
  <SharedDoc>false</SharedDoc>
  <HLinks>
    <vt:vector size="18" baseType="variant">
      <vt:variant>
        <vt:i4>1507382</vt:i4>
      </vt:variant>
      <vt:variant>
        <vt:i4>14</vt:i4>
      </vt:variant>
      <vt:variant>
        <vt:i4>0</vt:i4>
      </vt:variant>
      <vt:variant>
        <vt:i4>5</vt:i4>
      </vt:variant>
      <vt:variant>
        <vt:lpwstr/>
      </vt:variant>
      <vt:variant>
        <vt:lpwstr>_Toc245919048</vt:lpwstr>
      </vt:variant>
      <vt:variant>
        <vt:i4>1507382</vt:i4>
      </vt:variant>
      <vt:variant>
        <vt:i4>8</vt:i4>
      </vt:variant>
      <vt:variant>
        <vt:i4>0</vt:i4>
      </vt:variant>
      <vt:variant>
        <vt:i4>5</vt:i4>
      </vt:variant>
      <vt:variant>
        <vt:lpwstr/>
      </vt:variant>
      <vt:variant>
        <vt:lpwstr>_Toc245919047</vt:lpwstr>
      </vt:variant>
      <vt:variant>
        <vt:i4>1507382</vt:i4>
      </vt:variant>
      <vt:variant>
        <vt:i4>2</vt:i4>
      </vt:variant>
      <vt:variant>
        <vt:i4>0</vt:i4>
      </vt:variant>
      <vt:variant>
        <vt:i4>5</vt:i4>
      </vt:variant>
      <vt:variant>
        <vt:lpwstr/>
      </vt:variant>
      <vt:variant>
        <vt:lpwstr>_Toc245919046</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Abt Single-Sided Body Template</dc:title>
  <dc:creator>Betsy Ness-Edelstein</dc:creator>
  <cp:keywords>Single-Sided body Templates</cp:keywords>
  <cp:lastModifiedBy>Betsy Ness-Edelstein</cp:lastModifiedBy>
  <cp:revision>9</cp:revision>
  <cp:lastPrinted>2013-02-26T19:58:00Z</cp:lastPrinted>
  <dcterms:created xsi:type="dcterms:W3CDTF">2015-02-24T16:08:00Z</dcterms:created>
  <dcterms:modified xsi:type="dcterms:W3CDTF">2015-03-05T18:28:00Z</dcterms:modified>
  <cp:category>Templates</cp:category>
</cp:coreProperties>
</file>