
<file path=[Content_Types].xml><?xml version="1.0" encoding="utf-8"?>
<Types xmlns="http://schemas.openxmlformats.org/package/2006/content-types">
  <Default Extension="png" ContentType="image/png"/>
  <Default Extension="wmf" ContentType="image/x-wmf"/>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1938" w:rsidRPr="005633D9" w:rsidRDefault="001E2CF1" w:rsidP="00E104A3">
      <w:pPr>
        <w:pStyle w:val="CoverTextRed14pt"/>
        <w:ind w:left="4320"/>
        <w:rPr>
          <w:lang w:val="en-GB" w:eastAsia="en-GB"/>
        </w:rPr>
      </w:pPr>
      <w:r w:rsidRPr="005633D9">
        <w:rPr>
          <w:noProof/>
        </w:rPr>
        <w:drawing>
          <wp:anchor distT="0" distB="0" distL="114300" distR="114300" simplePos="0" relativeHeight="251664384" behindDoc="0" locked="0" layoutInCell="1" allowOverlap="1" wp14:anchorId="30FC194C" wp14:editId="52634B68">
            <wp:simplePos x="0" y="0"/>
            <wp:positionH relativeFrom="column">
              <wp:posOffset>-5080</wp:posOffset>
            </wp:positionH>
            <wp:positionV relativeFrom="paragraph">
              <wp:posOffset>-366395</wp:posOffset>
            </wp:positionV>
            <wp:extent cx="1196340" cy="1196340"/>
            <wp:effectExtent l="0" t="0" r="3810" b="3810"/>
            <wp:wrapNone/>
            <wp:docPr id="11" name="Picture 11" descr="abt_assoc_logo_pms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abt_assoc_logo_pms_cmyk"/>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196340" cy="1196340"/>
                    </a:xfrm>
                    <a:prstGeom prst="rect">
                      <a:avLst/>
                    </a:prstGeom>
                    <a:noFill/>
                    <a:ln>
                      <a:noFill/>
                    </a:ln>
                  </pic:spPr>
                </pic:pic>
              </a:graphicData>
            </a:graphic>
            <wp14:sizeRelH relativeFrom="page">
              <wp14:pctWidth>0</wp14:pctWidth>
            </wp14:sizeRelH>
            <wp14:sizeRelV relativeFrom="page">
              <wp14:pctHeight>0</wp14:pctHeight>
            </wp14:sizeRelV>
          </wp:anchor>
        </w:drawing>
      </w:r>
      <w:r w:rsidR="006348BD" w:rsidRPr="005633D9">
        <w:rPr>
          <w:rFonts w:ascii="Arial Bold" w:hAnsi="Arial Bold"/>
          <w:lang w:val="en-GB" w:eastAsia="en-GB"/>
        </w:rPr>
        <w:t>AgResults</w:t>
      </w:r>
      <w:r w:rsidR="00A66979" w:rsidRPr="005633D9">
        <w:rPr>
          <w:lang w:val="en-GB" w:eastAsia="en-GB"/>
        </w:rPr>
        <w:t xml:space="preserve"> Evaluation Design:</w:t>
      </w:r>
      <w:r w:rsidR="00243735" w:rsidRPr="005633D9">
        <w:rPr>
          <w:lang w:val="en-GB" w:eastAsia="en-GB"/>
        </w:rPr>
        <w:t xml:space="preserve"> </w:t>
      </w:r>
      <w:r w:rsidR="00DC2F18" w:rsidRPr="005633D9">
        <w:rPr>
          <w:lang w:val="en-GB" w:eastAsia="en-GB"/>
        </w:rPr>
        <w:t xml:space="preserve">Nigeria </w:t>
      </w:r>
      <w:r w:rsidR="0086521E" w:rsidRPr="005633D9">
        <w:rPr>
          <w:lang w:val="en-GB" w:eastAsia="en-GB"/>
        </w:rPr>
        <w:t>Aflasafe</w:t>
      </w:r>
      <w:r w:rsidR="006348BD" w:rsidRPr="005633D9">
        <w:rPr>
          <w:lang w:val="en-GB" w:eastAsia="en-GB"/>
        </w:rPr>
        <w:t xml:space="preserve"> Pilot</w:t>
      </w:r>
    </w:p>
    <w:p w:rsidR="00316952" w:rsidRPr="005633D9" w:rsidRDefault="00316952" w:rsidP="00E104A3">
      <w:pPr>
        <w:pStyle w:val="CoverTextRed14pt"/>
        <w:ind w:left="4320"/>
        <w:rPr>
          <w:sz w:val="24"/>
          <w:lang w:val="en-GB"/>
        </w:rPr>
      </w:pPr>
    </w:p>
    <w:p w:rsidR="00316952" w:rsidRPr="005633D9" w:rsidRDefault="00316952" w:rsidP="00E104A3">
      <w:pPr>
        <w:pStyle w:val="CoverTextRed14pt"/>
        <w:ind w:left="4320"/>
        <w:rPr>
          <w:sz w:val="24"/>
          <w:lang w:val="en-GB"/>
        </w:rPr>
      </w:pPr>
    </w:p>
    <w:p w:rsidR="00316952" w:rsidRPr="005633D9" w:rsidRDefault="00316952" w:rsidP="00E104A3">
      <w:pPr>
        <w:pStyle w:val="CoverTextRed14pt"/>
        <w:ind w:left="4320"/>
        <w:rPr>
          <w:sz w:val="24"/>
          <w:lang w:val="en-GB"/>
        </w:rPr>
      </w:pPr>
      <w:r w:rsidRPr="005633D9">
        <w:rPr>
          <w:sz w:val="24"/>
          <w:lang w:val="en-GB"/>
        </w:rPr>
        <w:t>Final Report</w:t>
      </w:r>
    </w:p>
    <w:p w:rsidR="001E2CF1" w:rsidRPr="005633D9" w:rsidRDefault="001E2CF1" w:rsidP="00E570B7">
      <w:pPr>
        <w:pStyle w:val="CoverText-Address"/>
        <w:ind w:left="4320"/>
        <w:rPr>
          <w:lang w:val="en-GB"/>
        </w:rPr>
      </w:pPr>
    </w:p>
    <w:p w:rsidR="001E2CF1" w:rsidRPr="005633D9" w:rsidRDefault="001E2CF1" w:rsidP="00E570B7">
      <w:pPr>
        <w:tabs>
          <w:tab w:val="left" w:pos="720"/>
          <w:tab w:val="left" w:pos="1080"/>
          <w:tab w:val="left" w:pos="1440"/>
          <w:tab w:val="left" w:pos="1800"/>
          <w:tab w:val="left" w:pos="6660"/>
        </w:tabs>
        <w:spacing w:after="0"/>
        <w:ind w:left="4320" w:right="-540"/>
        <w:jc w:val="right"/>
        <w:rPr>
          <w:rFonts w:ascii="Arial" w:hAnsi="Arial"/>
          <w:szCs w:val="24"/>
          <w:lang w:val="en-GB"/>
        </w:rPr>
      </w:pPr>
    </w:p>
    <w:p w:rsidR="004B3401" w:rsidRPr="005633D9" w:rsidRDefault="004B3401" w:rsidP="00E570B7">
      <w:pPr>
        <w:tabs>
          <w:tab w:val="left" w:pos="720"/>
          <w:tab w:val="left" w:pos="1080"/>
          <w:tab w:val="left" w:pos="1440"/>
          <w:tab w:val="left" w:pos="1800"/>
          <w:tab w:val="left" w:pos="6660"/>
        </w:tabs>
        <w:spacing w:after="0"/>
        <w:ind w:left="4320" w:right="-540"/>
        <w:jc w:val="right"/>
        <w:rPr>
          <w:rFonts w:ascii="Arial" w:hAnsi="Arial"/>
          <w:szCs w:val="24"/>
          <w:lang w:val="en-GB"/>
        </w:rPr>
      </w:pPr>
    </w:p>
    <w:p w:rsidR="004B3401" w:rsidRPr="005633D9" w:rsidRDefault="004B3401" w:rsidP="00E570B7">
      <w:pPr>
        <w:tabs>
          <w:tab w:val="left" w:pos="720"/>
          <w:tab w:val="left" w:pos="1080"/>
          <w:tab w:val="left" w:pos="1440"/>
          <w:tab w:val="left" w:pos="1800"/>
          <w:tab w:val="left" w:pos="6660"/>
        </w:tabs>
        <w:spacing w:after="0"/>
        <w:ind w:left="4320" w:right="-540"/>
        <w:jc w:val="right"/>
        <w:rPr>
          <w:rFonts w:ascii="Arial" w:hAnsi="Arial"/>
          <w:szCs w:val="24"/>
          <w:lang w:val="en-GB"/>
        </w:rPr>
      </w:pPr>
    </w:p>
    <w:p w:rsidR="004B3401" w:rsidRPr="005633D9" w:rsidRDefault="004B3401" w:rsidP="00E570B7">
      <w:pPr>
        <w:tabs>
          <w:tab w:val="left" w:pos="720"/>
          <w:tab w:val="left" w:pos="1080"/>
          <w:tab w:val="left" w:pos="1440"/>
          <w:tab w:val="left" w:pos="1800"/>
          <w:tab w:val="left" w:pos="6660"/>
        </w:tabs>
        <w:spacing w:after="0"/>
        <w:ind w:left="4320" w:right="-540"/>
        <w:jc w:val="right"/>
        <w:rPr>
          <w:rFonts w:ascii="Arial" w:hAnsi="Arial"/>
          <w:szCs w:val="24"/>
          <w:lang w:val="en-GB"/>
        </w:rPr>
      </w:pPr>
    </w:p>
    <w:p w:rsidR="004B3401" w:rsidRPr="005633D9" w:rsidRDefault="004B3401" w:rsidP="00E570B7">
      <w:pPr>
        <w:tabs>
          <w:tab w:val="left" w:pos="720"/>
          <w:tab w:val="left" w:pos="1080"/>
          <w:tab w:val="left" w:pos="1440"/>
          <w:tab w:val="left" w:pos="1800"/>
          <w:tab w:val="left" w:pos="6660"/>
        </w:tabs>
        <w:spacing w:after="0"/>
        <w:ind w:left="4320" w:right="-540"/>
        <w:jc w:val="right"/>
        <w:rPr>
          <w:rFonts w:ascii="Arial" w:hAnsi="Arial"/>
          <w:szCs w:val="24"/>
          <w:lang w:val="en-GB"/>
        </w:rPr>
      </w:pPr>
    </w:p>
    <w:p w:rsidR="004B3401" w:rsidRPr="005633D9" w:rsidRDefault="004B3401" w:rsidP="00E570B7">
      <w:pPr>
        <w:tabs>
          <w:tab w:val="left" w:pos="720"/>
          <w:tab w:val="left" w:pos="1080"/>
          <w:tab w:val="left" w:pos="1440"/>
          <w:tab w:val="left" w:pos="1800"/>
          <w:tab w:val="left" w:pos="6660"/>
        </w:tabs>
        <w:spacing w:after="0"/>
        <w:ind w:left="4320" w:right="-540"/>
        <w:jc w:val="right"/>
        <w:rPr>
          <w:rFonts w:ascii="Arial" w:hAnsi="Arial"/>
          <w:szCs w:val="24"/>
          <w:lang w:val="en-GB"/>
        </w:rPr>
      </w:pPr>
    </w:p>
    <w:p w:rsidR="004B3401" w:rsidRPr="005633D9" w:rsidRDefault="004B3401" w:rsidP="00E570B7">
      <w:pPr>
        <w:tabs>
          <w:tab w:val="left" w:pos="720"/>
          <w:tab w:val="left" w:pos="1080"/>
          <w:tab w:val="left" w:pos="1440"/>
          <w:tab w:val="left" w:pos="1800"/>
          <w:tab w:val="left" w:pos="6660"/>
        </w:tabs>
        <w:spacing w:after="0"/>
        <w:ind w:left="4320" w:right="-540"/>
        <w:jc w:val="right"/>
        <w:rPr>
          <w:rFonts w:ascii="Arial" w:hAnsi="Arial"/>
          <w:szCs w:val="24"/>
          <w:lang w:val="en-GB"/>
        </w:rPr>
      </w:pPr>
    </w:p>
    <w:p w:rsidR="004B3401" w:rsidRPr="005633D9" w:rsidRDefault="004B3401" w:rsidP="00E570B7">
      <w:pPr>
        <w:tabs>
          <w:tab w:val="left" w:pos="720"/>
          <w:tab w:val="left" w:pos="1080"/>
          <w:tab w:val="left" w:pos="1440"/>
          <w:tab w:val="left" w:pos="1800"/>
          <w:tab w:val="left" w:pos="6660"/>
        </w:tabs>
        <w:spacing w:after="0"/>
        <w:ind w:left="4320" w:right="-540"/>
        <w:jc w:val="right"/>
        <w:rPr>
          <w:rFonts w:ascii="Arial" w:hAnsi="Arial"/>
          <w:szCs w:val="24"/>
          <w:lang w:val="en-GB"/>
        </w:rPr>
      </w:pPr>
    </w:p>
    <w:p w:rsidR="004B3401" w:rsidRPr="005633D9" w:rsidRDefault="004B3401" w:rsidP="00E570B7">
      <w:pPr>
        <w:tabs>
          <w:tab w:val="left" w:pos="720"/>
          <w:tab w:val="left" w:pos="1080"/>
          <w:tab w:val="left" w:pos="1440"/>
          <w:tab w:val="left" w:pos="1800"/>
          <w:tab w:val="left" w:pos="6660"/>
        </w:tabs>
        <w:spacing w:after="0"/>
        <w:ind w:left="4320" w:right="-540"/>
        <w:jc w:val="right"/>
        <w:rPr>
          <w:rFonts w:ascii="Arial" w:hAnsi="Arial"/>
          <w:szCs w:val="24"/>
          <w:lang w:val="en-GB"/>
        </w:rPr>
      </w:pPr>
    </w:p>
    <w:p w:rsidR="004B3401" w:rsidRPr="005633D9" w:rsidRDefault="004B3401" w:rsidP="00E570B7">
      <w:pPr>
        <w:tabs>
          <w:tab w:val="left" w:pos="720"/>
          <w:tab w:val="left" w:pos="1080"/>
          <w:tab w:val="left" w:pos="1440"/>
          <w:tab w:val="left" w:pos="1800"/>
          <w:tab w:val="left" w:pos="6660"/>
        </w:tabs>
        <w:spacing w:after="0"/>
        <w:ind w:left="4320" w:right="-540"/>
        <w:jc w:val="right"/>
        <w:rPr>
          <w:rFonts w:ascii="Arial" w:hAnsi="Arial"/>
          <w:szCs w:val="24"/>
          <w:lang w:val="en-GB"/>
        </w:rPr>
      </w:pPr>
    </w:p>
    <w:p w:rsidR="004B3401" w:rsidRPr="005633D9" w:rsidRDefault="004B3401" w:rsidP="00E570B7">
      <w:pPr>
        <w:tabs>
          <w:tab w:val="left" w:pos="720"/>
          <w:tab w:val="left" w:pos="1080"/>
          <w:tab w:val="left" w:pos="1440"/>
          <w:tab w:val="left" w:pos="1800"/>
          <w:tab w:val="left" w:pos="6660"/>
        </w:tabs>
        <w:spacing w:after="0"/>
        <w:ind w:left="4320" w:right="-540"/>
        <w:jc w:val="right"/>
        <w:rPr>
          <w:rFonts w:ascii="Arial" w:hAnsi="Arial"/>
          <w:szCs w:val="24"/>
          <w:lang w:val="en-GB"/>
        </w:rPr>
      </w:pPr>
    </w:p>
    <w:p w:rsidR="004B3401" w:rsidRPr="005633D9" w:rsidRDefault="004B3401" w:rsidP="00E570B7">
      <w:pPr>
        <w:tabs>
          <w:tab w:val="left" w:pos="720"/>
          <w:tab w:val="left" w:pos="1080"/>
          <w:tab w:val="left" w:pos="1440"/>
          <w:tab w:val="left" w:pos="1800"/>
          <w:tab w:val="left" w:pos="6660"/>
        </w:tabs>
        <w:spacing w:after="0"/>
        <w:ind w:left="4320" w:right="-540"/>
        <w:jc w:val="right"/>
        <w:rPr>
          <w:rFonts w:ascii="Arial" w:hAnsi="Arial"/>
          <w:szCs w:val="24"/>
          <w:lang w:val="en-GB"/>
        </w:rPr>
      </w:pPr>
    </w:p>
    <w:p w:rsidR="008D7633" w:rsidRPr="005633D9" w:rsidRDefault="006C1434" w:rsidP="00E570B7">
      <w:pPr>
        <w:pStyle w:val="CoverText11pt"/>
        <w:ind w:left="4320"/>
        <w:rPr>
          <w:b/>
          <w:lang w:val="en-GB"/>
        </w:rPr>
      </w:pPr>
      <w:r w:rsidRPr="005633D9">
        <w:rPr>
          <w:b/>
          <w:lang w:val="en-GB"/>
        </w:rPr>
        <w:t>Submitted to</w:t>
      </w:r>
      <w:r w:rsidR="001E2CF1" w:rsidRPr="005633D9">
        <w:rPr>
          <w:b/>
          <w:lang w:val="en-GB"/>
        </w:rPr>
        <w:t>:</w:t>
      </w:r>
    </w:p>
    <w:p w:rsidR="008D7633" w:rsidRPr="005633D9" w:rsidRDefault="006C1434" w:rsidP="00E570B7">
      <w:pPr>
        <w:pStyle w:val="CoverText-Address"/>
        <w:ind w:left="4320"/>
        <w:rPr>
          <w:b/>
          <w:color w:val="DA291C" w:themeColor="accent1"/>
          <w:lang w:val="en-GB"/>
        </w:rPr>
      </w:pPr>
      <w:r w:rsidRPr="005633D9">
        <w:rPr>
          <w:lang w:val="en-GB"/>
        </w:rPr>
        <w:br/>
      </w:r>
      <w:r w:rsidR="006348BD" w:rsidRPr="005633D9">
        <w:rPr>
          <w:b/>
          <w:color w:val="DA291C" w:themeColor="accent1"/>
          <w:lang w:val="en-GB"/>
        </w:rPr>
        <w:t>DFID</w:t>
      </w:r>
    </w:p>
    <w:p w:rsidR="00063ED0" w:rsidRPr="005633D9" w:rsidRDefault="00063ED0" w:rsidP="00063ED0">
      <w:pPr>
        <w:pStyle w:val="CoverText-Address"/>
        <w:rPr>
          <w:rFonts w:cs="Arial"/>
          <w:color w:val="auto"/>
          <w:lang w:val="en-GB"/>
        </w:rPr>
      </w:pPr>
      <w:r w:rsidRPr="005633D9">
        <w:rPr>
          <w:rFonts w:cs="Arial"/>
          <w:color w:val="auto"/>
          <w:lang w:val="en-GB"/>
        </w:rPr>
        <w:t>Abercrombie House, Eaglesham Road</w:t>
      </w:r>
    </w:p>
    <w:p w:rsidR="006C1434" w:rsidRPr="005633D9" w:rsidRDefault="00063ED0" w:rsidP="00063ED0">
      <w:pPr>
        <w:pStyle w:val="CoverText11pt"/>
        <w:ind w:left="4320"/>
        <w:rPr>
          <w:lang w:val="en-GB"/>
        </w:rPr>
      </w:pPr>
      <w:r w:rsidRPr="005633D9">
        <w:rPr>
          <w:rFonts w:cs="Arial"/>
          <w:color w:val="auto"/>
          <w:lang w:val="en-GB"/>
        </w:rPr>
        <w:t>East Kilbride, Glasgow G75 8EA</w:t>
      </w:r>
    </w:p>
    <w:p w:rsidR="006C1434" w:rsidRPr="005633D9" w:rsidRDefault="006C1434" w:rsidP="00E570B7">
      <w:pPr>
        <w:pStyle w:val="CoverText11pt"/>
        <w:ind w:left="4320"/>
        <w:rPr>
          <w:lang w:val="en-GB"/>
        </w:rPr>
      </w:pPr>
    </w:p>
    <w:p w:rsidR="001E2CF1" w:rsidRPr="005633D9" w:rsidRDefault="00063ED0" w:rsidP="00E570B7">
      <w:pPr>
        <w:pStyle w:val="CoverText11pt"/>
        <w:ind w:left="4320"/>
        <w:rPr>
          <w:b/>
          <w:lang w:val="en-GB"/>
        </w:rPr>
      </w:pPr>
      <w:r w:rsidRPr="005633D9">
        <w:rPr>
          <w:b/>
          <w:lang w:val="en-GB"/>
        </w:rPr>
        <w:t>Prepared by</w:t>
      </w:r>
      <w:r w:rsidR="001E2CF1" w:rsidRPr="005633D9">
        <w:rPr>
          <w:b/>
          <w:lang w:val="en-GB"/>
        </w:rPr>
        <w:t>:</w:t>
      </w:r>
    </w:p>
    <w:p w:rsidR="001E2CF1" w:rsidRPr="005633D9" w:rsidRDefault="006C1434" w:rsidP="00E570B7">
      <w:pPr>
        <w:pStyle w:val="CoverText-Address"/>
        <w:ind w:left="4320"/>
        <w:rPr>
          <w:b/>
          <w:color w:val="DA291C" w:themeColor="accent1"/>
          <w:lang w:val="en-GB"/>
        </w:rPr>
      </w:pPr>
      <w:r w:rsidRPr="005633D9">
        <w:rPr>
          <w:b/>
          <w:color w:val="DA291C"/>
          <w:lang w:val="en-GB"/>
        </w:rPr>
        <w:br/>
      </w:r>
      <w:r w:rsidR="001E2CF1" w:rsidRPr="005633D9">
        <w:rPr>
          <w:b/>
          <w:color w:val="DA291C" w:themeColor="accent1"/>
          <w:lang w:val="en-GB"/>
        </w:rPr>
        <w:t xml:space="preserve">Abt Associates </w:t>
      </w:r>
    </w:p>
    <w:p w:rsidR="00063ED0" w:rsidRPr="005633D9" w:rsidRDefault="00063ED0" w:rsidP="00063ED0">
      <w:pPr>
        <w:pStyle w:val="CoverText-Address"/>
        <w:rPr>
          <w:rFonts w:cs="Arial"/>
          <w:color w:val="auto"/>
          <w:lang w:val="en-GB"/>
        </w:rPr>
      </w:pPr>
      <w:r w:rsidRPr="005633D9">
        <w:rPr>
          <w:rFonts w:cs="Arial"/>
          <w:color w:val="auto"/>
          <w:lang w:val="en-GB"/>
        </w:rPr>
        <w:t>4550 Montgomery Avenue</w:t>
      </w:r>
      <w:r w:rsidRPr="005633D9">
        <w:rPr>
          <w:rFonts w:cs="Arial"/>
          <w:color w:val="auto"/>
          <w:lang w:val="en-GB"/>
        </w:rPr>
        <w:br/>
        <w:t xml:space="preserve">Suite 800 North </w:t>
      </w:r>
      <w:r w:rsidRPr="005633D9">
        <w:rPr>
          <w:rFonts w:cs="Arial"/>
          <w:color w:val="auto"/>
          <w:lang w:val="en-GB"/>
        </w:rPr>
        <w:br/>
        <w:t>Bethesda, MD 20814</w:t>
      </w:r>
    </w:p>
    <w:p w:rsidR="00676016" w:rsidRPr="005633D9" w:rsidRDefault="00676016" w:rsidP="00676016">
      <w:pPr>
        <w:pStyle w:val="CoverText-Address"/>
        <w:ind w:left="4320"/>
        <w:rPr>
          <w:lang w:val="en-GB"/>
        </w:rPr>
      </w:pPr>
    </w:p>
    <w:p w:rsidR="00676016" w:rsidRPr="005633D9" w:rsidRDefault="00676016" w:rsidP="00676016">
      <w:pPr>
        <w:pStyle w:val="CoverText11pt"/>
        <w:ind w:left="4320"/>
        <w:rPr>
          <w:b/>
          <w:lang w:val="en-GB"/>
        </w:rPr>
      </w:pPr>
      <w:r w:rsidRPr="005633D9">
        <w:rPr>
          <w:b/>
          <w:lang w:val="en-GB"/>
        </w:rPr>
        <w:t>In association with:</w:t>
      </w:r>
    </w:p>
    <w:p w:rsidR="00676016" w:rsidRPr="005633D9" w:rsidRDefault="00676016" w:rsidP="00676016">
      <w:pPr>
        <w:pStyle w:val="CoverText-Address"/>
        <w:ind w:left="4320"/>
        <w:rPr>
          <w:b/>
          <w:color w:val="DA291C" w:themeColor="accent1"/>
          <w:lang w:val="en-GB"/>
        </w:rPr>
      </w:pPr>
      <w:r w:rsidRPr="005633D9">
        <w:rPr>
          <w:b/>
          <w:lang w:val="en-GB"/>
        </w:rPr>
        <w:br/>
      </w:r>
      <w:r w:rsidRPr="005633D9">
        <w:rPr>
          <w:b/>
          <w:color w:val="DA291C" w:themeColor="accent1"/>
          <w:lang w:val="en-GB"/>
        </w:rPr>
        <w:t>Denise Mainville Consulting</w:t>
      </w:r>
    </w:p>
    <w:p w:rsidR="00F117D7" w:rsidRPr="005633D9" w:rsidRDefault="00F117D7" w:rsidP="00E570B7">
      <w:pPr>
        <w:pStyle w:val="CoverText-Address"/>
        <w:ind w:left="4320"/>
        <w:rPr>
          <w:lang w:val="en-GB"/>
        </w:rPr>
      </w:pPr>
    </w:p>
    <w:p w:rsidR="00335336" w:rsidRPr="005633D9" w:rsidRDefault="00335336" w:rsidP="00E570B7">
      <w:pPr>
        <w:pStyle w:val="CoverText-Address"/>
        <w:ind w:left="4320"/>
        <w:rPr>
          <w:lang w:val="en-GB"/>
        </w:rPr>
      </w:pPr>
    </w:p>
    <w:p w:rsidR="00335336" w:rsidRPr="005633D9" w:rsidRDefault="00872D29" w:rsidP="00E570B7">
      <w:pPr>
        <w:pStyle w:val="CoverText-Address"/>
        <w:ind w:left="4320"/>
        <w:rPr>
          <w:lang w:val="en-GB"/>
        </w:rPr>
      </w:pPr>
      <w:r>
        <w:rPr>
          <w:lang w:val="en-GB"/>
        </w:rPr>
        <w:t xml:space="preserve">December </w:t>
      </w:r>
      <w:r w:rsidR="00A62EA3">
        <w:rPr>
          <w:lang w:val="en-GB"/>
        </w:rPr>
        <w:t>30</w:t>
      </w:r>
      <w:r w:rsidR="00335336" w:rsidRPr="005633D9">
        <w:rPr>
          <w:lang w:val="en-GB"/>
        </w:rPr>
        <w:t>, 2014</w:t>
      </w:r>
    </w:p>
    <w:p w:rsidR="00747C79" w:rsidRPr="005633D9" w:rsidRDefault="00747C79" w:rsidP="00354503">
      <w:pPr>
        <w:pStyle w:val="CoverText-Address"/>
        <w:rPr>
          <w:lang w:val="en-GB"/>
        </w:rPr>
      </w:pPr>
      <w:bookmarkStart w:id="0" w:name="OLE_LINK1"/>
      <w:bookmarkStart w:id="1" w:name="OLE_LINK5"/>
    </w:p>
    <w:p w:rsidR="00747C79" w:rsidRPr="005633D9" w:rsidRDefault="00747C79" w:rsidP="00354503">
      <w:pPr>
        <w:pStyle w:val="CoverText-Address"/>
        <w:rPr>
          <w:lang w:val="en-GB"/>
        </w:rPr>
      </w:pPr>
    </w:p>
    <w:p w:rsidR="00747C79" w:rsidRPr="005633D9" w:rsidRDefault="00747C79" w:rsidP="00354503">
      <w:pPr>
        <w:pStyle w:val="CoverText-Address"/>
        <w:rPr>
          <w:lang w:val="en-GB"/>
        </w:rPr>
      </w:pPr>
    </w:p>
    <w:p w:rsidR="00747C79" w:rsidRPr="005633D9" w:rsidRDefault="00747C79" w:rsidP="00354503">
      <w:pPr>
        <w:pStyle w:val="CoverText-Address"/>
        <w:rPr>
          <w:lang w:val="en-GB"/>
        </w:rPr>
      </w:pPr>
    </w:p>
    <w:bookmarkEnd w:id="0"/>
    <w:bookmarkEnd w:id="1"/>
    <w:p w:rsidR="004B3401" w:rsidRPr="005633D9" w:rsidRDefault="004B3401" w:rsidP="00D979EA">
      <w:pPr>
        <w:rPr>
          <w:lang w:val="en-GB"/>
        </w:rPr>
      </w:pPr>
    </w:p>
    <w:p w:rsidR="00696F05" w:rsidRPr="005633D9" w:rsidRDefault="00696F05" w:rsidP="00696F05">
      <w:pPr>
        <w:tabs>
          <w:tab w:val="left" w:pos="5550"/>
          <w:tab w:val="left" w:pos="5640"/>
        </w:tabs>
        <w:rPr>
          <w:lang w:val="en-GB"/>
        </w:rPr>
        <w:sectPr w:rsidR="00696F05" w:rsidRPr="005633D9" w:rsidSect="00677314">
          <w:headerReference w:type="default" r:id="rId10"/>
          <w:type w:val="continuous"/>
          <w:pgSz w:w="12240" w:h="15840" w:code="1"/>
          <w:pgMar w:top="1440" w:right="1440" w:bottom="1440" w:left="1440" w:header="1080" w:footer="720" w:gutter="0"/>
          <w:pgNumType w:start="1" w:chapStyle="1"/>
          <w:cols w:space="720"/>
          <w:docGrid w:linePitch="299"/>
        </w:sectPr>
      </w:pPr>
    </w:p>
    <w:p w:rsidR="00BC3552" w:rsidRPr="005633D9" w:rsidRDefault="006348BD" w:rsidP="006247AB">
      <w:pPr>
        <w:pStyle w:val="TOCMainHeaders"/>
        <w:rPr>
          <w:noProof w:val="0"/>
          <w:lang w:val="en-GB"/>
        </w:rPr>
      </w:pPr>
      <w:r w:rsidRPr="005633D9">
        <w:rPr>
          <w:noProof w:val="0"/>
          <w:lang w:val="en-GB"/>
        </w:rPr>
        <w:lastRenderedPageBreak/>
        <w:t xml:space="preserve">Table of </w:t>
      </w:r>
      <w:r w:rsidR="00575C0C" w:rsidRPr="005633D9">
        <w:rPr>
          <w:noProof w:val="0"/>
          <w:color w:val="DA291C"/>
          <w:lang w:val="en-GB"/>
        </w:rPr>
        <w:t>contents</w:t>
      </w:r>
    </w:p>
    <w:p w:rsidR="00CF2B31" w:rsidRDefault="00182BBA">
      <w:pPr>
        <w:pStyle w:val="TOC1"/>
        <w:rPr>
          <w:rFonts w:asciiTheme="minorHAnsi" w:eastAsiaTheme="minorEastAsia" w:hAnsiTheme="minorHAnsi" w:cstheme="minorBidi"/>
          <w:b w:val="0"/>
          <w:sz w:val="22"/>
          <w:szCs w:val="22"/>
        </w:rPr>
      </w:pPr>
      <w:r w:rsidRPr="005633D9">
        <w:rPr>
          <w:b w:val="0"/>
          <w:noProof w:val="0"/>
          <w:lang w:val="en-GB"/>
        </w:rPr>
        <w:fldChar w:fldCharType="begin"/>
      </w:r>
      <w:r w:rsidRPr="005633D9">
        <w:rPr>
          <w:b w:val="0"/>
          <w:noProof w:val="0"/>
          <w:lang w:val="en-GB"/>
        </w:rPr>
        <w:instrText xml:space="preserve"> TOC \o "1-2" \h \z \u </w:instrText>
      </w:r>
      <w:r w:rsidRPr="005633D9">
        <w:rPr>
          <w:b w:val="0"/>
          <w:noProof w:val="0"/>
          <w:lang w:val="en-GB"/>
        </w:rPr>
        <w:fldChar w:fldCharType="separate"/>
      </w:r>
      <w:hyperlink w:anchor="_Toc407700404" w:history="1">
        <w:r w:rsidR="00CF2B31" w:rsidRPr="007660A8">
          <w:rPr>
            <w:rStyle w:val="Hyperlink"/>
            <w:lang w:val="en-GB"/>
          </w:rPr>
          <w:t>Preface</w:t>
        </w:r>
        <w:r w:rsidR="00CF2B31">
          <w:rPr>
            <w:webHidden/>
          </w:rPr>
          <w:tab/>
        </w:r>
        <w:r w:rsidR="00CF2B31">
          <w:rPr>
            <w:webHidden/>
          </w:rPr>
          <w:fldChar w:fldCharType="begin"/>
        </w:r>
        <w:r w:rsidR="00CF2B31">
          <w:rPr>
            <w:webHidden/>
          </w:rPr>
          <w:instrText xml:space="preserve"> PAGEREF _Toc407700404 \h </w:instrText>
        </w:r>
        <w:r w:rsidR="00CF2B31">
          <w:rPr>
            <w:webHidden/>
          </w:rPr>
        </w:r>
        <w:r w:rsidR="00CF2B31">
          <w:rPr>
            <w:webHidden/>
          </w:rPr>
          <w:fldChar w:fldCharType="separate"/>
        </w:r>
        <w:r w:rsidR="00CF2B31">
          <w:rPr>
            <w:webHidden/>
          </w:rPr>
          <w:t>iii</w:t>
        </w:r>
        <w:r w:rsidR="00CF2B31">
          <w:rPr>
            <w:webHidden/>
          </w:rPr>
          <w:fldChar w:fldCharType="end"/>
        </w:r>
      </w:hyperlink>
    </w:p>
    <w:p w:rsidR="00CF2B31" w:rsidRDefault="00726175">
      <w:pPr>
        <w:pStyle w:val="TOC1"/>
        <w:rPr>
          <w:rFonts w:asciiTheme="minorHAnsi" w:eastAsiaTheme="minorEastAsia" w:hAnsiTheme="minorHAnsi" w:cstheme="minorBidi"/>
          <w:b w:val="0"/>
          <w:sz w:val="22"/>
          <w:szCs w:val="22"/>
        </w:rPr>
      </w:pPr>
      <w:hyperlink w:anchor="_Toc407700405" w:history="1">
        <w:r w:rsidR="00CF2B31" w:rsidRPr="007660A8">
          <w:rPr>
            <w:rStyle w:val="Hyperlink"/>
            <w:lang w:val="en-GB"/>
          </w:rPr>
          <w:t>1.</w:t>
        </w:r>
        <w:r w:rsidR="00CF2B31">
          <w:rPr>
            <w:rFonts w:asciiTheme="minorHAnsi" w:eastAsiaTheme="minorEastAsia" w:hAnsiTheme="minorHAnsi" w:cstheme="minorBidi"/>
            <w:b w:val="0"/>
            <w:sz w:val="22"/>
            <w:szCs w:val="22"/>
          </w:rPr>
          <w:tab/>
        </w:r>
        <w:r w:rsidR="00CF2B31" w:rsidRPr="007660A8">
          <w:rPr>
            <w:rStyle w:val="Hyperlink"/>
            <w:lang w:val="en-GB"/>
          </w:rPr>
          <w:t>Setting for the AgResults pilot</w:t>
        </w:r>
        <w:r w:rsidR="00CF2B31">
          <w:rPr>
            <w:webHidden/>
          </w:rPr>
          <w:tab/>
        </w:r>
        <w:r w:rsidR="00CF2B31">
          <w:rPr>
            <w:webHidden/>
          </w:rPr>
          <w:fldChar w:fldCharType="begin"/>
        </w:r>
        <w:r w:rsidR="00CF2B31">
          <w:rPr>
            <w:webHidden/>
          </w:rPr>
          <w:instrText xml:space="preserve"> PAGEREF _Toc407700405 \h </w:instrText>
        </w:r>
        <w:r w:rsidR="00CF2B31">
          <w:rPr>
            <w:webHidden/>
          </w:rPr>
        </w:r>
        <w:r w:rsidR="00CF2B31">
          <w:rPr>
            <w:webHidden/>
          </w:rPr>
          <w:fldChar w:fldCharType="separate"/>
        </w:r>
        <w:r w:rsidR="00CF2B31">
          <w:rPr>
            <w:webHidden/>
          </w:rPr>
          <w:t>1</w:t>
        </w:r>
        <w:r w:rsidR="00CF2B31">
          <w:rPr>
            <w:webHidden/>
          </w:rPr>
          <w:fldChar w:fldCharType="end"/>
        </w:r>
      </w:hyperlink>
    </w:p>
    <w:p w:rsidR="00CF2B31" w:rsidRDefault="00726175">
      <w:pPr>
        <w:pStyle w:val="TOC2"/>
        <w:rPr>
          <w:rFonts w:asciiTheme="minorHAnsi" w:eastAsiaTheme="minorEastAsia" w:hAnsiTheme="minorHAnsi" w:cstheme="minorBidi"/>
          <w:sz w:val="22"/>
          <w:szCs w:val="22"/>
        </w:rPr>
      </w:pPr>
      <w:hyperlink w:anchor="_Toc407700406" w:history="1">
        <w:r w:rsidR="00CF2B31" w:rsidRPr="007660A8">
          <w:rPr>
            <w:rStyle w:val="Hyperlink"/>
            <w:lang w:val="en-GB"/>
          </w:rPr>
          <w:t>1.1</w:t>
        </w:r>
        <w:r w:rsidR="00CF2B31">
          <w:rPr>
            <w:rFonts w:asciiTheme="minorHAnsi" w:eastAsiaTheme="minorEastAsia" w:hAnsiTheme="minorHAnsi" w:cstheme="minorBidi"/>
            <w:sz w:val="22"/>
            <w:szCs w:val="22"/>
          </w:rPr>
          <w:tab/>
        </w:r>
        <w:r w:rsidR="00CF2B31" w:rsidRPr="007660A8">
          <w:rPr>
            <w:rStyle w:val="Hyperlink"/>
            <w:lang w:val="en-GB"/>
          </w:rPr>
          <w:t>The aflatoxin problem in Nigeria</w:t>
        </w:r>
        <w:r w:rsidR="00CF2B31">
          <w:rPr>
            <w:webHidden/>
          </w:rPr>
          <w:tab/>
        </w:r>
        <w:r w:rsidR="00CF2B31">
          <w:rPr>
            <w:webHidden/>
          </w:rPr>
          <w:fldChar w:fldCharType="begin"/>
        </w:r>
        <w:r w:rsidR="00CF2B31">
          <w:rPr>
            <w:webHidden/>
          </w:rPr>
          <w:instrText xml:space="preserve"> PAGEREF _Toc407700406 \h </w:instrText>
        </w:r>
        <w:r w:rsidR="00CF2B31">
          <w:rPr>
            <w:webHidden/>
          </w:rPr>
        </w:r>
        <w:r w:rsidR="00CF2B31">
          <w:rPr>
            <w:webHidden/>
          </w:rPr>
          <w:fldChar w:fldCharType="separate"/>
        </w:r>
        <w:r w:rsidR="00CF2B31">
          <w:rPr>
            <w:webHidden/>
          </w:rPr>
          <w:t>1</w:t>
        </w:r>
        <w:r w:rsidR="00CF2B31">
          <w:rPr>
            <w:webHidden/>
          </w:rPr>
          <w:fldChar w:fldCharType="end"/>
        </w:r>
      </w:hyperlink>
    </w:p>
    <w:p w:rsidR="00CF2B31" w:rsidRDefault="00726175">
      <w:pPr>
        <w:pStyle w:val="TOC2"/>
        <w:rPr>
          <w:rFonts w:asciiTheme="minorHAnsi" w:eastAsiaTheme="minorEastAsia" w:hAnsiTheme="minorHAnsi" w:cstheme="minorBidi"/>
          <w:sz w:val="22"/>
          <w:szCs w:val="22"/>
        </w:rPr>
      </w:pPr>
      <w:hyperlink w:anchor="_Toc407700407" w:history="1">
        <w:r w:rsidR="00CF2B31" w:rsidRPr="007660A8">
          <w:rPr>
            <w:rStyle w:val="Hyperlink"/>
            <w:lang w:val="en-GB"/>
          </w:rPr>
          <w:t>1.2</w:t>
        </w:r>
        <w:r w:rsidR="00CF2B31">
          <w:rPr>
            <w:rFonts w:asciiTheme="minorHAnsi" w:eastAsiaTheme="minorEastAsia" w:hAnsiTheme="minorHAnsi" w:cstheme="minorBidi"/>
            <w:sz w:val="22"/>
            <w:szCs w:val="22"/>
          </w:rPr>
          <w:tab/>
        </w:r>
        <w:r w:rsidR="00CF2B31" w:rsidRPr="007660A8">
          <w:rPr>
            <w:rStyle w:val="Hyperlink"/>
            <w:lang w:val="en-GB"/>
          </w:rPr>
          <w:t>The AgResults pilot objectives</w:t>
        </w:r>
        <w:r w:rsidR="00CF2B31">
          <w:rPr>
            <w:webHidden/>
          </w:rPr>
          <w:tab/>
        </w:r>
        <w:r w:rsidR="00CF2B31">
          <w:rPr>
            <w:webHidden/>
          </w:rPr>
          <w:fldChar w:fldCharType="begin"/>
        </w:r>
        <w:r w:rsidR="00CF2B31">
          <w:rPr>
            <w:webHidden/>
          </w:rPr>
          <w:instrText xml:space="preserve"> PAGEREF _Toc407700407 \h </w:instrText>
        </w:r>
        <w:r w:rsidR="00CF2B31">
          <w:rPr>
            <w:webHidden/>
          </w:rPr>
        </w:r>
        <w:r w:rsidR="00CF2B31">
          <w:rPr>
            <w:webHidden/>
          </w:rPr>
          <w:fldChar w:fldCharType="separate"/>
        </w:r>
        <w:r w:rsidR="00CF2B31">
          <w:rPr>
            <w:webHidden/>
          </w:rPr>
          <w:t>3</w:t>
        </w:r>
        <w:r w:rsidR="00CF2B31">
          <w:rPr>
            <w:webHidden/>
          </w:rPr>
          <w:fldChar w:fldCharType="end"/>
        </w:r>
      </w:hyperlink>
    </w:p>
    <w:p w:rsidR="00CF2B31" w:rsidRDefault="00726175">
      <w:pPr>
        <w:pStyle w:val="TOC2"/>
        <w:rPr>
          <w:rFonts w:asciiTheme="minorHAnsi" w:eastAsiaTheme="minorEastAsia" w:hAnsiTheme="minorHAnsi" w:cstheme="minorBidi"/>
          <w:sz w:val="22"/>
          <w:szCs w:val="22"/>
        </w:rPr>
      </w:pPr>
      <w:hyperlink w:anchor="_Toc407700408" w:history="1">
        <w:r w:rsidR="00CF2B31" w:rsidRPr="007660A8">
          <w:rPr>
            <w:rStyle w:val="Hyperlink"/>
            <w:lang w:val="en-GB"/>
          </w:rPr>
          <w:t>1.3</w:t>
        </w:r>
        <w:r w:rsidR="00CF2B31">
          <w:rPr>
            <w:rFonts w:asciiTheme="minorHAnsi" w:eastAsiaTheme="minorEastAsia" w:hAnsiTheme="minorHAnsi" w:cstheme="minorBidi"/>
            <w:sz w:val="22"/>
            <w:szCs w:val="22"/>
          </w:rPr>
          <w:tab/>
        </w:r>
        <w:r w:rsidR="00CF2B31" w:rsidRPr="007660A8">
          <w:rPr>
            <w:rStyle w:val="Hyperlink"/>
            <w:lang w:val="en-GB"/>
          </w:rPr>
          <w:t>Overview of Nigeria’s maize sector</w:t>
        </w:r>
        <w:r w:rsidR="00CF2B31">
          <w:rPr>
            <w:webHidden/>
          </w:rPr>
          <w:tab/>
        </w:r>
        <w:r w:rsidR="00CF2B31">
          <w:rPr>
            <w:webHidden/>
          </w:rPr>
          <w:fldChar w:fldCharType="begin"/>
        </w:r>
        <w:r w:rsidR="00CF2B31">
          <w:rPr>
            <w:webHidden/>
          </w:rPr>
          <w:instrText xml:space="preserve"> PAGEREF _Toc407700408 \h </w:instrText>
        </w:r>
        <w:r w:rsidR="00CF2B31">
          <w:rPr>
            <w:webHidden/>
          </w:rPr>
        </w:r>
        <w:r w:rsidR="00CF2B31">
          <w:rPr>
            <w:webHidden/>
          </w:rPr>
          <w:fldChar w:fldCharType="separate"/>
        </w:r>
        <w:r w:rsidR="00CF2B31">
          <w:rPr>
            <w:webHidden/>
          </w:rPr>
          <w:t>6</w:t>
        </w:r>
        <w:r w:rsidR="00CF2B31">
          <w:rPr>
            <w:webHidden/>
          </w:rPr>
          <w:fldChar w:fldCharType="end"/>
        </w:r>
      </w:hyperlink>
    </w:p>
    <w:p w:rsidR="00CF2B31" w:rsidRDefault="00726175">
      <w:pPr>
        <w:pStyle w:val="TOC1"/>
        <w:rPr>
          <w:rFonts w:asciiTheme="minorHAnsi" w:eastAsiaTheme="minorEastAsia" w:hAnsiTheme="minorHAnsi" w:cstheme="minorBidi"/>
          <w:b w:val="0"/>
          <w:sz w:val="22"/>
          <w:szCs w:val="22"/>
        </w:rPr>
      </w:pPr>
      <w:hyperlink w:anchor="_Toc407700409" w:history="1">
        <w:r w:rsidR="00CF2B31" w:rsidRPr="007660A8">
          <w:rPr>
            <w:rStyle w:val="Hyperlink"/>
            <w:lang w:val="en-GB"/>
          </w:rPr>
          <w:t>2.</w:t>
        </w:r>
        <w:r w:rsidR="00CF2B31">
          <w:rPr>
            <w:rFonts w:asciiTheme="minorHAnsi" w:eastAsiaTheme="minorEastAsia" w:hAnsiTheme="minorHAnsi" w:cstheme="minorBidi"/>
            <w:b w:val="0"/>
            <w:sz w:val="22"/>
            <w:szCs w:val="22"/>
          </w:rPr>
          <w:tab/>
        </w:r>
        <w:r w:rsidR="00CF2B31" w:rsidRPr="007660A8">
          <w:rPr>
            <w:rStyle w:val="Hyperlink"/>
            <w:lang w:val="en-GB"/>
          </w:rPr>
          <w:t>Evaluation questions and research methods</w:t>
        </w:r>
        <w:r w:rsidR="00CF2B31">
          <w:rPr>
            <w:webHidden/>
          </w:rPr>
          <w:tab/>
        </w:r>
        <w:r w:rsidR="00CF2B31">
          <w:rPr>
            <w:webHidden/>
          </w:rPr>
          <w:fldChar w:fldCharType="begin"/>
        </w:r>
        <w:r w:rsidR="00CF2B31">
          <w:rPr>
            <w:webHidden/>
          </w:rPr>
          <w:instrText xml:space="preserve"> PAGEREF _Toc407700409 \h </w:instrText>
        </w:r>
        <w:r w:rsidR="00CF2B31">
          <w:rPr>
            <w:webHidden/>
          </w:rPr>
        </w:r>
        <w:r w:rsidR="00CF2B31">
          <w:rPr>
            <w:webHidden/>
          </w:rPr>
          <w:fldChar w:fldCharType="separate"/>
        </w:r>
        <w:r w:rsidR="00CF2B31">
          <w:rPr>
            <w:webHidden/>
          </w:rPr>
          <w:t>11</w:t>
        </w:r>
        <w:r w:rsidR="00CF2B31">
          <w:rPr>
            <w:webHidden/>
          </w:rPr>
          <w:fldChar w:fldCharType="end"/>
        </w:r>
      </w:hyperlink>
    </w:p>
    <w:p w:rsidR="00CF2B31" w:rsidRDefault="00726175">
      <w:pPr>
        <w:pStyle w:val="TOC1"/>
        <w:rPr>
          <w:rFonts w:asciiTheme="minorHAnsi" w:eastAsiaTheme="minorEastAsia" w:hAnsiTheme="minorHAnsi" w:cstheme="minorBidi"/>
          <w:b w:val="0"/>
          <w:sz w:val="22"/>
          <w:szCs w:val="22"/>
        </w:rPr>
      </w:pPr>
      <w:hyperlink w:anchor="_Toc407700410" w:history="1">
        <w:r w:rsidR="00CF2B31" w:rsidRPr="007660A8">
          <w:rPr>
            <w:rStyle w:val="Hyperlink"/>
            <w:lang w:val="en-GB"/>
          </w:rPr>
          <w:t>3.</w:t>
        </w:r>
        <w:r w:rsidR="00CF2B31">
          <w:rPr>
            <w:rFonts w:asciiTheme="minorHAnsi" w:eastAsiaTheme="minorEastAsia" w:hAnsiTheme="minorHAnsi" w:cstheme="minorBidi"/>
            <w:b w:val="0"/>
            <w:sz w:val="22"/>
            <w:szCs w:val="22"/>
          </w:rPr>
          <w:tab/>
        </w:r>
        <w:r w:rsidR="00CF2B31" w:rsidRPr="007660A8">
          <w:rPr>
            <w:rStyle w:val="Hyperlink"/>
            <w:lang w:val="en-GB"/>
          </w:rPr>
          <w:t>Evaluation approach by question</w:t>
        </w:r>
        <w:r w:rsidR="00CF2B31">
          <w:rPr>
            <w:webHidden/>
          </w:rPr>
          <w:tab/>
        </w:r>
        <w:r w:rsidR="00CF2B31">
          <w:rPr>
            <w:webHidden/>
          </w:rPr>
          <w:fldChar w:fldCharType="begin"/>
        </w:r>
        <w:r w:rsidR="00CF2B31">
          <w:rPr>
            <w:webHidden/>
          </w:rPr>
          <w:instrText xml:space="preserve"> PAGEREF _Toc407700410 \h </w:instrText>
        </w:r>
        <w:r w:rsidR="00CF2B31">
          <w:rPr>
            <w:webHidden/>
          </w:rPr>
        </w:r>
        <w:r w:rsidR="00CF2B31">
          <w:rPr>
            <w:webHidden/>
          </w:rPr>
          <w:fldChar w:fldCharType="separate"/>
        </w:r>
        <w:r w:rsidR="00CF2B31">
          <w:rPr>
            <w:webHidden/>
          </w:rPr>
          <w:t>13</w:t>
        </w:r>
        <w:r w:rsidR="00CF2B31">
          <w:rPr>
            <w:webHidden/>
          </w:rPr>
          <w:fldChar w:fldCharType="end"/>
        </w:r>
      </w:hyperlink>
    </w:p>
    <w:p w:rsidR="00CF2B31" w:rsidRDefault="00726175">
      <w:pPr>
        <w:pStyle w:val="TOC2"/>
        <w:rPr>
          <w:rFonts w:asciiTheme="minorHAnsi" w:eastAsiaTheme="minorEastAsia" w:hAnsiTheme="minorHAnsi" w:cstheme="minorBidi"/>
          <w:sz w:val="22"/>
          <w:szCs w:val="22"/>
        </w:rPr>
      </w:pPr>
      <w:hyperlink w:anchor="_Toc407700411" w:history="1">
        <w:r w:rsidR="00CF2B31" w:rsidRPr="007660A8">
          <w:rPr>
            <w:rStyle w:val="Hyperlink"/>
            <w:lang w:val="en-GB"/>
          </w:rPr>
          <w:t>3.1</w:t>
        </w:r>
        <w:r w:rsidR="00CF2B31">
          <w:rPr>
            <w:rFonts w:asciiTheme="minorHAnsi" w:eastAsiaTheme="minorEastAsia" w:hAnsiTheme="minorHAnsi" w:cstheme="minorBidi"/>
            <w:sz w:val="22"/>
            <w:szCs w:val="22"/>
          </w:rPr>
          <w:tab/>
        </w:r>
        <w:r w:rsidR="00CF2B31" w:rsidRPr="007660A8">
          <w:rPr>
            <w:rStyle w:val="Hyperlink"/>
            <w:lang w:val="en-GB"/>
          </w:rPr>
          <w:t>Evaluation question 1: What is the impact of the AgResults pilot on private sector engagement in the market for aflatoxin-free maize?</w:t>
        </w:r>
        <w:r w:rsidR="00CF2B31">
          <w:rPr>
            <w:webHidden/>
          </w:rPr>
          <w:tab/>
        </w:r>
        <w:r w:rsidR="00CF2B31">
          <w:rPr>
            <w:webHidden/>
          </w:rPr>
          <w:fldChar w:fldCharType="begin"/>
        </w:r>
        <w:r w:rsidR="00CF2B31">
          <w:rPr>
            <w:webHidden/>
          </w:rPr>
          <w:instrText xml:space="preserve"> PAGEREF _Toc407700411 \h </w:instrText>
        </w:r>
        <w:r w:rsidR="00CF2B31">
          <w:rPr>
            <w:webHidden/>
          </w:rPr>
        </w:r>
        <w:r w:rsidR="00CF2B31">
          <w:rPr>
            <w:webHidden/>
          </w:rPr>
          <w:fldChar w:fldCharType="separate"/>
        </w:r>
        <w:r w:rsidR="00CF2B31">
          <w:rPr>
            <w:webHidden/>
          </w:rPr>
          <w:t>13</w:t>
        </w:r>
        <w:r w:rsidR="00CF2B31">
          <w:rPr>
            <w:webHidden/>
          </w:rPr>
          <w:fldChar w:fldCharType="end"/>
        </w:r>
      </w:hyperlink>
    </w:p>
    <w:p w:rsidR="00CF2B31" w:rsidRDefault="00726175">
      <w:pPr>
        <w:pStyle w:val="TOC2"/>
        <w:rPr>
          <w:rFonts w:asciiTheme="minorHAnsi" w:eastAsiaTheme="minorEastAsia" w:hAnsiTheme="minorHAnsi" w:cstheme="minorBidi"/>
          <w:sz w:val="22"/>
          <w:szCs w:val="22"/>
        </w:rPr>
      </w:pPr>
      <w:hyperlink w:anchor="_Toc407700412" w:history="1">
        <w:r w:rsidR="00CF2B31" w:rsidRPr="007660A8">
          <w:rPr>
            <w:rStyle w:val="Hyperlink"/>
            <w:lang w:val="en-GB"/>
          </w:rPr>
          <w:t>3.2</w:t>
        </w:r>
        <w:r w:rsidR="00CF2B31">
          <w:rPr>
            <w:rFonts w:asciiTheme="minorHAnsi" w:eastAsiaTheme="minorEastAsia" w:hAnsiTheme="minorHAnsi" w:cstheme="minorBidi"/>
            <w:sz w:val="22"/>
            <w:szCs w:val="22"/>
          </w:rPr>
          <w:tab/>
        </w:r>
        <w:r w:rsidR="00CF2B31" w:rsidRPr="007660A8">
          <w:rPr>
            <w:rStyle w:val="Hyperlink"/>
            <w:lang w:val="en-GB"/>
          </w:rPr>
          <w:t>Evaluation question 2: What has been AgResults’ impact on smallholders’ uptake of Aflasafe?</w:t>
        </w:r>
        <w:r w:rsidR="00CF2B31">
          <w:rPr>
            <w:webHidden/>
          </w:rPr>
          <w:tab/>
        </w:r>
        <w:r w:rsidR="00CF2B31">
          <w:rPr>
            <w:webHidden/>
          </w:rPr>
          <w:fldChar w:fldCharType="begin"/>
        </w:r>
        <w:r w:rsidR="00CF2B31">
          <w:rPr>
            <w:webHidden/>
          </w:rPr>
          <w:instrText xml:space="preserve"> PAGEREF _Toc407700412 \h </w:instrText>
        </w:r>
        <w:r w:rsidR="00CF2B31">
          <w:rPr>
            <w:webHidden/>
          </w:rPr>
        </w:r>
        <w:r w:rsidR="00CF2B31">
          <w:rPr>
            <w:webHidden/>
          </w:rPr>
          <w:fldChar w:fldCharType="separate"/>
        </w:r>
        <w:r w:rsidR="00CF2B31">
          <w:rPr>
            <w:webHidden/>
          </w:rPr>
          <w:t>23</w:t>
        </w:r>
        <w:r w:rsidR="00CF2B31">
          <w:rPr>
            <w:webHidden/>
          </w:rPr>
          <w:fldChar w:fldCharType="end"/>
        </w:r>
      </w:hyperlink>
    </w:p>
    <w:p w:rsidR="00CF2B31" w:rsidRDefault="00726175">
      <w:pPr>
        <w:pStyle w:val="TOC2"/>
        <w:rPr>
          <w:rFonts w:asciiTheme="minorHAnsi" w:eastAsiaTheme="minorEastAsia" w:hAnsiTheme="minorHAnsi" w:cstheme="minorBidi"/>
          <w:sz w:val="22"/>
          <w:szCs w:val="22"/>
        </w:rPr>
      </w:pPr>
      <w:hyperlink w:anchor="_Toc407700413" w:history="1">
        <w:r w:rsidR="00CF2B31" w:rsidRPr="007660A8">
          <w:rPr>
            <w:rStyle w:val="Hyperlink"/>
            <w:lang w:val="en-GB"/>
          </w:rPr>
          <w:t>3.3</w:t>
        </w:r>
        <w:r w:rsidR="00CF2B31">
          <w:rPr>
            <w:rFonts w:asciiTheme="minorHAnsi" w:eastAsiaTheme="minorEastAsia" w:hAnsiTheme="minorHAnsi" w:cstheme="minorBidi"/>
            <w:sz w:val="22"/>
            <w:szCs w:val="22"/>
          </w:rPr>
          <w:tab/>
        </w:r>
        <w:r w:rsidR="00CF2B31" w:rsidRPr="007660A8">
          <w:rPr>
            <w:rStyle w:val="Hyperlink"/>
            <w:lang w:val="en-GB"/>
          </w:rPr>
          <w:t>Evaluation question 3: What has been AgResults’ impact on smallholder income?</w:t>
        </w:r>
        <w:r w:rsidR="00CF2B31">
          <w:rPr>
            <w:webHidden/>
          </w:rPr>
          <w:tab/>
        </w:r>
        <w:r w:rsidR="00CF2B31">
          <w:rPr>
            <w:webHidden/>
          </w:rPr>
          <w:fldChar w:fldCharType="begin"/>
        </w:r>
        <w:r w:rsidR="00CF2B31">
          <w:rPr>
            <w:webHidden/>
          </w:rPr>
          <w:instrText xml:space="preserve"> PAGEREF _Toc407700413 \h </w:instrText>
        </w:r>
        <w:r w:rsidR="00CF2B31">
          <w:rPr>
            <w:webHidden/>
          </w:rPr>
        </w:r>
        <w:r w:rsidR="00CF2B31">
          <w:rPr>
            <w:webHidden/>
          </w:rPr>
          <w:fldChar w:fldCharType="separate"/>
        </w:r>
        <w:r w:rsidR="00CF2B31">
          <w:rPr>
            <w:webHidden/>
          </w:rPr>
          <w:t>39</w:t>
        </w:r>
        <w:r w:rsidR="00CF2B31">
          <w:rPr>
            <w:webHidden/>
          </w:rPr>
          <w:fldChar w:fldCharType="end"/>
        </w:r>
      </w:hyperlink>
    </w:p>
    <w:p w:rsidR="00CF2B31" w:rsidRDefault="00726175">
      <w:pPr>
        <w:pStyle w:val="TOC2"/>
        <w:rPr>
          <w:rFonts w:asciiTheme="minorHAnsi" w:eastAsiaTheme="minorEastAsia" w:hAnsiTheme="minorHAnsi" w:cstheme="minorBidi"/>
          <w:sz w:val="22"/>
          <w:szCs w:val="22"/>
        </w:rPr>
      </w:pPr>
      <w:hyperlink w:anchor="_Toc407700414" w:history="1">
        <w:r w:rsidR="00CF2B31" w:rsidRPr="007660A8">
          <w:rPr>
            <w:rStyle w:val="Hyperlink"/>
            <w:lang w:val="en-GB"/>
          </w:rPr>
          <w:t>3.4</w:t>
        </w:r>
        <w:r w:rsidR="00CF2B31">
          <w:rPr>
            <w:rFonts w:asciiTheme="minorHAnsi" w:eastAsiaTheme="minorEastAsia" w:hAnsiTheme="minorHAnsi" w:cstheme="minorBidi"/>
            <w:sz w:val="22"/>
            <w:szCs w:val="22"/>
          </w:rPr>
          <w:tab/>
        </w:r>
        <w:r w:rsidR="00CF2B31" w:rsidRPr="007660A8">
          <w:rPr>
            <w:rStyle w:val="Hyperlink"/>
            <w:lang w:val="en-GB"/>
          </w:rPr>
          <w:t>Evaluation question 4: What has been AgResults’ impact on poor consumers’ demand for derivative food products containing aflatoxin-free maize?</w:t>
        </w:r>
        <w:r w:rsidR="00CF2B31">
          <w:rPr>
            <w:webHidden/>
          </w:rPr>
          <w:tab/>
        </w:r>
        <w:r w:rsidR="00CF2B31">
          <w:rPr>
            <w:webHidden/>
          </w:rPr>
          <w:fldChar w:fldCharType="begin"/>
        </w:r>
        <w:r w:rsidR="00CF2B31">
          <w:rPr>
            <w:webHidden/>
          </w:rPr>
          <w:instrText xml:space="preserve"> PAGEREF _Toc407700414 \h </w:instrText>
        </w:r>
        <w:r w:rsidR="00CF2B31">
          <w:rPr>
            <w:webHidden/>
          </w:rPr>
        </w:r>
        <w:r w:rsidR="00CF2B31">
          <w:rPr>
            <w:webHidden/>
          </w:rPr>
          <w:fldChar w:fldCharType="separate"/>
        </w:r>
        <w:r w:rsidR="00CF2B31">
          <w:rPr>
            <w:webHidden/>
          </w:rPr>
          <w:t>40</w:t>
        </w:r>
        <w:r w:rsidR="00CF2B31">
          <w:rPr>
            <w:webHidden/>
          </w:rPr>
          <w:fldChar w:fldCharType="end"/>
        </w:r>
      </w:hyperlink>
    </w:p>
    <w:p w:rsidR="00CF2B31" w:rsidRDefault="00726175">
      <w:pPr>
        <w:pStyle w:val="TOC2"/>
        <w:rPr>
          <w:rFonts w:asciiTheme="minorHAnsi" w:eastAsiaTheme="minorEastAsia" w:hAnsiTheme="minorHAnsi" w:cstheme="minorBidi"/>
          <w:sz w:val="22"/>
          <w:szCs w:val="22"/>
        </w:rPr>
      </w:pPr>
      <w:hyperlink w:anchor="_Toc407700415" w:history="1">
        <w:r w:rsidR="00CF2B31" w:rsidRPr="007660A8">
          <w:rPr>
            <w:rStyle w:val="Hyperlink"/>
            <w:lang w:val="en-GB"/>
          </w:rPr>
          <w:t>3.5</w:t>
        </w:r>
        <w:r w:rsidR="00CF2B31">
          <w:rPr>
            <w:rFonts w:asciiTheme="minorHAnsi" w:eastAsiaTheme="minorEastAsia" w:hAnsiTheme="minorHAnsi" w:cstheme="minorBidi"/>
            <w:sz w:val="22"/>
            <w:szCs w:val="22"/>
          </w:rPr>
          <w:tab/>
        </w:r>
        <w:r w:rsidR="00CF2B31" w:rsidRPr="007660A8">
          <w:rPr>
            <w:rStyle w:val="Hyperlink"/>
            <w:lang w:val="en-GB"/>
          </w:rPr>
          <w:t>Evaluation question 5: What evidence exists that the effects of the AgResults pilots will be sustainable in the medium to long term?</w:t>
        </w:r>
        <w:r w:rsidR="00CF2B31">
          <w:rPr>
            <w:webHidden/>
          </w:rPr>
          <w:tab/>
        </w:r>
        <w:r w:rsidR="00CF2B31">
          <w:rPr>
            <w:webHidden/>
          </w:rPr>
          <w:fldChar w:fldCharType="begin"/>
        </w:r>
        <w:r w:rsidR="00CF2B31">
          <w:rPr>
            <w:webHidden/>
          </w:rPr>
          <w:instrText xml:space="preserve"> PAGEREF _Toc407700415 \h </w:instrText>
        </w:r>
        <w:r w:rsidR="00CF2B31">
          <w:rPr>
            <w:webHidden/>
          </w:rPr>
        </w:r>
        <w:r w:rsidR="00CF2B31">
          <w:rPr>
            <w:webHidden/>
          </w:rPr>
          <w:fldChar w:fldCharType="separate"/>
        </w:r>
        <w:r w:rsidR="00CF2B31">
          <w:rPr>
            <w:webHidden/>
          </w:rPr>
          <w:t>44</w:t>
        </w:r>
        <w:r w:rsidR="00CF2B31">
          <w:rPr>
            <w:webHidden/>
          </w:rPr>
          <w:fldChar w:fldCharType="end"/>
        </w:r>
      </w:hyperlink>
    </w:p>
    <w:p w:rsidR="00CF2B31" w:rsidRDefault="00726175">
      <w:pPr>
        <w:pStyle w:val="TOC2"/>
        <w:rPr>
          <w:rFonts w:asciiTheme="minorHAnsi" w:eastAsiaTheme="minorEastAsia" w:hAnsiTheme="minorHAnsi" w:cstheme="minorBidi"/>
          <w:sz w:val="22"/>
          <w:szCs w:val="22"/>
        </w:rPr>
      </w:pPr>
      <w:hyperlink w:anchor="_Toc407700416" w:history="1">
        <w:r w:rsidR="00CF2B31" w:rsidRPr="007660A8">
          <w:rPr>
            <w:rStyle w:val="Hyperlink"/>
            <w:lang w:val="en-GB"/>
          </w:rPr>
          <w:t>3.6</w:t>
        </w:r>
        <w:r w:rsidR="00CF2B31">
          <w:rPr>
            <w:rFonts w:asciiTheme="minorHAnsi" w:eastAsiaTheme="minorEastAsia" w:hAnsiTheme="minorHAnsi" w:cstheme="minorBidi"/>
            <w:sz w:val="22"/>
            <w:szCs w:val="22"/>
          </w:rPr>
          <w:tab/>
        </w:r>
        <w:r w:rsidR="00CF2B31" w:rsidRPr="007660A8">
          <w:rPr>
            <w:rStyle w:val="Hyperlink"/>
            <w:lang w:val="en-GB"/>
          </w:rPr>
          <w:t>Evaluation question 6: What is the evidence on the scale of any effect on private sector investment and uptake, and the cost-effectiveness of AgResults as an approach?</w:t>
        </w:r>
        <w:r w:rsidR="00CF2B31">
          <w:rPr>
            <w:webHidden/>
          </w:rPr>
          <w:tab/>
        </w:r>
        <w:r w:rsidR="00CF2B31">
          <w:rPr>
            <w:webHidden/>
          </w:rPr>
          <w:fldChar w:fldCharType="begin"/>
        </w:r>
        <w:r w:rsidR="00CF2B31">
          <w:rPr>
            <w:webHidden/>
          </w:rPr>
          <w:instrText xml:space="preserve"> PAGEREF _Toc407700416 \h </w:instrText>
        </w:r>
        <w:r w:rsidR="00CF2B31">
          <w:rPr>
            <w:webHidden/>
          </w:rPr>
        </w:r>
        <w:r w:rsidR="00CF2B31">
          <w:rPr>
            <w:webHidden/>
          </w:rPr>
          <w:fldChar w:fldCharType="separate"/>
        </w:r>
        <w:r w:rsidR="00CF2B31">
          <w:rPr>
            <w:webHidden/>
          </w:rPr>
          <w:t>46</w:t>
        </w:r>
        <w:r w:rsidR="00CF2B31">
          <w:rPr>
            <w:webHidden/>
          </w:rPr>
          <w:fldChar w:fldCharType="end"/>
        </w:r>
      </w:hyperlink>
    </w:p>
    <w:p w:rsidR="00CF2B31" w:rsidRDefault="00726175">
      <w:pPr>
        <w:pStyle w:val="TOC2"/>
        <w:rPr>
          <w:rFonts w:asciiTheme="minorHAnsi" w:eastAsiaTheme="minorEastAsia" w:hAnsiTheme="minorHAnsi" w:cstheme="minorBidi"/>
          <w:sz w:val="22"/>
          <w:szCs w:val="22"/>
        </w:rPr>
      </w:pPr>
      <w:hyperlink w:anchor="_Toc407700417" w:history="1">
        <w:r w:rsidR="00CF2B31" w:rsidRPr="007660A8">
          <w:rPr>
            <w:rStyle w:val="Hyperlink"/>
            <w:lang w:val="en-GB"/>
          </w:rPr>
          <w:t>3.7</w:t>
        </w:r>
        <w:r w:rsidR="00CF2B31">
          <w:rPr>
            <w:rFonts w:asciiTheme="minorHAnsi" w:eastAsiaTheme="minorEastAsia" w:hAnsiTheme="minorHAnsi" w:cstheme="minorBidi"/>
            <w:sz w:val="22"/>
            <w:szCs w:val="22"/>
          </w:rPr>
          <w:tab/>
        </w:r>
        <w:r w:rsidR="00CF2B31" w:rsidRPr="007660A8">
          <w:rPr>
            <w:rStyle w:val="Hyperlink"/>
            <w:lang w:val="en-GB"/>
          </w:rPr>
          <w:t>Evaluation question 7: What lessons can be learnt about best practices in the design and implementation of AgResults?</w:t>
        </w:r>
        <w:r w:rsidR="00CF2B31">
          <w:rPr>
            <w:webHidden/>
          </w:rPr>
          <w:tab/>
        </w:r>
        <w:r w:rsidR="00CF2B31">
          <w:rPr>
            <w:webHidden/>
          </w:rPr>
          <w:fldChar w:fldCharType="begin"/>
        </w:r>
        <w:r w:rsidR="00CF2B31">
          <w:rPr>
            <w:webHidden/>
          </w:rPr>
          <w:instrText xml:space="preserve"> PAGEREF _Toc407700417 \h </w:instrText>
        </w:r>
        <w:r w:rsidR="00CF2B31">
          <w:rPr>
            <w:webHidden/>
          </w:rPr>
        </w:r>
        <w:r w:rsidR="00CF2B31">
          <w:rPr>
            <w:webHidden/>
          </w:rPr>
          <w:fldChar w:fldCharType="separate"/>
        </w:r>
        <w:r w:rsidR="00CF2B31">
          <w:rPr>
            <w:webHidden/>
          </w:rPr>
          <w:t>48</w:t>
        </w:r>
        <w:r w:rsidR="00CF2B31">
          <w:rPr>
            <w:webHidden/>
          </w:rPr>
          <w:fldChar w:fldCharType="end"/>
        </w:r>
      </w:hyperlink>
    </w:p>
    <w:p w:rsidR="00CF2B31" w:rsidRDefault="00726175">
      <w:pPr>
        <w:pStyle w:val="TOC1"/>
        <w:rPr>
          <w:rFonts w:asciiTheme="minorHAnsi" w:eastAsiaTheme="minorEastAsia" w:hAnsiTheme="minorHAnsi" w:cstheme="minorBidi"/>
          <w:b w:val="0"/>
          <w:sz w:val="22"/>
          <w:szCs w:val="22"/>
        </w:rPr>
      </w:pPr>
      <w:hyperlink w:anchor="_Toc407700418" w:history="1">
        <w:r w:rsidR="00CF2B31" w:rsidRPr="007660A8">
          <w:rPr>
            <w:rStyle w:val="Hyperlink"/>
            <w:lang w:val="en-GB"/>
          </w:rPr>
          <w:t>4.</w:t>
        </w:r>
        <w:r w:rsidR="00CF2B31">
          <w:rPr>
            <w:rFonts w:asciiTheme="minorHAnsi" w:eastAsiaTheme="minorEastAsia" w:hAnsiTheme="minorHAnsi" w:cstheme="minorBidi"/>
            <w:b w:val="0"/>
            <w:sz w:val="22"/>
            <w:szCs w:val="22"/>
          </w:rPr>
          <w:tab/>
        </w:r>
        <w:r w:rsidR="00CF2B31" w:rsidRPr="007660A8">
          <w:rPr>
            <w:rStyle w:val="Hyperlink"/>
            <w:lang w:val="en-GB"/>
          </w:rPr>
          <w:t>Implementation timeline and other considerations</w:t>
        </w:r>
        <w:r w:rsidR="00CF2B31">
          <w:rPr>
            <w:webHidden/>
          </w:rPr>
          <w:tab/>
        </w:r>
        <w:r w:rsidR="00CF2B31">
          <w:rPr>
            <w:webHidden/>
          </w:rPr>
          <w:fldChar w:fldCharType="begin"/>
        </w:r>
        <w:r w:rsidR="00CF2B31">
          <w:rPr>
            <w:webHidden/>
          </w:rPr>
          <w:instrText xml:space="preserve"> PAGEREF _Toc407700418 \h </w:instrText>
        </w:r>
        <w:r w:rsidR="00CF2B31">
          <w:rPr>
            <w:webHidden/>
          </w:rPr>
        </w:r>
        <w:r w:rsidR="00CF2B31">
          <w:rPr>
            <w:webHidden/>
          </w:rPr>
          <w:fldChar w:fldCharType="separate"/>
        </w:r>
        <w:r w:rsidR="00CF2B31">
          <w:rPr>
            <w:webHidden/>
          </w:rPr>
          <w:t>50</w:t>
        </w:r>
        <w:r w:rsidR="00CF2B31">
          <w:rPr>
            <w:webHidden/>
          </w:rPr>
          <w:fldChar w:fldCharType="end"/>
        </w:r>
      </w:hyperlink>
    </w:p>
    <w:p w:rsidR="00CF2B31" w:rsidRDefault="00726175">
      <w:pPr>
        <w:pStyle w:val="TOC2"/>
        <w:rPr>
          <w:rFonts w:asciiTheme="minorHAnsi" w:eastAsiaTheme="minorEastAsia" w:hAnsiTheme="minorHAnsi" w:cstheme="minorBidi"/>
          <w:sz w:val="22"/>
          <w:szCs w:val="22"/>
        </w:rPr>
      </w:pPr>
      <w:hyperlink w:anchor="_Toc407700419" w:history="1">
        <w:r w:rsidR="00CF2B31" w:rsidRPr="007660A8">
          <w:rPr>
            <w:rStyle w:val="Hyperlink"/>
            <w:lang w:val="en-GB"/>
          </w:rPr>
          <w:t>4.1</w:t>
        </w:r>
        <w:r w:rsidR="00CF2B31">
          <w:rPr>
            <w:rFonts w:asciiTheme="minorHAnsi" w:eastAsiaTheme="minorEastAsia" w:hAnsiTheme="minorHAnsi" w:cstheme="minorBidi"/>
            <w:sz w:val="22"/>
            <w:szCs w:val="22"/>
          </w:rPr>
          <w:tab/>
        </w:r>
        <w:r w:rsidR="00CF2B31" w:rsidRPr="007660A8">
          <w:rPr>
            <w:rStyle w:val="Hyperlink"/>
            <w:lang w:val="en-GB"/>
          </w:rPr>
          <w:t>Implementation timeline</w:t>
        </w:r>
        <w:r w:rsidR="00CF2B31">
          <w:rPr>
            <w:webHidden/>
          </w:rPr>
          <w:tab/>
        </w:r>
        <w:r w:rsidR="00CF2B31">
          <w:rPr>
            <w:webHidden/>
          </w:rPr>
          <w:fldChar w:fldCharType="begin"/>
        </w:r>
        <w:r w:rsidR="00CF2B31">
          <w:rPr>
            <w:webHidden/>
          </w:rPr>
          <w:instrText xml:space="preserve"> PAGEREF _Toc407700419 \h </w:instrText>
        </w:r>
        <w:r w:rsidR="00CF2B31">
          <w:rPr>
            <w:webHidden/>
          </w:rPr>
        </w:r>
        <w:r w:rsidR="00CF2B31">
          <w:rPr>
            <w:webHidden/>
          </w:rPr>
          <w:fldChar w:fldCharType="separate"/>
        </w:r>
        <w:r w:rsidR="00CF2B31">
          <w:rPr>
            <w:webHidden/>
          </w:rPr>
          <w:t>50</w:t>
        </w:r>
        <w:r w:rsidR="00CF2B31">
          <w:rPr>
            <w:webHidden/>
          </w:rPr>
          <w:fldChar w:fldCharType="end"/>
        </w:r>
      </w:hyperlink>
    </w:p>
    <w:p w:rsidR="00CF2B31" w:rsidRDefault="00726175">
      <w:pPr>
        <w:pStyle w:val="TOC2"/>
        <w:rPr>
          <w:rFonts w:asciiTheme="minorHAnsi" w:eastAsiaTheme="minorEastAsia" w:hAnsiTheme="minorHAnsi" w:cstheme="minorBidi"/>
          <w:sz w:val="22"/>
          <w:szCs w:val="22"/>
        </w:rPr>
      </w:pPr>
      <w:hyperlink w:anchor="_Toc407700420" w:history="1">
        <w:r w:rsidR="00CF2B31" w:rsidRPr="007660A8">
          <w:rPr>
            <w:rStyle w:val="Hyperlink"/>
            <w:lang w:val="en-GB"/>
          </w:rPr>
          <w:t>4.2</w:t>
        </w:r>
        <w:r w:rsidR="00CF2B31">
          <w:rPr>
            <w:rFonts w:asciiTheme="minorHAnsi" w:eastAsiaTheme="minorEastAsia" w:hAnsiTheme="minorHAnsi" w:cstheme="minorBidi"/>
            <w:sz w:val="22"/>
            <w:szCs w:val="22"/>
          </w:rPr>
          <w:tab/>
        </w:r>
        <w:r w:rsidR="00CF2B31" w:rsidRPr="007660A8">
          <w:rPr>
            <w:rStyle w:val="Hyperlink"/>
            <w:lang w:val="en-GB"/>
          </w:rPr>
          <w:t>Deliverables and communication plan</w:t>
        </w:r>
        <w:r w:rsidR="00CF2B31">
          <w:rPr>
            <w:webHidden/>
          </w:rPr>
          <w:tab/>
        </w:r>
        <w:r w:rsidR="00CF2B31">
          <w:rPr>
            <w:webHidden/>
          </w:rPr>
          <w:fldChar w:fldCharType="begin"/>
        </w:r>
        <w:r w:rsidR="00CF2B31">
          <w:rPr>
            <w:webHidden/>
          </w:rPr>
          <w:instrText xml:space="preserve"> PAGEREF _Toc407700420 \h </w:instrText>
        </w:r>
        <w:r w:rsidR="00CF2B31">
          <w:rPr>
            <w:webHidden/>
          </w:rPr>
        </w:r>
        <w:r w:rsidR="00CF2B31">
          <w:rPr>
            <w:webHidden/>
          </w:rPr>
          <w:fldChar w:fldCharType="separate"/>
        </w:r>
        <w:r w:rsidR="00CF2B31">
          <w:rPr>
            <w:webHidden/>
          </w:rPr>
          <w:t>54</w:t>
        </w:r>
        <w:r w:rsidR="00CF2B31">
          <w:rPr>
            <w:webHidden/>
          </w:rPr>
          <w:fldChar w:fldCharType="end"/>
        </w:r>
      </w:hyperlink>
    </w:p>
    <w:p w:rsidR="00CF2B31" w:rsidRDefault="00726175">
      <w:pPr>
        <w:pStyle w:val="TOC2"/>
        <w:rPr>
          <w:rFonts w:asciiTheme="minorHAnsi" w:eastAsiaTheme="minorEastAsia" w:hAnsiTheme="minorHAnsi" w:cstheme="minorBidi"/>
          <w:sz w:val="22"/>
          <w:szCs w:val="22"/>
        </w:rPr>
      </w:pPr>
      <w:hyperlink w:anchor="_Toc407700421" w:history="1">
        <w:r w:rsidR="00CF2B31" w:rsidRPr="007660A8">
          <w:rPr>
            <w:rStyle w:val="Hyperlink"/>
            <w:lang w:val="en-GB"/>
          </w:rPr>
          <w:t>4.3</w:t>
        </w:r>
        <w:r w:rsidR="00CF2B31">
          <w:rPr>
            <w:rFonts w:asciiTheme="minorHAnsi" w:eastAsiaTheme="minorEastAsia" w:hAnsiTheme="minorHAnsi" w:cstheme="minorBidi"/>
            <w:sz w:val="22"/>
            <w:szCs w:val="22"/>
          </w:rPr>
          <w:tab/>
        </w:r>
        <w:r w:rsidR="00CF2B31" w:rsidRPr="007660A8">
          <w:rPr>
            <w:rStyle w:val="Hyperlink"/>
            <w:lang w:val="en-GB"/>
          </w:rPr>
          <w:t>Evaluation risks and mitigation approach</w:t>
        </w:r>
        <w:r w:rsidR="00CF2B31">
          <w:rPr>
            <w:webHidden/>
          </w:rPr>
          <w:tab/>
        </w:r>
        <w:r w:rsidR="00CF2B31">
          <w:rPr>
            <w:webHidden/>
          </w:rPr>
          <w:fldChar w:fldCharType="begin"/>
        </w:r>
        <w:r w:rsidR="00CF2B31">
          <w:rPr>
            <w:webHidden/>
          </w:rPr>
          <w:instrText xml:space="preserve"> PAGEREF _Toc407700421 \h </w:instrText>
        </w:r>
        <w:r w:rsidR="00CF2B31">
          <w:rPr>
            <w:webHidden/>
          </w:rPr>
        </w:r>
        <w:r w:rsidR="00CF2B31">
          <w:rPr>
            <w:webHidden/>
          </w:rPr>
          <w:fldChar w:fldCharType="separate"/>
        </w:r>
        <w:r w:rsidR="00CF2B31">
          <w:rPr>
            <w:webHidden/>
          </w:rPr>
          <w:t>54</w:t>
        </w:r>
        <w:r w:rsidR="00CF2B31">
          <w:rPr>
            <w:webHidden/>
          </w:rPr>
          <w:fldChar w:fldCharType="end"/>
        </w:r>
      </w:hyperlink>
    </w:p>
    <w:p w:rsidR="00CF2B31" w:rsidRDefault="00726175">
      <w:pPr>
        <w:pStyle w:val="TOC2"/>
        <w:rPr>
          <w:rFonts w:asciiTheme="minorHAnsi" w:eastAsiaTheme="minorEastAsia" w:hAnsiTheme="minorHAnsi" w:cstheme="minorBidi"/>
          <w:sz w:val="22"/>
          <w:szCs w:val="22"/>
        </w:rPr>
      </w:pPr>
      <w:hyperlink w:anchor="_Toc407700422" w:history="1">
        <w:r w:rsidR="00CF2B31" w:rsidRPr="007660A8">
          <w:rPr>
            <w:rStyle w:val="Hyperlink"/>
            <w:lang w:val="en-GB"/>
          </w:rPr>
          <w:t>4.4</w:t>
        </w:r>
        <w:r w:rsidR="00CF2B31">
          <w:rPr>
            <w:rFonts w:asciiTheme="minorHAnsi" w:eastAsiaTheme="minorEastAsia" w:hAnsiTheme="minorHAnsi" w:cstheme="minorBidi"/>
            <w:sz w:val="22"/>
            <w:szCs w:val="22"/>
          </w:rPr>
          <w:tab/>
        </w:r>
        <w:r w:rsidR="00CF2B31" w:rsidRPr="007660A8">
          <w:rPr>
            <w:rStyle w:val="Hyperlink"/>
            <w:lang w:val="en-GB"/>
          </w:rPr>
          <w:t>Ethical considerations</w:t>
        </w:r>
        <w:r w:rsidR="00CF2B31">
          <w:rPr>
            <w:webHidden/>
          </w:rPr>
          <w:tab/>
        </w:r>
        <w:r w:rsidR="00CF2B31">
          <w:rPr>
            <w:webHidden/>
          </w:rPr>
          <w:fldChar w:fldCharType="begin"/>
        </w:r>
        <w:r w:rsidR="00CF2B31">
          <w:rPr>
            <w:webHidden/>
          </w:rPr>
          <w:instrText xml:space="preserve"> PAGEREF _Toc407700422 \h </w:instrText>
        </w:r>
        <w:r w:rsidR="00CF2B31">
          <w:rPr>
            <w:webHidden/>
          </w:rPr>
        </w:r>
        <w:r w:rsidR="00CF2B31">
          <w:rPr>
            <w:webHidden/>
          </w:rPr>
          <w:fldChar w:fldCharType="separate"/>
        </w:r>
        <w:r w:rsidR="00CF2B31">
          <w:rPr>
            <w:webHidden/>
          </w:rPr>
          <w:t>56</w:t>
        </w:r>
        <w:r w:rsidR="00CF2B31">
          <w:rPr>
            <w:webHidden/>
          </w:rPr>
          <w:fldChar w:fldCharType="end"/>
        </w:r>
      </w:hyperlink>
    </w:p>
    <w:p w:rsidR="00CF2B31" w:rsidRDefault="00726175">
      <w:pPr>
        <w:pStyle w:val="TOC2"/>
        <w:rPr>
          <w:rFonts w:asciiTheme="minorHAnsi" w:eastAsiaTheme="minorEastAsia" w:hAnsiTheme="minorHAnsi" w:cstheme="minorBidi"/>
          <w:sz w:val="22"/>
          <w:szCs w:val="22"/>
        </w:rPr>
      </w:pPr>
      <w:hyperlink w:anchor="_Toc407700423" w:history="1">
        <w:r w:rsidR="00CF2B31" w:rsidRPr="007660A8">
          <w:rPr>
            <w:rStyle w:val="Hyperlink"/>
            <w:lang w:val="en-GB"/>
          </w:rPr>
          <w:t>4.5</w:t>
        </w:r>
        <w:r w:rsidR="00CF2B31">
          <w:rPr>
            <w:rFonts w:asciiTheme="minorHAnsi" w:eastAsiaTheme="minorEastAsia" w:hAnsiTheme="minorHAnsi" w:cstheme="minorBidi"/>
            <w:sz w:val="22"/>
            <w:szCs w:val="22"/>
          </w:rPr>
          <w:tab/>
        </w:r>
        <w:r w:rsidR="00CF2B31" w:rsidRPr="007660A8">
          <w:rPr>
            <w:rStyle w:val="Hyperlink"/>
            <w:lang w:val="en-GB"/>
          </w:rPr>
          <w:t>Quality assurance</w:t>
        </w:r>
        <w:r w:rsidR="00CF2B31">
          <w:rPr>
            <w:webHidden/>
          </w:rPr>
          <w:tab/>
        </w:r>
        <w:r w:rsidR="00CF2B31">
          <w:rPr>
            <w:webHidden/>
          </w:rPr>
          <w:fldChar w:fldCharType="begin"/>
        </w:r>
        <w:r w:rsidR="00CF2B31">
          <w:rPr>
            <w:webHidden/>
          </w:rPr>
          <w:instrText xml:space="preserve"> PAGEREF _Toc407700423 \h </w:instrText>
        </w:r>
        <w:r w:rsidR="00CF2B31">
          <w:rPr>
            <w:webHidden/>
          </w:rPr>
        </w:r>
        <w:r w:rsidR="00CF2B31">
          <w:rPr>
            <w:webHidden/>
          </w:rPr>
          <w:fldChar w:fldCharType="separate"/>
        </w:r>
        <w:r w:rsidR="00CF2B31">
          <w:rPr>
            <w:webHidden/>
          </w:rPr>
          <w:t>57</w:t>
        </w:r>
        <w:r w:rsidR="00CF2B31">
          <w:rPr>
            <w:webHidden/>
          </w:rPr>
          <w:fldChar w:fldCharType="end"/>
        </w:r>
      </w:hyperlink>
    </w:p>
    <w:p w:rsidR="00CF2B31" w:rsidRDefault="00726175">
      <w:pPr>
        <w:pStyle w:val="TOC1"/>
        <w:rPr>
          <w:rFonts w:asciiTheme="minorHAnsi" w:eastAsiaTheme="minorEastAsia" w:hAnsiTheme="minorHAnsi" w:cstheme="minorBidi"/>
          <w:b w:val="0"/>
          <w:sz w:val="22"/>
          <w:szCs w:val="22"/>
        </w:rPr>
      </w:pPr>
      <w:hyperlink w:anchor="_Toc407700424" w:history="1">
        <w:r w:rsidR="00CF2B31" w:rsidRPr="007660A8">
          <w:rPr>
            <w:rStyle w:val="Hyperlink"/>
            <w:lang w:val="en-GB"/>
          </w:rPr>
          <w:t>References</w:t>
        </w:r>
        <w:r w:rsidR="00CF2B31">
          <w:rPr>
            <w:webHidden/>
          </w:rPr>
          <w:tab/>
        </w:r>
        <w:r w:rsidR="00CF2B31">
          <w:rPr>
            <w:webHidden/>
          </w:rPr>
          <w:fldChar w:fldCharType="begin"/>
        </w:r>
        <w:r w:rsidR="00CF2B31">
          <w:rPr>
            <w:webHidden/>
          </w:rPr>
          <w:instrText xml:space="preserve"> PAGEREF _Toc407700424 \h </w:instrText>
        </w:r>
        <w:r w:rsidR="00CF2B31">
          <w:rPr>
            <w:webHidden/>
          </w:rPr>
        </w:r>
        <w:r w:rsidR="00CF2B31">
          <w:rPr>
            <w:webHidden/>
          </w:rPr>
          <w:fldChar w:fldCharType="separate"/>
        </w:r>
        <w:r w:rsidR="00CF2B31">
          <w:rPr>
            <w:webHidden/>
          </w:rPr>
          <w:t>58</w:t>
        </w:r>
        <w:r w:rsidR="00CF2B31">
          <w:rPr>
            <w:webHidden/>
          </w:rPr>
          <w:fldChar w:fldCharType="end"/>
        </w:r>
      </w:hyperlink>
    </w:p>
    <w:p w:rsidR="00CF2B31" w:rsidRDefault="00726175">
      <w:pPr>
        <w:pStyle w:val="TOC1"/>
        <w:rPr>
          <w:rFonts w:asciiTheme="minorHAnsi" w:eastAsiaTheme="minorEastAsia" w:hAnsiTheme="minorHAnsi" w:cstheme="minorBidi"/>
          <w:b w:val="0"/>
          <w:sz w:val="22"/>
          <w:szCs w:val="22"/>
        </w:rPr>
      </w:pPr>
      <w:hyperlink w:anchor="_Toc407700425" w:history="1">
        <w:r w:rsidR="00CF2B31" w:rsidRPr="007660A8">
          <w:rPr>
            <w:rStyle w:val="Hyperlink"/>
            <w:lang w:val="en-GB"/>
          </w:rPr>
          <w:t>Appendix A: Mapping of evaluation questions to survey instruments</w:t>
        </w:r>
        <w:r w:rsidR="00CF2B31">
          <w:rPr>
            <w:webHidden/>
          </w:rPr>
          <w:tab/>
        </w:r>
        <w:r w:rsidR="00CF2B31">
          <w:rPr>
            <w:webHidden/>
          </w:rPr>
          <w:fldChar w:fldCharType="begin"/>
        </w:r>
        <w:r w:rsidR="00CF2B31">
          <w:rPr>
            <w:webHidden/>
          </w:rPr>
          <w:instrText xml:space="preserve"> PAGEREF _Toc407700425 \h </w:instrText>
        </w:r>
        <w:r w:rsidR="00CF2B31">
          <w:rPr>
            <w:webHidden/>
          </w:rPr>
        </w:r>
        <w:r w:rsidR="00CF2B31">
          <w:rPr>
            <w:webHidden/>
          </w:rPr>
          <w:fldChar w:fldCharType="separate"/>
        </w:r>
        <w:r w:rsidR="00CF2B31">
          <w:rPr>
            <w:webHidden/>
          </w:rPr>
          <w:t>60</w:t>
        </w:r>
        <w:r w:rsidR="00CF2B31">
          <w:rPr>
            <w:webHidden/>
          </w:rPr>
          <w:fldChar w:fldCharType="end"/>
        </w:r>
      </w:hyperlink>
    </w:p>
    <w:p w:rsidR="00CF2B31" w:rsidRDefault="00726175">
      <w:pPr>
        <w:pStyle w:val="TOC1"/>
        <w:rPr>
          <w:rFonts w:asciiTheme="minorHAnsi" w:eastAsiaTheme="minorEastAsia" w:hAnsiTheme="minorHAnsi" w:cstheme="minorBidi"/>
          <w:b w:val="0"/>
          <w:sz w:val="22"/>
          <w:szCs w:val="22"/>
        </w:rPr>
      </w:pPr>
      <w:hyperlink w:anchor="_Toc407700426" w:history="1">
        <w:r w:rsidR="00CF2B31" w:rsidRPr="007660A8">
          <w:rPr>
            <w:rStyle w:val="Hyperlink"/>
            <w:lang w:val="en-GB"/>
          </w:rPr>
          <w:t>Appendix B: Qualitative survey instruments</w:t>
        </w:r>
        <w:r w:rsidR="00CF2B31">
          <w:rPr>
            <w:webHidden/>
          </w:rPr>
          <w:tab/>
        </w:r>
        <w:r w:rsidR="00CF2B31">
          <w:rPr>
            <w:webHidden/>
          </w:rPr>
          <w:fldChar w:fldCharType="begin"/>
        </w:r>
        <w:r w:rsidR="00CF2B31">
          <w:rPr>
            <w:webHidden/>
          </w:rPr>
          <w:instrText xml:space="preserve"> PAGEREF _Toc407700426 \h </w:instrText>
        </w:r>
        <w:r w:rsidR="00CF2B31">
          <w:rPr>
            <w:webHidden/>
          </w:rPr>
        </w:r>
        <w:r w:rsidR="00CF2B31">
          <w:rPr>
            <w:webHidden/>
          </w:rPr>
          <w:fldChar w:fldCharType="separate"/>
        </w:r>
        <w:r w:rsidR="00CF2B31">
          <w:rPr>
            <w:webHidden/>
          </w:rPr>
          <w:t>61</w:t>
        </w:r>
        <w:r w:rsidR="00CF2B31">
          <w:rPr>
            <w:webHidden/>
          </w:rPr>
          <w:fldChar w:fldCharType="end"/>
        </w:r>
      </w:hyperlink>
    </w:p>
    <w:p w:rsidR="00CF2B31" w:rsidRDefault="00726175">
      <w:pPr>
        <w:pStyle w:val="TOC2"/>
        <w:rPr>
          <w:rFonts w:asciiTheme="minorHAnsi" w:eastAsiaTheme="minorEastAsia" w:hAnsiTheme="minorHAnsi" w:cstheme="minorBidi"/>
          <w:sz w:val="22"/>
          <w:szCs w:val="22"/>
        </w:rPr>
      </w:pPr>
      <w:hyperlink w:anchor="_Toc407700427" w:history="1">
        <w:r w:rsidR="00CF2B31" w:rsidRPr="007660A8">
          <w:rPr>
            <w:rStyle w:val="Hyperlink"/>
            <w:lang w:val="en-GB"/>
          </w:rPr>
          <w:t>Maize sector expert questionnaire</w:t>
        </w:r>
        <w:r w:rsidR="00CF2B31">
          <w:rPr>
            <w:webHidden/>
          </w:rPr>
          <w:tab/>
        </w:r>
        <w:r w:rsidR="00CF2B31">
          <w:rPr>
            <w:webHidden/>
          </w:rPr>
          <w:fldChar w:fldCharType="begin"/>
        </w:r>
        <w:r w:rsidR="00CF2B31">
          <w:rPr>
            <w:webHidden/>
          </w:rPr>
          <w:instrText xml:space="preserve"> PAGEREF _Toc407700427 \h </w:instrText>
        </w:r>
        <w:r w:rsidR="00CF2B31">
          <w:rPr>
            <w:webHidden/>
          </w:rPr>
        </w:r>
        <w:r w:rsidR="00CF2B31">
          <w:rPr>
            <w:webHidden/>
          </w:rPr>
          <w:fldChar w:fldCharType="separate"/>
        </w:r>
        <w:r w:rsidR="00CF2B31">
          <w:rPr>
            <w:webHidden/>
          </w:rPr>
          <w:t>62</w:t>
        </w:r>
        <w:r w:rsidR="00CF2B31">
          <w:rPr>
            <w:webHidden/>
          </w:rPr>
          <w:fldChar w:fldCharType="end"/>
        </w:r>
      </w:hyperlink>
    </w:p>
    <w:p w:rsidR="00CF2B31" w:rsidRDefault="00726175">
      <w:pPr>
        <w:pStyle w:val="TOC2"/>
        <w:rPr>
          <w:rFonts w:asciiTheme="minorHAnsi" w:eastAsiaTheme="minorEastAsia" w:hAnsiTheme="minorHAnsi" w:cstheme="minorBidi"/>
          <w:sz w:val="22"/>
          <w:szCs w:val="22"/>
        </w:rPr>
      </w:pPr>
      <w:hyperlink w:anchor="_Toc407700428" w:history="1">
        <w:r w:rsidR="00CF2B31" w:rsidRPr="007660A8">
          <w:rPr>
            <w:rStyle w:val="Hyperlink"/>
            <w:lang w:val="en-GB"/>
          </w:rPr>
          <w:t>Short survey for agro-input dealers</w:t>
        </w:r>
        <w:r w:rsidR="00CF2B31">
          <w:rPr>
            <w:webHidden/>
          </w:rPr>
          <w:tab/>
        </w:r>
        <w:r w:rsidR="00CF2B31">
          <w:rPr>
            <w:webHidden/>
          </w:rPr>
          <w:fldChar w:fldCharType="begin"/>
        </w:r>
        <w:r w:rsidR="00CF2B31">
          <w:rPr>
            <w:webHidden/>
          </w:rPr>
          <w:instrText xml:space="preserve"> PAGEREF _Toc407700428 \h </w:instrText>
        </w:r>
        <w:r w:rsidR="00CF2B31">
          <w:rPr>
            <w:webHidden/>
          </w:rPr>
        </w:r>
        <w:r w:rsidR="00CF2B31">
          <w:rPr>
            <w:webHidden/>
          </w:rPr>
          <w:fldChar w:fldCharType="separate"/>
        </w:r>
        <w:r w:rsidR="00CF2B31">
          <w:rPr>
            <w:webHidden/>
          </w:rPr>
          <w:t>64</w:t>
        </w:r>
        <w:r w:rsidR="00CF2B31">
          <w:rPr>
            <w:webHidden/>
          </w:rPr>
          <w:fldChar w:fldCharType="end"/>
        </w:r>
      </w:hyperlink>
    </w:p>
    <w:p w:rsidR="00CF2B31" w:rsidRDefault="00726175">
      <w:pPr>
        <w:pStyle w:val="TOC2"/>
        <w:rPr>
          <w:rFonts w:asciiTheme="minorHAnsi" w:eastAsiaTheme="minorEastAsia" w:hAnsiTheme="minorHAnsi" w:cstheme="minorBidi"/>
          <w:sz w:val="22"/>
          <w:szCs w:val="22"/>
        </w:rPr>
      </w:pPr>
      <w:hyperlink w:anchor="_Toc407700429" w:history="1">
        <w:r w:rsidR="00CF2B31" w:rsidRPr="007660A8">
          <w:rPr>
            <w:rStyle w:val="Hyperlink"/>
            <w:lang w:val="en-GB"/>
          </w:rPr>
          <w:t>Agro-input dealer questionnaire</w:t>
        </w:r>
        <w:r w:rsidR="00CF2B31">
          <w:rPr>
            <w:webHidden/>
          </w:rPr>
          <w:tab/>
        </w:r>
        <w:r w:rsidR="00CF2B31">
          <w:rPr>
            <w:webHidden/>
          </w:rPr>
          <w:fldChar w:fldCharType="begin"/>
        </w:r>
        <w:r w:rsidR="00CF2B31">
          <w:rPr>
            <w:webHidden/>
          </w:rPr>
          <w:instrText xml:space="preserve"> PAGEREF _Toc407700429 \h </w:instrText>
        </w:r>
        <w:r w:rsidR="00CF2B31">
          <w:rPr>
            <w:webHidden/>
          </w:rPr>
        </w:r>
        <w:r w:rsidR="00CF2B31">
          <w:rPr>
            <w:webHidden/>
          </w:rPr>
          <w:fldChar w:fldCharType="separate"/>
        </w:r>
        <w:r w:rsidR="00CF2B31">
          <w:rPr>
            <w:webHidden/>
          </w:rPr>
          <w:t>65</w:t>
        </w:r>
        <w:r w:rsidR="00CF2B31">
          <w:rPr>
            <w:webHidden/>
          </w:rPr>
          <w:fldChar w:fldCharType="end"/>
        </w:r>
      </w:hyperlink>
    </w:p>
    <w:p w:rsidR="00CF2B31" w:rsidRDefault="00726175">
      <w:pPr>
        <w:pStyle w:val="TOC1"/>
        <w:rPr>
          <w:rFonts w:asciiTheme="minorHAnsi" w:eastAsiaTheme="minorEastAsia" w:hAnsiTheme="minorHAnsi" w:cstheme="minorBidi"/>
          <w:b w:val="0"/>
          <w:sz w:val="22"/>
          <w:szCs w:val="22"/>
        </w:rPr>
      </w:pPr>
      <w:hyperlink w:anchor="_Toc407700430" w:history="1">
        <w:r w:rsidR="00CF2B31" w:rsidRPr="007660A8">
          <w:rPr>
            <w:rStyle w:val="Hyperlink"/>
            <w:rFonts w:eastAsiaTheme="majorEastAsia"/>
            <w:lang w:val="en-GB"/>
          </w:rPr>
          <w:t xml:space="preserve">Appendix C: </w:t>
        </w:r>
        <w:r w:rsidR="00CF2B31" w:rsidRPr="007660A8">
          <w:rPr>
            <w:rStyle w:val="Hyperlink"/>
            <w:lang w:val="en-GB"/>
          </w:rPr>
          <w:t>Quantitative survey instrument</w:t>
        </w:r>
        <w:r w:rsidR="00CF2B31">
          <w:rPr>
            <w:webHidden/>
          </w:rPr>
          <w:tab/>
        </w:r>
        <w:r w:rsidR="00CF2B31">
          <w:rPr>
            <w:webHidden/>
          </w:rPr>
          <w:fldChar w:fldCharType="begin"/>
        </w:r>
        <w:r w:rsidR="00CF2B31">
          <w:rPr>
            <w:webHidden/>
          </w:rPr>
          <w:instrText xml:space="preserve"> PAGEREF _Toc407700430 \h </w:instrText>
        </w:r>
        <w:r w:rsidR="00CF2B31">
          <w:rPr>
            <w:webHidden/>
          </w:rPr>
        </w:r>
        <w:r w:rsidR="00CF2B31">
          <w:rPr>
            <w:webHidden/>
          </w:rPr>
          <w:fldChar w:fldCharType="separate"/>
        </w:r>
        <w:r w:rsidR="00CF2B31">
          <w:rPr>
            <w:webHidden/>
          </w:rPr>
          <w:t>66</w:t>
        </w:r>
        <w:r w:rsidR="00CF2B31">
          <w:rPr>
            <w:webHidden/>
          </w:rPr>
          <w:fldChar w:fldCharType="end"/>
        </w:r>
      </w:hyperlink>
    </w:p>
    <w:p w:rsidR="00CF2B31" w:rsidRDefault="00726175">
      <w:pPr>
        <w:pStyle w:val="TOC1"/>
        <w:rPr>
          <w:rFonts w:asciiTheme="minorHAnsi" w:eastAsiaTheme="minorEastAsia" w:hAnsiTheme="minorHAnsi" w:cstheme="minorBidi"/>
          <w:b w:val="0"/>
          <w:sz w:val="22"/>
          <w:szCs w:val="22"/>
        </w:rPr>
      </w:pPr>
      <w:hyperlink w:anchor="_Toc407700431" w:history="1">
        <w:r w:rsidR="00CF2B31" w:rsidRPr="007660A8">
          <w:rPr>
            <w:rStyle w:val="Hyperlink"/>
            <w:lang w:val="en-GB"/>
          </w:rPr>
          <w:t>Appendix D: Power analysis assumptions</w:t>
        </w:r>
        <w:r w:rsidR="00CF2B31">
          <w:rPr>
            <w:webHidden/>
          </w:rPr>
          <w:tab/>
        </w:r>
        <w:r w:rsidR="00CF2B31">
          <w:rPr>
            <w:webHidden/>
          </w:rPr>
          <w:fldChar w:fldCharType="begin"/>
        </w:r>
        <w:r w:rsidR="00CF2B31">
          <w:rPr>
            <w:webHidden/>
          </w:rPr>
          <w:instrText xml:space="preserve"> PAGEREF _Toc407700431 \h </w:instrText>
        </w:r>
        <w:r w:rsidR="00CF2B31">
          <w:rPr>
            <w:webHidden/>
          </w:rPr>
        </w:r>
        <w:r w:rsidR="00CF2B31">
          <w:rPr>
            <w:webHidden/>
          </w:rPr>
          <w:fldChar w:fldCharType="separate"/>
        </w:r>
        <w:r w:rsidR="00CF2B31">
          <w:rPr>
            <w:webHidden/>
          </w:rPr>
          <w:t>67</w:t>
        </w:r>
        <w:r w:rsidR="00CF2B31">
          <w:rPr>
            <w:webHidden/>
          </w:rPr>
          <w:fldChar w:fldCharType="end"/>
        </w:r>
      </w:hyperlink>
    </w:p>
    <w:p w:rsidR="008C6195" w:rsidRPr="005633D9" w:rsidRDefault="00182BBA" w:rsidP="008C6195">
      <w:pPr>
        <w:rPr>
          <w:lang w:val="en-GB"/>
        </w:rPr>
      </w:pPr>
      <w:r w:rsidRPr="005633D9">
        <w:rPr>
          <w:rFonts w:ascii="Arial" w:hAnsi="Arial"/>
          <w:b/>
          <w:lang w:val="en-GB"/>
        </w:rPr>
        <w:fldChar w:fldCharType="end"/>
      </w:r>
    </w:p>
    <w:p w:rsidR="008C6195" w:rsidRPr="005633D9" w:rsidRDefault="00CA29EC" w:rsidP="000A26AA">
      <w:pPr>
        <w:pStyle w:val="TOCMainHeaders"/>
        <w:pageBreakBefore/>
        <w:ind w:left="547" w:hanging="547"/>
        <w:rPr>
          <w:noProof w:val="0"/>
          <w:lang w:val="en-GB"/>
        </w:rPr>
      </w:pPr>
      <w:r w:rsidRPr="005633D9">
        <w:rPr>
          <w:noProof w:val="0"/>
          <w:lang w:val="en-GB"/>
        </w:rPr>
        <w:lastRenderedPageBreak/>
        <w:t>Tables</w:t>
      </w:r>
      <w:bookmarkStart w:id="2" w:name="_GoBack"/>
      <w:bookmarkEnd w:id="2"/>
    </w:p>
    <w:p w:rsidR="00CF2B31" w:rsidRDefault="00CA29EC">
      <w:pPr>
        <w:pStyle w:val="TableofFigures"/>
        <w:tabs>
          <w:tab w:val="right" w:leader="dot" w:pos="9350"/>
        </w:tabs>
        <w:rPr>
          <w:rFonts w:asciiTheme="minorHAnsi" w:eastAsiaTheme="minorEastAsia" w:hAnsiTheme="minorHAnsi" w:cstheme="minorBidi"/>
          <w:noProof/>
          <w:sz w:val="22"/>
          <w:szCs w:val="22"/>
        </w:rPr>
      </w:pPr>
      <w:r w:rsidRPr="005633D9">
        <w:rPr>
          <w:lang w:val="en-GB"/>
        </w:rPr>
        <w:fldChar w:fldCharType="begin"/>
      </w:r>
      <w:r w:rsidRPr="005633D9">
        <w:rPr>
          <w:lang w:val="en-GB"/>
        </w:rPr>
        <w:instrText xml:space="preserve"> TOC \h \z \c "Table" </w:instrText>
      </w:r>
      <w:r w:rsidRPr="005633D9">
        <w:rPr>
          <w:lang w:val="en-GB"/>
        </w:rPr>
        <w:fldChar w:fldCharType="separate"/>
      </w:r>
      <w:hyperlink w:anchor="_Toc407700432" w:history="1">
        <w:r w:rsidR="00CF2B31" w:rsidRPr="00E43DCF">
          <w:rPr>
            <w:rStyle w:val="Hyperlink"/>
            <w:noProof/>
            <w:lang w:val="en-GB"/>
          </w:rPr>
          <w:t>Table 2</w:t>
        </w:r>
        <w:r w:rsidR="00CF2B31" w:rsidRPr="00E43DCF">
          <w:rPr>
            <w:rStyle w:val="Hyperlink"/>
            <w:noProof/>
            <w:lang w:val="en-GB"/>
          </w:rPr>
          <w:noBreakHyphen/>
          <w:t>1.</w:t>
        </w:r>
        <w:r w:rsidR="00CF2B31">
          <w:rPr>
            <w:rFonts w:asciiTheme="minorHAnsi" w:eastAsiaTheme="minorEastAsia" w:hAnsiTheme="minorHAnsi" w:cstheme="minorBidi"/>
            <w:noProof/>
            <w:sz w:val="22"/>
            <w:szCs w:val="22"/>
          </w:rPr>
          <w:tab/>
        </w:r>
        <w:r w:rsidR="00CF2B31" w:rsidRPr="00E43DCF">
          <w:rPr>
            <w:rStyle w:val="Hyperlink"/>
            <w:noProof/>
            <w:lang w:val="en-GB"/>
          </w:rPr>
          <w:t>Evaluation questions and approaches</w:t>
        </w:r>
        <w:r w:rsidR="00CF2B31">
          <w:rPr>
            <w:noProof/>
            <w:webHidden/>
          </w:rPr>
          <w:tab/>
        </w:r>
        <w:r w:rsidR="00CF2B31">
          <w:rPr>
            <w:noProof/>
            <w:webHidden/>
          </w:rPr>
          <w:fldChar w:fldCharType="begin"/>
        </w:r>
        <w:r w:rsidR="00CF2B31">
          <w:rPr>
            <w:noProof/>
            <w:webHidden/>
          </w:rPr>
          <w:instrText xml:space="preserve"> PAGEREF _Toc407700432 \h </w:instrText>
        </w:r>
        <w:r w:rsidR="00CF2B31">
          <w:rPr>
            <w:noProof/>
            <w:webHidden/>
          </w:rPr>
        </w:r>
        <w:r w:rsidR="00CF2B31">
          <w:rPr>
            <w:noProof/>
            <w:webHidden/>
          </w:rPr>
          <w:fldChar w:fldCharType="separate"/>
        </w:r>
        <w:r w:rsidR="00CF2B31">
          <w:rPr>
            <w:noProof/>
            <w:webHidden/>
          </w:rPr>
          <w:t>11</w:t>
        </w:r>
        <w:r w:rsidR="00CF2B31">
          <w:rPr>
            <w:noProof/>
            <w:webHidden/>
          </w:rPr>
          <w:fldChar w:fldCharType="end"/>
        </w:r>
      </w:hyperlink>
    </w:p>
    <w:p w:rsidR="00CF2B31" w:rsidRDefault="00726175">
      <w:pPr>
        <w:pStyle w:val="TableofFigures"/>
        <w:tabs>
          <w:tab w:val="right" w:leader="dot" w:pos="9350"/>
        </w:tabs>
        <w:rPr>
          <w:rFonts w:asciiTheme="minorHAnsi" w:eastAsiaTheme="minorEastAsia" w:hAnsiTheme="minorHAnsi" w:cstheme="minorBidi"/>
          <w:noProof/>
          <w:sz w:val="22"/>
          <w:szCs w:val="22"/>
        </w:rPr>
      </w:pPr>
      <w:hyperlink w:anchor="_Toc407700433" w:history="1">
        <w:r w:rsidR="00CF2B31" w:rsidRPr="00E43DCF">
          <w:rPr>
            <w:rStyle w:val="Hyperlink"/>
            <w:noProof/>
            <w:lang w:val="en-GB"/>
          </w:rPr>
          <w:t>Table 3</w:t>
        </w:r>
        <w:r w:rsidR="00CF2B31" w:rsidRPr="00E43DCF">
          <w:rPr>
            <w:rStyle w:val="Hyperlink"/>
            <w:noProof/>
            <w:lang w:val="en-GB"/>
          </w:rPr>
          <w:noBreakHyphen/>
          <w:t>1.</w:t>
        </w:r>
        <w:r w:rsidR="00CF2B31">
          <w:rPr>
            <w:rFonts w:asciiTheme="minorHAnsi" w:eastAsiaTheme="minorEastAsia" w:hAnsiTheme="minorHAnsi" w:cstheme="minorBidi"/>
            <w:noProof/>
            <w:sz w:val="22"/>
            <w:szCs w:val="22"/>
          </w:rPr>
          <w:tab/>
        </w:r>
        <w:r w:rsidR="00CF2B31" w:rsidRPr="00E43DCF">
          <w:rPr>
            <w:rStyle w:val="Hyperlink"/>
            <w:noProof/>
            <w:lang w:val="en-GB"/>
          </w:rPr>
          <w:t>Evaluation method and outcome measures for evaluation question 1</w:t>
        </w:r>
        <w:r w:rsidR="00CF2B31">
          <w:rPr>
            <w:noProof/>
            <w:webHidden/>
          </w:rPr>
          <w:tab/>
        </w:r>
        <w:r w:rsidR="00CF2B31">
          <w:rPr>
            <w:noProof/>
            <w:webHidden/>
          </w:rPr>
          <w:fldChar w:fldCharType="begin"/>
        </w:r>
        <w:r w:rsidR="00CF2B31">
          <w:rPr>
            <w:noProof/>
            <w:webHidden/>
          </w:rPr>
          <w:instrText xml:space="preserve"> PAGEREF _Toc407700433 \h </w:instrText>
        </w:r>
        <w:r w:rsidR="00CF2B31">
          <w:rPr>
            <w:noProof/>
            <w:webHidden/>
          </w:rPr>
        </w:r>
        <w:r w:rsidR="00CF2B31">
          <w:rPr>
            <w:noProof/>
            <w:webHidden/>
          </w:rPr>
          <w:fldChar w:fldCharType="separate"/>
        </w:r>
        <w:r w:rsidR="00CF2B31">
          <w:rPr>
            <w:noProof/>
            <w:webHidden/>
          </w:rPr>
          <w:t>14</w:t>
        </w:r>
        <w:r w:rsidR="00CF2B31">
          <w:rPr>
            <w:noProof/>
            <w:webHidden/>
          </w:rPr>
          <w:fldChar w:fldCharType="end"/>
        </w:r>
      </w:hyperlink>
    </w:p>
    <w:p w:rsidR="00CF2B31" w:rsidRDefault="00726175">
      <w:pPr>
        <w:pStyle w:val="TableofFigures"/>
        <w:tabs>
          <w:tab w:val="right" w:leader="dot" w:pos="9350"/>
        </w:tabs>
        <w:rPr>
          <w:rFonts w:asciiTheme="minorHAnsi" w:eastAsiaTheme="minorEastAsia" w:hAnsiTheme="minorHAnsi" w:cstheme="minorBidi"/>
          <w:noProof/>
          <w:sz w:val="22"/>
          <w:szCs w:val="22"/>
        </w:rPr>
      </w:pPr>
      <w:hyperlink w:anchor="_Toc407700434" w:history="1">
        <w:r w:rsidR="00CF2B31" w:rsidRPr="00E43DCF">
          <w:rPr>
            <w:rStyle w:val="Hyperlink"/>
            <w:noProof/>
            <w:lang w:val="en-GB"/>
          </w:rPr>
          <w:t>Table 3</w:t>
        </w:r>
        <w:r w:rsidR="00CF2B31" w:rsidRPr="00E43DCF">
          <w:rPr>
            <w:rStyle w:val="Hyperlink"/>
            <w:noProof/>
            <w:lang w:val="en-GB"/>
          </w:rPr>
          <w:noBreakHyphen/>
          <w:t>2.</w:t>
        </w:r>
        <w:r w:rsidR="00CF2B31">
          <w:rPr>
            <w:rFonts w:asciiTheme="minorHAnsi" w:eastAsiaTheme="minorEastAsia" w:hAnsiTheme="minorHAnsi" w:cstheme="minorBidi"/>
            <w:noProof/>
            <w:sz w:val="22"/>
            <w:szCs w:val="22"/>
          </w:rPr>
          <w:tab/>
        </w:r>
        <w:r w:rsidR="00CF2B31" w:rsidRPr="00E43DCF">
          <w:rPr>
            <w:rStyle w:val="Hyperlink"/>
            <w:noProof/>
            <w:lang w:val="en-GB"/>
          </w:rPr>
          <w:t>Evaluation method and outcome measures for evaluation question 2</w:t>
        </w:r>
        <w:r w:rsidR="00CF2B31">
          <w:rPr>
            <w:noProof/>
            <w:webHidden/>
          </w:rPr>
          <w:tab/>
        </w:r>
        <w:r w:rsidR="00CF2B31">
          <w:rPr>
            <w:noProof/>
            <w:webHidden/>
          </w:rPr>
          <w:fldChar w:fldCharType="begin"/>
        </w:r>
        <w:r w:rsidR="00CF2B31">
          <w:rPr>
            <w:noProof/>
            <w:webHidden/>
          </w:rPr>
          <w:instrText xml:space="preserve"> PAGEREF _Toc407700434 \h </w:instrText>
        </w:r>
        <w:r w:rsidR="00CF2B31">
          <w:rPr>
            <w:noProof/>
            <w:webHidden/>
          </w:rPr>
        </w:r>
        <w:r w:rsidR="00CF2B31">
          <w:rPr>
            <w:noProof/>
            <w:webHidden/>
          </w:rPr>
          <w:fldChar w:fldCharType="separate"/>
        </w:r>
        <w:r w:rsidR="00CF2B31">
          <w:rPr>
            <w:noProof/>
            <w:webHidden/>
          </w:rPr>
          <w:t>23</w:t>
        </w:r>
        <w:r w:rsidR="00CF2B31">
          <w:rPr>
            <w:noProof/>
            <w:webHidden/>
          </w:rPr>
          <w:fldChar w:fldCharType="end"/>
        </w:r>
      </w:hyperlink>
    </w:p>
    <w:p w:rsidR="00CF2B31" w:rsidRDefault="00726175">
      <w:pPr>
        <w:pStyle w:val="TableofFigures"/>
        <w:tabs>
          <w:tab w:val="right" w:leader="dot" w:pos="9350"/>
        </w:tabs>
        <w:rPr>
          <w:rFonts w:asciiTheme="minorHAnsi" w:eastAsiaTheme="minorEastAsia" w:hAnsiTheme="minorHAnsi" w:cstheme="minorBidi"/>
          <w:noProof/>
          <w:sz w:val="22"/>
          <w:szCs w:val="22"/>
        </w:rPr>
      </w:pPr>
      <w:hyperlink w:anchor="_Toc407700435" w:history="1">
        <w:r w:rsidR="00CF2B31" w:rsidRPr="00E43DCF">
          <w:rPr>
            <w:rStyle w:val="Hyperlink"/>
            <w:noProof/>
            <w:lang w:val="en-GB"/>
          </w:rPr>
          <w:t>Table 3</w:t>
        </w:r>
        <w:r w:rsidR="00CF2B31" w:rsidRPr="00E43DCF">
          <w:rPr>
            <w:rStyle w:val="Hyperlink"/>
            <w:noProof/>
            <w:lang w:val="en-GB"/>
          </w:rPr>
          <w:noBreakHyphen/>
          <w:t>3.</w:t>
        </w:r>
        <w:r w:rsidR="00CF2B31">
          <w:rPr>
            <w:rFonts w:asciiTheme="minorHAnsi" w:eastAsiaTheme="minorEastAsia" w:hAnsiTheme="minorHAnsi" w:cstheme="minorBidi"/>
            <w:noProof/>
            <w:sz w:val="22"/>
            <w:szCs w:val="22"/>
          </w:rPr>
          <w:tab/>
        </w:r>
        <w:r w:rsidR="00CF2B31" w:rsidRPr="00E43DCF">
          <w:rPr>
            <w:rStyle w:val="Hyperlink"/>
            <w:noProof/>
            <w:lang w:val="en-GB"/>
          </w:rPr>
          <w:t>Endline sample size requirements (successful interviews) for adequate statistical precision</w:t>
        </w:r>
        <w:r w:rsidR="00CF2B31">
          <w:rPr>
            <w:noProof/>
            <w:webHidden/>
          </w:rPr>
          <w:tab/>
        </w:r>
        <w:r w:rsidR="00CF2B31">
          <w:rPr>
            <w:noProof/>
            <w:webHidden/>
          </w:rPr>
          <w:fldChar w:fldCharType="begin"/>
        </w:r>
        <w:r w:rsidR="00CF2B31">
          <w:rPr>
            <w:noProof/>
            <w:webHidden/>
          </w:rPr>
          <w:instrText xml:space="preserve"> PAGEREF _Toc407700435 \h </w:instrText>
        </w:r>
        <w:r w:rsidR="00CF2B31">
          <w:rPr>
            <w:noProof/>
            <w:webHidden/>
          </w:rPr>
        </w:r>
        <w:r w:rsidR="00CF2B31">
          <w:rPr>
            <w:noProof/>
            <w:webHidden/>
          </w:rPr>
          <w:fldChar w:fldCharType="separate"/>
        </w:r>
        <w:r w:rsidR="00CF2B31">
          <w:rPr>
            <w:noProof/>
            <w:webHidden/>
          </w:rPr>
          <w:t>33</w:t>
        </w:r>
        <w:r w:rsidR="00CF2B31">
          <w:rPr>
            <w:noProof/>
            <w:webHidden/>
          </w:rPr>
          <w:fldChar w:fldCharType="end"/>
        </w:r>
      </w:hyperlink>
    </w:p>
    <w:p w:rsidR="00CF2B31" w:rsidRDefault="00726175">
      <w:pPr>
        <w:pStyle w:val="TableofFigures"/>
        <w:tabs>
          <w:tab w:val="right" w:leader="dot" w:pos="9350"/>
        </w:tabs>
        <w:rPr>
          <w:rFonts w:asciiTheme="minorHAnsi" w:eastAsiaTheme="minorEastAsia" w:hAnsiTheme="minorHAnsi" w:cstheme="minorBidi"/>
          <w:noProof/>
          <w:sz w:val="22"/>
          <w:szCs w:val="22"/>
        </w:rPr>
      </w:pPr>
      <w:hyperlink w:anchor="_Toc407700436" w:history="1">
        <w:r w:rsidR="00CF2B31" w:rsidRPr="00E43DCF">
          <w:rPr>
            <w:rStyle w:val="Hyperlink"/>
            <w:noProof/>
            <w:lang w:val="en-GB"/>
          </w:rPr>
          <w:t>Table 3</w:t>
        </w:r>
        <w:r w:rsidR="00CF2B31" w:rsidRPr="00E43DCF">
          <w:rPr>
            <w:rStyle w:val="Hyperlink"/>
            <w:noProof/>
            <w:lang w:val="en-GB"/>
          </w:rPr>
          <w:noBreakHyphen/>
          <w:t xml:space="preserve">4. </w:t>
        </w:r>
        <w:r w:rsidR="00CF2B31">
          <w:rPr>
            <w:rFonts w:asciiTheme="minorHAnsi" w:eastAsiaTheme="minorEastAsia" w:hAnsiTheme="minorHAnsi" w:cstheme="minorBidi"/>
            <w:noProof/>
            <w:sz w:val="22"/>
            <w:szCs w:val="22"/>
          </w:rPr>
          <w:tab/>
        </w:r>
        <w:r w:rsidR="00CF2B31" w:rsidRPr="00E43DCF">
          <w:rPr>
            <w:rStyle w:val="Hyperlink"/>
            <w:noProof/>
            <w:lang w:val="en-GB"/>
          </w:rPr>
          <w:t>Endline survey sample sizes and MDIs for one-year impact analysis (Cohort B versus Cohort C)</w:t>
        </w:r>
        <w:r w:rsidR="00CF2B31">
          <w:rPr>
            <w:noProof/>
            <w:webHidden/>
          </w:rPr>
          <w:tab/>
        </w:r>
        <w:r w:rsidR="00CF2B31">
          <w:rPr>
            <w:noProof/>
            <w:webHidden/>
          </w:rPr>
          <w:fldChar w:fldCharType="begin"/>
        </w:r>
        <w:r w:rsidR="00CF2B31">
          <w:rPr>
            <w:noProof/>
            <w:webHidden/>
          </w:rPr>
          <w:instrText xml:space="preserve"> PAGEREF _Toc407700436 \h </w:instrText>
        </w:r>
        <w:r w:rsidR="00CF2B31">
          <w:rPr>
            <w:noProof/>
            <w:webHidden/>
          </w:rPr>
        </w:r>
        <w:r w:rsidR="00CF2B31">
          <w:rPr>
            <w:noProof/>
            <w:webHidden/>
          </w:rPr>
          <w:fldChar w:fldCharType="separate"/>
        </w:r>
        <w:r w:rsidR="00CF2B31">
          <w:rPr>
            <w:noProof/>
            <w:webHidden/>
          </w:rPr>
          <w:t>36</w:t>
        </w:r>
        <w:r w:rsidR="00CF2B31">
          <w:rPr>
            <w:noProof/>
            <w:webHidden/>
          </w:rPr>
          <w:fldChar w:fldCharType="end"/>
        </w:r>
      </w:hyperlink>
    </w:p>
    <w:p w:rsidR="00CF2B31" w:rsidRDefault="00726175">
      <w:pPr>
        <w:pStyle w:val="TableofFigures"/>
        <w:tabs>
          <w:tab w:val="right" w:leader="dot" w:pos="9350"/>
        </w:tabs>
        <w:rPr>
          <w:rFonts w:asciiTheme="minorHAnsi" w:eastAsiaTheme="minorEastAsia" w:hAnsiTheme="minorHAnsi" w:cstheme="minorBidi"/>
          <w:noProof/>
          <w:sz w:val="22"/>
          <w:szCs w:val="22"/>
        </w:rPr>
      </w:pPr>
      <w:hyperlink w:anchor="_Toc407700437" w:history="1">
        <w:r w:rsidR="00CF2B31" w:rsidRPr="00E43DCF">
          <w:rPr>
            <w:rStyle w:val="Hyperlink"/>
            <w:noProof/>
            <w:lang w:val="en-GB"/>
          </w:rPr>
          <w:t>Table 3</w:t>
        </w:r>
        <w:r w:rsidR="00CF2B31" w:rsidRPr="00E43DCF">
          <w:rPr>
            <w:rStyle w:val="Hyperlink"/>
            <w:noProof/>
            <w:lang w:val="en-GB"/>
          </w:rPr>
          <w:noBreakHyphen/>
          <w:t>5.</w:t>
        </w:r>
        <w:r w:rsidR="00CF2B31">
          <w:rPr>
            <w:rFonts w:asciiTheme="minorHAnsi" w:eastAsiaTheme="minorEastAsia" w:hAnsiTheme="minorHAnsi" w:cstheme="minorBidi"/>
            <w:noProof/>
            <w:sz w:val="22"/>
            <w:szCs w:val="22"/>
          </w:rPr>
          <w:tab/>
        </w:r>
        <w:r w:rsidR="00CF2B31" w:rsidRPr="00E43DCF">
          <w:rPr>
            <w:rStyle w:val="Hyperlink"/>
            <w:noProof/>
            <w:lang w:val="en-GB"/>
          </w:rPr>
          <w:t>Endline survey sample sizes and MDIs for Cohort A versus Cohort C</w:t>
        </w:r>
        <w:r w:rsidR="00CF2B31">
          <w:rPr>
            <w:noProof/>
            <w:webHidden/>
          </w:rPr>
          <w:tab/>
        </w:r>
        <w:r w:rsidR="00CF2B31">
          <w:rPr>
            <w:noProof/>
            <w:webHidden/>
          </w:rPr>
          <w:fldChar w:fldCharType="begin"/>
        </w:r>
        <w:r w:rsidR="00CF2B31">
          <w:rPr>
            <w:noProof/>
            <w:webHidden/>
          </w:rPr>
          <w:instrText xml:space="preserve"> PAGEREF _Toc407700437 \h </w:instrText>
        </w:r>
        <w:r w:rsidR="00CF2B31">
          <w:rPr>
            <w:noProof/>
            <w:webHidden/>
          </w:rPr>
        </w:r>
        <w:r w:rsidR="00CF2B31">
          <w:rPr>
            <w:noProof/>
            <w:webHidden/>
          </w:rPr>
          <w:fldChar w:fldCharType="separate"/>
        </w:r>
        <w:r w:rsidR="00CF2B31">
          <w:rPr>
            <w:noProof/>
            <w:webHidden/>
          </w:rPr>
          <w:t>37</w:t>
        </w:r>
        <w:r w:rsidR="00CF2B31">
          <w:rPr>
            <w:noProof/>
            <w:webHidden/>
          </w:rPr>
          <w:fldChar w:fldCharType="end"/>
        </w:r>
      </w:hyperlink>
    </w:p>
    <w:p w:rsidR="00CF2B31" w:rsidRDefault="00726175">
      <w:pPr>
        <w:pStyle w:val="TableofFigures"/>
        <w:tabs>
          <w:tab w:val="right" w:leader="dot" w:pos="9350"/>
        </w:tabs>
        <w:rPr>
          <w:rFonts w:asciiTheme="minorHAnsi" w:eastAsiaTheme="minorEastAsia" w:hAnsiTheme="minorHAnsi" w:cstheme="minorBidi"/>
          <w:noProof/>
          <w:sz w:val="22"/>
          <w:szCs w:val="22"/>
        </w:rPr>
      </w:pPr>
      <w:hyperlink w:anchor="_Toc407700438" w:history="1">
        <w:r w:rsidR="00CF2B31" w:rsidRPr="00E43DCF">
          <w:rPr>
            <w:rStyle w:val="Hyperlink"/>
            <w:noProof/>
            <w:lang w:val="en-GB"/>
          </w:rPr>
          <w:t>Table 3</w:t>
        </w:r>
        <w:r w:rsidR="00CF2B31" w:rsidRPr="00E43DCF">
          <w:rPr>
            <w:rStyle w:val="Hyperlink"/>
            <w:noProof/>
            <w:lang w:val="en-GB"/>
          </w:rPr>
          <w:noBreakHyphen/>
          <w:t>6.</w:t>
        </w:r>
        <w:r w:rsidR="00CF2B31">
          <w:rPr>
            <w:rFonts w:asciiTheme="minorHAnsi" w:eastAsiaTheme="minorEastAsia" w:hAnsiTheme="minorHAnsi" w:cstheme="minorBidi"/>
            <w:noProof/>
            <w:sz w:val="22"/>
            <w:szCs w:val="22"/>
          </w:rPr>
          <w:tab/>
        </w:r>
        <w:r w:rsidR="00CF2B31" w:rsidRPr="00E43DCF">
          <w:rPr>
            <w:rStyle w:val="Hyperlink"/>
            <w:noProof/>
            <w:lang w:val="en-GB"/>
          </w:rPr>
          <w:t>Evaluation method and outcome measures for evaluation question 3</w:t>
        </w:r>
        <w:r w:rsidR="00CF2B31">
          <w:rPr>
            <w:noProof/>
            <w:webHidden/>
          </w:rPr>
          <w:tab/>
        </w:r>
        <w:r w:rsidR="00CF2B31">
          <w:rPr>
            <w:noProof/>
            <w:webHidden/>
          </w:rPr>
          <w:fldChar w:fldCharType="begin"/>
        </w:r>
        <w:r w:rsidR="00CF2B31">
          <w:rPr>
            <w:noProof/>
            <w:webHidden/>
          </w:rPr>
          <w:instrText xml:space="preserve"> PAGEREF _Toc407700438 \h </w:instrText>
        </w:r>
        <w:r w:rsidR="00CF2B31">
          <w:rPr>
            <w:noProof/>
            <w:webHidden/>
          </w:rPr>
        </w:r>
        <w:r w:rsidR="00CF2B31">
          <w:rPr>
            <w:noProof/>
            <w:webHidden/>
          </w:rPr>
          <w:fldChar w:fldCharType="separate"/>
        </w:r>
        <w:r w:rsidR="00CF2B31">
          <w:rPr>
            <w:noProof/>
            <w:webHidden/>
          </w:rPr>
          <w:t>40</w:t>
        </w:r>
        <w:r w:rsidR="00CF2B31">
          <w:rPr>
            <w:noProof/>
            <w:webHidden/>
          </w:rPr>
          <w:fldChar w:fldCharType="end"/>
        </w:r>
      </w:hyperlink>
    </w:p>
    <w:p w:rsidR="00CF2B31" w:rsidRDefault="00726175">
      <w:pPr>
        <w:pStyle w:val="TableofFigures"/>
        <w:tabs>
          <w:tab w:val="right" w:leader="dot" w:pos="9350"/>
        </w:tabs>
        <w:rPr>
          <w:rFonts w:asciiTheme="minorHAnsi" w:eastAsiaTheme="minorEastAsia" w:hAnsiTheme="minorHAnsi" w:cstheme="minorBidi"/>
          <w:noProof/>
          <w:sz w:val="22"/>
          <w:szCs w:val="22"/>
        </w:rPr>
      </w:pPr>
      <w:hyperlink w:anchor="_Toc407700439" w:history="1">
        <w:r w:rsidR="00CF2B31" w:rsidRPr="00E43DCF">
          <w:rPr>
            <w:rStyle w:val="Hyperlink"/>
            <w:noProof/>
            <w:lang w:val="en-GB"/>
          </w:rPr>
          <w:t>Table 3</w:t>
        </w:r>
        <w:r w:rsidR="00CF2B31" w:rsidRPr="00E43DCF">
          <w:rPr>
            <w:rStyle w:val="Hyperlink"/>
            <w:noProof/>
            <w:lang w:val="en-GB"/>
          </w:rPr>
          <w:noBreakHyphen/>
          <w:t>7.</w:t>
        </w:r>
        <w:r w:rsidR="00CF2B31">
          <w:rPr>
            <w:rFonts w:asciiTheme="minorHAnsi" w:eastAsiaTheme="minorEastAsia" w:hAnsiTheme="minorHAnsi" w:cstheme="minorBidi"/>
            <w:noProof/>
            <w:sz w:val="22"/>
            <w:szCs w:val="22"/>
          </w:rPr>
          <w:tab/>
        </w:r>
        <w:r w:rsidR="00CF2B31" w:rsidRPr="00E43DCF">
          <w:rPr>
            <w:rStyle w:val="Hyperlink"/>
            <w:noProof/>
            <w:lang w:val="en-GB"/>
          </w:rPr>
          <w:t>Evaluation method and outcome measures for evaluation question 4</w:t>
        </w:r>
        <w:r w:rsidR="00CF2B31">
          <w:rPr>
            <w:noProof/>
            <w:webHidden/>
          </w:rPr>
          <w:tab/>
        </w:r>
        <w:r w:rsidR="00CF2B31">
          <w:rPr>
            <w:noProof/>
            <w:webHidden/>
          </w:rPr>
          <w:fldChar w:fldCharType="begin"/>
        </w:r>
        <w:r w:rsidR="00CF2B31">
          <w:rPr>
            <w:noProof/>
            <w:webHidden/>
          </w:rPr>
          <w:instrText xml:space="preserve"> PAGEREF _Toc407700439 \h </w:instrText>
        </w:r>
        <w:r w:rsidR="00CF2B31">
          <w:rPr>
            <w:noProof/>
            <w:webHidden/>
          </w:rPr>
        </w:r>
        <w:r w:rsidR="00CF2B31">
          <w:rPr>
            <w:noProof/>
            <w:webHidden/>
          </w:rPr>
          <w:fldChar w:fldCharType="separate"/>
        </w:r>
        <w:r w:rsidR="00CF2B31">
          <w:rPr>
            <w:noProof/>
            <w:webHidden/>
          </w:rPr>
          <w:t>41</w:t>
        </w:r>
        <w:r w:rsidR="00CF2B31">
          <w:rPr>
            <w:noProof/>
            <w:webHidden/>
          </w:rPr>
          <w:fldChar w:fldCharType="end"/>
        </w:r>
      </w:hyperlink>
    </w:p>
    <w:p w:rsidR="00CF2B31" w:rsidRDefault="00726175">
      <w:pPr>
        <w:pStyle w:val="TableofFigures"/>
        <w:tabs>
          <w:tab w:val="right" w:leader="dot" w:pos="9350"/>
        </w:tabs>
        <w:rPr>
          <w:rFonts w:asciiTheme="minorHAnsi" w:eastAsiaTheme="minorEastAsia" w:hAnsiTheme="minorHAnsi" w:cstheme="minorBidi"/>
          <w:noProof/>
          <w:sz w:val="22"/>
          <w:szCs w:val="22"/>
        </w:rPr>
      </w:pPr>
      <w:hyperlink w:anchor="_Toc407700440" w:history="1">
        <w:r w:rsidR="00CF2B31" w:rsidRPr="00E43DCF">
          <w:rPr>
            <w:rStyle w:val="Hyperlink"/>
            <w:noProof/>
            <w:lang w:val="en-GB"/>
          </w:rPr>
          <w:t>Table 3</w:t>
        </w:r>
        <w:r w:rsidR="00CF2B31" w:rsidRPr="00E43DCF">
          <w:rPr>
            <w:rStyle w:val="Hyperlink"/>
            <w:noProof/>
            <w:lang w:val="en-GB"/>
          </w:rPr>
          <w:noBreakHyphen/>
          <w:t>8.</w:t>
        </w:r>
        <w:r w:rsidR="00CF2B31">
          <w:rPr>
            <w:rFonts w:asciiTheme="minorHAnsi" w:eastAsiaTheme="minorEastAsia" w:hAnsiTheme="minorHAnsi" w:cstheme="minorBidi"/>
            <w:noProof/>
            <w:sz w:val="22"/>
            <w:szCs w:val="22"/>
          </w:rPr>
          <w:tab/>
        </w:r>
        <w:r w:rsidR="00CF2B31" w:rsidRPr="00E43DCF">
          <w:rPr>
            <w:rStyle w:val="Hyperlink"/>
            <w:noProof/>
            <w:lang w:val="en-GB"/>
          </w:rPr>
          <w:t>Evaluation method and outcome measures for evaluation question 5</w:t>
        </w:r>
        <w:r w:rsidR="00CF2B31">
          <w:rPr>
            <w:noProof/>
            <w:webHidden/>
          </w:rPr>
          <w:tab/>
        </w:r>
        <w:r w:rsidR="00CF2B31">
          <w:rPr>
            <w:noProof/>
            <w:webHidden/>
          </w:rPr>
          <w:fldChar w:fldCharType="begin"/>
        </w:r>
        <w:r w:rsidR="00CF2B31">
          <w:rPr>
            <w:noProof/>
            <w:webHidden/>
          </w:rPr>
          <w:instrText xml:space="preserve"> PAGEREF _Toc407700440 \h </w:instrText>
        </w:r>
        <w:r w:rsidR="00CF2B31">
          <w:rPr>
            <w:noProof/>
            <w:webHidden/>
          </w:rPr>
        </w:r>
        <w:r w:rsidR="00CF2B31">
          <w:rPr>
            <w:noProof/>
            <w:webHidden/>
          </w:rPr>
          <w:fldChar w:fldCharType="separate"/>
        </w:r>
        <w:r w:rsidR="00CF2B31">
          <w:rPr>
            <w:noProof/>
            <w:webHidden/>
          </w:rPr>
          <w:t>45</w:t>
        </w:r>
        <w:r w:rsidR="00CF2B31">
          <w:rPr>
            <w:noProof/>
            <w:webHidden/>
          </w:rPr>
          <w:fldChar w:fldCharType="end"/>
        </w:r>
      </w:hyperlink>
    </w:p>
    <w:p w:rsidR="00CF2B31" w:rsidRDefault="00726175">
      <w:pPr>
        <w:pStyle w:val="TableofFigures"/>
        <w:tabs>
          <w:tab w:val="right" w:leader="dot" w:pos="9350"/>
        </w:tabs>
        <w:rPr>
          <w:rFonts w:asciiTheme="minorHAnsi" w:eastAsiaTheme="minorEastAsia" w:hAnsiTheme="minorHAnsi" w:cstheme="minorBidi"/>
          <w:noProof/>
          <w:sz w:val="22"/>
          <w:szCs w:val="22"/>
        </w:rPr>
      </w:pPr>
      <w:hyperlink w:anchor="_Toc407700441" w:history="1">
        <w:r w:rsidR="00CF2B31" w:rsidRPr="00E43DCF">
          <w:rPr>
            <w:rStyle w:val="Hyperlink"/>
            <w:noProof/>
            <w:lang w:val="en-GB"/>
          </w:rPr>
          <w:t>Table 3</w:t>
        </w:r>
        <w:r w:rsidR="00CF2B31" w:rsidRPr="00E43DCF">
          <w:rPr>
            <w:rStyle w:val="Hyperlink"/>
            <w:noProof/>
            <w:lang w:val="en-GB"/>
          </w:rPr>
          <w:noBreakHyphen/>
          <w:t>9.</w:t>
        </w:r>
        <w:r w:rsidR="00CF2B31">
          <w:rPr>
            <w:rFonts w:asciiTheme="minorHAnsi" w:eastAsiaTheme="minorEastAsia" w:hAnsiTheme="minorHAnsi" w:cstheme="minorBidi"/>
            <w:noProof/>
            <w:sz w:val="22"/>
            <w:szCs w:val="22"/>
          </w:rPr>
          <w:tab/>
        </w:r>
        <w:r w:rsidR="00CF2B31" w:rsidRPr="00E43DCF">
          <w:rPr>
            <w:rStyle w:val="Hyperlink"/>
            <w:noProof/>
            <w:lang w:val="en-GB"/>
          </w:rPr>
          <w:t>Evaluation method and outcome measures for evaluation question 6</w:t>
        </w:r>
        <w:r w:rsidR="00CF2B31">
          <w:rPr>
            <w:noProof/>
            <w:webHidden/>
          </w:rPr>
          <w:tab/>
        </w:r>
        <w:r w:rsidR="00CF2B31">
          <w:rPr>
            <w:noProof/>
            <w:webHidden/>
          </w:rPr>
          <w:fldChar w:fldCharType="begin"/>
        </w:r>
        <w:r w:rsidR="00CF2B31">
          <w:rPr>
            <w:noProof/>
            <w:webHidden/>
          </w:rPr>
          <w:instrText xml:space="preserve"> PAGEREF _Toc407700441 \h </w:instrText>
        </w:r>
        <w:r w:rsidR="00CF2B31">
          <w:rPr>
            <w:noProof/>
            <w:webHidden/>
          </w:rPr>
        </w:r>
        <w:r w:rsidR="00CF2B31">
          <w:rPr>
            <w:noProof/>
            <w:webHidden/>
          </w:rPr>
          <w:fldChar w:fldCharType="separate"/>
        </w:r>
        <w:r w:rsidR="00CF2B31">
          <w:rPr>
            <w:noProof/>
            <w:webHidden/>
          </w:rPr>
          <w:t>47</w:t>
        </w:r>
        <w:r w:rsidR="00CF2B31">
          <w:rPr>
            <w:noProof/>
            <w:webHidden/>
          </w:rPr>
          <w:fldChar w:fldCharType="end"/>
        </w:r>
      </w:hyperlink>
    </w:p>
    <w:p w:rsidR="00CF2B31" w:rsidRDefault="00726175">
      <w:pPr>
        <w:pStyle w:val="TableofFigures"/>
        <w:tabs>
          <w:tab w:val="right" w:leader="dot" w:pos="9350"/>
        </w:tabs>
        <w:rPr>
          <w:rFonts w:asciiTheme="minorHAnsi" w:eastAsiaTheme="minorEastAsia" w:hAnsiTheme="minorHAnsi" w:cstheme="minorBidi"/>
          <w:noProof/>
          <w:sz w:val="22"/>
          <w:szCs w:val="22"/>
        </w:rPr>
      </w:pPr>
      <w:hyperlink w:anchor="_Toc407700442" w:history="1">
        <w:r w:rsidR="00CF2B31" w:rsidRPr="00E43DCF">
          <w:rPr>
            <w:rStyle w:val="Hyperlink"/>
            <w:noProof/>
            <w:lang w:val="en-GB"/>
          </w:rPr>
          <w:t>Table 3</w:t>
        </w:r>
        <w:r w:rsidR="00CF2B31" w:rsidRPr="00E43DCF">
          <w:rPr>
            <w:rStyle w:val="Hyperlink"/>
            <w:noProof/>
            <w:lang w:val="en-GB"/>
          </w:rPr>
          <w:noBreakHyphen/>
          <w:t>10.</w:t>
        </w:r>
        <w:r w:rsidR="00CF2B31">
          <w:rPr>
            <w:rFonts w:asciiTheme="minorHAnsi" w:eastAsiaTheme="minorEastAsia" w:hAnsiTheme="minorHAnsi" w:cstheme="minorBidi"/>
            <w:noProof/>
            <w:sz w:val="22"/>
            <w:szCs w:val="22"/>
          </w:rPr>
          <w:tab/>
        </w:r>
        <w:r w:rsidR="00CF2B31" w:rsidRPr="00E43DCF">
          <w:rPr>
            <w:rStyle w:val="Hyperlink"/>
            <w:noProof/>
            <w:lang w:val="en-GB"/>
          </w:rPr>
          <w:t>Evaluation method and outcome measures for evaluation question 7</w:t>
        </w:r>
        <w:r w:rsidR="00CF2B31">
          <w:rPr>
            <w:noProof/>
            <w:webHidden/>
          </w:rPr>
          <w:tab/>
        </w:r>
        <w:r w:rsidR="00CF2B31">
          <w:rPr>
            <w:noProof/>
            <w:webHidden/>
          </w:rPr>
          <w:fldChar w:fldCharType="begin"/>
        </w:r>
        <w:r w:rsidR="00CF2B31">
          <w:rPr>
            <w:noProof/>
            <w:webHidden/>
          </w:rPr>
          <w:instrText xml:space="preserve"> PAGEREF _Toc407700442 \h </w:instrText>
        </w:r>
        <w:r w:rsidR="00CF2B31">
          <w:rPr>
            <w:noProof/>
            <w:webHidden/>
          </w:rPr>
        </w:r>
        <w:r w:rsidR="00CF2B31">
          <w:rPr>
            <w:noProof/>
            <w:webHidden/>
          </w:rPr>
          <w:fldChar w:fldCharType="separate"/>
        </w:r>
        <w:r w:rsidR="00CF2B31">
          <w:rPr>
            <w:noProof/>
            <w:webHidden/>
          </w:rPr>
          <w:t>49</w:t>
        </w:r>
        <w:r w:rsidR="00CF2B31">
          <w:rPr>
            <w:noProof/>
            <w:webHidden/>
          </w:rPr>
          <w:fldChar w:fldCharType="end"/>
        </w:r>
      </w:hyperlink>
    </w:p>
    <w:p w:rsidR="00CF2B31" w:rsidRDefault="00726175">
      <w:pPr>
        <w:pStyle w:val="TableofFigures"/>
        <w:tabs>
          <w:tab w:val="right" w:leader="dot" w:pos="9350"/>
        </w:tabs>
        <w:rPr>
          <w:rFonts w:asciiTheme="minorHAnsi" w:eastAsiaTheme="minorEastAsia" w:hAnsiTheme="minorHAnsi" w:cstheme="minorBidi"/>
          <w:noProof/>
          <w:sz w:val="22"/>
          <w:szCs w:val="22"/>
        </w:rPr>
      </w:pPr>
      <w:hyperlink w:anchor="_Toc407700443" w:history="1">
        <w:r w:rsidR="00CF2B31" w:rsidRPr="00E43DCF">
          <w:rPr>
            <w:rStyle w:val="Hyperlink"/>
            <w:noProof/>
            <w:lang w:val="en-GB"/>
          </w:rPr>
          <w:t>Table 4</w:t>
        </w:r>
        <w:r w:rsidR="00CF2B31" w:rsidRPr="00E43DCF">
          <w:rPr>
            <w:rStyle w:val="Hyperlink"/>
            <w:noProof/>
            <w:lang w:val="en-GB"/>
          </w:rPr>
          <w:noBreakHyphen/>
          <w:t>1.</w:t>
        </w:r>
        <w:r w:rsidR="00CF2B31">
          <w:rPr>
            <w:rFonts w:asciiTheme="minorHAnsi" w:eastAsiaTheme="minorEastAsia" w:hAnsiTheme="minorHAnsi" w:cstheme="minorBidi"/>
            <w:noProof/>
            <w:sz w:val="22"/>
            <w:szCs w:val="22"/>
          </w:rPr>
          <w:tab/>
        </w:r>
        <w:r w:rsidR="00CF2B31" w:rsidRPr="00E43DCF">
          <w:rPr>
            <w:rStyle w:val="Hyperlink"/>
            <w:noProof/>
            <w:lang w:val="en-GB"/>
          </w:rPr>
          <w:t>Projected submission dates of AgResults evaluation reports</w:t>
        </w:r>
        <w:r w:rsidR="00CF2B31">
          <w:rPr>
            <w:noProof/>
            <w:webHidden/>
          </w:rPr>
          <w:tab/>
        </w:r>
        <w:r w:rsidR="00CF2B31">
          <w:rPr>
            <w:noProof/>
            <w:webHidden/>
          </w:rPr>
          <w:fldChar w:fldCharType="begin"/>
        </w:r>
        <w:r w:rsidR="00CF2B31">
          <w:rPr>
            <w:noProof/>
            <w:webHidden/>
          </w:rPr>
          <w:instrText xml:space="preserve"> PAGEREF _Toc407700443 \h </w:instrText>
        </w:r>
        <w:r w:rsidR="00CF2B31">
          <w:rPr>
            <w:noProof/>
            <w:webHidden/>
          </w:rPr>
        </w:r>
        <w:r w:rsidR="00CF2B31">
          <w:rPr>
            <w:noProof/>
            <w:webHidden/>
          </w:rPr>
          <w:fldChar w:fldCharType="separate"/>
        </w:r>
        <w:r w:rsidR="00CF2B31">
          <w:rPr>
            <w:noProof/>
            <w:webHidden/>
          </w:rPr>
          <w:t>54</w:t>
        </w:r>
        <w:r w:rsidR="00CF2B31">
          <w:rPr>
            <w:noProof/>
            <w:webHidden/>
          </w:rPr>
          <w:fldChar w:fldCharType="end"/>
        </w:r>
      </w:hyperlink>
    </w:p>
    <w:p w:rsidR="00CA29EC" w:rsidRPr="005633D9" w:rsidRDefault="00CA29EC" w:rsidP="00CA29EC">
      <w:pPr>
        <w:rPr>
          <w:lang w:val="en-GB"/>
        </w:rPr>
      </w:pPr>
      <w:r w:rsidRPr="005633D9">
        <w:rPr>
          <w:lang w:val="en-GB"/>
        </w:rPr>
        <w:fldChar w:fldCharType="end"/>
      </w:r>
    </w:p>
    <w:p w:rsidR="00CA29EC" w:rsidRPr="005633D9" w:rsidRDefault="00CA29EC" w:rsidP="00CA29EC">
      <w:pPr>
        <w:pStyle w:val="TOCMainHeaders"/>
        <w:rPr>
          <w:noProof w:val="0"/>
          <w:lang w:val="en-GB"/>
        </w:rPr>
      </w:pPr>
      <w:r w:rsidRPr="005633D9">
        <w:rPr>
          <w:noProof w:val="0"/>
          <w:lang w:val="en-GB"/>
        </w:rPr>
        <w:t>Figures</w:t>
      </w:r>
    </w:p>
    <w:p w:rsidR="00CF2B31" w:rsidRDefault="00CA29EC">
      <w:pPr>
        <w:pStyle w:val="TableofFigures"/>
        <w:tabs>
          <w:tab w:val="right" w:leader="dot" w:pos="9350"/>
        </w:tabs>
        <w:rPr>
          <w:rFonts w:asciiTheme="minorHAnsi" w:eastAsiaTheme="minorEastAsia" w:hAnsiTheme="minorHAnsi" w:cstheme="minorBidi"/>
          <w:noProof/>
          <w:sz w:val="22"/>
          <w:szCs w:val="22"/>
        </w:rPr>
      </w:pPr>
      <w:r w:rsidRPr="005633D9">
        <w:rPr>
          <w:lang w:val="en-GB"/>
        </w:rPr>
        <w:fldChar w:fldCharType="begin"/>
      </w:r>
      <w:r w:rsidRPr="005633D9">
        <w:rPr>
          <w:lang w:val="en-GB"/>
        </w:rPr>
        <w:instrText xml:space="preserve"> TOC \h \z \c "Figure" </w:instrText>
      </w:r>
      <w:r w:rsidRPr="005633D9">
        <w:rPr>
          <w:lang w:val="en-GB"/>
        </w:rPr>
        <w:fldChar w:fldCharType="separate"/>
      </w:r>
      <w:hyperlink w:anchor="_Toc407700444" w:history="1">
        <w:r w:rsidR="00CF2B31" w:rsidRPr="007E0F1B">
          <w:rPr>
            <w:rStyle w:val="Hyperlink"/>
            <w:noProof/>
            <w:lang w:val="en-GB"/>
          </w:rPr>
          <w:t>Figure 1</w:t>
        </w:r>
        <w:r w:rsidR="00CF2B31" w:rsidRPr="007E0F1B">
          <w:rPr>
            <w:rStyle w:val="Hyperlink"/>
            <w:noProof/>
            <w:lang w:val="en-GB"/>
          </w:rPr>
          <w:noBreakHyphen/>
          <w:t>1.</w:t>
        </w:r>
        <w:r w:rsidR="00CF2B31">
          <w:rPr>
            <w:rFonts w:asciiTheme="minorHAnsi" w:eastAsiaTheme="minorEastAsia" w:hAnsiTheme="minorHAnsi" w:cstheme="minorBidi"/>
            <w:noProof/>
            <w:sz w:val="22"/>
            <w:szCs w:val="22"/>
          </w:rPr>
          <w:tab/>
        </w:r>
        <w:r w:rsidR="00CF2B31" w:rsidRPr="007E0F1B">
          <w:rPr>
            <w:rStyle w:val="Hyperlink"/>
            <w:noProof/>
            <w:lang w:val="en-GB"/>
          </w:rPr>
          <w:t>Prevalence of aflatoxin B1 in maize in Nigeria</w:t>
        </w:r>
        <w:r w:rsidR="00CF2B31">
          <w:rPr>
            <w:noProof/>
            <w:webHidden/>
          </w:rPr>
          <w:tab/>
        </w:r>
        <w:r w:rsidR="00CF2B31">
          <w:rPr>
            <w:noProof/>
            <w:webHidden/>
          </w:rPr>
          <w:fldChar w:fldCharType="begin"/>
        </w:r>
        <w:r w:rsidR="00CF2B31">
          <w:rPr>
            <w:noProof/>
            <w:webHidden/>
          </w:rPr>
          <w:instrText xml:space="preserve"> PAGEREF _Toc407700444 \h </w:instrText>
        </w:r>
        <w:r w:rsidR="00CF2B31">
          <w:rPr>
            <w:noProof/>
            <w:webHidden/>
          </w:rPr>
        </w:r>
        <w:r w:rsidR="00CF2B31">
          <w:rPr>
            <w:noProof/>
            <w:webHidden/>
          </w:rPr>
          <w:fldChar w:fldCharType="separate"/>
        </w:r>
        <w:r w:rsidR="00CF2B31">
          <w:rPr>
            <w:noProof/>
            <w:webHidden/>
          </w:rPr>
          <w:t>2</w:t>
        </w:r>
        <w:r w:rsidR="00CF2B31">
          <w:rPr>
            <w:noProof/>
            <w:webHidden/>
          </w:rPr>
          <w:fldChar w:fldCharType="end"/>
        </w:r>
      </w:hyperlink>
    </w:p>
    <w:p w:rsidR="00CF2B31" w:rsidRDefault="00726175">
      <w:pPr>
        <w:pStyle w:val="TableofFigures"/>
        <w:tabs>
          <w:tab w:val="right" w:leader="dot" w:pos="9350"/>
        </w:tabs>
        <w:rPr>
          <w:rFonts w:asciiTheme="minorHAnsi" w:eastAsiaTheme="minorEastAsia" w:hAnsiTheme="minorHAnsi" w:cstheme="minorBidi"/>
          <w:noProof/>
          <w:sz w:val="22"/>
          <w:szCs w:val="22"/>
        </w:rPr>
      </w:pPr>
      <w:hyperlink w:anchor="_Toc407700445" w:history="1">
        <w:r w:rsidR="00CF2B31" w:rsidRPr="007E0F1B">
          <w:rPr>
            <w:rStyle w:val="Hyperlink"/>
            <w:noProof/>
            <w:lang w:val="en-GB"/>
          </w:rPr>
          <w:t>Figure 1</w:t>
        </w:r>
        <w:r w:rsidR="00CF2B31" w:rsidRPr="007E0F1B">
          <w:rPr>
            <w:rStyle w:val="Hyperlink"/>
            <w:noProof/>
            <w:lang w:val="en-GB"/>
          </w:rPr>
          <w:noBreakHyphen/>
          <w:t>2.</w:t>
        </w:r>
        <w:r w:rsidR="00CF2B31">
          <w:rPr>
            <w:rFonts w:asciiTheme="minorHAnsi" w:eastAsiaTheme="minorEastAsia" w:hAnsiTheme="minorHAnsi" w:cstheme="minorBidi"/>
            <w:noProof/>
            <w:sz w:val="22"/>
            <w:szCs w:val="22"/>
          </w:rPr>
          <w:tab/>
        </w:r>
        <w:r w:rsidR="00CF2B31" w:rsidRPr="007E0F1B">
          <w:rPr>
            <w:rStyle w:val="Hyperlink"/>
            <w:noProof/>
            <w:lang w:val="en-GB"/>
          </w:rPr>
          <w:t>AgResults theory of change</w:t>
        </w:r>
        <w:r w:rsidR="00CF2B31">
          <w:rPr>
            <w:noProof/>
            <w:webHidden/>
          </w:rPr>
          <w:tab/>
        </w:r>
        <w:r w:rsidR="00CF2B31">
          <w:rPr>
            <w:noProof/>
            <w:webHidden/>
          </w:rPr>
          <w:fldChar w:fldCharType="begin"/>
        </w:r>
        <w:r w:rsidR="00CF2B31">
          <w:rPr>
            <w:noProof/>
            <w:webHidden/>
          </w:rPr>
          <w:instrText xml:space="preserve"> PAGEREF _Toc407700445 \h </w:instrText>
        </w:r>
        <w:r w:rsidR="00CF2B31">
          <w:rPr>
            <w:noProof/>
            <w:webHidden/>
          </w:rPr>
        </w:r>
        <w:r w:rsidR="00CF2B31">
          <w:rPr>
            <w:noProof/>
            <w:webHidden/>
          </w:rPr>
          <w:fldChar w:fldCharType="separate"/>
        </w:r>
        <w:r w:rsidR="00CF2B31">
          <w:rPr>
            <w:noProof/>
            <w:webHidden/>
          </w:rPr>
          <w:t>4</w:t>
        </w:r>
        <w:r w:rsidR="00CF2B31">
          <w:rPr>
            <w:noProof/>
            <w:webHidden/>
          </w:rPr>
          <w:fldChar w:fldCharType="end"/>
        </w:r>
      </w:hyperlink>
    </w:p>
    <w:p w:rsidR="00CF2B31" w:rsidRDefault="00726175">
      <w:pPr>
        <w:pStyle w:val="TableofFigures"/>
        <w:tabs>
          <w:tab w:val="right" w:leader="dot" w:pos="9350"/>
        </w:tabs>
        <w:rPr>
          <w:rFonts w:asciiTheme="minorHAnsi" w:eastAsiaTheme="minorEastAsia" w:hAnsiTheme="minorHAnsi" w:cstheme="minorBidi"/>
          <w:noProof/>
          <w:sz w:val="22"/>
          <w:szCs w:val="22"/>
        </w:rPr>
      </w:pPr>
      <w:hyperlink w:anchor="_Toc407700446" w:history="1">
        <w:r w:rsidR="00CF2B31" w:rsidRPr="007E0F1B">
          <w:rPr>
            <w:rStyle w:val="Hyperlink"/>
            <w:noProof/>
            <w:lang w:val="en-GB"/>
          </w:rPr>
          <w:t>Figure 1</w:t>
        </w:r>
        <w:r w:rsidR="00CF2B31" w:rsidRPr="007E0F1B">
          <w:rPr>
            <w:rStyle w:val="Hyperlink"/>
            <w:noProof/>
            <w:lang w:val="en-GB"/>
          </w:rPr>
          <w:noBreakHyphen/>
          <w:t>3.</w:t>
        </w:r>
        <w:r w:rsidR="00CF2B31">
          <w:rPr>
            <w:rFonts w:asciiTheme="minorHAnsi" w:eastAsiaTheme="minorEastAsia" w:hAnsiTheme="minorHAnsi" w:cstheme="minorBidi"/>
            <w:noProof/>
            <w:sz w:val="22"/>
            <w:szCs w:val="22"/>
          </w:rPr>
          <w:tab/>
        </w:r>
        <w:r w:rsidR="00CF2B31" w:rsidRPr="007E0F1B">
          <w:rPr>
            <w:rStyle w:val="Hyperlink"/>
            <w:noProof/>
            <w:lang w:val="en-GB"/>
          </w:rPr>
          <w:t>Nigeria maize value chain</w:t>
        </w:r>
        <w:r w:rsidR="00CF2B31">
          <w:rPr>
            <w:noProof/>
            <w:webHidden/>
          </w:rPr>
          <w:tab/>
        </w:r>
        <w:r w:rsidR="00CF2B31">
          <w:rPr>
            <w:noProof/>
            <w:webHidden/>
          </w:rPr>
          <w:fldChar w:fldCharType="begin"/>
        </w:r>
        <w:r w:rsidR="00CF2B31">
          <w:rPr>
            <w:noProof/>
            <w:webHidden/>
          </w:rPr>
          <w:instrText xml:space="preserve"> PAGEREF _Toc407700446 \h </w:instrText>
        </w:r>
        <w:r w:rsidR="00CF2B31">
          <w:rPr>
            <w:noProof/>
            <w:webHidden/>
          </w:rPr>
        </w:r>
        <w:r w:rsidR="00CF2B31">
          <w:rPr>
            <w:noProof/>
            <w:webHidden/>
          </w:rPr>
          <w:fldChar w:fldCharType="separate"/>
        </w:r>
        <w:r w:rsidR="00CF2B31">
          <w:rPr>
            <w:noProof/>
            <w:webHidden/>
          </w:rPr>
          <w:t>7</w:t>
        </w:r>
        <w:r w:rsidR="00CF2B31">
          <w:rPr>
            <w:noProof/>
            <w:webHidden/>
          </w:rPr>
          <w:fldChar w:fldCharType="end"/>
        </w:r>
      </w:hyperlink>
    </w:p>
    <w:p w:rsidR="00CF2B31" w:rsidRDefault="00726175">
      <w:pPr>
        <w:pStyle w:val="TableofFigures"/>
        <w:tabs>
          <w:tab w:val="right" w:leader="dot" w:pos="9350"/>
        </w:tabs>
        <w:rPr>
          <w:rFonts w:asciiTheme="minorHAnsi" w:eastAsiaTheme="minorEastAsia" w:hAnsiTheme="minorHAnsi" w:cstheme="minorBidi"/>
          <w:noProof/>
          <w:sz w:val="22"/>
          <w:szCs w:val="22"/>
        </w:rPr>
      </w:pPr>
      <w:hyperlink w:anchor="_Toc407700447" w:history="1">
        <w:r w:rsidR="00CF2B31" w:rsidRPr="007E0F1B">
          <w:rPr>
            <w:rStyle w:val="Hyperlink"/>
            <w:noProof/>
            <w:lang w:val="en-GB"/>
          </w:rPr>
          <w:t>Figure 4</w:t>
        </w:r>
        <w:r w:rsidR="00CF2B31" w:rsidRPr="007E0F1B">
          <w:rPr>
            <w:rStyle w:val="Hyperlink"/>
            <w:noProof/>
            <w:lang w:val="en-GB"/>
          </w:rPr>
          <w:noBreakHyphen/>
          <w:t>1.</w:t>
        </w:r>
        <w:r w:rsidR="00CF2B31">
          <w:rPr>
            <w:rFonts w:asciiTheme="minorHAnsi" w:eastAsiaTheme="minorEastAsia" w:hAnsiTheme="minorHAnsi" w:cstheme="minorBidi"/>
            <w:noProof/>
            <w:sz w:val="22"/>
            <w:szCs w:val="22"/>
          </w:rPr>
          <w:tab/>
        </w:r>
        <w:r w:rsidR="00CF2B31" w:rsidRPr="007E0F1B">
          <w:rPr>
            <w:rStyle w:val="Hyperlink"/>
            <w:noProof/>
            <w:lang w:val="en-GB"/>
          </w:rPr>
          <w:t>Northern Nigeria planting and harvesting cycle</w:t>
        </w:r>
        <w:r w:rsidR="00CF2B31">
          <w:rPr>
            <w:noProof/>
            <w:webHidden/>
          </w:rPr>
          <w:tab/>
        </w:r>
        <w:r w:rsidR="00CF2B31">
          <w:rPr>
            <w:noProof/>
            <w:webHidden/>
          </w:rPr>
          <w:fldChar w:fldCharType="begin"/>
        </w:r>
        <w:r w:rsidR="00CF2B31">
          <w:rPr>
            <w:noProof/>
            <w:webHidden/>
          </w:rPr>
          <w:instrText xml:space="preserve"> PAGEREF _Toc407700447 \h </w:instrText>
        </w:r>
        <w:r w:rsidR="00CF2B31">
          <w:rPr>
            <w:noProof/>
            <w:webHidden/>
          </w:rPr>
        </w:r>
        <w:r w:rsidR="00CF2B31">
          <w:rPr>
            <w:noProof/>
            <w:webHidden/>
          </w:rPr>
          <w:fldChar w:fldCharType="separate"/>
        </w:r>
        <w:r w:rsidR="00CF2B31">
          <w:rPr>
            <w:noProof/>
            <w:webHidden/>
          </w:rPr>
          <w:t>51</w:t>
        </w:r>
        <w:r w:rsidR="00CF2B31">
          <w:rPr>
            <w:noProof/>
            <w:webHidden/>
          </w:rPr>
          <w:fldChar w:fldCharType="end"/>
        </w:r>
      </w:hyperlink>
    </w:p>
    <w:p w:rsidR="0099298C" w:rsidRPr="005633D9" w:rsidRDefault="00CA29EC" w:rsidP="00CA29EC">
      <w:pPr>
        <w:rPr>
          <w:lang w:val="en-GB"/>
        </w:rPr>
      </w:pPr>
      <w:r w:rsidRPr="005633D9">
        <w:rPr>
          <w:lang w:val="en-GB"/>
        </w:rPr>
        <w:fldChar w:fldCharType="end"/>
      </w:r>
    </w:p>
    <w:p w:rsidR="0099298C" w:rsidRPr="00250D92" w:rsidRDefault="00CA29EC" w:rsidP="0034022D">
      <w:pPr>
        <w:pStyle w:val="Heading1"/>
        <w:numPr>
          <w:ilvl w:val="0"/>
          <w:numId w:val="0"/>
        </w:numPr>
        <w:ind w:left="720" w:hanging="720"/>
        <w:rPr>
          <w:lang w:val="en-GB"/>
        </w:rPr>
      </w:pPr>
      <w:bookmarkStart w:id="3" w:name="_Toc407700404"/>
      <w:r w:rsidRPr="00250D92">
        <w:rPr>
          <w:lang w:val="en-GB"/>
        </w:rPr>
        <w:lastRenderedPageBreak/>
        <w:t>Preface</w:t>
      </w:r>
      <w:bookmarkEnd w:id="3"/>
    </w:p>
    <w:p w:rsidR="00450C8E" w:rsidRPr="00250D92" w:rsidRDefault="00450C8E" w:rsidP="00450C8E">
      <w:pPr>
        <w:rPr>
          <w:szCs w:val="24"/>
          <w:lang w:val="en-GB"/>
        </w:rPr>
      </w:pPr>
      <w:r w:rsidRPr="00250D92">
        <w:rPr>
          <w:szCs w:val="24"/>
          <w:lang w:val="en-GB"/>
        </w:rPr>
        <w:t>AgResults is a $110 million multilateral initiative incentivizing and rewarding high-impact agricultural innovations that promote global food security, health, and nutrition through the design and implementation of pull mechanism pilots. It is funded by the governments of Australia, Canada, the United Kingdom, the United States, and the Bill &amp; Melinda Gates Foundation, and managed through a Financial Intermediary Fund operated by the World Bank. By using pull mechanisms, AgResults extends beyond traditional aid measures to promote the adoption of innovative technologies with high-yield development impact. AgResults will provide economic incentives to private sector actors in smallholder agriculture to develop and ensure the uptake of innovative technologies with the potential to yield high development impacts. It will help overcome market failures impeding the establishment of sustainable commercial markets for such technologies, or goods produced by means of them, and thereby achieve substantial and sustained development impacts, manifested in improved food security and food safety, increased smallholder incomes, and better health and nutrition. It will call upon the ingenuity and drive of the private sector to identify and execute the most effective and efficient strategies to achieve development outcomes.</w:t>
      </w:r>
    </w:p>
    <w:p w:rsidR="00450C8E" w:rsidRPr="00250D92" w:rsidRDefault="00450C8E" w:rsidP="00450C8E">
      <w:pPr>
        <w:rPr>
          <w:color w:val="222222"/>
          <w:szCs w:val="24"/>
          <w:lang w:val="en-GB"/>
        </w:rPr>
      </w:pPr>
      <w:r w:rsidRPr="00250D92">
        <w:rPr>
          <w:szCs w:val="24"/>
          <w:lang w:val="en-GB"/>
        </w:rPr>
        <w:t>The AgResults program team comprises a Steering Committee, a Secretariat, a Trustee, country-specific pilot implementers, and an external evaluator. The Steering Committee oversees the implementation of AgResults and is comprised of the five donor agencies and the Trustee. The Steering Committee is responsible for strategic oversight of the initiative, including endorsement of key management decisions, approval of concepts and business plans for proposed pilots, and the monitoring of pilots and the initiative as a whole. The Secretariat is responsible for implementation of the AgResults initiative and reports to the Steerin</w:t>
      </w:r>
      <w:r w:rsidR="00250D92">
        <w:rPr>
          <w:szCs w:val="24"/>
          <w:lang w:val="en-GB"/>
        </w:rPr>
        <w:t>g Committee. In order to fulfil</w:t>
      </w:r>
      <w:r w:rsidRPr="00250D92">
        <w:rPr>
          <w:szCs w:val="24"/>
          <w:lang w:val="en-GB"/>
        </w:rPr>
        <w:t xml:space="preserve"> its role effectively, the Secretariat develops a close working relationship with the Trustee and ongoing external evaluator. Core functions include </w:t>
      </w:r>
      <w:r w:rsidR="00250D92">
        <w:rPr>
          <w:szCs w:val="24"/>
          <w:lang w:val="en-GB"/>
        </w:rPr>
        <w:t>appointing and managing</w:t>
      </w:r>
      <w:r w:rsidRPr="00250D92">
        <w:rPr>
          <w:szCs w:val="24"/>
          <w:lang w:val="en-GB"/>
        </w:rPr>
        <w:t xml:space="preserve"> pilot implementation and verification agents, sourcing new pilots</w:t>
      </w:r>
      <w:r w:rsidR="00250D92">
        <w:rPr>
          <w:szCs w:val="24"/>
          <w:lang w:val="en-GB"/>
        </w:rPr>
        <w:t>,</w:t>
      </w:r>
      <w:r w:rsidRPr="00250D92">
        <w:rPr>
          <w:szCs w:val="24"/>
          <w:lang w:val="en-GB"/>
        </w:rPr>
        <w:t xml:space="preserve"> and communicating results. As Trustee for AgResults, the World Bank provides an agreed set of financial intermediary services that include receiving funds, holding funds, investing funds, and transferring them to recipients or other agencies for implementation as directed by the Secretariat on behalf of the Steering Committee.</w:t>
      </w:r>
      <w:r w:rsidRPr="00250D92">
        <w:rPr>
          <w:color w:val="222222"/>
          <w:szCs w:val="24"/>
          <w:lang w:val="en-GB"/>
        </w:rPr>
        <w:t> </w:t>
      </w:r>
    </w:p>
    <w:p w:rsidR="00450C8E" w:rsidRPr="00250D92" w:rsidRDefault="00450C8E" w:rsidP="00450C8E">
      <w:pPr>
        <w:rPr>
          <w:szCs w:val="24"/>
          <w:lang w:val="en-GB"/>
        </w:rPr>
      </w:pPr>
      <w:r w:rsidRPr="00250D92">
        <w:rPr>
          <w:szCs w:val="24"/>
          <w:lang w:val="en-GB"/>
        </w:rPr>
        <w:t xml:space="preserve">In Nigeria, AgResults is providing economic incentives to smallholder maize aggregators in two key agricultural regions of the country to increase the adoption of Aflasafe, an </w:t>
      </w:r>
      <w:r w:rsidR="00250D92">
        <w:rPr>
          <w:szCs w:val="24"/>
          <w:lang w:val="en-GB"/>
        </w:rPr>
        <w:t>a</w:t>
      </w:r>
      <w:r w:rsidRPr="00250D92">
        <w:rPr>
          <w:szCs w:val="24"/>
          <w:lang w:val="en-GB"/>
        </w:rPr>
        <w:t xml:space="preserve">flatoxin control technology shown to reduce </w:t>
      </w:r>
      <w:r w:rsidR="00250D92">
        <w:rPr>
          <w:szCs w:val="24"/>
          <w:lang w:val="en-GB"/>
        </w:rPr>
        <w:t>a</w:t>
      </w:r>
      <w:r w:rsidRPr="00250D92">
        <w:rPr>
          <w:szCs w:val="24"/>
          <w:lang w:val="en-GB"/>
        </w:rPr>
        <w:t>flatoxin contamination of maize by up to 99</w:t>
      </w:r>
      <w:r w:rsidR="00E86A86">
        <w:rPr>
          <w:szCs w:val="24"/>
          <w:lang w:val="en-GB"/>
        </w:rPr>
        <w:t xml:space="preserve"> percent</w:t>
      </w:r>
      <w:r w:rsidR="00E86A86" w:rsidRPr="00250D92">
        <w:rPr>
          <w:szCs w:val="24"/>
          <w:lang w:val="en-GB"/>
        </w:rPr>
        <w:t xml:space="preserve">. </w:t>
      </w:r>
      <w:r w:rsidRPr="00250D92">
        <w:rPr>
          <w:szCs w:val="24"/>
          <w:lang w:val="en-GB"/>
        </w:rPr>
        <w:t>The pilot is designed to demonstrate a successful model for increasing smallholder adoption of biocontrol technology in Nigeria by reducing barriers to the widespread adoption of Aflasafe through a per-unit premium payment for maize verified to contain a high prevalence of Aflasafe. The AgResults pilot in Nigeria began with a pilot year in 2013, and will continue until March 2018. In Nigeria, the International Institute of Tropical Research (IITA) serves as the Program Support Services Manager</w:t>
      </w:r>
      <w:r w:rsidR="00250D92">
        <w:rPr>
          <w:szCs w:val="24"/>
          <w:lang w:val="en-GB"/>
        </w:rPr>
        <w:t>,</w:t>
      </w:r>
      <w:r w:rsidRPr="00250D92">
        <w:rPr>
          <w:szCs w:val="24"/>
          <w:lang w:val="en-GB"/>
        </w:rPr>
        <w:t xml:space="preserve"> and Adebowale (Debo) Akande has been subcontracted as the Pilot Manager for the Nigeria pilot. As Pilot Manager, Mr. Akande is managing overall implementation of the pilot. </w:t>
      </w:r>
    </w:p>
    <w:p w:rsidR="00450C8E" w:rsidRPr="00250D92" w:rsidRDefault="00450C8E" w:rsidP="00450C8E">
      <w:pPr>
        <w:rPr>
          <w:color w:val="000000"/>
          <w:szCs w:val="24"/>
          <w:shd w:val="clear" w:color="auto" w:fill="FFFFFF"/>
          <w:lang w:val="en-GB"/>
        </w:rPr>
      </w:pPr>
      <w:r w:rsidRPr="00250D92">
        <w:rPr>
          <w:szCs w:val="24"/>
          <w:lang w:val="en-GB"/>
        </w:rPr>
        <w:t xml:space="preserve">The Steering Committee appointed Abt Associates Inc. to serve as the External Impact Evaluator for the AgResults pilots. Abt’s role is to use rigorous scientific tools to determine if the pull </w:t>
      </w:r>
      <w:r w:rsidRPr="00250D92">
        <w:rPr>
          <w:szCs w:val="24"/>
          <w:lang w:val="en-GB"/>
        </w:rPr>
        <w:lastRenderedPageBreak/>
        <w:t xml:space="preserve">mechanisms achieve their objectives – to measure whether the mechanisms produce private sector behaviours and social outcomes different from, and better than, what would have happened in the absence of the mechanism introduced by the pilot initiatives. In our role as the External Impact Evaluator, Abt will define the overall evaluation framework for the AgResults </w:t>
      </w:r>
      <w:r w:rsidR="005B30C8">
        <w:rPr>
          <w:szCs w:val="24"/>
          <w:lang w:val="en-GB"/>
        </w:rPr>
        <w:t>i</w:t>
      </w:r>
      <w:r w:rsidRPr="00250D92">
        <w:rPr>
          <w:szCs w:val="24"/>
          <w:lang w:val="en-GB"/>
        </w:rPr>
        <w:t>nitiative and an impact analysis strategy for each pilot. We will also implement and analy</w:t>
      </w:r>
      <w:r w:rsidR="00250D92">
        <w:rPr>
          <w:szCs w:val="24"/>
          <w:lang w:val="en-GB"/>
        </w:rPr>
        <w:t>s</w:t>
      </w:r>
      <w:r w:rsidRPr="00250D92">
        <w:rPr>
          <w:szCs w:val="24"/>
          <w:lang w:val="en-GB"/>
        </w:rPr>
        <w:t>e field surveys based on established best practices, conduct qualitative market analyses, and communicate evaluation findings to the Steering Committee and wider audiences as needed. Our role will be vital to the AgResults’ learning agenda of understanding the potential of private sector involvement in the development and spread of agricultural innovation.</w:t>
      </w:r>
      <w:r w:rsidR="008C0DB4" w:rsidRPr="00250D92">
        <w:rPr>
          <w:szCs w:val="24"/>
          <w:lang w:val="en-GB"/>
        </w:rPr>
        <w:t xml:space="preserve"> We will also report our assessment of the sustainability of the results produced in the private market once the pilot incentives are removed.</w:t>
      </w:r>
      <w:r w:rsidRPr="00250D92">
        <w:rPr>
          <w:szCs w:val="24"/>
          <w:lang w:val="en-GB"/>
        </w:rPr>
        <w:t xml:space="preserve"> </w:t>
      </w:r>
    </w:p>
    <w:p w:rsidR="00450C8E" w:rsidRPr="00BF788C" w:rsidRDefault="00450C8E" w:rsidP="00450C8E">
      <w:pPr>
        <w:rPr>
          <w:color w:val="000000"/>
          <w:szCs w:val="24"/>
          <w:shd w:val="clear" w:color="auto" w:fill="FFFFFF"/>
        </w:rPr>
      </w:pPr>
      <w:r w:rsidRPr="008C0DB4">
        <w:rPr>
          <w:szCs w:val="24"/>
          <w:lang w:val="en-GB"/>
        </w:rPr>
        <w:t xml:space="preserve">This report presents Abt’s evaluation design for the Nigeria pilot. </w:t>
      </w:r>
      <w:r w:rsidRPr="008C0DB4">
        <w:rPr>
          <w:color w:val="000000"/>
          <w:szCs w:val="24"/>
          <w:shd w:val="clear" w:color="auto" w:fill="FFFFFF"/>
          <w:lang w:val="en-GB"/>
        </w:rPr>
        <w:t xml:space="preserve">The Abt team is headed by Stephen Bell, PhD, an expert in impact evaluation design and the evaluation’s Quality Assurance Advisor. Tulika Narayan, PhD (Agricultural Economist and overall Quantitative Evaluation Lead) is the country lead for the Nigeria pilot evaluation; Denise </w:t>
      </w:r>
      <w:r w:rsidRPr="00BF788C">
        <w:rPr>
          <w:color w:val="000000"/>
          <w:szCs w:val="24"/>
          <w:shd w:val="clear" w:color="auto" w:fill="FFFFFF"/>
          <w:lang w:val="en-GB"/>
        </w:rPr>
        <w:t>Mainville, PhD (of Denise Mainville Consulting LLC</w:t>
      </w:r>
      <w:r w:rsidR="008C0DB4">
        <w:rPr>
          <w:color w:val="000000"/>
          <w:szCs w:val="24"/>
          <w:shd w:val="clear" w:color="auto" w:fill="FFFFFF"/>
          <w:lang w:val="en-GB"/>
        </w:rPr>
        <w:t>),</w:t>
      </w:r>
      <w:r w:rsidRPr="00BF788C">
        <w:rPr>
          <w:color w:val="000000"/>
          <w:szCs w:val="24"/>
          <w:shd w:val="clear" w:color="auto" w:fill="FFFFFF"/>
          <w:lang w:val="en-GB"/>
        </w:rPr>
        <w:t xml:space="preserve"> is the Agriculture Expert and overall Qualitative Lead; Judy Geyer, PhD (Impact Evaluation Expert) guides the quantitative analysis; and Mikal Davis (Evaluation Analyst and Country Coordinator) conducts data analysis and provides coordination support. The Abt team will work with in-country </w:t>
      </w:r>
      <w:r w:rsidR="00E81552" w:rsidRPr="00BF788C">
        <w:rPr>
          <w:color w:val="000000"/>
          <w:szCs w:val="24"/>
          <w:shd w:val="clear" w:color="auto" w:fill="FFFFFF"/>
          <w:lang w:val="en-GB"/>
        </w:rPr>
        <w:t>agricultur</w:t>
      </w:r>
      <w:r w:rsidR="00E81552">
        <w:rPr>
          <w:color w:val="000000"/>
          <w:szCs w:val="24"/>
          <w:shd w:val="clear" w:color="auto" w:fill="FFFFFF"/>
          <w:lang w:val="en-GB"/>
        </w:rPr>
        <w:t>al</w:t>
      </w:r>
      <w:r w:rsidR="00E81552" w:rsidRPr="00BF788C">
        <w:rPr>
          <w:color w:val="000000"/>
          <w:szCs w:val="24"/>
          <w:shd w:val="clear" w:color="auto" w:fill="FFFFFF"/>
          <w:lang w:val="en-GB"/>
        </w:rPr>
        <w:t xml:space="preserve"> </w:t>
      </w:r>
      <w:r w:rsidRPr="00BF788C">
        <w:rPr>
          <w:color w:val="000000"/>
          <w:szCs w:val="24"/>
          <w:shd w:val="clear" w:color="auto" w:fill="FFFFFF"/>
          <w:lang w:val="en-GB"/>
        </w:rPr>
        <w:t xml:space="preserve">economists and </w:t>
      </w:r>
      <w:r w:rsidR="002835CA">
        <w:rPr>
          <w:color w:val="000000"/>
          <w:szCs w:val="24"/>
          <w:shd w:val="clear" w:color="auto" w:fill="FFFFFF"/>
          <w:lang w:val="en-GB"/>
        </w:rPr>
        <w:t xml:space="preserve">a </w:t>
      </w:r>
      <w:r w:rsidR="00874B29" w:rsidRPr="00BF788C">
        <w:rPr>
          <w:color w:val="000000"/>
          <w:szCs w:val="24"/>
          <w:shd w:val="clear" w:color="auto" w:fill="FFFFFF"/>
          <w:lang w:val="en-GB"/>
        </w:rPr>
        <w:t xml:space="preserve">Survey Manager </w:t>
      </w:r>
      <w:r w:rsidRPr="00BF788C">
        <w:rPr>
          <w:color w:val="000000"/>
          <w:szCs w:val="24"/>
          <w:shd w:val="clear" w:color="auto" w:fill="FFFFFF"/>
          <w:lang w:val="en-GB"/>
        </w:rPr>
        <w:t xml:space="preserve">to implement the evaluation </w:t>
      </w:r>
      <w:r w:rsidRPr="00BF788C">
        <w:rPr>
          <w:color w:val="000000"/>
          <w:szCs w:val="24"/>
          <w:shd w:val="clear" w:color="auto" w:fill="FFFFFF"/>
        </w:rPr>
        <w:t>design.</w:t>
      </w:r>
    </w:p>
    <w:p w:rsidR="00DF2903" w:rsidRPr="00BF788C" w:rsidRDefault="00DF2903" w:rsidP="00CA29EC">
      <w:pPr>
        <w:pStyle w:val="TOCMainHeaders"/>
        <w:rPr>
          <w:noProof w:val="0"/>
          <w:sz w:val="24"/>
          <w:szCs w:val="24"/>
          <w:lang w:val="en-GB"/>
        </w:rPr>
        <w:sectPr w:rsidR="00DF2903" w:rsidRPr="00BF788C" w:rsidSect="00677314">
          <w:headerReference w:type="default" r:id="rId11"/>
          <w:footerReference w:type="default" r:id="rId12"/>
          <w:pgSz w:w="12240" w:h="15840" w:code="1"/>
          <w:pgMar w:top="1440" w:right="1440" w:bottom="1440" w:left="1440" w:header="1080" w:footer="720" w:gutter="0"/>
          <w:pgNumType w:fmt="lowerRoman" w:start="1"/>
          <w:cols w:space="720"/>
          <w:docGrid w:linePitch="299"/>
        </w:sectPr>
      </w:pPr>
    </w:p>
    <w:p w:rsidR="007B1904" w:rsidRPr="005633D9" w:rsidRDefault="00D705C7" w:rsidP="00747C79">
      <w:pPr>
        <w:pStyle w:val="Heading1"/>
        <w:rPr>
          <w:noProof w:val="0"/>
          <w:lang w:val="en-GB"/>
        </w:rPr>
      </w:pPr>
      <w:bookmarkStart w:id="4" w:name="_Ref403466411"/>
      <w:bookmarkStart w:id="5" w:name="_Toc407700405"/>
      <w:r w:rsidRPr="005633D9">
        <w:rPr>
          <w:noProof w:val="0"/>
          <w:lang w:val="en-GB"/>
        </w:rPr>
        <w:lastRenderedPageBreak/>
        <w:t xml:space="preserve">Setting for the AgResults </w:t>
      </w:r>
      <w:r w:rsidR="002222A4" w:rsidRPr="005633D9">
        <w:rPr>
          <w:noProof w:val="0"/>
          <w:lang w:val="en-GB"/>
        </w:rPr>
        <w:t>pilot</w:t>
      </w:r>
      <w:bookmarkStart w:id="6" w:name="Page1"/>
      <w:bookmarkEnd w:id="4"/>
      <w:bookmarkEnd w:id="6"/>
      <w:bookmarkEnd w:id="5"/>
    </w:p>
    <w:p w:rsidR="000173F2" w:rsidRPr="005633D9" w:rsidRDefault="00D705C7" w:rsidP="000173F2">
      <w:pPr>
        <w:pStyle w:val="Heading2"/>
        <w:rPr>
          <w:lang w:val="en-GB"/>
        </w:rPr>
      </w:pPr>
      <w:bookmarkStart w:id="7" w:name="_Toc407700406"/>
      <w:r w:rsidRPr="005633D9">
        <w:rPr>
          <w:lang w:val="en-GB"/>
        </w:rPr>
        <w:t xml:space="preserve">The </w:t>
      </w:r>
      <w:r w:rsidR="00FC13DC" w:rsidRPr="005633D9">
        <w:rPr>
          <w:lang w:val="en-GB"/>
        </w:rPr>
        <w:t>aflatoxin p</w:t>
      </w:r>
      <w:r w:rsidR="000173F2" w:rsidRPr="005633D9">
        <w:rPr>
          <w:lang w:val="en-GB"/>
        </w:rPr>
        <w:t xml:space="preserve">roblem </w:t>
      </w:r>
      <w:r w:rsidRPr="005633D9">
        <w:rPr>
          <w:lang w:val="en-GB"/>
        </w:rPr>
        <w:t xml:space="preserve">in </w:t>
      </w:r>
      <w:r w:rsidR="00FC13DC" w:rsidRPr="005633D9">
        <w:rPr>
          <w:lang w:val="en-GB"/>
        </w:rPr>
        <w:t>N</w:t>
      </w:r>
      <w:r w:rsidRPr="005633D9">
        <w:rPr>
          <w:lang w:val="en-GB"/>
        </w:rPr>
        <w:t>igeria</w:t>
      </w:r>
      <w:bookmarkEnd w:id="7"/>
    </w:p>
    <w:p w:rsidR="00420101" w:rsidRPr="005633D9" w:rsidRDefault="00420101" w:rsidP="003068F2">
      <w:pPr>
        <w:rPr>
          <w:lang w:val="en-GB"/>
        </w:rPr>
      </w:pPr>
      <w:r w:rsidRPr="005633D9">
        <w:rPr>
          <w:lang w:val="en-GB"/>
        </w:rPr>
        <w:t xml:space="preserve">Aflatoxins are naturally occurring toxins produced by certain fungi: </w:t>
      </w:r>
      <w:r w:rsidRPr="005633D9">
        <w:rPr>
          <w:i/>
          <w:lang w:val="en-GB"/>
        </w:rPr>
        <w:t xml:space="preserve">Aspergillus flavus and Aspergillus parasiticus. </w:t>
      </w:r>
      <w:r w:rsidRPr="005633D9">
        <w:rPr>
          <w:lang w:val="en-GB"/>
        </w:rPr>
        <w:t>There are several types of aflatoxins (B1, B2, G1, and G2) produced by these fungi, of which aflatoxin B1 is the most toxic</w:t>
      </w:r>
      <w:r w:rsidR="00B95C68" w:rsidRPr="005633D9">
        <w:rPr>
          <w:lang w:val="en-GB"/>
        </w:rPr>
        <w:t>: long-term exposure to aflatoxins results in liver cancer, with some evidence of impact on stunting</w:t>
      </w:r>
      <w:r w:rsidR="00691D3E" w:rsidRPr="005633D9">
        <w:rPr>
          <w:lang w:val="en-GB"/>
        </w:rPr>
        <w:t>,</w:t>
      </w:r>
      <w:r w:rsidR="00B95C68" w:rsidRPr="005633D9">
        <w:rPr>
          <w:lang w:val="en-GB"/>
        </w:rPr>
        <w:t xml:space="preserve"> and short-term acute exposure can result in death because of aflatoxicosis</w:t>
      </w:r>
      <w:r w:rsidRPr="005633D9">
        <w:rPr>
          <w:lang w:val="en-GB"/>
        </w:rPr>
        <w:t>. These aflatoxin-producing fungi are widely found in soil and contaminate a variety of food commodities that are important to Nigeria, including maize (Strosnider et al., 2006). Although data are not available for all regions in Nigeria, published preva</w:t>
      </w:r>
      <w:r w:rsidR="0099160E" w:rsidRPr="005633D9">
        <w:rPr>
          <w:lang w:val="en-GB"/>
        </w:rPr>
        <w:t>lence data from Nigeria suggest</w:t>
      </w:r>
      <w:r w:rsidRPr="005633D9">
        <w:rPr>
          <w:lang w:val="en-GB"/>
        </w:rPr>
        <w:t xml:space="preserve"> that aflatoxin contamination in maize is considerably higher than the European Union (EU) aflatoxin standard (4 ppb) or the U.S. standard (20 ppb). A recent review of published articles reveals that the mean level of aflatoxin contamination in </w:t>
      </w:r>
      <w:r w:rsidR="001D46B8" w:rsidRPr="005633D9">
        <w:rPr>
          <w:lang w:val="en-GB"/>
        </w:rPr>
        <w:t>Nigerian maize</w:t>
      </w:r>
      <w:r w:rsidRPr="005633D9">
        <w:rPr>
          <w:lang w:val="en-GB"/>
        </w:rPr>
        <w:t xml:space="preserve"> </w:t>
      </w:r>
      <w:r w:rsidR="001D46B8" w:rsidRPr="005633D9">
        <w:rPr>
          <w:lang w:val="en-GB"/>
        </w:rPr>
        <w:t>is</w:t>
      </w:r>
      <w:r w:rsidRPr="005633D9">
        <w:rPr>
          <w:lang w:val="en-GB"/>
        </w:rPr>
        <w:t xml:space="preserve"> as high as </w:t>
      </w:r>
      <w:r w:rsidR="001D46B8" w:rsidRPr="005633D9">
        <w:rPr>
          <w:lang w:val="en-GB"/>
        </w:rPr>
        <w:t>250</w:t>
      </w:r>
      <w:r w:rsidRPr="005633D9">
        <w:rPr>
          <w:lang w:val="en-GB"/>
        </w:rPr>
        <w:t xml:space="preserve"> ppb.</w:t>
      </w:r>
      <w:r w:rsidRPr="005633D9">
        <w:rPr>
          <w:rStyle w:val="FootnoteReference"/>
          <w:lang w:val="en-GB"/>
        </w:rPr>
        <w:footnoteReference w:id="2"/>
      </w:r>
      <w:r w:rsidRPr="005633D9">
        <w:rPr>
          <w:lang w:val="en-GB"/>
        </w:rPr>
        <w:t xml:space="preserve"> </w:t>
      </w:r>
      <w:r w:rsidR="00F05208" w:rsidRPr="005633D9">
        <w:rPr>
          <w:lang w:val="en-GB"/>
        </w:rPr>
        <w:t>Nigeria is the largest producer of maize in Africa</w:t>
      </w:r>
      <w:r w:rsidR="00C52175" w:rsidRPr="005633D9">
        <w:rPr>
          <w:lang w:val="en-GB"/>
        </w:rPr>
        <w:t>,</w:t>
      </w:r>
      <w:r w:rsidR="00F05208" w:rsidRPr="005633D9">
        <w:rPr>
          <w:lang w:val="en-GB"/>
        </w:rPr>
        <w:t xml:space="preserve"> and maize accounts for up to </w:t>
      </w:r>
      <w:r w:rsidR="00C52175" w:rsidRPr="005633D9">
        <w:rPr>
          <w:lang w:val="en-GB"/>
        </w:rPr>
        <w:t>two-thirds</w:t>
      </w:r>
      <w:r w:rsidR="00F05208" w:rsidRPr="005633D9">
        <w:rPr>
          <w:lang w:val="en-GB"/>
        </w:rPr>
        <w:t xml:space="preserve"> of calories consumed in some parts of the country. Nigeria produces most of the maize it consumes, and imports and exports of maize are small. Production is concentrated in the North-Central region of the country (particularly Kaduna), while consumption is concentrated in the South-West.</w:t>
      </w:r>
    </w:p>
    <w:p w:rsidR="00420101" w:rsidRPr="005633D9" w:rsidRDefault="009E6538" w:rsidP="00420101">
      <w:pPr>
        <w:pStyle w:val="BodyText"/>
      </w:pPr>
      <w:r w:rsidRPr="005633D9">
        <w:fldChar w:fldCharType="begin"/>
      </w:r>
      <w:r w:rsidRPr="005633D9">
        <w:instrText xml:space="preserve"> REF _Ref381716054 \h </w:instrText>
      </w:r>
      <w:r w:rsidRPr="005633D9">
        <w:fldChar w:fldCharType="separate"/>
      </w:r>
      <w:r w:rsidR="00F33102" w:rsidRPr="005633D9">
        <w:t xml:space="preserve">Figure </w:t>
      </w:r>
      <w:r w:rsidR="00F33102">
        <w:rPr>
          <w:noProof/>
        </w:rPr>
        <w:t>1</w:t>
      </w:r>
      <w:r w:rsidR="00F33102" w:rsidRPr="005633D9">
        <w:noBreakHyphen/>
      </w:r>
      <w:r w:rsidR="00F33102">
        <w:rPr>
          <w:noProof/>
        </w:rPr>
        <w:t>1</w:t>
      </w:r>
      <w:r w:rsidRPr="005633D9">
        <w:fldChar w:fldCharType="end"/>
      </w:r>
      <w:r w:rsidR="00420101" w:rsidRPr="005633D9">
        <w:t xml:space="preserve"> presents the average aflatoxin contamination </w:t>
      </w:r>
      <w:r w:rsidR="00F05208" w:rsidRPr="005633D9">
        <w:t xml:space="preserve">in Nigerian maize </w:t>
      </w:r>
      <w:r w:rsidR="00420101" w:rsidRPr="005633D9">
        <w:t xml:space="preserve">using data from published sources. </w:t>
      </w:r>
      <w:r w:rsidR="00F05208" w:rsidRPr="005633D9">
        <w:t>Maize</w:t>
      </w:r>
      <w:r w:rsidR="00420101" w:rsidRPr="005633D9">
        <w:t xml:space="preserve"> contamination is higher in Niger, Nassarawa, and Oyo</w:t>
      </w:r>
      <w:r w:rsidR="00F05208" w:rsidRPr="005633D9">
        <w:t xml:space="preserve"> states</w:t>
      </w:r>
      <w:r w:rsidR="00420101" w:rsidRPr="005633D9">
        <w:t>.</w:t>
      </w:r>
    </w:p>
    <w:p w:rsidR="000B04AE" w:rsidRPr="005633D9" w:rsidRDefault="0086521E" w:rsidP="000B04AE">
      <w:pPr>
        <w:pStyle w:val="BodyText"/>
      </w:pPr>
      <w:r w:rsidRPr="005633D9">
        <w:t>Aflasafe</w:t>
      </w:r>
      <w:r w:rsidR="00092EEC" w:rsidRPr="005633D9">
        <w:t xml:space="preserve"> is a biocontrol </w:t>
      </w:r>
      <w:r w:rsidR="00463467" w:rsidRPr="005633D9">
        <w:t>containing</w:t>
      </w:r>
      <w:r w:rsidR="00092EEC" w:rsidRPr="005633D9">
        <w:t xml:space="preserve"> native strains of </w:t>
      </w:r>
      <w:r w:rsidR="00092EEC" w:rsidRPr="005633D9">
        <w:rPr>
          <w:i/>
        </w:rPr>
        <w:t>Aspergillus</w:t>
      </w:r>
      <w:r w:rsidR="00092EEC" w:rsidRPr="005633D9">
        <w:t xml:space="preserve"> that do not produce aflatoxins (atoxigenic strains) to naturally outcompete aflatoxin-producing strains </w:t>
      </w:r>
      <w:r w:rsidR="009E6538" w:rsidRPr="005633D9">
        <w:t>and in doing so, greatly reduce</w:t>
      </w:r>
      <w:r w:rsidR="00092EEC" w:rsidRPr="005633D9">
        <w:t xml:space="preserve"> the potential for aflatoxin contamination. The biocontrol is applied during </w:t>
      </w:r>
      <w:r w:rsidR="00FC22D1" w:rsidRPr="005633D9">
        <w:t xml:space="preserve">the </w:t>
      </w:r>
      <w:r w:rsidR="00092EEC" w:rsidRPr="005633D9">
        <w:t>planting stage</w:t>
      </w:r>
      <w:r w:rsidR="003068F2" w:rsidRPr="005633D9">
        <w:t xml:space="preserve"> (more specifically, </w:t>
      </w:r>
      <w:r w:rsidR="009E6538" w:rsidRPr="005633D9">
        <w:t>10</w:t>
      </w:r>
      <w:r w:rsidR="003068F2" w:rsidRPr="005633D9">
        <w:t xml:space="preserve"> days after planting)</w:t>
      </w:r>
      <w:r w:rsidR="00092EEC" w:rsidRPr="005633D9">
        <w:t>, and works to reduce the population of aflatoxin-producing fungi in early stage</w:t>
      </w:r>
      <w:r w:rsidR="00463467" w:rsidRPr="005633D9">
        <w:t>s</w:t>
      </w:r>
      <w:r w:rsidR="00FC22D1" w:rsidRPr="005633D9">
        <w:t>,</w:t>
      </w:r>
      <w:r w:rsidR="00092EEC" w:rsidRPr="005633D9">
        <w:t xml:space="preserve"> thereby affecting </w:t>
      </w:r>
      <w:r w:rsidR="00285D3F" w:rsidRPr="005633D9">
        <w:t xml:space="preserve">their </w:t>
      </w:r>
      <w:r w:rsidR="00092EEC" w:rsidRPr="005633D9">
        <w:t>prevalence through</w:t>
      </w:r>
      <w:r w:rsidR="00285D3F" w:rsidRPr="005633D9">
        <w:t>out</w:t>
      </w:r>
      <w:r w:rsidR="00092EEC" w:rsidRPr="005633D9">
        <w:t xml:space="preserve"> the value chain</w:t>
      </w:r>
      <w:r w:rsidR="00285D3F" w:rsidRPr="005633D9">
        <w:t>,</w:t>
      </w:r>
      <w:r w:rsidR="00092EEC" w:rsidRPr="005633D9">
        <w:t xml:space="preserve"> from the field to the final consumer. A recent study notes that application of </w:t>
      </w:r>
      <w:r w:rsidRPr="005633D9">
        <w:t>Aflasafe</w:t>
      </w:r>
      <w:r w:rsidR="00092EEC" w:rsidRPr="005633D9">
        <w:t xml:space="preserve"> </w:t>
      </w:r>
      <w:r w:rsidR="003068F2" w:rsidRPr="005633D9">
        <w:t xml:space="preserve">at a rate </w:t>
      </w:r>
      <w:r w:rsidR="00092EEC" w:rsidRPr="005633D9">
        <w:t>that results in 70</w:t>
      </w:r>
      <w:r w:rsidR="007C2141" w:rsidRPr="005633D9">
        <w:t xml:space="preserve"> percent</w:t>
      </w:r>
      <w:r w:rsidR="00092EEC" w:rsidRPr="005633D9">
        <w:t xml:space="preserve"> prevalence of Afl</w:t>
      </w:r>
      <w:r w:rsidR="00F05208" w:rsidRPr="005633D9">
        <w:t>a</w:t>
      </w:r>
      <w:r w:rsidR="00092EEC" w:rsidRPr="005633D9">
        <w:t xml:space="preserve">safe in harvested maize can control 90 </w:t>
      </w:r>
      <w:r w:rsidR="007C2141" w:rsidRPr="005633D9">
        <w:t xml:space="preserve">percent </w:t>
      </w:r>
      <w:r w:rsidR="00092EEC" w:rsidRPr="005633D9">
        <w:t>of the aflatoxin contamination (</w:t>
      </w:r>
      <w:r w:rsidR="00F11308" w:rsidRPr="005633D9">
        <w:t>Dahlber</w:t>
      </w:r>
      <w:r w:rsidR="002158AA" w:rsidRPr="005633D9">
        <w:t>g</w:t>
      </w:r>
      <w:r w:rsidR="00B65D18">
        <w:t>,</w:t>
      </w:r>
      <w:r w:rsidR="00F11308" w:rsidRPr="005633D9">
        <w:t xml:space="preserve"> 2012</w:t>
      </w:r>
      <w:r w:rsidR="00092EEC" w:rsidRPr="005633D9">
        <w:t xml:space="preserve">). </w:t>
      </w:r>
      <w:r w:rsidRPr="005633D9">
        <w:t>Aflasafe</w:t>
      </w:r>
      <w:r w:rsidR="00092EEC" w:rsidRPr="005633D9">
        <w:t xml:space="preserve"> </w:t>
      </w:r>
      <w:r w:rsidR="00285D3F" w:rsidRPr="005633D9">
        <w:t xml:space="preserve">has supporting scientific evidence and </w:t>
      </w:r>
      <w:r w:rsidR="00092EEC" w:rsidRPr="005633D9">
        <w:t xml:space="preserve">is one of the more efficacious </w:t>
      </w:r>
      <w:r w:rsidR="00285D3F" w:rsidRPr="005633D9">
        <w:t>potential interventions to reduce aflatoxin contamination</w:t>
      </w:r>
      <w:r w:rsidR="00092EEC" w:rsidRPr="005633D9">
        <w:t>.</w:t>
      </w:r>
      <w:r w:rsidR="00EE5CC7" w:rsidRPr="005633D9">
        <w:t xml:space="preserve"> </w:t>
      </w:r>
      <w:r w:rsidRPr="005633D9">
        <w:t>Aflasafe</w:t>
      </w:r>
      <w:r w:rsidR="00EE5CC7" w:rsidRPr="005633D9">
        <w:t xml:space="preserve"> is approved for crop treatment in Nigeria by </w:t>
      </w:r>
      <w:r w:rsidR="00463467" w:rsidRPr="005633D9">
        <w:t xml:space="preserve">the </w:t>
      </w:r>
      <w:r w:rsidR="00EE5CC7" w:rsidRPr="005633D9">
        <w:t>Nigeria Agency for Food and Drug Administration</w:t>
      </w:r>
      <w:r w:rsidR="00737CD5" w:rsidRPr="005633D9">
        <w:t xml:space="preserve"> (NAFDAC)</w:t>
      </w:r>
      <w:r w:rsidR="00137399" w:rsidRPr="005633D9">
        <w:t>,</w:t>
      </w:r>
      <w:r w:rsidR="00737CD5" w:rsidRPr="005633D9">
        <w:t xml:space="preserve"> </w:t>
      </w:r>
      <w:r w:rsidR="00EE5CC7" w:rsidRPr="005633D9">
        <w:t xml:space="preserve">and </w:t>
      </w:r>
      <w:r w:rsidR="00463467" w:rsidRPr="005633D9">
        <w:t xml:space="preserve">Nigeria </w:t>
      </w:r>
      <w:r w:rsidR="00137399" w:rsidRPr="005633D9">
        <w:t xml:space="preserve">is </w:t>
      </w:r>
      <w:r w:rsidR="00EE5CC7" w:rsidRPr="005633D9">
        <w:t xml:space="preserve">currently the only country in Africa where </w:t>
      </w:r>
      <w:r w:rsidRPr="005633D9">
        <w:t>Aflasafe</w:t>
      </w:r>
      <w:r w:rsidR="00EE5CC7" w:rsidRPr="005633D9">
        <w:t xml:space="preserve"> is registered.</w:t>
      </w:r>
    </w:p>
    <w:p w:rsidR="00663099" w:rsidRPr="005633D9" w:rsidRDefault="002C194D" w:rsidP="00B11AD2">
      <w:pPr>
        <w:rPr>
          <w:lang w:val="en-GB"/>
        </w:rPr>
      </w:pPr>
      <w:r w:rsidRPr="005633D9">
        <w:rPr>
          <w:lang w:val="en-GB"/>
        </w:rPr>
        <w:t xml:space="preserve">Even though </w:t>
      </w:r>
      <w:r w:rsidR="009C0818" w:rsidRPr="005633D9">
        <w:rPr>
          <w:lang w:val="en-GB"/>
        </w:rPr>
        <w:t>this</w:t>
      </w:r>
      <w:r w:rsidRPr="005633D9">
        <w:rPr>
          <w:lang w:val="en-GB"/>
        </w:rPr>
        <w:t xml:space="preserve"> aflatoxin mitigation strategy is available in Nigeria, there is low uptake </w:t>
      </w:r>
      <w:r w:rsidR="00FC22D1" w:rsidRPr="005633D9">
        <w:rPr>
          <w:lang w:val="en-GB"/>
        </w:rPr>
        <w:t xml:space="preserve">of </w:t>
      </w:r>
      <w:r w:rsidRPr="005633D9">
        <w:rPr>
          <w:lang w:val="en-GB"/>
        </w:rPr>
        <w:t xml:space="preserve">it </w:t>
      </w:r>
      <w:r w:rsidR="00737CD5" w:rsidRPr="005633D9">
        <w:rPr>
          <w:lang w:val="en-GB"/>
        </w:rPr>
        <w:t xml:space="preserve">by maize </w:t>
      </w:r>
      <w:r w:rsidR="007A2E54" w:rsidRPr="005633D9">
        <w:rPr>
          <w:lang w:val="en-GB"/>
        </w:rPr>
        <w:t>smallholder</w:t>
      </w:r>
      <w:r w:rsidR="00A70366" w:rsidRPr="005633D9">
        <w:rPr>
          <w:lang w:val="en-GB"/>
        </w:rPr>
        <w:t>s</w:t>
      </w:r>
      <w:r w:rsidR="00737CD5" w:rsidRPr="005633D9">
        <w:rPr>
          <w:lang w:val="en-GB"/>
        </w:rPr>
        <w:t xml:space="preserve"> </w:t>
      </w:r>
      <w:r w:rsidRPr="005633D9">
        <w:rPr>
          <w:lang w:val="en-GB"/>
        </w:rPr>
        <w:t>because</w:t>
      </w:r>
      <w:r w:rsidR="00A70366" w:rsidRPr="005633D9">
        <w:rPr>
          <w:lang w:val="en-GB"/>
        </w:rPr>
        <w:t xml:space="preserve"> </w:t>
      </w:r>
      <w:r w:rsidR="0086521E" w:rsidRPr="005633D9">
        <w:rPr>
          <w:lang w:val="en-GB"/>
        </w:rPr>
        <w:t>Aflasafe</w:t>
      </w:r>
      <w:r w:rsidR="00A70366" w:rsidRPr="005633D9">
        <w:rPr>
          <w:lang w:val="en-GB"/>
        </w:rPr>
        <w:t xml:space="preserve"> application implies additional cost without any offsetting yield increase or </w:t>
      </w:r>
      <w:r w:rsidR="009C0818" w:rsidRPr="005633D9">
        <w:rPr>
          <w:lang w:val="en-GB"/>
        </w:rPr>
        <w:t>revenue increase</w:t>
      </w:r>
      <w:r w:rsidR="00F05208" w:rsidRPr="005633D9">
        <w:rPr>
          <w:lang w:val="en-GB"/>
        </w:rPr>
        <w:t xml:space="preserve"> through price premiums</w:t>
      </w:r>
      <w:r w:rsidR="00A70366" w:rsidRPr="005633D9">
        <w:rPr>
          <w:lang w:val="en-GB"/>
        </w:rPr>
        <w:t>.</w:t>
      </w:r>
      <w:r w:rsidR="00243735" w:rsidRPr="005633D9">
        <w:rPr>
          <w:lang w:val="en-GB"/>
        </w:rPr>
        <w:t xml:space="preserve"> </w:t>
      </w:r>
      <w:r w:rsidR="00366E82" w:rsidRPr="005633D9">
        <w:rPr>
          <w:lang w:val="en-GB"/>
        </w:rPr>
        <w:t>In</w:t>
      </w:r>
      <w:r w:rsidR="009C0818" w:rsidRPr="005633D9">
        <w:rPr>
          <w:lang w:val="en-GB"/>
        </w:rPr>
        <w:t xml:space="preserve"> Nigeria, t</w:t>
      </w:r>
      <w:r w:rsidR="00A70366" w:rsidRPr="005633D9">
        <w:rPr>
          <w:lang w:val="en-GB"/>
        </w:rPr>
        <w:t>here are</w:t>
      </w:r>
      <w:r w:rsidR="00C77633" w:rsidRPr="005633D9">
        <w:rPr>
          <w:lang w:val="en-GB"/>
        </w:rPr>
        <w:t xml:space="preserve"> only two </w:t>
      </w:r>
      <w:r w:rsidR="00A70366" w:rsidRPr="005633D9">
        <w:rPr>
          <w:lang w:val="en-GB"/>
        </w:rPr>
        <w:t xml:space="preserve">markets that </w:t>
      </w:r>
      <w:r w:rsidR="00C77633" w:rsidRPr="005633D9">
        <w:rPr>
          <w:lang w:val="en-GB"/>
        </w:rPr>
        <w:t xml:space="preserve">pay </w:t>
      </w:r>
      <w:r w:rsidR="00A70366" w:rsidRPr="005633D9">
        <w:rPr>
          <w:lang w:val="en-GB"/>
        </w:rPr>
        <w:t>a premium for aflatoxin-free maize</w:t>
      </w:r>
      <w:r w:rsidR="00FC22D1" w:rsidRPr="005633D9">
        <w:rPr>
          <w:lang w:val="en-GB"/>
        </w:rPr>
        <w:t xml:space="preserve">: the </w:t>
      </w:r>
      <w:r w:rsidR="00A70366" w:rsidRPr="005633D9">
        <w:rPr>
          <w:lang w:val="en-GB"/>
        </w:rPr>
        <w:t xml:space="preserve">export market and to some extent the poultry feed market. </w:t>
      </w:r>
      <w:r w:rsidR="00C77633" w:rsidRPr="005633D9">
        <w:rPr>
          <w:lang w:val="en-GB"/>
        </w:rPr>
        <w:t xml:space="preserve">However, export markets are not within the reach of </w:t>
      </w:r>
      <w:r w:rsidR="009C0818" w:rsidRPr="005633D9">
        <w:rPr>
          <w:lang w:val="en-GB"/>
        </w:rPr>
        <w:t xml:space="preserve">a typical </w:t>
      </w:r>
      <w:r w:rsidR="00C77633" w:rsidRPr="005633D9">
        <w:rPr>
          <w:lang w:val="en-GB"/>
        </w:rPr>
        <w:t>smallholder</w:t>
      </w:r>
      <w:r w:rsidR="009C0818" w:rsidRPr="005633D9">
        <w:rPr>
          <w:lang w:val="en-GB"/>
        </w:rPr>
        <w:t>; there are many constraints to accessing this high-value market</w:t>
      </w:r>
      <w:r w:rsidR="00C77633" w:rsidRPr="005633D9">
        <w:rPr>
          <w:lang w:val="en-GB"/>
        </w:rPr>
        <w:t xml:space="preserve"> (</w:t>
      </w:r>
      <w:r w:rsidR="00A67751" w:rsidRPr="005633D9">
        <w:rPr>
          <w:lang w:val="en-GB"/>
        </w:rPr>
        <w:t>inability to aggregate</w:t>
      </w:r>
      <w:r w:rsidR="00FC22D1" w:rsidRPr="005633D9">
        <w:rPr>
          <w:lang w:val="en-GB"/>
        </w:rPr>
        <w:t xml:space="preserve"> and</w:t>
      </w:r>
      <w:r w:rsidR="00A67751" w:rsidRPr="005633D9">
        <w:rPr>
          <w:lang w:val="en-GB"/>
        </w:rPr>
        <w:t xml:space="preserve"> o</w:t>
      </w:r>
      <w:r w:rsidR="00C77633" w:rsidRPr="005633D9">
        <w:rPr>
          <w:lang w:val="en-GB"/>
        </w:rPr>
        <w:t>ther quality considerations</w:t>
      </w:r>
      <w:r w:rsidR="00A67751" w:rsidRPr="005633D9">
        <w:rPr>
          <w:lang w:val="en-GB"/>
        </w:rPr>
        <w:t xml:space="preserve"> being </w:t>
      </w:r>
      <w:r w:rsidR="00B11AD2" w:rsidRPr="005633D9">
        <w:rPr>
          <w:lang w:val="en-GB"/>
        </w:rPr>
        <w:t>some of the</w:t>
      </w:r>
      <w:r w:rsidR="00A67751" w:rsidRPr="005633D9">
        <w:rPr>
          <w:lang w:val="en-GB"/>
        </w:rPr>
        <w:t xml:space="preserve"> reasons)</w:t>
      </w:r>
      <w:r w:rsidR="00C77633" w:rsidRPr="005633D9">
        <w:rPr>
          <w:lang w:val="en-GB"/>
        </w:rPr>
        <w:t>.</w:t>
      </w:r>
      <w:r w:rsidR="00243735" w:rsidRPr="005633D9">
        <w:rPr>
          <w:lang w:val="en-GB"/>
        </w:rPr>
        <w:t xml:space="preserve"> </w:t>
      </w:r>
      <w:r w:rsidR="00BD24D6" w:rsidRPr="005633D9">
        <w:rPr>
          <w:lang w:val="en-GB"/>
        </w:rPr>
        <w:t xml:space="preserve">Furthermore, only a small amount of maize is </w:t>
      </w:r>
      <w:r w:rsidR="00BD24D6" w:rsidRPr="005633D9">
        <w:rPr>
          <w:lang w:val="en-GB"/>
        </w:rPr>
        <w:lastRenderedPageBreak/>
        <w:t xml:space="preserve">exported, </w:t>
      </w:r>
      <w:r w:rsidR="00463467" w:rsidRPr="005633D9">
        <w:rPr>
          <w:lang w:val="en-GB"/>
        </w:rPr>
        <w:t>in part</w:t>
      </w:r>
      <w:r w:rsidR="00BD24D6" w:rsidRPr="005633D9">
        <w:rPr>
          <w:lang w:val="en-GB"/>
        </w:rPr>
        <w:t xml:space="preserve"> because the Nigerian government </w:t>
      </w:r>
      <w:r w:rsidR="00B95C68" w:rsidRPr="005633D9">
        <w:rPr>
          <w:lang w:val="en-GB"/>
        </w:rPr>
        <w:t xml:space="preserve">often </w:t>
      </w:r>
      <w:r w:rsidR="00BD24D6" w:rsidRPr="005633D9">
        <w:rPr>
          <w:lang w:val="en-GB"/>
        </w:rPr>
        <w:t xml:space="preserve">bans its export </w:t>
      </w:r>
      <w:r w:rsidR="00F87DAB" w:rsidRPr="005633D9">
        <w:rPr>
          <w:lang w:val="en-GB"/>
        </w:rPr>
        <w:t>due to</w:t>
      </w:r>
      <w:r w:rsidR="00BD24D6" w:rsidRPr="005633D9">
        <w:rPr>
          <w:lang w:val="en-GB"/>
        </w:rPr>
        <w:t xml:space="preserve"> food security concerns. </w:t>
      </w:r>
      <w:r w:rsidR="00FE482F" w:rsidRPr="005633D9">
        <w:rPr>
          <w:lang w:val="en-GB"/>
        </w:rPr>
        <w:t xml:space="preserve">The poultry </w:t>
      </w:r>
      <w:r w:rsidR="00B11AD2" w:rsidRPr="005633D9">
        <w:rPr>
          <w:lang w:val="en-GB"/>
        </w:rPr>
        <w:t xml:space="preserve">feed </w:t>
      </w:r>
      <w:r w:rsidR="00FE482F" w:rsidRPr="005633D9">
        <w:rPr>
          <w:lang w:val="en-GB"/>
        </w:rPr>
        <w:t>sector is a viable market for aflatoxin-free maize that smallholder</w:t>
      </w:r>
      <w:r w:rsidR="00463467" w:rsidRPr="005633D9">
        <w:rPr>
          <w:lang w:val="en-GB"/>
        </w:rPr>
        <w:t>s</w:t>
      </w:r>
      <w:r w:rsidR="00366E82" w:rsidRPr="005633D9">
        <w:rPr>
          <w:lang w:val="en-GB"/>
        </w:rPr>
        <w:t xml:space="preserve"> </w:t>
      </w:r>
      <w:r w:rsidR="00A11018" w:rsidRPr="005633D9">
        <w:rPr>
          <w:lang w:val="en-GB"/>
        </w:rPr>
        <w:t>have not yet tapped</w:t>
      </w:r>
      <w:r w:rsidR="00FE482F" w:rsidRPr="005633D9">
        <w:rPr>
          <w:lang w:val="en-GB"/>
        </w:rPr>
        <w:t>.</w:t>
      </w:r>
      <w:r w:rsidR="00243735" w:rsidRPr="005633D9">
        <w:rPr>
          <w:lang w:val="en-GB"/>
        </w:rPr>
        <w:t xml:space="preserve"> </w:t>
      </w:r>
    </w:p>
    <w:p w:rsidR="00BC4FAA" w:rsidRPr="005633D9" w:rsidRDefault="00BC4FAA" w:rsidP="00BC4FAA">
      <w:pPr>
        <w:pStyle w:val="Caption"/>
        <w:rPr>
          <w:lang w:val="en-GB"/>
        </w:rPr>
      </w:pPr>
      <w:bookmarkStart w:id="8" w:name="_Ref381716054"/>
      <w:bookmarkStart w:id="9" w:name="_Toc407700444"/>
      <w:r w:rsidRPr="005633D9">
        <w:rPr>
          <w:lang w:val="en-GB"/>
        </w:rPr>
        <w:t xml:space="preserve">Figure </w:t>
      </w:r>
      <w:r w:rsidRPr="005633D9">
        <w:rPr>
          <w:lang w:val="en-GB"/>
        </w:rPr>
        <w:fldChar w:fldCharType="begin"/>
      </w:r>
      <w:r w:rsidRPr="005633D9">
        <w:rPr>
          <w:lang w:val="en-GB"/>
        </w:rPr>
        <w:instrText xml:space="preserve"> STYLEREF 1 \s </w:instrText>
      </w:r>
      <w:r w:rsidRPr="005633D9">
        <w:rPr>
          <w:lang w:val="en-GB"/>
        </w:rPr>
        <w:fldChar w:fldCharType="separate"/>
      </w:r>
      <w:r w:rsidR="00F33102">
        <w:rPr>
          <w:noProof/>
          <w:lang w:val="en-GB"/>
        </w:rPr>
        <w:t>1</w:t>
      </w:r>
      <w:r w:rsidRPr="005633D9">
        <w:rPr>
          <w:lang w:val="en-GB"/>
        </w:rPr>
        <w:fldChar w:fldCharType="end"/>
      </w:r>
      <w:r w:rsidRPr="005633D9">
        <w:rPr>
          <w:lang w:val="en-GB"/>
        </w:rPr>
        <w:noBreakHyphen/>
      </w:r>
      <w:r w:rsidRPr="005633D9">
        <w:rPr>
          <w:lang w:val="en-GB"/>
        </w:rPr>
        <w:fldChar w:fldCharType="begin"/>
      </w:r>
      <w:r w:rsidRPr="005633D9">
        <w:rPr>
          <w:lang w:val="en-GB"/>
        </w:rPr>
        <w:instrText xml:space="preserve"> SEQ Figure \* ARABIC \s 1 </w:instrText>
      </w:r>
      <w:r w:rsidRPr="005633D9">
        <w:rPr>
          <w:lang w:val="en-GB"/>
        </w:rPr>
        <w:fldChar w:fldCharType="separate"/>
      </w:r>
      <w:r w:rsidR="00F33102">
        <w:rPr>
          <w:noProof/>
          <w:lang w:val="en-GB"/>
        </w:rPr>
        <w:t>1</w:t>
      </w:r>
      <w:r w:rsidRPr="005633D9">
        <w:rPr>
          <w:lang w:val="en-GB"/>
        </w:rPr>
        <w:fldChar w:fldCharType="end"/>
      </w:r>
      <w:bookmarkEnd w:id="8"/>
      <w:r w:rsidRPr="005633D9">
        <w:rPr>
          <w:lang w:val="en-GB"/>
        </w:rPr>
        <w:t>.</w:t>
      </w:r>
      <w:r w:rsidRPr="005633D9">
        <w:rPr>
          <w:lang w:val="en-GB"/>
        </w:rPr>
        <w:tab/>
        <w:t>Prevalence of aflatoxin B1 in maize in Nigeria</w:t>
      </w:r>
      <w:bookmarkEnd w:id="9"/>
    </w:p>
    <w:p w:rsidR="00BC4FAA" w:rsidRPr="005633D9" w:rsidRDefault="00BC4FAA" w:rsidP="00BC4FAA">
      <w:pPr>
        <w:pStyle w:val="BodyText"/>
      </w:pPr>
      <w:r w:rsidRPr="005633D9">
        <w:rPr>
          <w:noProof/>
          <w:lang w:val="en-US"/>
        </w:rPr>
        <w:drawing>
          <wp:inline distT="0" distB="0" distL="0" distR="0" wp14:anchorId="57411627" wp14:editId="76FBB912">
            <wp:extent cx="5715000" cy="3804129"/>
            <wp:effectExtent l="0" t="0" r="0" b="6350"/>
            <wp:docPr id="459" name="Picture 459" descr="Z:\GATES -PACA Econ Analysis subgrant\Technical\Economic Analysis\Health Impact\NG\Maps\Ng-Maize-Stat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Z:\GATES -PACA Econ Analysis subgrant\Technical\Economic Analysis\Health Impact\NG\Maps\Ng-Maize-State.pn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715000" cy="3804129"/>
                    </a:xfrm>
                    <a:prstGeom prst="rect">
                      <a:avLst/>
                    </a:prstGeom>
                    <a:noFill/>
                    <a:ln>
                      <a:noFill/>
                    </a:ln>
                  </pic:spPr>
                </pic:pic>
              </a:graphicData>
            </a:graphic>
          </wp:inline>
        </w:drawing>
      </w:r>
    </w:p>
    <w:p w:rsidR="00BC4FAA" w:rsidRPr="005633D9" w:rsidRDefault="00BC4FAA" w:rsidP="00BC4FAA">
      <w:pPr>
        <w:pStyle w:val="ExhibitSource"/>
        <w:rPr>
          <w:lang w:val="en-GB"/>
        </w:rPr>
      </w:pPr>
      <w:r w:rsidRPr="005633D9">
        <w:rPr>
          <w:lang w:val="en-GB"/>
        </w:rPr>
        <w:t xml:space="preserve"> Source: Narayan et al. (2013).</w:t>
      </w:r>
    </w:p>
    <w:p w:rsidR="00986C9C" w:rsidRPr="005633D9" w:rsidRDefault="009C0818" w:rsidP="00663099">
      <w:pPr>
        <w:rPr>
          <w:lang w:val="en-GB"/>
        </w:rPr>
      </w:pPr>
      <w:r w:rsidRPr="005633D9">
        <w:rPr>
          <w:lang w:val="en-GB"/>
        </w:rPr>
        <w:t xml:space="preserve">The domestic consumption market, on the other hand, </w:t>
      </w:r>
      <w:r w:rsidR="00A67751" w:rsidRPr="005633D9">
        <w:rPr>
          <w:lang w:val="en-GB"/>
        </w:rPr>
        <w:t xml:space="preserve">does not </w:t>
      </w:r>
      <w:r w:rsidR="00463467" w:rsidRPr="005633D9">
        <w:rPr>
          <w:lang w:val="en-GB"/>
        </w:rPr>
        <w:t xml:space="preserve">pay a </w:t>
      </w:r>
      <w:r w:rsidR="00A67751" w:rsidRPr="005633D9">
        <w:rPr>
          <w:lang w:val="en-GB"/>
        </w:rPr>
        <w:t xml:space="preserve">premium for aflatoxin-free maize. </w:t>
      </w:r>
      <w:r w:rsidR="0091310A" w:rsidRPr="005633D9">
        <w:rPr>
          <w:lang w:val="en-GB"/>
        </w:rPr>
        <w:t>This is because c</w:t>
      </w:r>
      <w:r w:rsidR="00A67751" w:rsidRPr="005633D9">
        <w:rPr>
          <w:lang w:val="en-GB"/>
        </w:rPr>
        <w:t>onsumers are not aware of aflatoxins</w:t>
      </w:r>
      <w:r w:rsidR="00366E82" w:rsidRPr="005633D9">
        <w:rPr>
          <w:lang w:val="en-GB"/>
        </w:rPr>
        <w:t xml:space="preserve"> or</w:t>
      </w:r>
      <w:r w:rsidR="00A67751" w:rsidRPr="005633D9">
        <w:rPr>
          <w:lang w:val="en-GB"/>
        </w:rPr>
        <w:t xml:space="preserve"> </w:t>
      </w:r>
      <w:r w:rsidR="00463467" w:rsidRPr="005633D9">
        <w:rPr>
          <w:lang w:val="en-GB"/>
        </w:rPr>
        <w:t>their</w:t>
      </w:r>
      <w:r w:rsidR="00366E82" w:rsidRPr="005633D9">
        <w:rPr>
          <w:lang w:val="en-GB"/>
        </w:rPr>
        <w:t xml:space="preserve"> </w:t>
      </w:r>
      <w:r w:rsidR="00A67751" w:rsidRPr="005633D9">
        <w:rPr>
          <w:lang w:val="en-GB"/>
        </w:rPr>
        <w:t>adverse health effects</w:t>
      </w:r>
      <w:r w:rsidRPr="005633D9">
        <w:rPr>
          <w:lang w:val="en-GB"/>
        </w:rPr>
        <w:t>, and are therefore not willing to pay more for aflatoxin-free maize</w:t>
      </w:r>
      <w:r w:rsidR="00A67751" w:rsidRPr="005633D9">
        <w:rPr>
          <w:lang w:val="en-GB"/>
        </w:rPr>
        <w:t>.</w:t>
      </w:r>
      <w:bookmarkStart w:id="10" w:name="_Ref403734810"/>
      <w:r w:rsidR="00663099" w:rsidRPr="005633D9">
        <w:rPr>
          <w:rStyle w:val="FootnoteReference"/>
          <w:lang w:val="en-GB"/>
        </w:rPr>
        <w:footnoteReference w:id="3"/>
      </w:r>
      <w:bookmarkEnd w:id="10"/>
      <w:r w:rsidR="00243735" w:rsidRPr="005633D9">
        <w:rPr>
          <w:lang w:val="en-GB"/>
        </w:rPr>
        <w:t xml:space="preserve"> </w:t>
      </w:r>
      <w:r w:rsidR="00463467" w:rsidRPr="005633D9">
        <w:rPr>
          <w:lang w:val="en-GB"/>
        </w:rPr>
        <w:t>The m</w:t>
      </w:r>
      <w:r w:rsidR="00663099" w:rsidRPr="005633D9">
        <w:rPr>
          <w:lang w:val="en-GB"/>
        </w:rPr>
        <w:t xml:space="preserve">ajority of the maize consumed in Nigeria is purchased from local markets </w:t>
      </w:r>
      <w:r w:rsidR="006216A3" w:rsidRPr="005633D9">
        <w:rPr>
          <w:lang w:val="en-GB"/>
        </w:rPr>
        <w:t xml:space="preserve">that do not </w:t>
      </w:r>
      <w:r w:rsidR="00463467" w:rsidRPr="005633D9">
        <w:rPr>
          <w:lang w:val="en-GB"/>
        </w:rPr>
        <w:t xml:space="preserve">differentiate </w:t>
      </w:r>
      <w:r w:rsidR="006216A3" w:rsidRPr="005633D9">
        <w:rPr>
          <w:lang w:val="en-GB"/>
        </w:rPr>
        <w:t>aflatoxin-free maize</w:t>
      </w:r>
      <w:r w:rsidR="00463467" w:rsidRPr="005633D9">
        <w:rPr>
          <w:lang w:val="en-GB"/>
        </w:rPr>
        <w:t xml:space="preserve"> from other maize</w:t>
      </w:r>
      <w:r w:rsidR="006216A3" w:rsidRPr="005633D9">
        <w:rPr>
          <w:lang w:val="en-GB"/>
        </w:rPr>
        <w:t xml:space="preserve"> </w:t>
      </w:r>
      <w:r w:rsidR="00663099" w:rsidRPr="005633D9">
        <w:rPr>
          <w:lang w:val="en-GB"/>
        </w:rPr>
        <w:t>or from own consumption of farmed maize.</w:t>
      </w:r>
      <w:r w:rsidR="00243735" w:rsidRPr="005633D9">
        <w:rPr>
          <w:lang w:val="en-GB"/>
        </w:rPr>
        <w:t xml:space="preserve"> </w:t>
      </w:r>
      <w:r w:rsidR="00663099" w:rsidRPr="005633D9">
        <w:rPr>
          <w:lang w:val="en-GB"/>
        </w:rPr>
        <w:t xml:space="preserve">Seventy percent of the country’s maize is produced by </w:t>
      </w:r>
      <w:r w:rsidR="007A2E54" w:rsidRPr="005633D9">
        <w:rPr>
          <w:lang w:val="en-GB"/>
        </w:rPr>
        <w:t>smallholder</w:t>
      </w:r>
      <w:r w:rsidR="00663099" w:rsidRPr="005633D9">
        <w:rPr>
          <w:lang w:val="en-GB"/>
        </w:rPr>
        <w:t>s with less than 6 ha of land</w:t>
      </w:r>
      <w:r w:rsidR="001D46B8" w:rsidRPr="005633D9">
        <w:rPr>
          <w:lang w:val="en-GB"/>
        </w:rPr>
        <w:t xml:space="preserve"> and very low yields</w:t>
      </w:r>
      <w:r w:rsidR="00FC22D1" w:rsidRPr="005633D9">
        <w:rPr>
          <w:lang w:val="en-GB"/>
        </w:rPr>
        <w:t>,</w:t>
      </w:r>
      <w:r w:rsidR="00663099" w:rsidRPr="005633D9">
        <w:rPr>
          <w:rStyle w:val="FootnoteReference"/>
          <w:lang w:val="en-GB"/>
        </w:rPr>
        <w:footnoteReference w:id="4"/>
      </w:r>
      <w:r w:rsidR="00663099" w:rsidRPr="005633D9">
        <w:rPr>
          <w:lang w:val="en-GB"/>
        </w:rPr>
        <w:t xml:space="preserve"> constitut</w:t>
      </w:r>
      <w:r w:rsidR="00463467" w:rsidRPr="005633D9">
        <w:rPr>
          <w:lang w:val="en-GB"/>
        </w:rPr>
        <w:t>ing</w:t>
      </w:r>
      <w:r w:rsidR="00663099" w:rsidRPr="005633D9">
        <w:rPr>
          <w:lang w:val="en-GB"/>
        </w:rPr>
        <w:t xml:space="preserve"> 80</w:t>
      </w:r>
      <w:r w:rsidR="007C2141" w:rsidRPr="005633D9">
        <w:rPr>
          <w:lang w:val="en-GB"/>
        </w:rPr>
        <w:t xml:space="preserve"> percent</w:t>
      </w:r>
      <w:r w:rsidR="00663099" w:rsidRPr="005633D9">
        <w:rPr>
          <w:lang w:val="en-GB"/>
        </w:rPr>
        <w:t xml:space="preserve"> of all maize</w:t>
      </w:r>
      <w:r w:rsidR="00FC22D1" w:rsidRPr="005633D9">
        <w:rPr>
          <w:lang w:val="en-GB"/>
        </w:rPr>
        <w:t>-</w:t>
      </w:r>
      <w:r w:rsidR="00663099" w:rsidRPr="005633D9">
        <w:rPr>
          <w:lang w:val="en-GB"/>
        </w:rPr>
        <w:t xml:space="preserve">producing households. Unless there </w:t>
      </w:r>
      <w:r w:rsidR="007906A1" w:rsidRPr="005633D9">
        <w:rPr>
          <w:lang w:val="en-GB"/>
        </w:rPr>
        <w:t>are</w:t>
      </w:r>
      <w:r w:rsidR="00663099" w:rsidRPr="005633D9">
        <w:rPr>
          <w:lang w:val="en-GB"/>
        </w:rPr>
        <w:t xml:space="preserve"> </w:t>
      </w:r>
      <w:r w:rsidR="007906A1" w:rsidRPr="005633D9">
        <w:rPr>
          <w:lang w:val="en-GB"/>
        </w:rPr>
        <w:t>(1</w:t>
      </w:r>
      <w:r w:rsidR="00463467" w:rsidRPr="005633D9">
        <w:rPr>
          <w:lang w:val="en-GB"/>
        </w:rPr>
        <w:t xml:space="preserve">) </w:t>
      </w:r>
      <w:r w:rsidR="00663099" w:rsidRPr="005633D9">
        <w:rPr>
          <w:lang w:val="en-GB"/>
        </w:rPr>
        <w:t xml:space="preserve">awareness about the adverse impacts of aflatoxins </w:t>
      </w:r>
      <w:r w:rsidR="00FA1827" w:rsidRPr="005633D9">
        <w:rPr>
          <w:lang w:val="en-GB"/>
        </w:rPr>
        <w:t>leading to sustained demand for aflatoxin-free maize by</w:t>
      </w:r>
      <w:r w:rsidR="007906A1" w:rsidRPr="005633D9">
        <w:rPr>
          <w:lang w:val="en-GB"/>
        </w:rPr>
        <w:t xml:space="preserve"> </w:t>
      </w:r>
      <w:r w:rsidR="00FA1827" w:rsidRPr="005633D9">
        <w:rPr>
          <w:lang w:val="en-GB"/>
        </w:rPr>
        <w:t>end users</w:t>
      </w:r>
      <w:r w:rsidR="007906A1" w:rsidRPr="005633D9">
        <w:rPr>
          <w:lang w:val="en-GB"/>
        </w:rPr>
        <w:t>, and (2</w:t>
      </w:r>
      <w:r w:rsidR="001D46B8" w:rsidRPr="005633D9">
        <w:rPr>
          <w:lang w:val="en-GB"/>
        </w:rPr>
        <w:t xml:space="preserve">) </w:t>
      </w:r>
      <w:r w:rsidR="00FA1827" w:rsidRPr="005633D9">
        <w:rPr>
          <w:lang w:val="en-GB"/>
        </w:rPr>
        <w:t>adequate returns to</w:t>
      </w:r>
      <w:r w:rsidR="00663099" w:rsidRPr="005633D9">
        <w:rPr>
          <w:lang w:val="en-GB"/>
        </w:rPr>
        <w:t xml:space="preserve"> </w:t>
      </w:r>
      <w:r w:rsidR="007A2E54" w:rsidRPr="005633D9">
        <w:rPr>
          <w:lang w:val="en-GB"/>
        </w:rPr>
        <w:t>smallholder</w:t>
      </w:r>
      <w:r w:rsidR="006216A3" w:rsidRPr="005633D9">
        <w:rPr>
          <w:lang w:val="en-GB"/>
        </w:rPr>
        <w:t>s</w:t>
      </w:r>
      <w:r w:rsidR="00366E82" w:rsidRPr="005633D9">
        <w:rPr>
          <w:lang w:val="en-GB"/>
        </w:rPr>
        <w:t xml:space="preserve"> </w:t>
      </w:r>
      <w:r w:rsidR="00FA1827" w:rsidRPr="005633D9">
        <w:rPr>
          <w:lang w:val="en-GB"/>
        </w:rPr>
        <w:t>through yield increase and/or premium for aflatoxin-free maize</w:t>
      </w:r>
      <w:r w:rsidR="001D46B8" w:rsidRPr="005633D9">
        <w:rPr>
          <w:lang w:val="en-GB"/>
        </w:rPr>
        <w:t xml:space="preserve">, </w:t>
      </w:r>
      <w:r w:rsidR="0086521E" w:rsidRPr="005633D9">
        <w:rPr>
          <w:lang w:val="en-GB"/>
        </w:rPr>
        <w:t>Aflasafe</w:t>
      </w:r>
      <w:r w:rsidR="00663099" w:rsidRPr="005633D9">
        <w:rPr>
          <w:lang w:val="en-GB"/>
        </w:rPr>
        <w:t xml:space="preserve"> adoption is unlikely.</w:t>
      </w:r>
      <w:r w:rsidR="00243735" w:rsidRPr="005633D9">
        <w:rPr>
          <w:lang w:val="en-GB"/>
        </w:rPr>
        <w:t xml:space="preserve"> </w:t>
      </w:r>
    </w:p>
    <w:p w:rsidR="00BB295E" w:rsidRPr="005633D9" w:rsidRDefault="00663099" w:rsidP="006216A3">
      <w:pPr>
        <w:rPr>
          <w:lang w:val="en-GB"/>
        </w:rPr>
      </w:pPr>
      <w:r w:rsidRPr="005633D9">
        <w:rPr>
          <w:lang w:val="en-GB"/>
        </w:rPr>
        <w:lastRenderedPageBreak/>
        <w:t xml:space="preserve">Even if there </w:t>
      </w:r>
      <w:r w:rsidR="00FC22D1" w:rsidRPr="005633D9">
        <w:rPr>
          <w:lang w:val="en-GB"/>
        </w:rPr>
        <w:t xml:space="preserve">were </w:t>
      </w:r>
      <w:r w:rsidRPr="005633D9">
        <w:rPr>
          <w:lang w:val="en-GB"/>
        </w:rPr>
        <w:t xml:space="preserve">awareness, another challenge in developing a market </w:t>
      </w:r>
      <w:r w:rsidR="00BB295E" w:rsidRPr="005633D9">
        <w:rPr>
          <w:lang w:val="en-GB"/>
        </w:rPr>
        <w:t xml:space="preserve">that pays a premium price </w:t>
      </w:r>
      <w:r w:rsidRPr="005633D9">
        <w:rPr>
          <w:lang w:val="en-GB"/>
        </w:rPr>
        <w:t>for aflatoxin-free maize is that aflatoxins are not visible to the naked eye</w:t>
      </w:r>
      <w:r w:rsidR="00F07906" w:rsidRPr="005633D9">
        <w:rPr>
          <w:lang w:val="en-GB"/>
        </w:rPr>
        <w:t>:</w:t>
      </w:r>
      <w:r w:rsidRPr="005633D9">
        <w:rPr>
          <w:lang w:val="en-GB"/>
        </w:rPr>
        <w:t xml:space="preserve"> maize with </w:t>
      </w:r>
      <w:r w:rsidR="00BB295E" w:rsidRPr="005633D9">
        <w:rPr>
          <w:lang w:val="en-GB"/>
        </w:rPr>
        <w:t xml:space="preserve">visible </w:t>
      </w:r>
      <w:r w:rsidRPr="005633D9">
        <w:rPr>
          <w:lang w:val="en-GB"/>
        </w:rPr>
        <w:t xml:space="preserve">fungus may or may not </w:t>
      </w:r>
      <w:r w:rsidR="00FB70A4">
        <w:rPr>
          <w:lang w:val="en-GB"/>
        </w:rPr>
        <w:t>contain</w:t>
      </w:r>
      <w:r w:rsidR="00FB70A4" w:rsidRPr="005633D9">
        <w:rPr>
          <w:lang w:val="en-GB"/>
        </w:rPr>
        <w:t xml:space="preserve"> </w:t>
      </w:r>
      <w:r w:rsidRPr="005633D9">
        <w:rPr>
          <w:lang w:val="en-GB"/>
        </w:rPr>
        <w:t>aflatoxins</w:t>
      </w:r>
      <w:r w:rsidR="00E76104" w:rsidRPr="005633D9">
        <w:rPr>
          <w:lang w:val="en-GB"/>
        </w:rPr>
        <w:t>,</w:t>
      </w:r>
      <w:r w:rsidRPr="005633D9">
        <w:rPr>
          <w:lang w:val="en-GB"/>
        </w:rPr>
        <w:t xml:space="preserve"> and maize without </w:t>
      </w:r>
      <w:r w:rsidR="00BB295E" w:rsidRPr="005633D9">
        <w:rPr>
          <w:lang w:val="en-GB"/>
        </w:rPr>
        <w:t xml:space="preserve">visible </w:t>
      </w:r>
      <w:r w:rsidRPr="005633D9">
        <w:rPr>
          <w:lang w:val="en-GB"/>
        </w:rPr>
        <w:t xml:space="preserve">fungus can </w:t>
      </w:r>
      <w:r w:rsidR="00FB70A4">
        <w:rPr>
          <w:lang w:val="en-GB"/>
        </w:rPr>
        <w:t>contain</w:t>
      </w:r>
      <w:r w:rsidR="00FB70A4" w:rsidRPr="005633D9">
        <w:rPr>
          <w:lang w:val="en-GB"/>
        </w:rPr>
        <w:t xml:space="preserve"> </w:t>
      </w:r>
      <w:r w:rsidRPr="005633D9">
        <w:rPr>
          <w:lang w:val="en-GB"/>
        </w:rPr>
        <w:t>high levels of afl</w:t>
      </w:r>
      <w:r w:rsidR="006216A3" w:rsidRPr="005633D9">
        <w:rPr>
          <w:lang w:val="en-GB"/>
        </w:rPr>
        <w:t xml:space="preserve">atoxins. Therefore, aflatoxin testing and branding </w:t>
      </w:r>
      <w:r w:rsidR="007F7413">
        <w:rPr>
          <w:lang w:val="en-GB"/>
        </w:rPr>
        <w:t>are</w:t>
      </w:r>
      <w:r w:rsidR="007F7413" w:rsidRPr="005633D9">
        <w:rPr>
          <w:lang w:val="en-GB"/>
        </w:rPr>
        <w:t xml:space="preserve"> </w:t>
      </w:r>
      <w:r w:rsidR="006216A3" w:rsidRPr="005633D9">
        <w:rPr>
          <w:lang w:val="en-GB"/>
        </w:rPr>
        <w:t xml:space="preserve">needed </w:t>
      </w:r>
      <w:r w:rsidR="00BB295E" w:rsidRPr="005633D9">
        <w:rPr>
          <w:lang w:val="en-GB"/>
        </w:rPr>
        <w:t>to allow reliable price differentiation between toxic and non-toxic grain.</w:t>
      </w:r>
    </w:p>
    <w:p w:rsidR="006216A3" w:rsidRPr="005633D9" w:rsidRDefault="00BB295E" w:rsidP="00F5275F">
      <w:pPr>
        <w:pStyle w:val="BodyText"/>
      </w:pPr>
      <w:r w:rsidRPr="005633D9">
        <w:t xml:space="preserve">A final solution might be regulation. </w:t>
      </w:r>
      <w:r w:rsidR="006216A3" w:rsidRPr="005633D9">
        <w:t>The government of Nigeria, through NAFDAC, has a legal framework to regulate aflatoxin levels in maize and other food products</w:t>
      </w:r>
      <w:r w:rsidR="0001066F" w:rsidRPr="005633D9">
        <w:t xml:space="preserve"> and has capacity to conduct testing</w:t>
      </w:r>
      <w:r w:rsidR="006216A3" w:rsidRPr="005633D9">
        <w:t>; however</w:t>
      </w:r>
      <w:r w:rsidR="00FC22D1" w:rsidRPr="005633D9">
        <w:t>,</w:t>
      </w:r>
      <w:r w:rsidR="006216A3" w:rsidRPr="005633D9">
        <w:t xml:space="preserve"> its ability to enforce those regulations is severely hampered by the unavailability of aflatoxin-free maize in the market (a </w:t>
      </w:r>
      <w:r w:rsidR="0033773D" w:rsidRPr="005633D9">
        <w:t>“</w:t>
      </w:r>
      <w:r w:rsidR="006216A3" w:rsidRPr="005633D9">
        <w:t>chicken and egg</w:t>
      </w:r>
      <w:r w:rsidR="0033773D" w:rsidRPr="005633D9">
        <w:t>”</w:t>
      </w:r>
      <w:r w:rsidR="006216A3" w:rsidRPr="005633D9">
        <w:t xml:space="preserve"> problem), such that enforcement of aflatoxin standards would likely </w:t>
      </w:r>
      <w:r w:rsidR="00BF56E1" w:rsidRPr="005633D9">
        <w:t>catalyse</w:t>
      </w:r>
      <w:r w:rsidR="006216A3" w:rsidRPr="005633D9">
        <w:t xml:space="preserve"> a food security crisis. In addition, even if such maize </w:t>
      </w:r>
      <w:r w:rsidR="00FC22D1" w:rsidRPr="005633D9">
        <w:t xml:space="preserve">were </w:t>
      </w:r>
      <w:r w:rsidR="006216A3" w:rsidRPr="005633D9">
        <w:t xml:space="preserve">available, NAFDAC lacks </w:t>
      </w:r>
      <w:r w:rsidR="0001066F" w:rsidRPr="005633D9">
        <w:t xml:space="preserve">capacity </w:t>
      </w:r>
      <w:r w:rsidR="00FC22D1" w:rsidRPr="005633D9">
        <w:t>to conduct</w:t>
      </w:r>
      <w:r w:rsidR="006216A3" w:rsidRPr="005633D9">
        <w:t xml:space="preserve"> testing at a scale needed to regulate the local market. </w:t>
      </w:r>
      <w:r w:rsidR="00CB709C" w:rsidRPr="005633D9">
        <w:t xml:space="preserve">Furthermore, given the lack of </w:t>
      </w:r>
      <w:r w:rsidR="001D46B8" w:rsidRPr="005633D9">
        <w:t xml:space="preserve">capacity and political will to enforce any rules and regulations on “sensitive issues” that </w:t>
      </w:r>
      <w:r w:rsidR="0033773D" w:rsidRPr="005633D9">
        <w:t>affect the</w:t>
      </w:r>
      <w:r w:rsidR="001D46B8" w:rsidRPr="005633D9">
        <w:t xml:space="preserve"> majority of the people</w:t>
      </w:r>
      <w:r w:rsidR="003E52D6" w:rsidRPr="005633D9">
        <w:t>, market</w:t>
      </w:r>
      <w:r w:rsidR="00BB4A84" w:rsidRPr="005633D9">
        <w:t>-</w:t>
      </w:r>
      <w:r w:rsidR="003E52D6" w:rsidRPr="005633D9">
        <w:t>drive</w:t>
      </w:r>
      <w:r w:rsidR="00BB4A84" w:rsidRPr="005633D9">
        <w:t>n</w:t>
      </w:r>
      <w:r w:rsidR="003E52D6" w:rsidRPr="005633D9">
        <w:t xml:space="preserve"> approaches to promote Aflasafe are more viable options.</w:t>
      </w:r>
      <w:r w:rsidR="001D46B8" w:rsidRPr="005633D9">
        <w:t xml:space="preserve"> </w:t>
      </w:r>
    </w:p>
    <w:p w:rsidR="00FA1827" w:rsidRPr="005633D9" w:rsidRDefault="00FA1827" w:rsidP="0033773D">
      <w:pPr>
        <w:pStyle w:val="BodyText"/>
        <w:keepNext/>
      </w:pPr>
      <w:r w:rsidRPr="005633D9">
        <w:t>In summary, the key requirements for creation of a market for aflatoxin-free maize are:</w:t>
      </w:r>
    </w:p>
    <w:p w:rsidR="00FA1827" w:rsidRPr="005633D9" w:rsidRDefault="00FA1827" w:rsidP="00F5275F">
      <w:pPr>
        <w:pStyle w:val="Bullets"/>
      </w:pPr>
      <w:r w:rsidRPr="005633D9">
        <w:t>Sustained demand by end users</w:t>
      </w:r>
    </w:p>
    <w:p w:rsidR="00FA1827" w:rsidRPr="005633D9" w:rsidRDefault="0033773D" w:rsidP="00F5275F">
      <w:pPr>
        <w:pStyle w:val="Bullets"/>
      </w:pPr>
      <w:r w:rsidRPr="005633D9">
        <w:t>A t</w:t>
      </w:r>
      <w:r w:rsidR="00FA1827" w:rsidRPr="005633D9">
        <w:t>esting and certification process for identifying and preserving the integrity of maize</w:t>
      </w:r>
    </w:p>
    <w:p w:rsidR="00FA1827" w:rsidRPr="005633D9" w:rsidRDefault="00FA1827" w:rsidP="00F5275F">
      <w:pPr>
        <w:pStyle w:val="Bullets"/>
      </w:pPr>
      <w:r w:rsidRPr="005633D9">
        <w:t>A</w:t>
      </w:r>
      <w:r w:rsidR="0033773D" w:rsidRPr="005633D9">
        <w:t>n a</w:t>
      </w:r>
      <w:r w:rsidRPr="005633D9">
        <w:t>dequate volume of aflatoxin-free maize</w:t>
      </w:r>
    </w:p>
    <w:p w:rsidR="00FA1827" w:rsidRPr="005633D9" w:rsidRDefault="00FA1827" w:rsidP="00F5275F">
      <w:pPr>
        <w:pStyle w:val="Bullets"/>
      </w:pPr>
      <w:r w:rsidRPr="005633D9">
        <w:t xml:space="preserve">Adequate returns to </w:t>
      </w:r>
      <w:r w:rsidR="007A2E54" w:rsidRPr="005633D9">
        <w:t>smallholder</w:t>
      </w:r>
      <w:r w:rsidRPr="005633D9">
        <w:t>s for growing aflatoxin-free maize</w:t>
      </w:r>
      <w:r w:rsidR="0033773D" w:rsidRPr="005633D9">
        <w:t>.</w:t>
      </w:r>
    </w:p>
    <w:p w:rsidR="009C4F58" w:rsidRPr="005633D9" w:rsidRDefault="009C4F58" w:rsidP="00A567CD">
      <w:pPr>
        <w:pStyle w:val="Bullets"/>
        <w:numPr>
          <w:ilvl w:val="0"/>
          <w:numId w:val="0"/>
        </w:numPr>
      </w:pPr>
    </w:p>
    <w:p w:rsidR="009C4F58" w:rsidRPr="005633D9" w:rsidRDefault="009C4F58" w:rsidP="00A567CD">
      <w:pPr>
        <w:pStyle w:val="Bullets"/>
        <w:numPr>
          <w:ilvl w:val="0"/>
          <w:numId w:val="0"/>
        </w:numPr>
      </w:pPr>
      <w:r w:rsidRPr="005633D9">
        <w:t xml:space="preserve">The next section describes the AgResults pilot and how it hopes to address these key requirements to develop a </w:t>
      </w:r>
      <w:r w:rsidR="001649DA" w:rsidRPr="005633D9">
        <w:t xml:space="preserve">sustainable </w:t>
      </w:r>
      <w:r w:rsidRPr="005633D9">
        <w:t>market for aflatoxin-free maize.</w:t>
      </w:r>
    </w:p>
    <w:p w:rsidR="00F07906" w:rsidRPr="005633D9" w:rsidRDefault="00FC13DC" w:rsidP="00F07906">
      <w:pPr>
        <w:pStyle w:val="Heading2"/>
        <w:rPr>
          <w:lang w:val="en-GB"/>
        </w:rPr>
      </w:pPr>
      <w:bookmarkStart w:id="11" w:name="_Ref406684379"/>
      <w:bookmarkStart w:id="12" w:name="_Toc407700407"/>
      <w:r w:rsidRPr="005633D9">
        <w:rPr>
          <w:lang w:val="en-GB"/>
        </w:rPr>
        <w:t>The AgResults p</w:t>
      </w:r>
      <w:r w:rsidR="00F07906" w:rsidRPr="005633D9">
        <w:rPr>
          <w:lang w:val="en-GB"/>
        </w:rPr>
        <w:t>ilot</w:t>
      </w:r>
      <w:r w:rsidR="00307F84" w:rsidRPr="005633D9">
        <w:rPr>
          <w:lang w:val="en-GB"/>
        </w:rPr>
        <w:t xml:space="preserve"> </w:t>
      </w:r>
      <w:r w:rsidRPr="005633D9">
        <w:rPr>
          <w:lang w:val="en-GB"/>
        </w:rPr>
        <w:t>o</w:t>
      </w:r>
      <w:r w:rsidR="00307F84" w:rsidRPr="005633D9">
        <w:rPr>
          <w:lang w:val="en-GB"/>
        </w:rPr>
        <w:t>bjectives</w:t>
      </w:r>
      <w:bookmarkEnd w:id="11"/>
      <w:bookmarkEnd w:id="12"/>
    </w:p>
    <w:p w:rsidR="00AA45E5" w:rsidRPr="005633D9" w:rsidRDefault="00092EEC" w:rsidP="00AA45E5">
      <w:pPr>
        <w:pStyle w:val="BodyText"/>
      </w:pPr>
      <w:r w:rsidRPr="005633D9">
        <w:t>The AgResults</w:t>
      </w:r>
      <w:r w:rsidR="009C4F58" w:rsidRPr="005633D9">
        <w:t xml:space="preserve"> Aflasafe</w:t>
      </w:r>
      <w:r w:rsidRPr="005633D9">
        <w:t xml:space="preserve"> pilot </w:t>
      </w:r>
      <w:r w:rsidR="004A54D0" w:rsidRPr="005633D9">
        <w:t xml:space="preserve">aims to </w:t>
      </w:r>
      <w:r w:rsidR="00F925A5" w:rsidRPr="005633D9">
        <w:t xml:space="preserve">catalyse </w:t>
      </w:r>
      <w:r w:rsidR="004A54D0" w:rsidRPr="005633D9">
        <w:t xml:space="preserve">a </w:t>
      </w:r>
      <w:r w:rsidR="005F4BDA" w:rsidRPr="005633D9">
        <w:t>smallholder-inclusive, private-sector driven</w:t>
      </w:r>
      <w:r w:rsidR="004A54D0" w:rsidRPr="005633D9">
        <w:t xml:space="preserve"> market for aflatoxin-free maize</w:t>
      </w:r>
      <w:r w:rsidR="00F925A5" w:rsidRPr="005633D9">
        <w:t xml:space="preserve"> </w:t>
      </w:r>
      <w:r w:rsidR="005F4BDA" w:rsidRPr="005633D9">
        <w:t>by creating the preconditions to suppor</w:t>
      </w:r>
      <w:r w:rsidR="009C4F58" w:rsidRPr="005633D9">
        <w:t>t</w:t>
      </w:r>
      <w:r w:rsidR="005F4BDA" w:rsidRPr="005633D9">
        <w:t xml:space="preserve"> the emergence of the market </w:t>
      </w:r>
      <w:r w:rsidR="00F87DAB" w:rsidRPr="005633D9">
        <w:t>using incentives</w:t>
      </w:r>
      <w:r w:rsidR="00157002" w:rsidRPr="005633D9">
        <w:t xml:space="preserve"> (see</w:t>
      </w:r>
      <w:r w:rsidR="00F6652C" w:rsidRPr="005633D9">
        <w:t xml:space="preserve"> </w:t>
      </w:r>
      <w:r w:rsidR="00F6652C" w:rsidRPr="005633D9">
        <w:fldChar w:fldCharType="begin"/>
      </w:r>
      <w:r w:rsidR="00F6652C" w:rsidRPr="005633D9">
        <w:instrText xml:space="preserve"> REF _Ref380238805 \h </w:instrText>
      </w:r>
      <w:r w:rsidR="00F6652C" w:rsidRPr="005633D9">
        <w:fldChar w:fldCharType="separate"/>
      </w:r>
      <w:r w:rsidR="00F33102" w:rsidRPr="005633D9">
        <w:t xml:space="preserve">Figure </w:t>
      </w:r>
      <w:r w:rsidR="00F33102">
        <w:rPr>
          <w:noProof/>
        </w:rPr>
        <w:t>1</w:t>
      </w:r>
      <w:r w:rsidR="00F33102" w:rsidRPr="005633D9">
        <w:noBreakHyphen/>
      </w:r>
      <w:r w:rsidR="00F33102">
        <w:rPr>
          <w:noProof/>
        </w:rPr>
        <w:t>2</w:t>
      </w:r>
      <w:r w:rsidR="00F6652C" w:rsidRPr="005633D9">
        <w:fldChar w:fldCharType="end"/>
      </w:r>
      <w:r w:rsidR="00F6652C" w:rsidRPr="005633D9">
        <w:t xml:space="preserve"> </w:t>
      </w:r>
      <w:r w:rsidR="00157002" w:rsidRPr="005633D9">
        <w:t>for</w:t>
      </w:r>
      <w:r w:rsidR="00F6652C" w:rsidRPr="005633D9">
        <w:t xml:space="preserve"> the AgResults theory of change</w:t>
      </w:r>
      <w:r w:rsidR="00157002" w:rsidRPr="005633D9">
        <w:t>)</w:t>
      </w:r>
      <w:r w:rsidR="00F6652C" w:rsidRPr="005633D9">
        <w:t xml:space="preserve">. </w:t>
      </w:r>
      <w:r w:rsidR="00363F1C" w:rsidRPr="005633D9">
        <w:t xml:space="preserve">The pilot is managed by Deloitte Consulting, which has hired </w:t>
      </w:r>
      <w:r w:rsidR="00E4447F">
        <w:t xml:space="preserve">Debo Akande from </w:t>
      </w:r>
      <w:r w:rsidR="00DB6822" w:rsidRPr="005633D9">
        <w:t xml:space="preserve">the International Institute of Tropical Agriculture </w:t>
      </w:r>
      <w:r w:rsidR="00363F1C" w:rsidRPr="005633D9">
        <w:t xml:space="preserve">as the </w:t>
      </w:r>
      <w:r w:rsidR="00B748BA">
        <w:t>P</w:t>
      </w:r>
      <w:r w:rsidR="00363F1C" w:rsidRPr="005633D9">
        <w:t xml:space="preserve">ilot </w:t>
      </w:r>
      <w:r w:rsidR="00B748BA">
        <w:t>M</w:t>
      </w:r>
      <w:r w:rsidR="00363F1C" w:rsidRPr="005633D9">
        <w:t xml:space="preserve">anager in Nigeria. IITA also provides technical expertise as the developer and manufacturer of Aflasafe and provides services for testing of Aflasafe levels in maize. </w:t>
      </w:r>
      <w:r w:rsidR="00AA45E5" w:rsidRPr="005633D9">
        <w:t xml:space="preserve">As noted in the theory of change, </w:t>
      </w:r>
      <w:r w:rsidR="00BB295E" w:rsidRPr="005633D9">
        <w:t xml:space="preserve">the </w:t>
      </w:r>
      <w:r w:rsidR="00AA45E5" w:rsidRPr="005633D9">
        <w:t xml:space="preserve">following are the specific expected </w:t>
      </w:r>
      <w:r w:rsidR="00FA1827" w:rsidRPr="005633D9">
        <w:t xml:space="preserve">outcomes </w:t>
      </w:r>
      <w:r w:rsidR="00AA45E5" w:rsidRPr="005633D9">
        <w:t xml:space="preserve">of </w:t>
      </w:r>
      <w:r w:rsidR="001649DA" w:rsidRPr="005633D9">
        <w:t xml:space="preserve">the </w:t>
      </w:r>
      <w:r w:rsidR="00AA45E5" w:rsidRPr="005633D9">
        <w:t>AgResults</w:t>
      </w:r>
      <w:r w:rsidR="009C4F58" w:rsidRPr="005633D9">
        <w:t xml:space="preserve"> Aflasafe pilot</w:t>
      </w:r>
      <w:r w:rsidR="00BB295E" w:rsidRPr="005633D9">
        <w:t>:</w:t>
      </w:r>
    </w:p>
    <w:p w:rsidR="00167058" w:rsidRPr="005633D9" w:rsidRDefault="00167058" w:rsidP="00167058">
      <w:pPr>
        <w:pStyle w:val="Bullets"/>
      </w:pPr>
      <w:r w:rsidRPr="005633D9">
        <w:t>Increased application of Aflasafe by smallholders</w:t>
      </w:r>
    </w:p>
    <w:p w:rsidR="00167058" w:rsidRPr="005633D9" w:rsidRDefault="00167058" w:rsidP="00167058">
      <w:pPr>
        <w:pStyle w:val="Bullets"/>
      </w:pPr>
      <w:r w:rsidRPr="005633D9">
        <w:t xml:space="preserve">Increased smallholder sale of </w:t>
      </w:r>
      <w:r w:rsidR="00DB6822" w:rsidRPr="005633D9">
        <w:t xml:space="preserve">Aflasafe-treated </w:t>
      </w:r>
      <w:r w:rsidRPr="005633D9">
        <w:t>maize to downstream high-premium markets</w:t>
      </w:r>
    </w:p>
    <w:p w:rsidR="00167058" w:rsidRPr="005633D9" w:rsidRDefault="00167058" w:rsidP="00167058">
      <w:pPr>
        <w:pStyle w:val="Bullets"/>
      </w:pPr>
      <w:r w:rsidRPr="005633D9">
        <w:t>Increased availability of aflatoxin-free maize</w:t>
      </w:r>
    </w:p>
    <w:p w:rsidR="00AA45E5" w:rsidRPr="005633D9" w:rsidRDefault="00AA45E5" w:rsidP="00AA45E5">
      <w:pPr>
        <w:pStyle w:val="Bullets"/>
      </w:pPr>
      <w:r w:rsidRPr="005633D9">
        <w:t>Increase</w:t>
      </w:r>
      <w:r w:rsidR="00BB295E" w:rsidRPr="005633D9">
        <w:t>d</w:t>
      </w:r>
      <w:r w:rsidRPr="005633D9">
        <w:t xml:space="preserve"> consumption of aflatoxin-free maize by smallholders and in the downstream markets</w:t>
      </w:r>
    </w:p>
    <w:p w:rsidR="00AA45E5" w:rsidRPr="005633D9" w:rsidRDefault="00AA45E5">
      <w:pPr>
        <w:pStyle w:val="Bullets"/>
      </w:pPr>
      <w:r w:rsidRPr="005633D9">
        <w:t xml:space="preserve">Increased income due to </w:t>
      </w:r>
      <w:r w:rsidR="00C06E2C" w:rsidRPr="005633D9">
        <w:t xml:space="preserve">increased yield and </w:t>
      </w:r>
      <w:r w:rsidRPr="005633D9">
        <w:t>the sale of aflatoxin-free maize</w:t>
      </w:r>
    </w:p>
    <w:p w:rsidR="00AA45E5" w:rsidRPr="005633D9" w:rsidRDefault="00AA45E5">
      <w:pPr>
        <w:pStyle w:val="Bullets"/>
      </w:pPr>
      <w:r w:rsidRPr="005633D9">
        <w:t>Increase</w:t>
      </w:r>
      <w:r w:rsidR="00BB295E" w:rsidRPr="005633D9">
        <w:t>d</w:t>
      </w:r>
      <w:r w:rsidRPr="005633D9">
        <w:t xml:space="preserve"> awareness about aflatoxins and Aflasafe as a control strategy</w:t>
      </w:r>
      <w:r w:rsidR="00167058" w:rsidRPr="005633D9">
        <w:t>.</w:t>
      </w:r>
    </w:p>
    <w:p w:rsidR="00C06E2C" w:rsidRPr="005633D9" w:rsidRDefault="00C06E2C" w:rsidP="00C06E2C">
      <w:pPr>
        <w:pStyle w:val="BodyText"/>
      </w:pPr>
      <w:r w:rsidRPr="005633D9">
        <w:t>The pilot</w:t>
      </w:r>
      <w:r w:rsidR="004A54D0" w:rsidRPr="005633D9">
        <w:t xml:space="preserve"> </w:t>
      </w:r>
      <w:r w:rsidR="00092EEC" w:rsidRPr="005633D9">
        <w:t xml:space="preserve">uses </w:t>
      </w:r>
      <w:r w:rsidR="00F344B8" w:rsidRPr="005633D9">
        <w:t xml:space="preserve">a </w:t>
      </w:r>
      <w:r w:rsidR="00BB295E" w:rsidRPr="005633D9">
        <w:t>“</w:t>
      </w:r>
      <w:r w:rsidR="00092EEC" w:rsidRPr="005633D9">
        <w:t>pull</w:t>
      </w:r>
      <w:r w:rsidR="00BB295E" w:rsidRPr="005633D9">
        <w:t>”</w:t>
      </w:r>
      <w:r w:rsidR="00092EEC" w:rsidRPr="005633D9">
        <w:t xml:space="preserve"> mechanism</w:t>
      </w:r>
      <w:r w:rsidR="005A11F2" w:rsidRPr="005633D9">
        <w:t>—</w:t>
      </w:r>
      <w:r w:rsidR="00DB6822" w:rsidRPr="005633D9">
        <w:t xml:space="preserve">financial </w:t>
      </w:r>
      <w:r w:rsidR="002C194D" w:rsidRPr="005633D9">
        <w:t>incentives to</w:t>
      </w:r>
      <w:r w:rsidR="00BB295E" w:rsidRPr="005633D9">
        <w:t xml:space="preserve"> </w:t>
      </w:r>
      <w:r w:rsidR="002C194D" w:rsidRPr="005633D9">
        <w:t>private sector</w:t>
      </w:r>
      <w:r w:rsidR="00DB6822" w:rsidRPr="005633D9">
        <w:t xml:space="preserve"> actors in the value chain</w:t>
      </w:r>
      <w:r w:rsidR="005A11F2" w:rsidRPr="005633D9">
        <w:t>—</w:t>
      </w:r>
      <w:r w:rsidR="00FE482F" w:rsidRPr="005633D9">
        <w:t>to</w:t>
      </w:r>
      <w:r w:rsidR="00092EEC" w:rsidRPr="005633D9">
        <w:t xml:space="preserve"> </w:t>
      </w:r>
      <w:r w:rsidR="005F4BDA" w:rsidRPr="005633D9">
        <w:t xml:space="preserve">stimulate demand for Aflasafe-treated maize and </w:t>
      </w:r>
      <w:r w:rsidR="007B246E" w:rsidRPr="005633D9">
        <w:t xml:space="preserve">its </w:t>
      </w:r>
      <w:r w:rsidR="00BB295E" w:rsidRPr="005633D9">
        <w:t xml:space="preserve">use </w:t>
      </w:r>
      <w:r w:rsidR="007B246E" w:rsidRPr="005633D9">
        <w:t xml:space="preserve">by </w:t>
      </w:r>
      <w:r w:rsidR="007A2E54" w:rsidRPr="005633D9">
        <w:t>smallholder</w:t>
      </w:r>
      <w:r w:rsidR="00382479" w:rsidRPr="005633D9">
        <w:t>s</w:t>
      </w:r>
      <w:r w:rsidR="00092EEC" w:rsidRPr="005633D9">
        <w:t xml:space="preserve">. </w:t>
      </w:r>
      <w:r w:rsidR="00363F1C" w:rsidRPr="005633D9">
        <w:t>Specifically, t</w:t>
      </w:r>
      <w:r w:rsidR="0001022D" w:rsidRPr="005633D9">
        <w:t>he</w:t>
      </w:r>
      <w:r w:rsidR="00382479" w:rsidRPr="005633D9">
        <w:t xml:space="preserve"> pilot</w:t>
      </w:r>
      <w:r w:rsidR="00BB295E" w:rsidRPr="005633D9">
        <w:t xml:space="preserve"> </w:t>
      </w:r>
      <w:r w:rsidR="00363F1C" w:rsidRPr="005633D9">
        <w:t>provides aggregators incentives in the form o</w:t>
      </w:r>
      <w:r w:rsidR="00DB6822" w:rsidRPr="005633D9">
        <w:t>f</w:t>
      </w:r>
      <w:r w:rsidR="00363F1C" w:rsidRPr="005633D9">
        <w:t xml:space="preserve"> price premiums for procuring maize treated with Aflasafe. The pilot encourages the aggregators t</w:t>
      </w:r>
      <w:r w:rsidR="00F11308" w:rsidRPr="005633D9">
        <w:t>o</w:t>
      </w:r>
      <w:r w:rsidR="00BB295E" w:rsidRPr="005633D9">
        <w:t xml:space="preserve"> use</w:t>
      </w:r>
      <w:r w:rsidR="00382479" w:rsidRPr="005633D9">
        <w:t xml:space="preserve"> contract farming arrangements </w:t>
      </w:r>
      <w:r w:rsidR="00363F1C" w:rsidRPr="005633D9">
        <w:lastRenderedPageBreak/>
        <w:t>for encouraging the</w:t>
      </w:r>
      <w:r w:rsidR="00382479" w:rsidRPr="005633D9">
        <w:t xml:space="preserve"> application of </w:t>
      </w:r>
      <w:r w:rsidR="0086521E" w:rsidRPr="005633D9">
        <w:t>Aflasafe</w:t>
      </w:r>
      <w:r w:rsidR="00382479" w:rsidRPr="005633D9">
        <w:t xml:space="preserve"> </w:t>
      </w:r>
      <w:r w:rsidR="00363F1C" w:rsidRPr="005633D9">
        <w:t xml:space="preserve">in maize fields </w:t>
      </w:r>
      <w:r w:rsidR="00382479" w:rsidRPr="005633D9">
        <w:t xml:space="preserve">by </w:t>
      </w:r>
      <w:r w:rsidR="007A2E54" w:rsidRPr="005633D9">
        <w:t>smallholder</w:t>
      </w:r>
      <w:r w:rsidR="00382479" w:rsidRPr="005633D9">
        <w:t>s.</w:t>
      </w:r>
      <w:r w:rsidR="00243735" w:rsidRPr="005633D9">
        <w:t xml:space="preserve"> </w:t>
      </w:r>
      <w:r w:rsidRPr="005633D9">
        <w:t xml:space="preserve">The </w:t>
      </w:r>
      <w:r w:rsidR="00BB295E" w:rsidRPr="005633D9">
        <w:t xml:space="preserve">pilot pays </w:t>
      </w:r>
      <w:r w:rsidRPr="005633D9">
        <w:t xml:space="preserve">aggregators </w:t>
      </w:r>
      <w:r w:rsidR="00722EC8">
        <w:t>$18.44</w:t>
      </w:r>
      <w:r w:rsidR="00685334" w:rsidRPr="005633D9">
        <w:t xml:space="preserve"> </w:t>
      </w:r>
      <w:r w:rsidR="00722EC8">
        <w:t xml:space="preserve">(3000 Naira) </w:t>
      </w:r>
      <w:r w:rsidR="00BB295E" w:rsidRPr="005633D9">
        <w:t xml:space="preserve">per </w:t>
      </w:r>
      <w:r w:rsidR="001D6246">
        <w:t>metric ton (</w:t>
      </w:r>
      <w:r w:rsidR="00523473" w:rsidRPr="005633D9">
        <w:t>MT</w:t>
      </w:r>
      <w:r w:rsidR="001D6246">
        <w:t>)</w:t>
      </w:r>
      <w:r w:rsidRPr="005633D9">
        <w:t xml:space="preserve"> of Aflasafe</w:t>
      </w:r>
      <w:r w:rsidR="00BB295E" w:rsidRPr="005633D9">
        <w:t>-</w:t>
      </w:r>
      <w:r w:rsidRPr="005633D9">
        <w:t>treated maize procure</w:t>
      </w:r>
      <w:r w:rsidR="00BB295E" w:rsidRPr="005633D9">
        <w:t>d</w:t>
      </w:r>
      <w:r w:rsidRPr="005633D9">
        <w:t xml:space="preserve"> from smallholders if the Aflasafe level</w:t>
      </w:r>
      <w:r w:rsidR="00BB295E" w:rsidRPr="005633D9">
        <w:t xml:space="preserve"> in the procured grain is</w:t>
      </w:r>
      <w:r w:rsidRPr="005633D9">
        <w:t xml:space="preserve"> above 70 percent. </w:t>
      </w:r>
      <w:r w:rsidR="00363F1C" w:rsidRPr="005633D9">
        <w:t xml:space="preserve">This premium is paid only after the </w:t>
      </w:r>
      <w:r w:rsidR="00B748BA">
        <w:t>P</w:t>
      </w:r>
      <w:r w:rsidR="00363F1C" w:rsidRPr="005633D9">
        <w:t xml:space="preserve">ilot </w:t>
      </w:r>
      <w:r w:rsidR="00B748BA">
        <w:t>M</w:t>
      </w:r>
      <w:r w:rsidR="00363F1C" w:rsidRPr="005633D9">
        <w:t>anager has verified the presence of Af</w:t>
      </w:r>
      <w:r w:rsidR="00912437" w:rsidRPr="005633D9">
        <w:t>l</w:t>
      </w:r>
      <w:r w:rsidR="00363F1C" w:rsidRPr="005633D9">
        <w:t xml:space="preserve">asafe above the threshold. </w:t>
      </w:r>
      <w:r w:rsidRPr="005633D9">
        <w:t>Third</w:t>
      </w:r>
      <w:r w:rsidR="00077175" w:rsidRPr="005633D9">
        <w:t>-</w:t>
      </w:r>
      <w:r w:rsidRPr="005633D9">
        <w:t xml:space="preserve">party verifiers </w:t>
      </w:r>
      <w:r w:rsidR="0090595A" w:rsidRPr="005633D9">
        <w:t>collect maize</w:t>
      </w:r>
      <w:r w:rsidRPr="005633D9">
        <w:t xml:space="preserve"> </w:t>
      </w:r>
      <w:r w:rsidR="0090595A" w:rsidRPr="005633D9">
        <w:t>sample</w:t>
      </w:r>
      <w:r w:rsidR="00BB295E" w:rsidRPr="005633D9">
        <w:t>s</w:t>
      </w:r>
      <w:r w:rsidR="0090595A" w:rsidRPr="005633D9">
        <w:t xml:space="preserve"> </w:t>
      </w:r>
      <w:r w:rsidRPr="005633D9">
        <w:t xml:space="preserve">at designated points of </w:t>
      </w:r>
      <w:r w:rsidR="00B95C68" w:rsidRPr="005633D9">
        <w:t xml:space="preserve">aggregation of </w:t>
      </w:r>
      <w:r w:rsidR="00363F1C" w:rsidRPr="005633D9">
        <w:t>Aflasafe-treated</w:t>
      </w:r>
      <w:r w:rsidR="00B95C68" w:rsidRPr="005633D9">
        <w:t xml:space="preserve"> maize </w:t>
      </w:r>
      <w:r w:rsidRPr="005633D9">
        <w:t xml:space="preserve">for each aggregator </w:t>
      </w:r>
      <w:r w:rsidR="0090595A" w:rsidRPr="005633D9">
        <w:t xml:space="preserve">for testing </w:t>
      </w:r>
      <w:r w:rsidRPr="005633D9">
        <w:t>(</w:t>
      </w:r>
      <w:r w:rsidR="002B7A67" w:rsidRPr="005633D9">
        <w:t xml:space="preserve">implying that </w:t>
      </w:r>
      <w:r w:rsidRPr="005633D9">
        <w:t>the Aflasafe levels are not determined at the smallholder level).</w:t>
      </w:r>
      <w:r w:rsidR="00363F1C" w:rsidRPr="005633D9">
        <w:t xml:space="preserve"> The premiums are based on presence of Aflasafe rather than absence of aflatoxins because climatic conditions determine the presence of aflatoxins</w:t>
      </w:r>
      <w:r w:rsidR="001F5EAC">
        <w:t>,</w:t>
      </w:r>
      <w:r w:rsidR="00363F1C" w:rsidRPr="005633D9">
        <w:t xml:space="preserve"> and it may</w:t>
      </w:r>
      <w:r w:rsidR="001F5EAC">
        <w:t xml:space="preserve"> </w:t>
      </w:r>
      <w:r w:rsidR="00363F1C" w:rsidRPr="005633D9">
        <w:t xml:space="preserve">be that </w:t>
      </w:r>
      <w:r w:rsidR="0068102C">
        <w:t xml:space="preserve">the maize of </w:t>
      </w:r>
      <w:r w:rsidR="00363F1C" w:rsidRPr="005633D9">
        <w:t>a farmer who did not apply Aflasafe</w:t>
      </w:r>
      <w:r w:rsidR="005D7056" w:rsidRPr="005633D9">
        <w:t xml:space="preserve"> (or did not adopt the technology being promoted)</w:t>
      </w:r>
      <w:r w:rsidR="00363F1C" w:rsidRPr="005633D9">
        <w:t xml:space="preserve"> can </w:t>
      </w:r>
      <w:r w:rsidR="0068102C">
        <w:t>have</w:t>
      </w:r>
      <w:r w:rsidR="0068102C" w:rsidRPr="005633D9">
        <w:t xml:space="preserve"> </w:t>
      </w:r>
      <w:r w:rsidR="00363F1C" w:rsidRPr="005633D9">
        <w:t xml:space="preserve">low levels of aflatoxins. </w:t>
      </w:r>
      <w:r w:rsidRPr="005633D9">
        <w:t>The independent verifie</w:t>
      </w:r>
      <w:r w:rsidR="00BB295E" w:rsidRPr="005633D9">
        <w:t>r</w:t>
      </w:r>
      <w:r w:rsidRPr="005633D9">
        <w:t xml:space="preserve"> take</w:t>
      </w:r>
      <w:r w:rsidR="00BB295E" w:rsidRPr="005633D9">
        <w:t>s</w:t>
      </w:r>
      <w:r w:rsidRPr="005633D9">
        <w:t xml:space="preserve"> one sample per 30 </w:t>
      </w:r>
      <w:r w:rsidR="00523473" w:rsidRPr="005633D9">
        <w:t xml:space="preserve">MT </w:t>
      </w:r>
      <w:r w:rsidRPr="005633D9">
        <w:t>and provide</w:t>
      </w:r>
      <w:r w:rsidR="00BB295E" w:rsidRPr="005633D9">
        <w:t>s</w:t>
      </w:r>
      <w:r w:rsidRPr="005633D9">
        <w:t xml:space="preserve"> it to IITA for testing</w:t>
      </w:r>
      <w:r w:rsidR="00BB295E" w:rsidRPr="005633D9">
        <w:t>,</w:t>
      </w:r>
      <w:r w:rsidRPr="005633D9">
        <w:t xml:space="preserve"> with actual tests occurring in </w:t>
      </w:r>
      <w:r w:rsidR="00D8614E" w:rsidRPr="005633D9">
        <w:t>U.S. Department of Agriculture</w:t>
      </w:r>
      <w:r w:rsidRPr="005633D9">
        <w:t xml:space="preserve"> laboratories in</w:t>
      </w:r>
      <w:r w:rsidR="00F11308" w:rsidRPr="005633D9">
        <w:t xml:space="preserve"> </w:t>
      </w:r>
      <w:r w:rsidRPr="005633D9">
        <w:t>Arizo</w:t>
      </w:r>
      <w:r w:rsidR="008422D7" w:rsidRPr="005633D9">
        <w:t>na where Aflasafe was invented.</w:t>
      </w:r>
    </w:p>
    <w:p w:rsidR="007F397A" w:rsidRPr="005633D9" w:rsidRDefault="007F397A" w:rsidP="007F397A">
      <w:pPr>
        <w:pStyle w:val="Caption"/>
        <w:rPr>
          <w:lang w:val="en-GB"/>
        </w:rPr>
      </w:pPr>
      <w:bookmarkStart w:id="13" w:name="_Ref380238805"/>
      <w:bookmarkStart w:id="14" w:name="_Toc407700445"/>
      <w:r w:rsidRPr="005633D9">
        <w:rPr>
          <w:lang w:val="en-GB"/>
        </w:rPr>
        <w:t xml:space="preserve">Figure </w:t>
      </w:r>
      <w:r w:rsidR="0097379B" w:rsidRPr="005633D9">
        <w:rPr>
          <w:lang w:val="en-GB"/>
        </w:rPr>
        <w:fldChar w:fldCharType="begin"/>
      </w:r>
      <w:r w:rsidR="0097379B" w:rsidRPr="005633D9">
        <w:rPr>
          <w:lang w:val="en-GB"/>
        </w:rPr>
        <w:instrText xml:space="preserve"> STYLEREF 1 \s </w:instrText>
      </w:r>
      <w:r w:rsidR="0097379B" w:rsidRPr="005633D9">
        <w:rPr>
          <w:lang w:val="en-GB"/>
        </w:rPr>
        <w:fldChar w:fldCharType="separate"/>
      </w:r>
      <w:r w:rsidR="00F33102">
        <w:rPr>
          <w:noProof/>
          <w:lang w:val="en-GB"/>
        </w:rPr>
        <w:t>1</w:t>
      </w:r>
      <w:r w:rsidR="0097379B" w:rsidRPr="005633D9">
        <w:rPr>
          <w:lang w:val="en-GB"/>
        </w:rPr>
        <w:fldChar w:fldCharType="end"/>
      </w:r>
      <w:r w:rsidRPr="005633D9">
        <w:rPr>
          <w:lang w:val="en-GB"/>
        </w:rPr>
        <w:noBreakHyphen/>
      </w:r>
      <w:r w:rsidR="0097379B" w:rsidRPr="005633D9">
        <w:rPr>
          <w:lang w:val="en-GB"/>
        </w:rPr>
        <w:fldChar w:fldCharType="begin"/>
      </w:r>
      <w:r w:rsidR="0097379B" w:rsidRPr="005633D9">
        <w:rPr>
          <w:lang w:val="en-GB"/>
        </w:rPr>
        <w:instrText xml:space="preserve"> SEQ Figure \* ARABIC \s 1 </w:instrText>
      </w:r>
      <w:r w:rsidR="0097379B" w:rsidRPr="005633D9">
        <w:rPr>
          <w:lang w:val="en-GB"/>
        </w:rPr>
        <w:fldChar w:fldCharType="separate"/>
      </w:r>
      <w:r w:rsidR="00F33102">
        <w:rPr>
          <w:noProof/>
          <w:lang w:val="en-GB"/>
        </w:rPr>
        <w:t>2</w:t>
      </w:r>
      <w:r w:rsidR="0097379B" w:rsidRPr="005633D9">
        <w:rPr>
          <w:lang w:val="en-GB"/>
        </w:rPr>
        <w:fldChar w:fldCharType="end"/>
      </w:r>
      <w:bookmarkEnd w:id="13"/>
      <w:r w:rsidR="00CA29EC" w:rsidRPr="005633D9">
        <w:rPr>
          <w:lang w:val="en-GB"/>
        </w:rPr>
        <w:t>.</w:t>
      </w:r>
      <w:r w:rsidR="00CA29EC" w:rsidRPr="005633D9">
        <w:rPr>
          <w:lang w:val="en-GB"/>
        </w:rPr>
        <w:tab/>
      </w:r>
      <w:r w:rsidRPr="005633D9">
        <w:rPr>
          <w:lang w:val="en-GB"/>
        </w:rPr>
        <w:t xml:space="preserve">AgResults </w:t>
      </w:r>
      <w:r w:rsidR="00AF4F8A" w:rsidRPr="005633D9">
        <w:rPr>
          <w:lang w:val="en-GB"/>
        </w:rPr>
        <w:t>theory of change</w:t>
      </w:r>
      <w:bookmarkEnd w:id="14"/>
    </w:p>
    <w:p w:rsidR="006D4605" w:rsidRPr="005633D9" w:rsidRDefault="00D94997" w:rsidP="006D4605">
      <w:pPr>
        <w:rPr>
          <w:lang w:val="en-GB"/>
        </w:rPr>
      </w:pPr>
      <w:r w:rsidRPr="005633D9">
        <w:rPr>
          <w:noProof/>
        </w:rPr>
        <w:drawing>
          <wp:inline distT="0" distB="0" distL="0" distR="0" wp14:anchorId="1955EBEA" wp14:editId="1048273C">
            <wp:extent cx="5943600" cy="4325398"/>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943600" cy="4325398"/>
                    </a:xfrm>
                    <a:prstGeom prst="rect">
                      <a:avLst/>
                    </a:prstGeom>
                    <a:noFill/>
                    <a:ln>
                      <a:noFill/>
                    </a:ln>
                  </pic:spPr>
                </pic:pic>
              </a:graphicData>
            </a:graphic>
          </wp:inline>
        </w:drawing>
      </w:r>
    </w:p>
    <w:p w:rsidR="00307F84" w:rsidRPr="005633D9" w:rsidRDefault="00307F84" w:rsidP="00F07906">
      <w:pPr>
        <w:pStyle w:val="BodyText"/>
      </w:pPr>
    </w:p>
    <w:p w:rsidR="00317A6E" w:rsidRPr="005633D9" w:rsidRDefault="00317A6E" w:rsidP="00317A6E">
      <w:pPr>
        <w:pStyle w:val="BodyText"/>
      </w:pPr>
      <w:r w:rsidRPr="005633D9">
        <w:t xml:space="preserve">In addition to encouraging Aflasafe application, the pull mechanism creates an indirect incentive for aggregators to help smallholders increase their maize yields. Given the price of Aflasafe, and potentially additional labour costs to apply Aflasafe, at the current yields smallholders will face negative returns. Without a yield or price increase, smallholders will not have any incentive to adopt Aflasafe. Currently, the price of Aflasafe is </w:t>
      </w:r>
      <w:r>
        <w:t>$1.84</w:t>
      </w:r>
      <w:r w:rsidRPr="005633D9">
        <w:t xml:space="preserve"> </w:t>
      </w:r>
      <w:r>
        <w:t xml:space="preserve">(300 Naira) </w:t>
      </w:r>
      <w:r w:rsidRPr="005633D9">
        <w:t xml:space="preserve">per kilogram (the price is </w:t>
      </w:r>
      <w:r w:rsidRPr="005633D9">
        <w:lastRenderedPageBreak/>
        <w:t xml:space="preserve">expected to go down as production is scaled up with growing demand), which at the desirable application rate of 10 kilograms per hectare translates to an Aflasafe cost of </w:t>
      </w:r>
      <w:r>
        <w:t>$18.44</w:t>
      </w:r>
      <w:r w:rsidRPr="005633D9">
        <w:t xml:space="preserve"> </w:t>
      </w:r>
      <w:r>
        <w:t xml:space="preserve">(3000 Naira) </w:t>
      </w:r>
      <w:r w:rsidRPr="005633D9">
        <w:t>per hectare. At maize yield of 1 MT per hectare the incentive payment is exactly equal to the Aflasafe cost per hectare. This implies that yields higher than 1 MT are needed for Aflasafe application to result in net positive returns per hectare—assuming that all the incentives are given to the smallholder. The pilot business plan accounts for own consumption of approximately 1 MT per hectare. This implies that yields greater than 2 MTs per hectare are needed for net positive returns on investment (Dahlberg</w:t>
      </w:r>
      <w:r w:rsidR="00B65D18">
        <w:t>,</w:t>
      </w:r>
      <w:r w:rsidRPr="005633D9">
        <w:t xml:space="preserve"> 2012). Since no incentives are provided for the maize kept for own consumption, the incentive payment is exactly equal to the cost of Aflasafe at a yield of 2 MTs per hectare. For higher yields, incentive payments will be greater than the cost of Aflasafe, increasing the likelihood of adoption. Thus, increasing yields at smallholder plots beyond 2 MTs per hectare (current maize yields are generally below 2 MTs per hectare) is necessary for Aflasafe application to be profitable. </w:t>
      </w:r>
    </w:p>
    <w:p w:rsidR="00317A6E" w:rsidRPr="005633D9" w:rsidRDefault="00317A6E" w:rsidP="00317A6E">
      <w:pPr>
        <w:pStyle w:val="BodyText"/>
      </w:pPr>
      <w:r w:rsidRPr="005633D9">
        <w:t>Consequently, one of the expectations is that aggregators will provide necessary extension service and/or access to inputs to improve smallholders’ yields. Aggregators could potentially use the incentive payments to finance this assistance. Aflasafe application itself requires specific direction on application rate and timing of application, direction that the aggregators are expected to relay to smallholders. Aggregators can use a variety of ways to provide extension and monitor correct application of Aflasafe. Overall</w:t>
      </w:r>
      <w:r w:rsidR="0004464A">
        <w:t>,</w:t>
      </w:r>
      <w:r w:rsidRPr="005633D9">
        <w:t xml:space="preserve"> there will be variation in the ways that individual aggregators incentivize the smallholders to increase yields and adopt Aflasafe. Some aggregators may provide Aflasafe for free or provide upfront credit. Some aggregators may </w:t>
      </w:r>
      <w:r w:rsidR="0004464A">
        <w:t>make</w:t>
      </w:r>
      <w:r w:rsidR="0004464A" w:rsidRPr="005633D9">
        <w:t xml:space="preserve"> </w:t>
      </w:r>
      <w:r w:rsidRPr="005633D9">
        <w:t xml:space="preserve">incentive sharing with smallholders </w:t>
      </w:r>
      <w:r w:rsidR="0004464A">
        <w:t xml:space="preserve">conditional </w:t>
      </w:r>
      <w:r w:rsidRPr="005633D9">
        <w:t xml:space="preserve">on accurate application of Aflasafe. Our field investigations suggest that some aggregators will offer output buyback guarantees to smallholders but may not share the monetary incentives (on the other hand, smallholders may potentially not honour the output buyback and sell to another buyer). </w:t>
      </w:r>
    </w:p>
    <w:p w:rsidR="00317A6E" w:rsidRPr="005633D9" w:rsidRDefault="00317A6E" w:rsidP="00317A6E">
      <w:pPr>
        <w:pStyle w:val="BodyText"/>
      </w:pPr>
      <w:r w:rsidRPr="005633D9">
        <w:t xml:space="preserve">Although there are direct incentives within the pilot for increasing the supply of Aflasafe-treated maize (and by implication aflatoxin-free maize), and indirect incentives to increase maize yields, increases in on-farm consumption of aflatoxin-free maize may not necessarily occur. The provision of incentives to produce aflatoxin-free maize to sell may present a trade-off with the use of aflatoxin-free maize for home consumption; particularly if Aflasafe itself is accessed by smallholders through the aggregators who are contracting them to grow maize on their behalf. Consumption of aflatoxin-free maize may increase because smallholders, who always set aside a portion of what they produce for consumption, may consume the aflatoxin-free maize they grow. However, it is not necessary that they become aware of the adverse health impacts of aflatoxins. This is because the aggregators do not have any direct incentive to raise awareness among smallholders. It is not clear if aggregators will find it strategic to create awareness of aflatoxins as a means of increasing adoption of Aflasafe by smallholders. They may instead focus on the premium price that aflatoxin-free maize fetches or simply provide incentives for accurately applying Aflasafe. Without awareness generation among smallholders, smallholders may prefer to sell all the aflatoxin-free maize they produce in premium markets rather than consume a portion. Since the ultimate objective of the pilot is to develop a market for aflatoxin-free maize in a way that benefits smallholders, it will be important to find out if smallholders were made aware of aflatoxins and their health impact. </w:t>
      </w:r>
    </w:p>
    <w:p w:rsidR="00307F84" w:rsidRPr="005633D9" w:rsidRDefault="00575EFD" w:rsidP="00307F84">
      <w:pPr>
        <w:pStyle w:val="BodyText"/>
      </w:pPr>
      <w:r w:rsidRPr="005633D9">
        <w:lastRenderedPageBreak/>
        <w:t xml:space="preserve">Since so much hinges on how aggregators </w:t>
      </w:r>
      <w:r w:rsidR="004D3D6D" w:rsidRPr="005633D9">
        <w:t>conduct business with</w:t>
      </w:r>
      <w:r w:rsidRPr="005633D9">
        <w:t xml:space="preserve"> smallholders, it is useful to review the </w:t>
      </w:r>
      <w:r w:rsidR="004D3D6D" w:rsidRPr="005633D9">
        <w:t xml:space="preserve">expectations </w:t>
      </w:r>
      <w:r w:rsidR="00F11308" w:rsidRPr="005633D9">
        <w:t>the AgResults</w:t>
      </w:r>
      <w:r w:rsidR="00307F84" w:rsidRPr="005633D9">
        <w:t xml:space="preserve"> Aflasafe pilot </w:t>
      </w:r>
      <w:r w:rsidR="004D3D6D" w:rsidRPr="005633D9">
        <w:t>establishes for</w:t>
      </w:r>
      <w:r w:rsidR="00307F84" w:rsidRPr="005633D9">
        <w:t xml:space="preserve"> aggregators</w:t>
      </w:r>
      <w:r w:rsidR="004D3D6D" w:rsidRPr="005633D9">
        <w:t xml:space="preserve"> as reflected in the criteria used for their selection.</w:t>
      </w:r>
      <w:r w:rsidR="00243735" w:rsidRPr="005633D9">
        <w:t xml:space="preserve"> </w:t>
      </w:r>
      <w:r w:rsidR="004D3D6D" w:rsidRPr="005633D9">
        <w:t>These criteria include the ability on the part of aggregators to</w:t>
      </w:r>
      <w:r w:rsidR="00307F84" w:rsidRPr="005633D9">
        <w:t>:</w:t>
      </w:r>
      <w:r w:rsidR="00243735" w:rsidRPr="005633D9">
        <w:t xml:space="preserve"> </w:t>
      </w:r>
    </w:p>
    <w:p w:rsidR="00307F84" w:rsidRPr="005633D9" w:rsidRDefault="00307F84" w:rsidP="00307F84">
      <w:pPr>
        <w:pStyle w:val="Bullets"/>
      </w:pPr>
      <w:r w:rsidRPr="005633D9">
        <w:rPr>
          <w:b/>
        </w:rPr>
        <w:t xml:space="preserve">Work with Smallholders: </w:t>
      </w:r>
      <w:r w:rsidRPr="005633D9">
        <w:t xml:space="preserve">Have the ability and capacity to </w:t>
      </w:r>
      <w:r w:rsidR="00E92BB7" w:rsidRPr="005633D9">
        <w:t>organise</w:t>
      </w:r>
      <w:r w:rsidRPr="005633D9">
        <w:t xml:space="preserve"> and coordinate </w:t>
      </w:r>
      <w:r w:rsidR="007A2E54" w:rsidRPr="005633D9">
        <w:t>smallholder</w:t>
      </w:r>
      <w:r w:rsidRPr="005633D9">
        <w:t>s through pre-planting, planting</w:t>
      </w:r>
      <w:r w:rsidR="0004464A">
        <w:t>,</w:t>
      </w:r>
      <w:r w:rsidRPr="005633D9">
        <w:t xml:space="preserve"> and post-harvest handling of maize that has been treated with Aflasafe, with at least 300 </w:t>
      </w:r>
      <w:r w:rsidR="00D139EC" w:rsidRPr="005633D9">
        <w:t>smallholders</w:t>
      </w:r>
      <w:r w:rsidRPr="005633D9">
        <w:t>.</w:t>
      </w:r>
    </w:p>
    <w:p w:rsidR="00307F84" w:rsidRPr="005633D9" w:rsidRDefault="00307F84" w:rsidP="00307F84">
      <w:pPr>
        <w:pStyle w:val="Bullets"/>
      </w:pPr>
      <w:r w:rsidRPr="005633D9">
        <w:rPr>
          <w:b/>
        </w:rPr>
        <w:t xml:space="preserve">Incentivize Smallholders to Adopt Aflasafe: </w:t>
      </w:r>
      <w:r w:rsidRPr="005633D9">
        <w:t xml:space="preserve">Be capable of providing support to smallholder productivity through extension and access to farm inputs, and the capacity to train and monitor </w:t>
      </w:r>
      <w:r w:rsidR="007A2E54" w:rsidRPr="005633D9">
        <w:t>smallholder</w:t>
      </w:r>
      <w:r w:rsidRPr="005633D9">
        <w:t xml:space="preserve"> groups on the environmental application of Aflasafe, post-harvest management</w:t>
      </w:r>
      <w:r w:rsidR="00654E76" w:rsidRPr="005633D9">
        <w:t>,</w:t>
      </w:r>
      <w:r w:rsidRPr="005633D9">
        <w:t xml:space="preserve"> and the safe transfer and storage of </w:t>
      </w:r>
      <w:r w:rsidR="00654E76" w:rsidRPr="005633D9">
        <w:t xml:space="preserve">Aflasafe-treated </w:t>
      </w:r>
      <w:r w:rsidRPr="005633D9">
        <w:t xml:space="preserve">maize. This could include having systems in place to add value to production of maize or link </w:t>
      </w:r>
      <w:r w:rsidR="007A2E54" w:rsidRPr="005633D9">
        <w:t>smallholder</w:t>
      </w:r>
      <w:r w:rsidRPr="005633D9">
        <w:t>s to a package of yield-enhancing inputs</w:t>
      </w:r>
      <w:r w:rsidR="00654E76" w:rsidRPr="005633D9">
        <w:t xml:space="preserve"> (</w:t>
      </w:r>
      <w:r w:rsidRPr="005633D9">
        <w:t>e.</w:t>
      </w:r>
      <w:r w:rsidR="00654E76" w:rsidRPr="005633D9">
        <w:t>g.,</w:t>
      </w:r>
      <w:r w:rsidRPr="005633D9">
        <w:t xml:space="preserve"> fertilizers, storage facility, finance</w:t>
      </w:r>
      <w:r w:rsidR="00654E76" w:rsidRPr="005633D9">
        <w:t>)</w:t>
      </w:r>
      <w:r w:rsidRPr="005633D9">
        <w:t xml:space="preserve">. This includes the capacity to facilitate or coordinate the purchase of Aflasafe on behalf of the </w:t>
      </w:r>
      <w:r w:rsidR="007A2E54" w:rsidRPr="005633D9">
        <w:t>smallholder</w:t>
      </w:r>
      <w:r w:rsidRPr="005633D9">
        <w:t xml:space="preserve"> groups as required.</w:t>
      </w:r>
    </w:p>
    <w:p w:rsidR="00307F84" w:rsidRPr="005633D9" w:rsidRDefault="00307F84" w:rsidP="00307F84">
      <w:pPr>
        <w:pStyle w:val="Bullets"/>
      </w:pPr>
      <w:r w:rsidRPr="005633D9">
        <w:rPr>
          <w:b/>
        </w:rPr>
        <w:t xml:space="preserve">Support Verification of Aflasafe Levels in Maize: </w:t>
      </w:r>
      <w:r w:rsidRPr="005633D9">
        <w:t xml:space="preserve">Be able to </w:t>
      </w:r>
      <w:r w:rsidR="00E92BB7" w:rsidRPr="005633D9">
        <w:t>organise</w:t>
      </w:r>
      <w:r w:rsidRPr="005633D9">
        <w:t xml:space="preserve"> a system of aggregation points and storage to support verification and sale to end-customers.</w:t>
      </w:r>
    </w:p>
    <w:p w:rsidR="00307F84" w:rsidRPr="005633D9" w:rsidRDefault="00307F84" w:rsidP="00307F84">
      <w:pPr>
        <w:pStyle w:val="Bullets"/>
      </w:pPr>
      <w:r w:rsidRPr="005633D9">
        <w:rPr>
          <w:b/>
        </w:rPr>
        <w:t xml:space="preserve">Access Premium Markets: </w:t>
      </w:r>
      <w:r w:rsidRPr="005633D9">
        <w:t xml:space="preserve">Have downstream market linkages to efficiently aggregate and sell </w:t>
      </w:r>
      <w:r w:rsidR="00657B04" w:rsidRPr="005633D9">
        <w:t>Aflasafe-</w:t>
      </w:r>
      <w:r w:rsidRPr="005633D9">
        <w:t>treated maize at a premium.</w:t>
      </w:r>
    </w:p>
    <w:p w:rsidR="003E52D6" w:rsidRPr="005633D9" w:rsidRDefault="003E52D6" w:rsidP="00307F84">
      <w:pPr>
        <w:pStyle w:val="Bullets"/>
      </w:pPr>
      <w:r w:rsidRPr="005633D9">
        <w:rPr>
          <w:b/>
        </w:rPr>
        <w:t xml:space="preserve">Enforce Contracts: </w:t>
      </w:r>
      <w:r w:rsidRPr="005633D9">
        <w:t>Have the ability to enter into contracts with smallholders that are hono</w:t>
      </w:r>
      <w:r w:rsidR="00654E76" w:rsidRPr="005633D9">
        <w:t>u</w:t>
      </w:r>
      <w:r w:rsidRPr="005633D9">
        <w:t xml:space="preserve">red by both parties, which has historically been a challenge in Nigeria and </w:t>
      </w:r>
      <w:r w:rsidR="00654E76" w:rsidRPr="005633D9">
        <w:t xml:space="preserve">in </w:t>
      </w:r>
      <w:r w:rsidRPr="005633D9">
        <w:t>Africa more generally.</w:t>
      </w:r>
    </w:p>
    <w:p w:rsidR="00307F84" w:rsidRPr="005633D9" w:rsidRDefault="00307F84" w:rsidP="00307F84">
      <w:pPr>
        <w:pStyle w:val="BodyText"/>
      </w:pPr>
      <w:r w:rsidRPr="005633D9">
        <w:t xml:space="preserve">The pilot </w:t>
      </w:r>
      <w:r w:rsidR="007035D7" w:rsidRPr="005633D9">
        <w:t xml:space="preserve">initiated in 2014 </w:t>
      </w:r>
      <w:r w:rsidRPr="005633D9">
        <w:t xml:space="preserve">is expected to </w:t>
      </w:r>
      <w:r w:rsidR="004D3D6D" w:rsidRPr="005633D9">
        <w:t>engage</w:t>
      </w:r>
      <w:r w:rsidRPr="005633D9">
        <w:t xml:space="preserve"> approximately </w:t>
      </w:r>
      <w:r w:rsidR="00076D11" w:rsidRPr="005633D9">
        <w:t xml:space="preserve">9 </w:t>
      </w:r>
      <w:r w:rsidRPr="005633D9">
        <w:t xml:space="preserve">aggregators and </w:t>
      </w:r>
      <w:r w:rsidR="007179F5" w:rsidRPr="005633D9">
        <w:t>3,452</w:t>
      </w:r>
      <w:r w:rsidR="00654E76" w:rsidRPr="005633D9">
        <w:t xml:space="preserve"> smallholders in the first year;</w:t>
      </w:r>
      <w:r w:rsidRPr="005633D9">
        <w:t xml:space="preserve"> 24 aggregators and </w:t>
      </w:r>
      <w:r w:rsidR="007179F5" w:rsidRPr="005633D9">
        <w:t>10,468</w:t>
      </w:r>
      <w:r w:rsidRPr="005633D9">
        <w:t xml:space="preserve"> smallholders in the second year</w:t>
      </w:r>
      <w:r w:rsidR="007035D7" w:rsidRPr="005633D9">
        <w:t xml:space="preserve"> (2015)</w:t>
      </w:r>
      <w:r w:rsidR="00654E76" w:rsidRPr="005633D9">
        <w:t>;</w:t>
      </w:r>
      <w:r w:rsidRPr="005633D9">
        <w:t xml:space="preserve"> </w:t>
      </w:r>
      <w:r w:rsidR="007179F5" w:rsidRPr="005633D9">
        <w:t>38</w:t>
      </w:r>
      <w:r w:rsidRPr="005633D9">
        <w:t xml:space="preserve"> aggregators and </w:t>
      </w:r>
      <w:r w:rsidR="007179F5" w:rsidRPr="005633D9">
        <w:t>20,885</w:t>
      </w:r>
      <w:r w:rsidRPr="005633D9">
        <w:t xml:space="preserve"> smallholders</w:t>
      </w:r>
      <w:r w:rsidR="004D3D6D" w:rsidRPr="005633D9">
        <w:t xml:space="preserve"> in the</w:t>
      </w:r>
      <w:r w:rsidR="007035D7" w:rsidRPr="005633D9">
        <w:t xml:space="preserve"> third year (2016</w:t>
      </w:r>
      <w:r w:rsidR="00B90D27" w:rsidRPr="005633D9">
        <w:t>)</w:t>
      </w:r>
      <w:r w:rsidR="007179F5" w:rsidRPr="005633D9">
        <w:t>; and 46 aggregators and 35,448 smallholders in the final year (2017)</w:t>
      </w:r>
      <w:r w:rsidR="00B90D27" w:rsidRPr="005633D9">
        <w:t>.</w:t>
      </w:r>
      <w:r w:rsidR="00076D11" w:rsidRPr="005633D9">
        <w:rPr>
          <w:rStyle w:val="FootnoteReference"/>
        </w:rPr>
        <w:footnoteReference w:id="5"/>
      </w:r>
      <w:r w:rsidR="00B90D27" w:rsidRPr="005633D9">
        <w:t xml:space="preserve"> </w:t>
      </w:r>
      <w:r w:rsidR="00076D11" w:rsidRPr="005633D9">
        <w:t>Of the 9</w:t>
      </w:r>
      <w:r w:rsidRPr="005633D9">
        <w:t xml:space="preserve"> </w:t>
      </w:r>
      <w:r w:rsidR="00654E76" w:rsidRPr="005633D9">
        <w:t>first-</w:t>
      </w:r>
      <w:r w:rsidR="007035D7" w:rsidRPr="005633D9">
        <w:t xml:space="preserve">year </w:t>
      </w:r>
      <w:r w:rsidRPr="005633D9">
        <w:t xml:space="preserve">aggregators, </w:t>
      </w:r>
      <w:r w:rsidR="00076D11" w:rsidRPr="005633D9">
        <w:t>7</w:t>
      </w:r>
      <w:r w:rsidR="00F11308" w:rsidRPr="005633D9">
        <w:t xml:space="preserve"> are</w:t>
      </w:r>
      <w:r w:rsidRPr="005633D9">
        <w:t xml:space="preserve"> expected to be in the </w:t>
      </w:r>
      <w:r w:rsidR="004D3D6D" w:rsidRPr="005633D9">
        <w:t>n</w:t>
      </w:r>
      <w:r w:rsidRPr="005633D9">
        <w:t xml:space="preserve">orth in Kaduna and Kano </w:t>
      </w:r>
      <w:r w:rsidR="004D3D6D" w:rsidRPr="005633D9">
        <w:t>states</w:t>
      </w:r>
      <w:r w:rsidRPr="005633D9">
        <w:t xml:space="preserve"> and 2 in the </w:t>
      </w:r>
      <w:r w:rsidR="004D3D6D" w:rsidRPr="005633D9">
        <w:t>s</w:t>
      </w:r>
      <w:r w:rsidRPr="005633D9">
        <w:t xml:space="preserve">outh. </w:t>
      </w:r>
      <w:r w:rsidR="00484D67" w:rsidRPr="005633D9">
        <w:t xml:space="preserve">The aggregators will work with </w:t>
      </w:r>
      <w:r w:rsidR="00D129E2" w:rsidRPr="005633D9">
        <w:t>select</w:t>
      </w:r>
      <w:r w:rsidR="004D3D6D" w:rsidRPr="005633D9">
        <w:t>ed</w:t>
      </w:r>
      <w:r w:rsidR="00D129E2" w:rsidRPr="005633D9">
        <w:t xml:space="preserve"> </w:t>
      </w:r>
      <w:r w:rsidR="007A2E54" w:rsidRPr="005633D9">
        <w:t>smallholder</w:t>
      </w:r>
      <w:r w:rsidR="00D129E2" w:rsidRPr="005633D9">
        <w:t>s in specific local government</w:t>
      </w:r>
      <w:r w:rsidR="004D3D6D" w:rsidRPr="005633D9">
        <w:t xml:space="preserve"> </w:t>
      </w:r>
      <w:r w:rsidR="00EE3CD3" w:rsidRPr="005633D9">
        <w:t>areas (LGAs)</w:t>
      </w:r>
      <w:r w:rsidR="00D129E2" w:rsidRPr="005633D9">
        <w:t xml:space="preserve">. Therefore, within a </w:t>
      </w:r>
      <w:r w:rsidR="004D3D6D" w:rsidRPr="005633D9">
        <w:t xml:space="preserve">given </w:t>
      </w:r>
      <w:r w:rsidR="00D129E2" w:rsidRPr="005633D9">
        <w:t xml:space="preserve">village some </w:t>
      </w:r>
      <w:r w:rsidR="007A2E54" w:rsidRPr="005633D9">
        <w:t>smallholder</w:t>
      </w:r>
      <w:r w:rsidR="00D129E2" w:rsidRPr="005633D9">
        <w:t xml:space="preserve">s will be a part of the pilot and some will not. </w:t>
      </w:r>
    </w:p>
    <w:p w:rsidR="0077156B" w:rsidRPr="005633D9" w:rsidRDefault="0077156B" w:rsidP="00307F84">
      <w:pPr>
        <w:pStyle w:val="BodyText"/>
      </w:pPr>
      <w:r w:rsidRPr="005633D9">
        <w:t>Several external factors might impact the success of the project. Most importantly</w:t>
      </w:r>
      <w:r w:rsidR="00654E76" w:rsidRPr="005633D9">
        <w:t>,</w:t>
      </w:r>
      <w:r w:rsidRPr="005633D9">
        <w:t xml:space="preserve"> the policy and regulatory environment will affect the sustainability and success of the pilot. Simultaneous efforts are ongoing to change this environment, which will be important to track. Furthermore, any other donor efforts that affect awareness about aflatoxins</w:t>
      </w:r>
      <w:r w:rsidR="00217DCF">
        <w:t>,</w:t>
      </w:r>
      <w:r w:rsidRPr="005633D9">
        <w:t xml:space="preserve"> implement programs to promote aflatoxin</w:t>
      </w:r>
      <w:r w:rsidR="00E4447F">
        <w:t xml:space="preserve"> control</w:t>
      </w:r>
      <w:r w:rsidRPr="005633D9">
        <w:t xml:space="preserve"> or impact maize yields in the region</w:t>
      </w:r>
      <w:r w:rsidR="00F87DAB" w:rsidRPr="005633D9">
        <w:t>, will also be important to track</w:t>
      </w:r>
      <w:r w:rsidRPr="005633D9">
        <w:t>.</w:t>
      </w:r>
      <w:r w:rsidR="00243735" w:rsidRPr="005633D9">
        <w:t xml:space="preserve"> </w:t>
      </w:r>
      <w:r w:rsidR="009C4F58" w:rsidRPr="005633D9">
        <w:t>The next section examines the organization of Nigeria’s maize sector and sheds more light on these external factors.</w:t>
      </w:r>
    </w:p>
    <w:p w:rsidR="00575EFD" w:rsidRPr="005633D9" w:rsidRDefault="00575EFD" w:rsidP="00575EFD">
      <w:pPr>
        <w:pStyle w:val="Heading2"/>
        <w:rPr>
          <w:lang w:val="en-GB"/>
        </w:rPr>
      </w:pPr>
      <w:bookmarkStart w:id="15" w:name="_Toc407700408"/>
      <w:r w:rsidRPr="005633D9">
        <w:rPr>
          <w:lang w:val="en-GB"/>
        </w:rPr>
        <w:t xml:space="preserve">Overview of Nigeria’s </w:t>
      </w:r>
      <w:r w:rsidR="00FC13DC" w:rsidRPr="005633D9">
        <w:rPr>
          <w:lang w:val="en-GB"/>
        </w:rPr>
        <w:t>m</w:t>
      </w:r>
      <w:r w:rsidRPr="005633D9">
        <w:rPr>
          <w:lang w:val="en-GB"/>
        </w:rPr>
        <w:t xml:space="preserve">aize </w:t>
      </w:r>
      <w:r w:rsidR="00FC13DC" w:rsidRPr="005633D9">
        <w:rPr>
          <w:lang w:val="en-GB"/>
        </w:rPr>
        <w:t>s</w:t>
      </w:r>
      <w:r w:rsidRPr="005633D9">
        <w:rPr>
          <w:lang w:val="en-GB"/>
        </w:rPr>
        <w:t>ector</w:t>
      </w:r>
      <w:bookmarkEnd w:id="15"/>
    </w:p>
    <w:p w:rsidR="002A2C3B" w:rsidRPr="005633D9" w:rsidRDefault="002A2C3B" w:rsidP="000A26AA">
      <w:pPr>
        <w:pStyle w:val="Heading3"/>
        <w:rPr>
          <w:lang w:val="en-GB"/>
        </w:rPr>
      </w:pPr>
      <w:r w:rsidRPr="005633D9">
        <w:rPr>
          <w:lang w:val="en-GB"/>
        </w:rPr>
        <w:t>Description of the maize marketing chain</w:t>
      </w:r>
    </w:p>
    <w:p w:rsidR="00E37E1F" w:rsidRPr="005633D9" w:rsidRDefault="00FE482F" w:rsidP="009207E0">
      <w:pPr>
        <w:rPr>
          <w:lang w:val="en-GB"/>
        </w:rPr>
      </w:pPr>
      <w:r w:rsidRPr="005633D9">
        <w:rPr>
          <w:lang w:val="en-GB"/>
        </w:rPr>
        <w:t xml:space="preserve">It </w:t>
      </w:r>
      <w:r w:rsidR="00BD24D6" w:rsidRPr="005633D9">
        <w:rPr>
          <w:lang w:val="en-GB"/>
        </w:rPr>
        <w:t>is</w:t>
      </w:r>
      <w:r w:rsidRPr="005633D9">
        <w:rPr>
          <w:lang w:val="en-GB"/>
        </w:rPr>
        <w:t xml:space="preserve"> important to </w:t>
      </w:r>
      <w:r w:rsidR="00BD24D6" w:rsidRPr="005633D9">
        <w:rPr>
          <w:lang w:val="en-GB"/>
        </w:rPr>
        <w:t xml:space="preserve">overlay the AgResults </w:t>
      </w:r>
      <w:r w:rsidR="00F07906" w:rsidRPr="005633D9">
        <w:rPr>
          <w:lang w:val="en-GB"/>
        </w:rPr>
        <w:t xml:space="preserve">pilot </w:t>
      </w:r>
      <w:r w:rsidR="00307F84" w:rsidRPr="005633D9">
        <w:rPr>
          <w:lang w:val="en-GB"/>
        </w:rPr>
        <w:t xml:space="preserve">requirements </w:t>
      </w:r>
      <w:r w:rsidR="00F07906" w:rsidRPr="005633D9">
        <w:rPr>
          <w:lang w:val="en-GB"/>
        </w:rPr>
        <w:t>against</w:t>
      </w:r>
      <w:r w:rsidR="00BD24D6" w:rsidRPr="005633D9">
        <w:rPr>
          <w:lang w:val="en-GB"/>
        </w:rPr>
        <w:t xml:space="preserve"> the</w:t>
      </w:r>
      <w:r w:rsidRPr="005633D9">
        <w:rPr>
          <w:lang w:val="en-GB"/>
        </w:rPr>
        <w:t xml:space="preserve"> </w:t>
      </w:r>
      <w:r w:rsidR="009207E0" w:rsidRPr="005633D9">
        <w:rPr>
          <w:lang w:val="en-GB"/>
        </w:rPr>
        <w:t xml:space="preserve">backdrop of the </w:t>
      </w:r>
      <w:r w:rsidR="00BD24D6" w:rsidRPr="005633D9">
        <w:rPr>
          <w:lang w:val="en-GB"/>
        </w:rPr>
        <w:t xml:space="preserve">current </w:t>
      </w:r>
      <w:r w:rsidR="00E92BB7" w:rsidRPr="005633D9">
        <w:rPr>
          <w:lang w:val="en-GB"/>
        </w:rPr>
        <w:t>organisation</w:t>
      </w:r>
      <w:r w:rsidRPr="005633D9">
        <w:rPr>
          <w:lang w:val="en-GB"/>
        </w:rPr>
        <w:t xml:space="preserve"> of the maize sector</w:t>
      </w:r>
      <w:r w:rsidR="009207E0" w:rsidRPr="005633D9">
        <w:rPr>
          <w:lang w:val="en-GB"/>
        </w:rPr>
        <w:t xml:space="preserve"> in Nigeria</w:t>
      </w:r>
      <w:r w:rsidR="004D3D6D" w:rsidRPr="005633D9">
        <w:rPr>
          <w:lang w:val="en-GB"/>
        </w:rPr>
        <w:t>.</w:t>
      </w:r>
      <w:r w:rsidRPr="005633D9">
        <w:rPr>
          <w:lang w:val="en-GB"/>
        </w:rPr>
        <w:t xml:space="preserve"> </w:t>
      </w:r>
      <w:r w:rsidR="00F57D6F" w:rsidRPr="005633D9">
        <w:rPr>
          <w:lang w:val="en-GB"/>
        </w:rPr>
        <w:t>Currently</w:t>
      </w:r>
      <w:r w:rsidR="00F07906" w:rsidRPr="005633D9">
        <w:rPr>
          <w:lang w:val="en-GB"/>
        </w:rPr>
        <w:t>,</w:t>
      </w:r>
      <w:r w:rsidR="00F57D6F" w:rsidRPr="005633D9">
        <w:rPr>
          <w:lang w:val="en-GB"/>
        </w:rPr>
        <w:t xml:space="preserve"> only</w:t>
      </w:r>
      <w:r w:rsidR="00E37E1F" w:rsidRPr="005633D9">
        <w:rPr>
          <w:lang w:val="en-GB"/>
        </w:rPr>
        <w:t xml:space="preserve"> a few aggregators </w:t>
      </w:r>
      <w:r w:rsidR="004D3D6D" w:rsidRPr="005633D9">
        <w:rPr>
          <w:lang w:val="en-GB"/>
        </w:rPr>
        <w:t xml:space="preserve">in Nigeria </w:t>
      </w:r>
      <w:r w:rsidR="00E37E1F" w:rsidRPr="005633D9">
        <w:rPr>
          <w:lang w:val="en-GB"/>
        </w:rPr>
        <w:t xml:space="preserve">work </w:t>
      </w:r>
      <w:r w:rsidR="00E37E1F" w:rsidRPr="005633D9">
        <w:rPr>
          <w:lang w:val="en-GB"/>
        </w:rPr>
        <w:lastRenderedPageBreak/>
        <w:t>with smallholders in contract farming arrangements. Under these arrangements, aggregators provide extension support, credit support</w:t>
      </w:r>
      <w:r w:rsidR="00077175" w:rsidRPr="005633D9">
        <w:rPr>
          <w:lang w:val="en-GB"/>
        </w:rPr>
        <w:t>,</w:t>
      </w:r>
      <w:r w:rsidR="00E37E1F" w:rsidRPr="005633D9">
        <w:rPr>
          <w:lang w:val="en-GB"/>
        </w:rPr>
        <w:t xml:space="preserve"> and output buyback guarantee</w:t>
      </w:r>
      <w:r w:rsidR="004D3D6D" w:rsidRPr="005633D9">
        <w:rPr>
          <w:lang w:val="en-GB"/>
        </w:rPr>
        <w:t>s</w:t>
      </w:r>
      <w:r w:rsidR="00E37E1F" w:rsidRPr="005633D9">
        <w:rPr>
          <w:lang w:val="en-GB"/>
        </w:rPr>
        <w:t>.</w:t>
      </w:r>
      <w:r w:rsidR="00243735" w:rsidRPr="005633D9">
        <w:rPr>
          <w:lang w:val="en-GB"/>
        </w:rPr>
        <w:t xml:space="preserve"> </w:t>
      </w:r>
      <w:r w:rsidR="004D3D6D" w:rsidRPr="005633D9">
        <w:rPr>
          <w:lang w:val="en-GB"/>
        </w:rPr>
        <w:t>The m</w:t>
      </w:r>
      <w:r w:rsidR="00E37E1F" w:rsidRPr="005633D9">
        <w:rPr>
          <w:lang w:val="en-GB"/>
        </w:rPr>
        <w:t xml:space="preserve">ajority of the aggregators sell to </w:t>
      </w:r>
      <w:r w:rsidR="004D3D6D" w:rsidRPr="005633D9">
        <w:rPr>
          <w:lang w:val="en-GB"/>
        </w:rPr>
        <w:t xml:space="preserve">the </w:t>
      </w:r>
      <w:r w:rsidR="00E37E1F" w:rsidRPr="005633D9">
        <w:rPr>
          <w:lang w:val="en-GB"/>
        </w:rPr>
        <w:t>poultry feed sector</w:t>
      </w:r>
      <w:r w:rsidR="00D94AEB" w:rsidRPr="005633D9">
        <w:rPr>
          <w:lang w:val="en-GB"/>
        </w:rPr>
        <w:t xml:space="preserve">, some of whose buyers have expressed a willingness to pay </w:t>
      </w:r>
      <w:r w:rsidR="004D3D6D" w:rsidRPr="005633D9">
        <w:rPr>
          <w:lang w:val="en-GB"/>
        </w:rPr>
        <w:t xml:space="preserve">a </w:t>
      </w:r>
      <w:r w:rsidR="00E37E1F" w:rsidRPr="005633D9">
        <w:rPr>
          <w:lang w:val="en-GB"/>
        </w:rPr>
        <w:t xml:space="preserve">premium </w:t>
      </w:r>
      <w:r w:rsidR="004D3D6D" w:rsidRPr="005633D9">
        <w:rPr>
          <w:lang w:val="en-GB"/>
        </w:rPr>
        <w:t xml:space="preserve">price </w:t>
      </w:r>
      <w:r w:rsidR="00E37E1F" w:rsidRPr="005633D9">
        <w:rPr>
          <w:lang w:val="en-GB"/>
        </w:rPr>
        <w:t xml:space="preserve">for </w:t>
      </w:r>
      <w:r w:rsidR="004D3D6D" w:rsidRPr="005633D9">
        <w:rPr>
          <w:lang w:val="en-GB"/>
        </w:rPr>
        <w:t>aflatoxin-free</w:t>
      </w:r>
      <w:r w:rsidR="00E37E1F" w:rsidRPr="005633D9">
        <w:rPr>
          <w:lang w:val="en-GB"/>
        </w:rPr>
        <w:t xml:space="preserve"> maize.</w:t>
      </w:r>
      <w:r w:rsidR="00243735" w:rsidRPr="005633D9">
        <w:rPr>
          <w:lang w:val="en-GB"/>
        </w:rPr>
        <w:t xml:space="preserve"> </w:t>
      </w:r>
      <w:r w:rsidR="00E37E1F" w:rsidRPr="005633D9">
        <w:rPr>
          <w:lang w:val="en-GB"/>
        </w:rPr>
        <w:t xml:space="preserve">It is expected that most of these aggregators will seek to participate in the AgResults pilot. </w:t>
      </w:r>
      <w:r w:rsidR="004D3D6D" w:rsidRPr="005633D9">
        <w:rPr>
          <w:lang w:val="en-GB"/>
        </w:rPr>
        <w:t xml:space="preserve">The question is what other entities will undertake aggregation because of the pilot—potentially, the actors in the Nigeria maize value chain with the greatest </w:t>
      </w:r>
      <w:r w:rsidR="00F57D6F" w:rsidRPr="005633D9">
        <w:rPr>
          <w:lang w:val="en-GB"/>
        </w:rPr>
        <w:t>access to premium markets</w:t>
      </w:r>
      <w:r w:rsidR="0032171D" w:rsidRPr="005633D9">
        <w:rPr>
          <w:lang w:val="en-GB"/>
        </w:rPr>
        <w:t xml:space="preserve"> or the existing entities that procure and source grain for major processors</w:t>
      </w:r>
      <w:r w:rsidR="004D0C8C" w:rsidRPr="005633D9">
        <w:rPr>
          <w:lang w:val="en-GB"/>
        </w:rPr>
        <w:t xml:space="preserve"> such as</w:t>
      </w:r>
      <w:r w:rsidR="005A11F2" w:rsidRPr="005633D9">
        <w:rPr>
          <w:lang w:val="en-GB"/>
        </w:rPr>
        <w:t xml:space="preserve"> </w:t>
      </w:r>
      <w:r w:rsidR="0032171D" w:rsidRPr="005633D9">
        <w:rPr>
          <w:lang w:val="en-GB"/>
        </w:rPr>
        <w:t>seed companies</w:t>
      </w:r>
      <w:r w:rsidR="00F57D6F" w:rsidRPr="005633D9">
        <w:rPr>
          <w:lang w:val="en-GB"/>
        </w:rPr>
        <w:t>.</w:t>
      </w:r>
    </w:p>
    <w:p w:rsidR="009207E0" w:rsidRPr="005633D9" w:rsidRDefault="00E36C27" w:rsidP="009207E0">
      <w:pPr>
        <w:rPr>
          <w:lang w:val="en-GB"/>
        </w:rPr>
      </w:pPr>
      <w:r w:rsidRPr="005633D9">
        <w:rPr>
          <w:lang w:val="en-GB"/>
        </w:rPr>
        <w:t xml:space="preserve">Nigeria’s maize marketing chain </w:t>
      </w:r>
      <w:r w:rsidR="004D3D6D" w:rsidRPr="005633D9">
        <w:rPr>
          <w:lang w:val="en-GB"/>
        </w:rPr>
        <w:t>involves several major players:</w:t>
      </w:r>
      <w:r w:rsidRPr="005633D9">
        <w:rPr>
          <w:lang w:val="en-GB"/>
        </w:rPr>
        <w:t xml:space="preserve"> input suppliers, </w:t>
      </w:r>
      <w:r w:rsidR="007A2E54" w:rsidRPr="005633D9">
        <w:rPr>
          <w:lang w:val="en-GB"/>
        </w:rPr>
        <w:t>smallholder</w:t>
      </w:r>
      <w:r w:rsidRPr="005633D9">
        <w:rPr>
          <w:lang w:val="en-GB"/>
        </w:rPr>
        <w:t>s, intermediaries/traders (also sometimes referred to as aggregators), processors, retailers, and consumers.</w:t>
      </w:r>
      <w:r w:rsidR="00243735" w:rsidRPr="005633D9">
        <w:rPr>
          <w:lang w:val="en-GB"/>
        </w:rPr>
        <w:t xml:space="preserve"> </w:t>
      </w:r>
      <w:r w:rsidR="009207E0" w:rsidRPr="005633D9">
        <w:rPr>
          <w:lang w:val="en-GB"/>
        </w:rPr>
        <w:t xml:space="preserve">A </w:t>
      </w:r>
      <w:r w:rsidR="004D3D6D" w:rsidRPr="005633D9">
        <w:rPr>
          <w:lang w:val="en-GB"/>
        </w:rPr>
        <w:t xml:space="preserve">diagram of the </w:t>
      </w:r>
      <w:r w:rsidR="009207E0" w:rsidRPr="005633D9">
        <w:rPr>
          <w:lang w:val="en-GB"/>
        </w:rPr>
        <w:t xml:space="preserve">value chain is provided in </w:t>
      </w:r>
      <w:r w:rsidR="000D61C9" w:rsidRPr="005633D9">
        <w:rPr>
          <w:lang w:val="en-GB"/>
        </w:rPr>
        <w:fldChar w:fldCharType="begin"/>
      </w:r>
      <w:r w:rsidR="000D61C9" w:rsidRPr="005633D9">
        <w:rPr>
          <w:lang w:val="en-GB"/>
        </w:rPr>
        <w:instrText xml:space="preserve"> REF _Ref403450994 \h </w:instrText>
      </w:r>
      <w:r w:rsidR="000D61C9" w:rsidRPr="005633D9">
        <w:rPr>
          <w:lang w:val="en-GB"/>
        </w:rPr>
      </w:r>
      <w:r w:rsidR="000D61C9" w:rsidRPr="005633D9">
        <w:rPr>
          <w:lang w:val="en-GB"/>
        </w:rPr>
        <w:fldChar w:fldCharType="separate"/>
      </w:r>
      <w:r w:rsidR="00F33102" w:rsidRPr="005633D9">
        <w:rPr>
          <w:lang w:val="en-GB"/>
        </w:rPr>
        <w:t xml:space="preserve">Figure </w:t>
      </w:r>
      <w:r w:rsidR="00F33102">
        <w:rPr>
          <w:noProof/>
          <w:lang w:val="en-GB"/>
        </w:rPr>
        <w:t>1</w:t>
      </w:r>
      <w:r w:rsidR="00F33102" w:rsidRPr="005633D9">
        <w:rPr>
          <w:lang w:val="en-GB"/>
        </w:rPr>
        <w:noBreakHyphen/>
      </w:r>
      <w:r w:rsidR="00F33102">
        <w:rPr>
          <w:noProof/>
          <w:lang w:val="en-GB"/>
        </w:rPr>
        <w:t>3</w:t>
      </w:r>
      <w:r w:rsidR="000D61C9" w:rsidRPr="005633D9">
        <w:rPr>
          <w:lang w:val="en-GB"/>
        </w:rPr>
        <w:fldChar w:fldCharType="end"/>
      </w:r>
      <w:r w:rsidR="009207E0" w:rsidRPr="005633D9">
        <w:rPr>
          <w:lang w:val="en-GB"/>
        </w:rPr>
        <w:t>.</w:t>
      </w:r>
    </w:p>
    <w:p w:rsidR="009207E0" w:rsidRPr="005633D9" w:rsidRDefault="009207E0" w:rsidP="009207E0">
      <w:pPr>
        <w:pStyle w:val="Caption"/>
        <w:rPr>
          <w:lang w:val="en-GB"/>
        </w:rPr>
      </w:pPr>
      <w:bookmarkStart w:id="16" w:name="_Ref403450994"/>
      <w:bookmarkStart w:id="17" w:name="_Toc407700446"/>
      <w:r w:rsidRPr="005633D9">
        <w:rPr>
          <w:lang w:val="en-GB"/>
        </w:rPr>
        <w:t xml:space="preserve">Figure </w:t>
      </w:r>
      <w:r w:rsidR="0097379B" w:rsidRPr="005633D9">
        <w:rPr>
          <w:lang w:val="en-GB"/>
        </w:rPr>
        <w:fldChar w:fldCharType="begin"/>
      </w:r>
      <w:r w:rsidR="0097379B" w:rsidRPr="005633D9">
        <w:rPr>
          <w:lang w:val="en-GB"/>
        </w:rPr>
        <w:instrText xml:space="preserve"> STYLEREF 1 \s </w:instrText>
      </w:r>
      <w:r w:rsidR="0097379B" w:rsidRPr="005633D9">
        <w:rPr>
          <w:lang w:val="en-GB"/>
        </w:rPr>
        <w:fldChar w:fldCharType="separate"/>
      </w:r>
      <w:r w:rsidR="00F33102">
        <w:rPr>
          <w:noProof/>
          <w:lang w:val="en-GB"/>
        </w:rPr>
        <w:t>1</w:t>
      </w:r>
      <w:r w:rsidR="0097379B" w:rsidRPr="005633D9">
        <w:rPr>
          <w:lang w:val="en-GB"/>
        </w:rPr>
        <w:fldChar w:fldCharType="end"/>
      </w:r>
      <w:r w:rsidR="007F397A" w:rsidRPr="005633D9">
        <w:rPr>
          <w:lang w:val="en-GB"/>
        </w:rPr>
        <w:noBreakHyphen/>
      </w:r>
      <w:r w:rsidR="0097379B" w:rsidRPr="005633D9">
        <w:rPr>
          <w:lang w:val="en-GB"/>
        </w:rPr>
        <w:fldChar w:fldCharType="begin"/>
      </w:r>
      <w:r w:rsidR="0097379B" w:rsidRPr="005633D9">
        <w:rPr>
          <w:lang w:val="en-GB"/>
        </w:rPr>
        <w:instrText xml:space="preserve"> SEQ Figure \* ARABIC \s 1 </w:instrText>
      </w:r>
      <w:r w:rsidR="0097379B" w:rsidRPr="005633D9">
        <w:rPr>
          <w:lang w:val="en-GB"/>
        </w:rPr>
        <w:fldChar w:fldCharType="separate"/>
      </w:r>
      <w:r w:rsidR="00F33102">
        <w:rPr>
          <w:noProof/>
          <w:lang w:val="en-GB"/>
        </w:rPr>
        <w:t>3</w:t>
      </w:r>
      <w:r w:rsidR="0097379B" w:rsidRPr="005633D9">
        <w:rPr>
          <w:lang w:val="en-GB"/>
        </w:rPr>
        <w:fldChar w:fldCharType="end"/>
      </w:r>
      <w:bookmarkEnd w:id="16"/>
      <w:r w:rsidR="00CA29EC" w:rsidRPr="005633D9">
        <w:rPr>
          <w:lang w:val="en-GB"/>
        </w:rPr>
        <w:t>.</w:t>
      </w:r>
      <w:r w:rsidR="00CA29EC" w:rsidRPr="005633D9">
        <w:rPr>
          <w:lang w:val="en-GB"/>
        </w:rPr>
        <w:tab/>
      </w:r>
      <w:r w:rsidRPr="005633D9">
        <w:rPr>
          <w:lang w:val="en-GB"/>
        </w:rPr>
        <w:t xml:space="preserve">Nigeria </w:t>
      </w:r>
      <w:r w:rsidR="00AF4F8A" w:rsidRPr="005633D9">
        <w:rPr>
          <w:lang w:val="en-GB"/>
        </w:rPr>
        <w:t>maize value chain</w:t>
      </w:r>
      <w:bookmarkEnd w:id="17"/>
    </w:p>
    <w:p w:rsidR="009207E0" w:rsidRPr="005633D9" w:rsidRDefault="001156BF" w:rsidP="007B4D4F">
      <w:pPr>
        <w:keepNext/>
        <w:jc w:val="center"/>
        <w:rPr>
          <w:lang w:val="en-GB"/>
        </w:rPr>
      </w:pPr>
      <w:r w:rsidRPr="005633D9">
        <w:rPr>
          <w:noProof/>
        </w:rPr>
        <w:drawing>
          <wp:inline distT="0" distB="0" distL="0" distR="0" wp14:anchorId="01C5B3F1" wp14:editId="1894D75B">
            <wp:extent cx="5943600" cy="3870678"/>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943600" cy="3870678"/>
                    </a:xfrm>
                    <a:prstGeom prst="rect">
                      <a:avLst/>
                    </a:prstGeom>
                    <a:noFill/>
                    <a:ln>
                      <a:noFill/>
                    </a:ln>
                  </pic:spPr>
                </pic:pic>
              </a:graphicData>
            </a:graphic>
          </wp:inline>
        </w:drawing>
      </w:r>
    </w:p>
    <w:p w:rsidR="009207E0" w:rsidRPr="005633D9" w:rsidRDefault="009207E0" w:rsidP="00243735">
      <w:pPr>
        <w:pStyle w:val="ExhibitSource"/>
        <w:rPr>
          <w:lang w:val="en-GB"/>
        </w:rPr>
      </w:pPr>
      <w:r w:rsidRPr="005633D9">
        <w:rPr>
          <w:lang w:val="en-GB"/>
        </w:rPr>
        <w:t xml:space="preserve">Adapted from Dahlberg </w:t>
      </w:r>
      <w:r w:rsidR="00243735" w:rsidRPr="005633D9">
        <w:rPr>
          <w:lang w:val="en-GB"/>
        </w:rPr>
        <w:t>(</w:t>
      </w:r>
      <w:r w:rsidRPr="005633D9">
        <w:rPr>
          <w:lang w:val="en-GB"/>
        </w:rPr>
        <w:t>2012,</w:t>
      </w:r>
      <w:r w:rsidR="004E61F3" w:rsidRPr="005633D9">
        <w:rPr>
          <w:lang w:val="en-GB"/>
        </w:rPr>
        <w:t xml:space="preserve"> </w:t>
      </w:r>
      <w:r w:rsidRPr="005633D9">
        <w:rPr>
          <w:lang w:val="en-GB"/>
        </w:rPr>
        <w:t>70</w:t>
      </w:r>
      <w:r w:rsidR="00243735" w:rsidRPr="005633D9">
        <w:rPr>
          <w:lang w:val="en-GB"/>
        </w:rPr>
        <w:t>).</w:t>
      </w:r>
    </w:p>
    <w:p w:rsidR="00F57D6F" w:rsidRPr="005633D9" w:rsidRDefault="008E7610" w:rsidP="009207E0">
      <w:pPr>
        <w:rPr>
          <w:lang w:val="en-GB"/>
        </w:rPr>
      </w:pPr>
      <w:r w:rsidRPr="005633D9">
        <w:rPr>
          <w:lang w:val="en-GB"/>
        </w:rPr>
        <w:t xml:space="preserve">To support production at the start of the chain, </w:t>
      </w:r>
      <w:r w:rsidR="007A2E54" w:rsidRPr="005633D9">
        <w:rPr>
          <w:lang w:val="en-GB"/>
        </w:rPr>
        <w:t>smallholder</w:t>
      </w:r>
      <w:r w:rsidR="009207E0" w:rsidRPr="005633D9">
        <w:rPr>
          <w:lang w:val="en-GB"/>
        </w:rPr>
        <w:t xml:space="preserve">s obtain inputs </w:t>
      </w:r>
      <w:r w:rsidR="001D0E39" w:rsidRPr="005633D9">
        <w:rPr>
          <w:lang w:val="en-GB"/>
        </w:rPr>
        <w:t>such as</w:t>
      </w:r>
      <w:r w:rsidR="009207E0" w:rsidRPr="005633D9">
        <w:rPr>
          <w:lang w:val="en-GB"/>
        </w:rPr>
        <w:t xml:space="preserve"> seeds and fertilizers through three major avenues: the government’s Growth Enhancement Support </w:t>
      </w:r>
      <w:r w:rsidR="00172AA7" w:rsidRPr="005633D9">
        <w:rPr>
          <w:lang w:val="en-GB"/>
        </w:rPr>
        <w:t>programme</w:t>
      </w:r>
      <w:r w:rsidR="009207E0" w:rsidRPr="005633D9">
        <w:rPr>
          <w:lang w:val="en-GB"/>
        </w:rPr>
        <w:t>, a voucher-based input subsidy program; private agro-</w:t>
      </w:r>
      <w:r w:rsidR="00305690" w:rsidRPr="005633D9">
        <w:rPr>
          <w:lang w:val="en-GB"/>
        </w:rPr>
        <w:t xml:space="preserve">input </w:t>
      </w:r>
      <w:r w:rsidR="009207E0" w:rsidRPr="005633D9">
        <w:rPr>
          <w:lang w:val="en-GB"/>
        </w:rPr>
        <w:t xml:space="preserve">dealers (operating in networks or as individuals); and outgrower schemes (or contract farming). </w:t>
      </w:r>
      <w:r w:rsidR="00E36C27" w:rsidRPr="005633D9">
        <w:rPr>
          <w:lang w:val="en-GB"/>
        </w:rPr>
        <w:t>There are</w:t>
      </w:r>
      <w:r w:rsidRPr="005633D9">
        <w:rPr>
          <w:lang w:val="en-GB"/>
        </w:rPr>
        <w:t xml:space="preserve"> then</w:t>
      </w:r>
      <w:r w:rsidR="00E36C27" w:rsidRPr="005633D9">
        <w:rPr>
          <w:lang w:val="en-GB"/>
        </w:rPr>
        <w:t xml:space="preserve"> multiple levels of intermediation in the market</w:t>
      </w:r>
      <w:r w:rsidRPr="005633D9">
        <w:rPr>
          <w:lang w:val="en-GB"/>
        </w:rPr>
        <w:t xml:space="preserve"> post-production</w:t>
      </w:r>
      <w:r w:rsidR="00E36C27" w:rsidRPr="005633D9">
        <w:rPr>
          <w:lang w:val="en-GB"/>
        </w:rPr>
        <w:t>, reflecting varying scales and service offerings. Smaller farms sell to local traders</w:t>
      </w:r>
      <w:r w:rsidR="001F6BDF" w:rsidRPr="005633D9">
        <w:rPr>
          <w:lang w:val="en-GB"/>
        </w:rPr>
        <w:t>,</w:t>
      </w:r>
      <w:r w:rsidR="00E36C27" w:rsidRPr="005633D9">
        <w:rPr>
          <w:lang w:val="en-GB"/>
        </w:rPr>
        <w:t xml:space="preserve"> who either buy for their own retail stocks or who collect maize from local farms (either at the farm gate or at local collection points) for sale to larger traders in the market. Up to 40</w:t>
      </w:r>
      <w:r w:rsidR="007C2141" w:rsidRPr="005633D9">
        <w:rPr>
          <w:lang w:val="en-GB"/>
        </w:rPr>
        <w:t xml:space="preserve"> percent</w:t>
      </w:r>
      <w:r w:rsidR="00E36C27" w:rsidRPr="005633D9">
        <w:rPr>
          <w:lang w:val="en-GB"/>
        </w:rPr>
        <w:t xml:space="preserve"> of maize goes to these small traders, each of </w:t>
      </w:r>
      <w:r w:rsidR="00E36C27" w:rsidRPr="005633D9">
        <w:rPr>
          <w:lang w:val="en-GB"/>
        </w:rPr>
        <w:lastRenderedPageBreak/>
        <w:t xml:space="preserve">whom typically operates with </w:t>
      </w:r>
      <w:r w:rsidR="00077175" w:rsidRPr="005633D9">
        <w:rPr>
          <w:lang w:val="en-GB"/>
        </w:rPr>
        <w:t>one</w:t>
      </w:r>
      <w:r w:rsidRPr="005633D9">
        <w:rPr>
          <w:lang w:val="en-GB"/>
        </w:rPr>
        <w:t xml:space="preserve"> to </w:t>
      </w:r>
      <w:r w:rsidR="00077175" w:rsidRPr="005633D9">
        <w:rPr>
          <w:lang w:val="en-GB"/>
        </w:rPr>
        <w:t>four</w:t>
      </w:r>
      <w:r w:rsidR="00E36C27" w:rsidRPr="005633D9">
        <w:rPr>
          <w:lang w:val="en-GB"/>
        </w:rPr>
        <w:t xml:space="preserve"> trucks of 30 </w:t>
      </w:r>
      <w:r w:rsidR="00523473" w:rsidRPr="005633D9">
        <w:rPr>
          <w:lang w:val="en-GB"/>
        </w:rPr>
        <w:t>MT</w:t>
      </w:r>
      <w:r w:rsidR="00DB2114" w:rsidRPr="005633D9">
        <w:rPr>
          <w:lang w:val="en-GB"/>
        </w:rPr>
        <w:t>s</w:t>
      </w:r>
      <w:r w:rsidR="00E36C27" w:rsidRPr="005633D9">
        <w:rPr>
          <w:lang w:val="en-GB"/>
        </w:rPr>
        <w:t xml:space="preserve"> capacity. As </w:t>
      </w:r>
      <w:r w:rsidR="007A2E54" w:rsidRPr="005633D9">
        <w:rPr>
          <w:lang w:val="en-GB"/>
        </w:rPr>
        <w:t>smallholder</w:t>
      </w:r>
      <w:r w:rsidR="00E36C27" w:rsidRPr="005633D9">
        <w:rPr>
          <w:lang w:val="en-GB"/>
        </w:rPr>
        <w:t>s’ marketable surplus</w:t>
      </w:r>
      <w:r w:rsidRPr="005633D9">
        <w:rPr>
          <w:lang w:val="en-GB"/>
        </w:rPr>
        <w:t>es</w:t>
      </w:r>
      <w:r w:rsidR="00E36C27" w:rsidRPr="005633D9">
        <w:rPr>
          <w:lang w:val="en-GB"/>
        </w:rPr>
        <w:t xml:space="preserve"> increase, </w:t>
      </w:r>
      <w:r w:rsidR="007A2E54" w:rsidRPr="005633D9">
        <w:rPr>
          <w:lang w:val="en-GB"/>
        </w:rPr>
        <w:t>smallholder</w:t>
      </w:r>
      <w:r w:rsidRPr="005633D9">
        <w:rPr>
          <w:lang w:val="en-GB"/>
        </w:rPr>
        <w:t xml:space="preserve">s themselves </w:t>
      </w:r>
      <w:r w:rsidR="00E36C27" w:rsidRPr="005633D9">
        <w:rPr>
          <w:lang w:val="en-GB"/>
        </w:rPr>
        <w:t>sell further downstream in the marketing chain to larger aggregators or even direct</w:t>
      </w:r>
      <w:r w:rsidRPr="005633D9">
        <w:rPr>
          <w:lang w:val="en-GB"/>
        </w:rPr>
        <w:t>ly</w:t>
      </w:r>
      <w:r w:rsidR="00E36C27" w:rsidRPr="005633D9">
        <w:rPr>
          <w:lang w:val="en-GB"/>
        </w:rPr>
        <w:t xml:space="preserve"> to processors. Likewise, intermediaries of differing </w:t>
      </w:r>
      <w:r w:rsidRPr="005633D9">
        <w:rPr>
          <w:lang w:val="en-GB"/>
        </w:rPr>
        <w:t>sizes</w:t>
      </w:r>
      <w:r w:rsidR="00E36C27" w:rsidRPr="005633D9">
        <w:rPr>
          <w:lang w:val="en-GB"/>
        </w:rPr>
        <w:t xml:space="preserve"> serve as aggregators at different scales and progressively “roll up” their sales to higher levels, with the maize ultimately being sold at the Kano market (which is the largest market in West Africa) or direct</w:t>
      </w:r>
      <w:r w:rsidRPr="005633D9">
        <w:rPr>
          <w:lang w:val="en-GB"/>
        </w:rPr>
        <w:t>ly</w:t>
      </w:r>
      <w:r w:rsidR="00E36C27" w:rsidRPr="005633D9">
        <w:rPr>
          <w:lang w:val="en-GB"/>
        </w:rPr>
        <w:t xml:space="preserve"> to processors. The largest traders and trade groups may transact as much as 10,000 </w:t>
      </w:r>
      <w:r w:rsidR="00523473" w:rsidRPr="005633D9">
        <w:rPr>
          <w:lang w:val="en-GB"/>
        </w:rPr>
        <w:t>MT</w:t>
      </w:r>
      <w:r w:rsidR="00DB2114" w:rsidRPr="005633D9">
        <w:rPr>
          <w:lang w:val="en-GB"/>
        </w:rPr>
        <w:t>s</w:t>
      </w:r>
      <w:r w:rsidR="005C6021">
        <w:rPr>
          <w:lang w:val="en-GB"/>
        </w:rPr>
        <w:t xml:space="preserve"> </w:t>
      </w:r>
      <w:r w:rsidR="00077175" w:rsidRPr="005633D9">
        <w:rPr>
          <w:lang w:val="en-GB"/>
        </w:rPr>
        <w:t>per</w:t>
      </w:r>
      <w:r w:rsidR="00E36C27" w:rsidRPr="005633D9">
        <w:rPr>
          <w:lang w:val="en-GB"/>
        </w:rPr>
        <w:t xml:space="preserve"> year (Dahlberg</w:t>
      </w:r>
      <w:r w:rsidR="00B65D18">
        <w:rPr>
          <w:lang w:val="en-GB"/>
        </w:rPr>
        <w:t>,</w:t>
      </w:r>
      <w:r w:rsidR="00E36C27" w:rsidRPr="005633D9">
        <w:rPr>
          <w:lang w:val="en-GB"/>
        </w:rPr>
        <w:t xml:space="preserve"> 2012).</w:t>
      </w:r>
      <w:r w:rsidR="009207E0" w:rsidRPr="005633D9">
        <w:rPr>
          <w:lang w:val="en-GB"/>
        </w:rPr>
        <w:t xml:space="preserve"> </w:t>
      </w:r>
    </w:p>
    <w:p w:rsidR="00F57D6F" w:rsidRPr="005633D9" w:rsidRDefault="008E7610" w:rsidP="00F57D6F">
      <w:pPr>
        <w:rPr>
          <w:lang w:val="en-GB"/>
        </w:rPr>
      </w:pPr>
      <w:r w:rsidRPr="005633D9">
        <w:rPr>
          <w:lang w:val="en-GB"/>
        </w:rPr>
        <w:t>As noted earlier, t</w:t>
      </w:r>
      <w:r w:rsidR="00F57D6F" w:rsidRPr="005633D9">
        <w:rPr>
          <w:lang w:val="en-GB"/>
        </w:rPr>
        <w:t xml:space="preserve">here </w:t>
      </w:r>
      <w:r w:rsidR="007C2141" w:rsidRPr="005633D9">
        <w:rPr>
          <w:lang w:val="en-GB"/>
        </w:rPr>
        <w:t xml:space="preserve">are </w:t>
      </w:r>
      <w:r w:rsidRPr="005633D9">
        <w:rPr>
          <w:lang w:val="en-GB"/>
        </w:rPr>
        <w:t xml:space="preserve">currently </w:t>
      </w:r>
      <w:r w:rsidR="00F57D6F" w:rsidRPr="005633D9">
        <w:rPr>
          <w:lang w:val="en-GB"/>
        </w:rPr>
        <w:t xml:space="preserve">only a few instances where aggregators are engaged in contract farming with </w:t>
      </w:r>
      <w:r w:rsidRPr="005633D9">
        <w:rPr>
          <w:lang w:val="en-GB"/>
        </w:rPr>
        <w:t>smallholders</w:t>
      </w:r>
      <w:r w:rsidR="00F57D6F" w:rsidRPr="005633D9">
        <w:rPr>
          <w:lang w:val="en-GB"/>
        </w:rPr>
        <w:t>.</w:t>
      </w:r>
      <w:r w:rsidR="00243735" w:rsidRPr="005633D9">
        <w:rPr>
          <w:lang w:val="en-GB"/>
        </w:rPr>
        <w:t xml:space="preserve"> </w:t>
      </w:r>
      <w:r w:rsidR="00077175" w:rsidRPr="005633D9">
        <w:rPr>
          <w:lang w:val="en-GB"/>
        </w:rPr>
        <w:t>The m</w:t>
      </w:r>
      <w:r w:rsidR="00F57D6F" w:rsidRPr="005633D9">
        <w:rPr>
          <w:lang w:val="en-GB"/>
        </w:rPr>
        <w:t xml:space="preserve">ajority of these </w:t>
      </w:r>
      <w:r w:rsidRPr="005633D9">
        <w:rPr>
          <w:lang w:val="en-GB"/>
        </w:rPr>
        <w:t>cases involve</w:t>
      </w:r>
      <w:r w:rsidR="00F57D6F" w:rsidRPr="005633D9">
        <w:rPr>
          <w:lang w:val="en-GB"/>
        </w:rPr>
        <w:t xml:space="preserve"> aggregators who sell to the poultry feed market. Overall, feed mills account for 60</w:t>
      </w:r>
      <w:r w:rsidR="007C2141" w:rsidRPr="005633D9">
        <w:rPr>
          <w:lang w:val="en-GB"/>
        </w:rPr>
        <w:t>–</w:t>
      </w:r>
      <w:r w:rsidR="00F57D6F" w:rsidRPr="005633D9">
        <w:rPr>
          <w:lang w:val="en-GB"/>
        </w:rPr>
        <w:t>70</w:t>
      </w:r>
      <w:r w:rsidR="007C2141" w:rsidRPr="005633D9">
        <w:rPr>
          <w:lang w:val="en-GB"/>
        </w:rPr>
        <w:t xml:space="preserve"> percent</w:t>
      </w:r>
      <w:r w:rsidR="00F57D6F" w:rsidRPr="005633D9">
        <w:rPr>
          <w:lang w:val="en-GB"/>
        </w:rPr>
        <w:t xml:space="preserve"> of the grain that is processed in the country</w:t>
      </w:r>
      <w:r w:rsidR="00AA5969" w:rsidRPr="005633D9">
        <w:rPr>
          <w:lang w:val="en-GB"/>
        </w:rPr>
        <w:t>. P</w:t>
      </w:r>
      <w:r w:rsidR="00F57D6F" w:rsidRPr="005633D9">
        <w:rPr>
          <w:lang w:val="en-GB"/>
        </w:rPr>
        <w:t xml:space="preserve">oultry farms </w:t>
      </w:r>
      <w:r w:rsidRPr="005633D9">
        <w:rPr>
          <w:lang w:val="en-GB"/>
        </w:rPr>
        <w:t>consum</w:t>
      </w:r>
      <w:r w:rsidR="00AA5969" w:rsidRPr="005633D9">
        <w:rPr>
          <w:lang w:val="en-GB"/>
        </w:rPr>
        <w:t>e</w:t>
      </w:r>
      <w:r w:rsidRPr="005633D9">
        <w:rPr>
          <w:lang w:val="en-GB"/>
        </w:rPr>
        <w:t xml:space="preserve"> </w:t>
      </w:r>
      <w:r w:rsidR="00F57D6F" w:rsidRPr="005633D9">
        <w:rPr>
          <w:lang w:val="en-GB"/>
        </w:rPr>
        <w:t>95</w:t>
      </w:r>
      <w:r w:rsidR="007C2141" w:rsidRPr="005633D9">
        <w:rPr>
          <w:lang w:val="en-GB"/>
        </w:rPr>
        <w:t xml:space="preserve"> percent</w:t>
      </w:r>
      <w:r w:rsidR="00F57D6F" w:rsidRPr="005633D9">
        <w:rPr>
          <w:lang w:val="en-GB"/>
        </w:rPr>
        <w:t xml:space="preserve"> of the feed </w:t>
      </w:r>
      <w:r w:rsidRPr="005633D9">
        <w:rPr>
          <w:lang w:val="en-GB"/>
        </w:rPr>
        <w:t xml:space="preserve">that is produced, with just </w:t>
      </w:r>
      <w:r w:rsidR="00F57D6F" w:rsidRPr="005633D9">
        <w:rPr>
          <w:lang w:val="en-GB"/>
        </w:rPr>
        <w:t xml:space="preserve">nine large poultry </w:t>
      </w:r>
      <w:r w:rsidR="007A2E54" w:rsidRPr="005633D9">
        <w:rPr>
          <w:lang w:val="en-GB"/>
        </w:rPr>
        <w:t>smallholder</w:t>
      </w:r>
      <w:r w:rsidR="00F57D6F" w:rsidRPr="005633D9">
        <w:rPr>
          <w:lang w:val="en-GB"/>
        </w:rPr>
        <w:t xml:space="preserve">s </w:t>
      </w:r>
      <w:r w:rsidRPr="005633D9">
        <w:rPr>
          <w:lang w:val="en-GB"/>
        </w:rPr>
        <w:t xml:space="preserve">accounting for </w:t>
      </w:r>
      <w:r w:rsidR="00F57D6F" w:rsidRPr="005633D9">
        <w:rPr>
          <w:lang w:val="en-GB"/>
        </w:rPr>
        <w:t>70</w:t>
      </w:r>
      <w:r w:rsidR="007C2141" w:rsidRPr="005633D9">
        <w:rPr>
          <w:lang w:val="en-GB"/>
        </w:rPr>
        <w:t xml:space="preserve"> percent</w:t>
      </w:r>
      <w:r w:rsidR="00F57D6F" w:rsidRPr="005633D9">
        <w:rPr>
          <w:lang w:val="en-GB"/>
        </w:rPr>
        <w:t xml:space="preserve"> of </w:t>
      </w:r>
      <w:r w:rsidRPr="005633D9">
        <w:rPr>
          <w:lang w:val="en-GB"/>
        </w:rPr>
        <w:t>that consumption</w:t>
      </w:r>
      <w:r w:rsidR="00F57D6F" w:rsidRPr="005633D9">
        <w:rPr>
          <w:lang w:val="en-GB"/>
        </w:rPr>
        <w:t>. Both feed millers and poultry farms are largely concentrated in the southwest (Ibadan</w:t>
      </w:r>
      <w:r w:rsidR="00077175" w:rsidRPr="005633D9">
        <w:rPr>
          <w:lang w:val="en-GB"/>
        </w:rPr>
        <w:t xml:space="preserve"> and</w:t>
      </w:r>
      <w:r w:rsidR="00F57D6F" w:rsidRPr="005633D9">
        <w:rPr>
          <w:lang w:val="en-GB"/>
        </w:rPr>
        <w:t xml:space="preserve"> Lagos area</w:t>
      </w:r>
      <w:r w:rsidR="00077175" w:rsidRPr="005633D9">
        <w:rPr>
          <w:lang w:val="en-GB"/>
        </w:rPr>
        <w:t>s</w:t>
      </w:r>
      <w:r w:rsidR="00F57D6F" w:rsidRPr="005633D9">
        <w:rPr>
          <w:lang w:val="en-GB"/>
        </w:rPr>
        <w:t xml:space="preserve">) of the country. Breweries </w:t>
      </w:r>
      <w:r w:rsidRPr="005633D9">
        <w:rPr>
          <w:lang w:val="en-GB"/>
        </w:rPr>
        <w:t>purchase</w:t>
      </w:r>
      <w:r w:rsidR="00F57D6F" w:rsidRPr="005633D9">
        <w:rPr>
          <w:lang w:val="en-GB"/>
        </w:rPr>
        <w:t xml:space="preserve"> 10</w:t>
      </w:r>
      <w:r w:rsidR="007C2141" w:rsidRPr="005633D9">
        <w:rPr>
          <w:lang w:val="en-GB"/>
        </w:rPr>
        <w:t xml:space="preserve"> percent</w:t>
      </w:r>
      <w:r w:rsidR="00F57D6F" w:rsidRPr="005633D9">
        <w:rPr>
          <w:lang w:val="en-GB"/>
        </w:rPr>
        <w:t xml:space="preserve"> of processed maize</w:t>
      </w:r>
      <w:r w:rsidR="00077175" w:rsidRPr="005633D9">
        <w:rPr>
          <w:lang w:val="en-GB"/>
        </w:rPr>
        <w:t>,</w:t>
      </w:r>
      <w:r w:rsidR="00F57D6F" w:rsidRPr="005633D9">
        <w:rPr>
          <w:lang w:val="en-GB"/>
        </w:rPr>
        <w:t xml:space="preserve"> while millers producing branded </w:t>
      </w:r>
      <w:r w:rsidRPr="005633D9">
        <w:rPr>
          <w:lang w:val="en-GB"/>
        </w:rPr>
        <w:t xml:space="preserve">flours for human consumption </w:t>
      </w:r>
      <w:r w:rsidR="00F57D6F" w:rsidRPr="005633D9">
        <w:rPr>
          <w:lang w:val="en-GB"/>
        </w:rPr>
        <w:t xml:space="preserve">account for </w:t>
      </w:r>
      <w:r w:rsidRPr="005633D9">
        <w:rPr>
          <w:lang w:val="en-GB"/>
        </w:rPr>
        <w:t xml:space="preserve">the other </w:t>
      </w:r>
      <w:r w:rsidR="00F57D6F" w:rsidRPr="005633D9">
        <w:rPr>
          <w:lang w:val="en-GB"/>
        </w:rPr>
        <w:t>20</w:t>
      </w:r>
      <w:r w:rsidR="007C2141" w:rsidRPr="005633D9">
        <w:rPr>
          <w:lang w:val="en-GB"/>
        </w:rPr>
        <w:t xml:space="preserve"> percent</w:t>
      </w:r>
      <w:r w:rsidR="00F57D6F" w:rsidRPr="005633D9">
        <w:rPr>
          <w:lang w:val="en-GB"/>
        </w:rPr>
        <w:t xml:space="preserve"> of processed maize. The largest flour miller, Grand Cereals, is responsible for approximately 60</w:t>
      </w:r>
      <w:r w:rsidR="007C2141" w:rsidRPr="005633D9">
        <w:rPr>
          <w:lang w:val="en-GB"/>
        </w:rPr>
        <w:t xml:space="preserve"> percent</w:t>
      </w:r>
      <w:r w:rsidR="00F57D6F" w:rsidRPr="005633D9">
        <w:rPr>
          <w:lang w:val="en-GB"/>
        </w:rPr>
        <w:t xml:space="preserve"> of </w:t>
      </w:r>
      <w:r w:rsidRPr="005633D9">
        <w:rPr>
          <w:lang w:val="en-GB"/>
        </w:rPr>
        <w:t xml:space="preserve">all milled </w:t>
      </w:r>
      <w:r w:rsidR="00F57D6F" w:rsidRPr="005633D9">
        <w:rPr>
          <w:lang w:val="en-GB"/>
        </w:rPr>
        <w:t xml:space="preserve">flour </w:t>
      </w:r>
      <w:r w:rsidRPr="005633D9">
        <w:rPr>
          <w:lang w:val="en-GB"/>
        </w:rPr>
        <w:t>output</w:t>
      </w:r>
      <w:r w:rsidR="00F57D6F" w:rsidRPr="005633D9">
        <w:rPr>
          <w:lang w:val="en-GB"/>
        </w:rPr>
        <w:t xml:space="preserve"> (Dahlberg</w:t>
      </w:r>
      <w:r w:rsidR="00B65D18">
        <w:rPr>
          <w:lang w:val="en-GB"/>
        </w:rPr>
        <w:t>,</w:t>
      </w:r>
      <w:r w:rsidR="00F57D6F" w:rsidRPr="005633D9">
        <w:rPr>
          <w:lang w:val="en-GB"/>
        </w:rPr>
        <w:t xml:space="preserve"> 2012,</w:t>
      </w:r>
      <w:r w:rsidR="00243735" w:rsidRPr="005633D9">
        <w:rPr>
          <w:lang w:val="en-GB"/>
        </w:rPr>
        <w:t xml:space="preserve"> </w:t>
      </w:r>
      <w:r w:rsidR="00AA5969" w:rsidRPr="005633D9">
        <w:rPr>
          <w:lang w:val="en-GB"/>
        </w:rPr>
        <w:t>63–</w:t>
      </w:r>
      <w:r w:rsidR="00F57D6F" w:rsidRPr="005633D9">
        <w:rPr>
          <w:lang w:val="en-GB"/>
        </w:rPr>
        <w:t>78)</w:t>
      </w:r>
      <w:r w:rsidR="00077175" w:rsidRPr="005633D9">
        <w:rPr>
          <w:lang w:val="en-GB"/>
        </w:rPr>
        <w:t>.</w:t>
      </w:r>
    </w:p>
    <w:p w:rsidR="009207E0" w:rsidRPr="005633D9" w:rsidRDefault="009207E0" w:rsidP="009207E0">
      <w:pPr>
        <w:rPr>
          <w:lang w:val="en-GB"/>
        </w:rPr>
      </w:pPr>
      <w:r w:rsidRPr="005633D9">
        <w:rPr>
          <w:lang w:val="en-GB"/>
        </w:rPr>
        <w:t xml:space="preserve">While cash </w:t>
      </w:r>
      <w:r w:rsidR="0014130B" w:rsidRPr="005633D9">
        <w:rPr>
          <w:lang w:val="en-GB"/>
        </w:rPr>
        <w:t>payment at delivery</w:t>
      </w:r>
      <w:r w:rsidR="008E7610" w:rsidRPr="005633D9">
        <w:rPr>
          <w:lang w:val="en-GB"/>
        </w:rPr>
        <w:t xml:space="preserve"> </w:t>
      </w:r>
      <w:r w:rsidR="00AB6714" w:rsidRPr="005633D9">
        <w:rPr>
          <w:lang w:val="en-GB"/>
        </w:rPr>
        <w:t>predominates</w:t>
      </w:r>
      <w:r w:rsidR="008E7610" w:rsidRPr="005633D9">
        <w:rPr>
          <w:lang w:val="en-GB"/>
        </w:rPr>
        <w:t xml:space="preserve"> aggregator</w:t>
      </w:r>
      <w:r w:rsidR="00AA5969" w:rsidRPr="005633D9">
        <w:rPr>
          <w:lang w:val="en-GB"/>
        </w:rPr>
        <w:t>–</w:t>
      </w:r>
      <w:r w:rsidR="008E7610" w:rsidRPr="005633D9">
        <w:rPr>
          <w:lang w:val="en-GB"/>
        </w:rPr>
        <w:t>smallholder</w:t>
      </w:r>
      <w:r w:rsidR="0014130B" w:rsidRPr="005633D9">
        <w:rPr>
          <w:lang w:val="en-GB"/>
        </w:rPr>
        <w:t xml:space="preserve"> transactions</w:t>
      </w:r>
      <w:r w:rsidRPr="005633D9">
        <w:rPr>
          <w:lang w:val="en-GB"/>
        </w:rPr>
        <w:t xml:space="preserve">, </w:t>
      </w:r>
      <w:r w:rsidR="008E7610" w:rsidRPr="005633D9">
        <w:rPr>
          <w:lang w:val="en-GB"/>
        </w:rPr>
        <w:t xml:space="preserve">the less common </w:t>
      </w:r>
      <w:r w:rsidR="00B11AD2" w:rsidRPr="005633D9">
        <w:rPr>
          <w:lang w:val="en-GB"/>
        </w:rPr>
        <w:t>contract farming</w:t>
      </w:r>
      <w:r w:rsidR="008E7610" w:rsidRPr="005633D9">
        <w:rPr>
          <w:lang w:val="en-GB"/>
        </w:rPr>
        <w:t xml:space="preserve"> arrangements involve</w:t>
      </w:r>
      <w:r w:rsidR="00B11AD2" w:rsidRPr="005633D9">
        <w:rPr>
          <w:lang w:val="en-GB"/>
        </w:rPr>
        <w:t xml:space="preserve"> </w:t>
      </w:r>
      <w:r w:rsidRPr="005633D9">
        <w:rPr>
          <w:lang w:val="en-GB"/>
        </w:rPr>
        <w:t xml:space="preserve">advance purchase commitments </w:t>
      </w:r>
      <w:r w:rsidR="004D0C8C" w:rsidRPr="005633D9">
        <w:rPr>
          <w:lang w:val="en-GB"/>
        </w:rPr>
        <w:t xml:space="preserve">and </w:t>
      </w:r>
      <w:r w:rsidRPr="005633D9">
        <w:rPr>
          <w:lang w:val="en-GB"/>
        </w:rPr>
        <w:t xml:space="preserve">input </w:t>
      </w:r>
      <w:r w:rsidR="004D0C8C" w:rsidRPr="005633D9">
        <w:rPr>
          <w:lang w:val="en-GB"/>
        </w:rPr>
        <w:t>provision by</w:t>
      </w:r>
      <w:r w:rsidR="008E7610" w:rsidRPr="005633D9">
        <w:rPr>
          <w:lang w:val="en-GB"/>
        </w:rPr>
        <w:t xml:space="preserve"> aggregators</w:t>
      </w:r>
      <w:r w:rsidRPr="005633D9">
        <w:rPr>
          <w:lang w:val="en-GB"/>
        </w:rPr>
        <w:t xml:space="preserve"> to the </w:t>
      </w:r>
      <w:r w:rsidR="007A2E54" w:rsidRPr="005633D9">
        <w:rPr>
          <w:lang w:val="en-GB"/>
        </w:rPr>
        <w:t>smallholder</w:t>
      </w:r>
      <w:r w:rsidRPr="005633D9">
        <w:rPr>
          <w:lang w:val="en-GB"/>
        </w:rPr>
        <w:t>s to enhance production. Price differentials at different levels of sale roughly reflect the services that are provided by the intermediary versus</w:t>
      </w:r>
      <w:r w:rsidR="00A13980" w:rsidRPr="005633D9">
        <w:rPr>
          <w:lang w:val="en-GB"/>
        </w:rPr>
        <w:t xml:space="preserve"> the</w:t>
      </w:r>
      <w:r w:rsidRPr="005633D9">
        <w:rPr>
          <w:lang w:val="en-GB"/>
        </w:rPr>
        <w:t xml:space="preserve"> </w:t>
      </w:r>
      <w:r w:rsidR="007A2E54" w:rsidRPr="005633D9">
        <w:rPr>
          <w:lang w:val="en-GB"/>
        </w:rPr>
        <w:t>smallholder</w:t>
      </w:r>
      <w:r w:rsidRPr="005633D9">
        <w:rPr>
          <w:lang w:val="en-GB"/>
        </w:rPr>
        <w:t xml:space="preserve"> (such as </w:t>
      </w:r>
      <w:r w:rsidR="00A13980" w:rsidRPr="005633D9">
        <w:rPr>
          <w:lang w:val="en-GB"/>
        </w:rPr>
        <w:t xml:space="preserve">smallholders </w:t>
      </w:r>
      <w:r w:rsidRPr="005633D9">
        <w:rPr>
          <w:lang w:val="en-GB"/>
        </w:rPr>
        <w:t>transport</w:t>
      </w:r>
      <w:r w:rsidR="00A13980" w:rsidRPr="005633D9">
        <w:rPr>
          <w:lang w:val="en-GB"/>
        </w:rPr>
        <w:t>ing</w:t>
      </w:r>
      <w:r w:rsidRPr="005633D9">
        <w:rPr>
          <w:lang w:val="en-GB"/>
        </w:rPr>
        <w:t xml:space="preserve"> the maize to a collection point versus </w:t>
      </w:r>
      <w:r w:rsidR="00A13980" w:rsidRPr="005633D9">
        <w:rPr>
          <w:lang w:val="en-GB"/>
        </w:rPr>
        <w:t xml:space="preserve">the aggregators </w:t>
      </w:r>
      <w:r w:rsidRPr="005633D9">
        <w:rPr>
          <w:lang w:val="en-GB"/>
        </w:rPr>
        <w:t xml:space="preserve">picking it up at the farm) as well as scale of production, with larger scale rewarded with better prices. Maize quality (often subjectively determined but based primarily on grain moisture levels and cleanliness) and </w:t>
      </w:r>
      <w:r w:rsidR="007A2E54" w:rsidRPr="005633D9">
        <w:rPr>
          <w:lang w:val="en-GB"/>
        </w:rPr>
        <w:t>smallholder</w:t>
      </w:r>
      <w:r w:rsidRPr="005633D9">
        <w:rPr>
          <w:lang w:val="en-GB"/>
        </w:rPr>
        <w:t xml:space="preserve">s’ skill at negotiation also influence prices. </w:t>
      </w:r>
    </w:p>
    <w:p w:rsidR="002A2C3B" w:rsidRPr="005633D9" w:rsidRDefault="002A2C3B" w:rsidP="000A26AA">
      <w:pPr>
        <w:pStyle w:val="Heading3"/>
        <w:rPr>
          <w:lang w:val="en-GB"/>
        </w:rPr>
      </w:pPr>
      <w:r w:rsidRPr="005633D9">
        <w:rPr>
          <w:lang w:val="en-GB"/>
        </w:rPr>
        <w:t>Gender roles in maize production and value addition</w:t>
      </w:r>
    </w:p>
    <w:p w:rsidR="003311F6" w:rsidRPr="005633D9" w:rsidRDefault="00917154" w:rsidP="00F5275F">
      <w:pPr>
        <w:pStyle w:val="BodyText"/>
      </w:pPr>
      <w:r w:rsidRPr="005633D9">
        <w:t>A</w:t>
      </w:r>
      <w:r w:rsidR="005869D0" w:rsidRPr="005633D9">
        <w:t>n array of characteristic gender roles influence participation in maize production and value addition (including</w:t>
      </w:r>
      <w:r w:rsidR="003311F6" w:rsidRPr="005633D9">
        <w:t xml:space="preserve"> marketing)</w:t>
      </w:r>
      <w:r w:rsidR="00A9046F" w:rsidRPr="005633D9">
        <w:t xml:space="preserve"> in Nigeria</w:t>
      </w:r>
      <w:r w:rsidR="003311F6" w:rsidRPr="005633D9">
        <w:t xml:space="preserve">. </w:t>
      </w:r>
    </w:p>
    <w:p w:rsidR="005869D0" w:rsidRPr="005633D9" w:rsidRDefault="003311F6" w:rsidP="00F5275F">
      <w:pPr>
        <w:pStyle w:val="BodyText"/>
      </w:pPr>
      <w:r w:rsidRPr="005633D9">
        <w:t>At the farm level, land preparation is traditionally an activity performed by men</w:t>
      </w:r>
      <w:r w:rsidR="00917154" w:rsidRPr="005633D9">
        <w:t>,</w:t>
      </w:r>
      <w:r w:rsidRPr="005633D9">
        <w:t xml:space="preserve"> as it is considered heavy work. Land preparation is also the activity that is most likely to be mechanized, and is often hired out. Women </w:t>
      </w:r>
      <w:r w:rsidR="00917154" w:rsidRPr="005633D9">
        <w:t xml:space="preserve">are </w:t>
      </w:r>
      <w:r w:rsidRPr="005633D9">
        <w:t>characteristically responsible for planting and weeding maize</w:t>
      </w:r>
      <w:r w:rsidR="00917154" w:rsidRPr="005633D9">
        <w:t>. B</w:t>
      </w:r>
      <w:r w:rsidRPr="005633D9">
        <w:t xml:space="preserve">oth men and women harvest maize (or </w:t>
      </w:r>
      <w:r w:rsidR="00917154" w:rsidRPr="005633D9">
        <w:t xml:space="preserve">this activity </w:t>
      </w:r>
      <w:r w:rsidRPr="005633D9">
        <w:t>may be hired out), while women are responsible for post-harvest activities such as drying and shelling the maize. Men usually sell the maize.</w:t>
      </w:r>
      <w:r w:rsidR="00483354" w:rsidRPr="005633D9">
        <w:t xml:space="preserve"> It is not yet clear whether women or men will be responsible for applying Aflasafe. </w:t>
      </w:r>
    </w:p>
    <w:p w:rsidR="005869D0" w:rsidRPr="005633D9" w:rsidRDefault="003311F6" w:rsidP="00F5275F">
      <w:pPr>
        <w:pStyle w:val="BodyText"/>
      </w:pPr>
      <w:r w:rsidRPr="005633D9">
        <w:t>These generalized roles differ somewhat in Muslim families</w:t>
      </w:r>
      <w:r w:rsidR="00917154" w:rsidRPr="005633D9">
        <w:t>,</w:t>
      </w:r>
      <w:r w:rsidRPr="005633D9">
        <w:t xml:space="preserve"> as</w:t>
      </w:r>
      <w:r w:rsidR="005869D0" w:rsidRPr="005633D9">
        <w:t xml:space="preserve"> men undertake all activities (including seeding, weeding) that are field-based</w:t>
      </w:r>
      <w:r w:rsidR="00917154" w:rsidRPr="005633D9">
        <w:t>,</w:t>
      </w:r>
      <w:r w:rsidR="005869D0" w:rsidRPr="005633D9">
        <w:t xml:space="preserve"> and women only undertake activities (post-harvest) that do not </w:t>
      </w:r>
      <w:r w:rsidR="00917154" w:rsidRPr="005633D9">
        <w:t>require them to</w:t>
      </w:r>
      <w:r w:rsidR="005869D0" w:rsidRPr="005633D9">
        <w:t xml:space="preserve"> leave the family compound.</w:t>
      </w:r>
      <w:r w:rsidR="00483354" w:rsidRPr="005633D9">
        <w:t xml:space="preserve"> </w:t>
      </w:r>
      <w:r w:rsidRPr="005633D9">
        <w:t>In the North, Sharia Law introduces additional constraints</w:t>
      </w:r>
      <w:r w:rsidR="00917154" w:rsidRPr="005633D9">
        <w:t>,</w:t>
      </w:r>
      <w:r w:rsidRPr="005633D9">
        <w:t xml:space="preserve"> as unmarried women and men are not permitted to interact</w:t>
      </w:r>
      <w:r w:rsidR="00536D05" w:rsidRPr="005633D9">
        <w:t>,</w:t>
      </w:r>
      <w:r w:rsidRPr="005633D9">
        <w:t xml:space="preserve"> which effectively precludes women from hiring out their labo</w:t>
      </w:r>
      <w:r w:rsidR="00917154" w:rsidRPr="005633D9">
        <w:t>u</w:t>
      </w:r>
      <w:r w:rsidRPr="005633D9">
        <w:t>r.</w:t>
      </w:r>
      <w:r w:rsidR="00243735" w:rsidRPr="005633D9">
        <w:t xml:space="preserve"> </w:t>
      </w:r>
    </w:p>
    <w:p w:rsidR="00483354" w:rsidRPr="005633D9" w:rsidRDefault="00483354" w:rsidP="00917154">
      <w:pPr>
        <w:pStyle w:val="BodyText"/>
      </w:pPr>
      <w:r w:rsidRPr="005633D9">
        <w:t xml:space="preserve">An additional factor at the farm level is that women and men within a single household often take responsibility for cultivation of maize on different plots. This implies that, whether a </w:t>
      </w:r>
      <w:r w:rsidRPr="005633D9">
        <w:lastRenderedPageBreak/>
        <w:t>household head is a man or woman, maize production may be managed separately (and differently) by men and women. Implications of this for the pilot include that it will be important to identify who (men or women) applies Aflasafe, and to track Aflasafe application at the plot level</w:t>
      </w:r>
      <w:r w:rsidR="00DC7589" w:rsidRPr="005633D9">
        <w:t>. It will also be important to</w:t>
      </w:r>
      <w:r w:rsidRPr="005633D9">
        <w:t xml:space="preserve"> identify the managers of different plots and destination of production from different plots (in particular whether it will be sold or consumed by the household). </w:t>
      </w:r>
    </w:p>
    <w:p w:rsidR="003311F6" w:rsidRPr="005633D9" w:rsidRDefault="00DD414E" w:rsidP="00F5275F">
      <w:pPr>
        <w:pStyle w:val="BodyText"/>
      </w:pPr>
      <w:r w:rsidRPr="005633D9">
        <w:t>Women’s participation in the maize value chain is typically focused on small-scale processing or retail, often undertaken on an informal basis</w:t>
      </w:r>
      <w:r w:rsidR="00217DCF">
        <w:t>,</w:t>
      </w:r>
      <w:r w:rsidRPr="005633D9">
        <w:t xml:space="preserve"> while large-scale aggregators, wholesalers, and processors are typically managed by men. Given the pilot’s objective of generating an adequate volume of Aflasafe-treated maize for it to have a large-scale industrial impact, it is possible that female entrepreneurs will be </w:t>
      </w:r>
      <w:r w:rsidRPr="005633D9">
        <w:rPr>
          <w:i/>
        </w:rPr>
        <w:t>de facto</w:t>
      </w:r>
      <w:r w:rsidRPr="005633D9">
        <w:t xml:space="preserve"> excluded. This potential tendency is reinforced by the fact that identification and preservation of the “Aflasafe-treated/aflatoxin-free” status of maize will require testing, certification, and segregation of the maize. This will make it difficult for small-scale retailers of maize, many of them women, to participate in the market</w:t>
      </w:r>
      <w:r w:rsidR="00DC7589" w:rsidRPr="005633D9">
        <w:t>.</w:t>
      </w:r>
      <w:r w:rsidRPr="005633D9">
        <w:t xml:space="preserve"> </w:t>
      </w:r>
      <w:r w:rsidR="00DC7589" w:rsidRPr="005633D9">
        <w:t>Because</w:t>
      </w:r>
      <w:r w:rsidRPr="005633D9">
        <w:t xml:space="preserve"> Aflasafe treatment cannot be determined visually</w:t>
      </w:r>
      <w:r w:rsidR="00DC7589" w:rsidRPr="005633D9">
        <w:t>,</w:t>
      </w:r>
      <w:r w:rsidRPr="005633D9">
        <w:t xml:space="preserve"> it will be difficult for </w:t>
      </w:r>
      <w:r w:rsidR="00D452E7" w:rsidRPr="005633D9">
        <w:t>them</w:t>
      </w:r>
      <w:r w:rsidRPr="005633D9">
        <w:t xml:space="preserve"> to convincingly convey to their clients that the premium product they are marketing is not counterfeit or contaminated with non-treated maize. </w:t>
      </w:r>
    </w:p>
    <w:p w:rsidR="002A2C3B" w:rsidRPr="005633D9" w:rsidRDefault="00134E87" w:rsidP="000A26AA">
      <w:pPr>
        <w:pStyle w:val="Heading3"/>
        <w:rPr>
          <w:lang w:val="en-GB"/>
        </w:rPr>
      </w:pPr>
      <w:r w:rsidRPr="005633D9">
        <w:rPr>
          <w:lang w:val="en-GB"/>
        </w:rPr>
        <w:t>Hypotheses regarding pilot structure effects on implementation</w:t>
      </w:r>
    </w:p>
    <w:p w:rsidR="00F07906" w:rsidRPr="005633D9" w:rsidRDefault="00F07906" w:rsidP="009207E0">
      <w:pPr>
        <w:rPr>
          <w:lang w:val="en-GB"/>
        </w:rPr>
      </w:pPr>
      <w:r w:rsidRPr="005633D9">
        <w:rPr>
          <w:lang w:val="en-GB"/>
        </w:rPr>
        <w:t>Given this</w:t>
      </w:r>
      <w:r w:rsidR="00A13980" w:rsidRPr="005633D9">
        <w:rPr>
          <w:lang w:val="en-GB"/>
        </w:rPr>
        <w:t xml:space="preserve"> backdrop</w:t>
      </w:r>
      <w:r w:rsidRPr="005633D9">
        <w:rPr>
          <w:lang w:val="en-GB"/>
        </w:rPr>
        <w:t xml:space="preserve">, </w:t>
      </w:r>
      <w:r w:rsidR="00DB56EB" w:rsidRPr="005633D9">
        <w:rPr>
          <w:lang w:val="en-GB"/>
        </w:rPr>
        <w:t xml:space="preserve">strategic responses from the aggregators and smallholders </w:t>
      </w:r>
      <w:r w:rsidR="00A13980" w:rsidRPr="005633D9">
        <w:rPr>
          <w:lang w:val="en-GB"/>
        </w:rPr>
        <w:t xml:space="preserve">may include the following actions that would </w:t>
      </w:r>
      <w:r w:rsidR="00575EFD" w:rsidRPr="005633D9">
        <w:rPr>
          <w:lang w:val="en-GB"/>
        </w:rPr>
        <w:t>affect pilot outcomes</w:t>
      </w:r>
      <w:r w:rsidR="00DB56EB" w:rsidRPr="005633D9">
        <w:rPr>
          <w:lang w:val="en-GB"/>
        </w:rPr>
        <w:t>:</w:t>
      </w:r>
    </w:p>
    <w:p w:rsidR="00F07906" w:rsidRPr="005633D9" w:rsidRDefault="00455386" w:rsidP="009207E0">
      <w:pPr>
        <w:pStyle w:val="Bullets"/>
      </w:pPr>
      <w:r w:rsidRPr="005633D9">
        <w:t xml:space="preserve">Aggregators </w:t>
      </w:r>
      <w:r w:rsidR="00A13980" w:rsidRPr="005633D9">
        <w:t>may</w:t>
      </w:r>
      <w:r w:rsidRPr="005633D9">
        <w:t xml:space="preserve"> have a natural proclivity to work with </w:t>
      </w:r>
      <w:r w:rsidR="00D452E7" w:rsidRPr="005633D9">
        <w:t xml:space="preserve">farmers </w:t>
      </w:r>
      <w:r w:rsidRPr="005633D9">
        <w:t xml:space="preserve">who are more </w:t>
      </w:r>
      <w:r w:rsidR="00A42BD9" w:rsidRPr="005633D9">
        <w:t>productive</w:t>
      </w:r>
      <w:r w:rsidR="004F44CF" w:rsidRPr="005633D9">
        <w:t xml:space="preserve"> and</w:t>
      </w:r>
      <w:r w:rsidRPr="005633D9">
        <w:t xml:space="preserve"> have better access to inputs and resources</w:t>
      </w:r>
      <w:r w:rsidR="00762650" w:rsidRPr="005633D9">
        <w:t xml:space="preserve"> (</w:t>
      </w:r>
      <w:r w:rsidR="004F44CF" w:rsidRPr="005633D9">
        <w:t>i.e.</w:t>
      </w:r>
      <w:r w:rsidR="00762650" w:rsidRPr="005633D9">
        <w:t>,</w:t>
      </w:r>
      <w:r w:rsidR="004F44CF" w:rsidRPr="005633D9">
        <w:t xml:space="preserve"> </w:t>
      </w:r>
      <w:r w:rsidR="00055840" w:rsidRPr="005633D9">
        <w:t xml:space="preserve">typically </w:t>
      </w:r>
      <w:r w:rsidRPr="005633D9">
        <w:t xml:space="preserve">larger </w:t>
      </w:r>
      <w:r w:rsidR="00D452E7" w:rsidRPr="005633D9">
        <w:t>farmers</w:t>
      </w:r>
      <w:r w:rsidR="00372874" w:rsidRPr="005633D9">
        <w:t>)</w:t>
      </w:r>
      <w:r w:rsidR="00055840" w:rsidRPr="005633D9">
        <w:t>.</w:t>
      </w:r>
      <w:r w:rsidR="00243735" w:rsidRPr="005633D9">
        <w:t xml:space="preserve"> </w:t>
      </w:r>
      <w:r w:rsidR="0001022D" w:rsidRPr="005633D9">
        <w:t>While t</w:t>
      </w:r>
      <w:r w:rsidR="004F44CF" w:rsidRPr="005633D9">
        <w:t xml:space="preserve">he </w:t>
      </w:r>
      <w:r w:rsidR="00055840" w:rsidRPr="005633D9">
        <w:t xml:space="preserve">AgResults pilot </w:t>
      </w:r>
      <w:r w:rsidR="0001022D" w:rsidRPr="005633D9">
        <w:t xml:space="preserve">requires aggregators to work with smallholders, it </w:t>
      </w:r>
      <w:r w:rsidR="00A42D7E" w:rsidRPr="005633D9">
        <w:t xml:space="preserve">as yet </w:t>
      </w:r>
      <w:r w:rsidR="00055840" w:rsidRPr="005633D9">
        <w:t xml:space="preserve">does not have any clear mechanism to </w:t>
      </w:r>
      <w:r w:rsidR="0001022D" w:rsidRPr="005633D9">
        <w:t>enforce this requirement</w:t>
      </w:r>
      <w:r w:rsidR="00372874" w:rsidRPr="005633D9">
        <w:t>. This</w:t>
      </w:r>
      <w:r w:rsidR="00055840" w:rsidRPr="005633D9">
        <w:t xml:space="preserve"> </w:t>
      </w:r>
      <w:r w:rsidR="00077175" w:rsidRPr="005633D9">
        <w:t xml:space="preserve">may </w:t>
      </w:r>
      <w:r w:rsidR="00055840" w:rsidRPr="005633D9">
        <w:t xml:space="preserve">mean that larger </w:t>
      </w:r>
      <w:r w:rsidR="00D452E7" w:rsidRPr="005633D9">
        <w:t>farmers</w:t>
      </w:r>
      <w:r w:rsidR="00055840" w:rsidRPr="005633D9">
        <w:t xml:space="preserve"> participate in the pilot</w:t>
      </w:r>
      <w:r w:rsidR="00077175" w:rsidRPr="005633D9">
        <w:t>,</w:t>
      </w:r>
      <w:r w:rsidR="006E0D98" w:rsidRPr="005633D9">
        <w:t xml:space="preserve"> </w:t>
      </w:r>
      <w:r w:rsidR="00D15933" w:rsidRPr="005633D9">
        <w:t xml:space="preserve">thereby reducing the pilot’s </w:t>
      </w:r>
      <w:r w:rsidR="005B14FF" w:rsidRPr="005633D9">
        <w:t xml:space="preserve">benefits to the </w:t>
      </w:r>
      <w:r w:rsidR="007A2E54" w:rsidRPr="005633D9">
        <w:t>smallholder</w:t>
      </w:r>
      <w:r w:rsidR="005B14FF" w:rsidRPr="005633D9">
        <w:t>s and their families</w:t>
      </w:r>
      <w:r w:rsidR="00055840" w:rsidRPr="005633D9">
        <w:t xml:space="preserve">. </w:t>
      </w:r>
    </w:p>
    <w:p w:rsidR="00483354" w:rsidRPr="005633D9" w:rsidRDefault="00483354" w:rsidP="009207E0">
      <w:pPr>
        <w:pStyle w:val="Bullets"/>
      </w:pPr>
      <w:r w:rsidRPr="005633D9">
        <w:t xml:space="preserve">The focus on engagement of </w:t>
      </w:r>
      <w:r w:rsidR="007A2E54" w:rsidRPr="005633D9">
        <w:t>smallholder</w:t>
      </w:r>
      <w:r w:rsidRPr="005633D9">
        <w:t>s</w:t>
      </w:r>
      <w:r w:rsidR="00C96FD7" w:rsidRPr="005633D9">
        <w:t xml:space="preserve">, with attendant limits on the maximum size of </w:t>
      </w:r>
      <w:r w:rsidR="00D452E7" w:rsidRPr="005633D9">
        <w:t>maize purchases for which aggregators will receive rewards</w:t>
      </w:r>
      <w:r w:rsidR="00C96FD7" w:rsidRPr="005633D9">
        <w:t xml:space="preserve">, may, in some cases, lead some aggregators to contract </w:t>
      </w:r>
      <w:r w:rsidR="007A2E54" w:rsidRPr="005633D9">
        <w:t>smallholder</w:t>
      </w:r>
      <w:r w:rsidR="00C96FD7" w:rsidRPr="005633D9">
        <w:t>s at the sub-household level to supply maize from individual plots. For</w:t>
      </w:r>
      <w:r w:rsidR="00134E87" w:rsidRPr="005633D9">
        <w:t xml:space="preserve"> example, an aggregator who might not be able to contract a household with 20 hectares of maize could contract the male household head and female household head for 10 hectares each, thus qualifying for the per-unit award on those purchases. This could have the effect of increasing the inclusion—and empowerment—of women in the market if it directly engaged them in the training, negotiations, marketing, and other activities that otherwise might have engaged the male head of household by default.</w:t>
      </w:r>
    </w:p>
    <w:p w:rsidR="00E9732D" w:rsidRPr="005633D9" w:rsidRDefault="00E9732D" w:rsidP="009207E0">
      <w:pPr>
        <w:pStyle w:val="Bullets"/>
      </w:pPr>
      <w:r w:rsidRPr="005633D9">
        <w:t xml:space="preserve">Aggregators may not sell the aflatoxin-free maize to premium markets if they </w:t>
      </w:r>
      <w:r w:rsidR="00A42BD9" w:rsidRPr="005633D9">
        <w:t>face high transaction costs of accessing th</w:t>
      </w:r>
      <w:r w:rsidR="005B14FF" w:rsidRPr="005633D9">
        <w:t>os</w:t>
      </w:r>
      <w:r w:rsidR="00A42BD9" w:rsidRPr="005633D9">
        <w:t>e market</w:t>
      </w:r>
      <w:r w:rsidR="005B14FF" w:rsidRPr="005633D9">
        <w:t>s</w:t>
      </w:r>
      <w:r w:rsidR="00522ADA" w:rsidRPr="005633D9">
        <w:t xml:space="preserve"> or </w:t>
      </w:r>
      <w:r w:rsidR="005B14FF" w:rsidRPr="005633D9">
        <w:t>of storing and transporting</w:t>
      </w:r>
      <w:r w:rsidR="00243735" w:rsidRPr="005633D9">
        <w:t xml:space="preserve"> </w:t>
      </w:r>
      <w:r w:rsidR="00522ADA" w:rsidRPr="005633D9">
        <w:t>aflatoxin-free maize separate</w:t>
      </w:r>
      <w:r w:rsidR="005B14FF" w:rsidRPr="005633D9">
        <w:t>ly from other maize</w:t>
      </w:r>
      <w:r w:rsidR="00A42BD9" w:rsidRPr="005633D9">
        <w:t xml:space="preserve">, since the incentive payment is based on the amount of aflatoxin-free maize that is aggregated from </w:t>
      </w:r>
      <w:r w:rsidR="007A2E54" w:rsidRPr="005633D9">
        <w:t>smallholder</w:t>
      </w:r>
      <w:r w:rsidR="00A42BD9" w:rsidRPr="005633D9">
        <w:t>s,</w:t>
      </w:r>
      <w:r w:rsidR="00243735" w:rsidRPr="005633D9">
        <w:t xml:space="preserve"> </w:t>
      </w:r>
      <w:r w:rsidR="00A42BD9" w:rsidRPr="005633D9">
        <w:t xml:space="preserve">not </w:t>
      </w:r>
      <w:r w:rsidR="005B14FF" w:rsidRPr="005633D9">
        <w:t>the amount sold by aggregators to premium markets</w:t>
      </w:r>
      <w:r w:rsidR="006E454C" w:rsidRPr="005633D9">
        <w:t>.</w:t>
      </w:r>
    </w:p>
    <w:p w:rsidR="00D15933" w:rsidRPr="005633D9" w:rsidRDefault="005B14FF" w:rsidP="00D15933">
      <w:pPr>
        <w:pStyle w:val="Bullets"/>
      </w:pPr>
      <w:r w:rsidRPr="005633D9">
        <w:t xml:space="preserve">Much, </w:t>
      </w:r>
      <w:r w:rsidR="006527DA" w:rsidRPr="005633D9">
        <w:t xml:space="preserve">if not all, of the aflatoxin-free maize </w:t>
      </w:r>
      <w:r w:rsidRPr="005633D9">
        <w:t xml:space="preserve">that does not get blended by aggregators into their overall stocks may get sold </w:t>
      </w:r>
      <w:r w:rsidR="006527DA" w:rsidRPr="005633D9">
        <w:t>to existing premium markets</w:t>
      </w:r>
      <w:r w:rsidR="005A11F2" w:rsidRPr="005633D9">
        <w:t>—</w:t>
      </w:r>
      <w:r w:rsidRPr="005633D9">
        <w:t>the</w:t>
      </w:r>
      <w:r w:rsidR="006527DA" w:rsidRPr="005633D9">
        <w:t xml:space="preserve"> export and feed sectors. Consequently, the p</w:t>
      </w:r>
      <w:r w:rsidR="00D15933" w:rsidRPr="005633D9">
        <w:t>ilot may have limited impact</w:t>
      </w:r>
      <w:r w:rsidR="00246187" w:rsidRPr="005633D9">
        <w:t xml:space="preserve"> </w:t>
      </w:r>
      <w:r w:rsidR="00B52BA5" w:rsidRPr="005633D9">
        <w:t>o</w:t>
      </w:r>
      <w:r w:rsidR="00246187" w:rsidRPr="005633D9">
        <w:t>n</w:t>
      </w:r>
      <w:r w:rsidR="00D15933" w:rsidRPr="005633D9">
        <w:t xml:space="preserve"> increasing awareness and consumption of aflatoxin-free maize in </w:t>
      </w:r>
      <w:r w:rsidRPr="005633D9">
        <w:t xml:space="preserve">domestic consumer </w:t>
      </w:r>
      <w:r w:rsidR="00D15933" w:rsidRPr="005633D9">
        <w:t>markets in Nigeria</w:t>
      </w:r>
      <w:r w:rsidR="00246187" w:rsidRPr="005633D9">
        <w:t>.</w:t>
      </w:r>
      <w:r w:rsidR="00243735" w:rsidRPr="005633D9">
        <w:t xml:space="preserve"> </w:t>
      </w:r>
    </w:p>
    <w:p w:rsidR="00467AA4" w:rsidRPr="005633D9" w:rsidRDefault="00A42BD9" w:rsidP="009207E0">
      <w:pPr>
        <w:pStyle w:val="Bullets"/>
      </w:pPr>
      <w:r w:rsidRPr="005633D9">
        <w:lastRenderedPageBreak/>
        <w:t xml:space="preserve">Smallholders may not </w:t>
      </w:r>
      <w:r w:rsidR="005B14FF" w:rsidRPr="005633D9">
        <w:t>retain any of the</w:t>
      </w:r>
      <w:r w:rsidRPr="005633D9">
        <w:t xml:space="preserve"> </w:t>
      </w:r>
      <w:r w:rsidR="00974CE9" w:rsidRPr="005633D9">
        <w:t xml:space="preserve">aflatoxin-free maize </w:t>
      </w:r>
      <w:r w:rsidR="005B14FF" w:rsidRPr="005633D9">
        <w:t>they produce for</w:t>
      </w:r>
      <w:r w:rsidR="00077175" w:rsidRPr="005633D9">
        <w:t xml:space="preserve"> their</w:t>
      </w:r>
      <w:r w:rsidR="005B14FF" w:rsidRPr="005633D9">
        <w:t xml:space="preserve"> own consumption if </w:t>
      </w:r>
      <w:r w:rsidR="00974CE9" w:rsidRPr="005633D9">
        <w:t xml:space="preserve">aggregators </w:t>
      </w:r>
      <w:r w:rsidR="001476EA" w:rsidRPr="005633D9">
        <w:t xml:space="preserve">pass </w:t>
      </w:r>
      <w:r w:rsidR="005B14FF" w:rsidRPr="005633D9">
        <w:t>along</w:t>
      </w:r>
      <w:r w:rsidR="001476EA" w:rsidRPr="005633D9">
        <w:t xml:space="preserve"> incentive</w:t>
      </w:r>
      <w:r w:rsidR="005B14FF" w:rsidRPr="005633D9">
        <w:t xml:space="preserve"> funds</w:t>
      </w:r>
      <w:r w:rsidR="001476EA" w:rsidRPr="005633D9">
        <w:t xml:space="preserve"> to smallholders</w:t>
      </w:r>
      <w:r w:rsidR="005B14FF" w:rsidRPr="005633D9">
        <w:t xml:space="preserve"> in relation to the amount of </w:t>
      </w:r>
      <w:r w:rsidR="006E0D98" w:rsidRPr="005633D9">
        <w:t>A</w:t>
      </w:r>
      <w:r w:rsidR="005B14FF" w:rsidRPr="005633D9">
        <w:t xml:space="preserve">flasafe-treated maize those </w:t>
      </w:r>
      <w:r w:rsidR="007A2E54" w:rsidRPr="005633D9">
        <w:t>smallholder</w:t>
      </w:r>
      <w:r w:rsidR="005B14FF" w:rsidRPr="005633D9">
        <w:t>s deliver to the aggregator</w:t>
      </w:r>
      <w:r w:rsidR="001476EA" w:rsidRPr="005633D9">
        <w:t xml:space="preserve">. </w:t>
      </w:r>
    </w:p>
    <w:p w:rsidR="00A42BD9" w:rsidRPr="005633D9" w:rsidRDefault="005B14FF" w:rsidP="009207E0">
      <w:pPr>
        <w:pStyle w:val="Bullets"/>
      </w:pPr>
      <w:r w:rsidRPr="005633D9">
        <w:t>Aggregators may not educate smallholders about the</w:t>
      </w:r>
      <w:r w:rsidR="00467AA4" w:rsidRPr="005633D9">
        <w:t xml:space="preserve"> </w:t>
      </w:r>
      <w:r w:rsidRPr="005633D9">
        <w:t xml:space="preserve">health </w:t>
      </w:r>
      <w:r w:rsidR="00467AA4" w:rsidRPr="005633D9">
        <w:t xml:space="preserve">benefits of </w:t>
      </w:r>
      <w:r w:rsidRPr="005633D9">
        <w:t xml:space="preserve">consuming </w:t>
      </w:r>
      <w:r w:rsidR="00467AA4" w:rsidRPr="005633D9">
        <w:t>aflatoxin-free maize if aggregators perceive that smallholders</w:t>
      </w:r>
      <w:r w:rsidR="00B52BA5" w:rsidRPr="005633D9">
        <w:t xml:space="preserve"> without that knowledge</w:t>
      </w:r>
      <w:r w:rsidR="00467AA4" w:rsidRPr="005633D9">
        <w:t xml:space="preserve"> </w:t>
      </w:r>
      <w:r w:rsidRPr="005633D9">
        <w:t>will be</w:t>
      </w:r>
      <w:r w:rsidR="00467AA4" w:rsidRPr="005633D9">
        <w:t xml:space="preserve"> willing to sell </w:t>
      </w:r>
      <w:r w:rsidRPr="005633D9">
        <w:t>more of the</w:t>
      </w:r>
      <w:r w:rsidR="00467AA4" w:rsidRPr="005633D9">
        <w:t xml:space="preserve"> aflatoxin-free maize </w:t>
      </w:r>
      <w:r w:rsidR="00B52BA5" w:rsidRPr="005633D9">
        <w:t xml:space="preserve">they </w:t>
      </w:r>
      <w:r w:rsidRPr="005633D9">
        <w:t>produce</w:t>
      </w:r>
      <w:r w:rsidR="00467AA4" w:rsidRPr="005633D9">
        <w:t>.</w:t>
      </w:r>
      <w:r w:rsidR="00243735" w:rsidRPr="005633D9">
        <w:t xml:space="preserve"> </w:t>
      </w:r>
      <w:r w:rsidRPr="005633D9">
        <w:t>Aggregators could</w:t>
      </w:r>
      <w:r w:rsidR="00467AA4" w:rsidRPr="005633D9">
        <w:t xml:space="preserve"> provide Aflasafe as </w:t>
      </w:r>
      <w:r w:rsidR="006E0D98" w:rsidRPr="005633D9">
        <w:t>a s</w:t>
      </w:r>
      <w:r w:rsidRPr="005633D9">
        <w:t xml:space="preserve">tipulated crop additive </w:t>
      </w:r>
      <w:r w:rsidR="00467AA4" w:rsidRPr="005633D9">
        <w:t>as part of their contractual arrangements</w:t>
      </w:r>
      <w:r w:rsidRPr="005633D9">
        <w:t xml:space="preserve"> without </w:t>
      </w:r>
      <w:r w:rsidR="006E0D98" w:rsidRPr="005633D9">
        <w:t>revealing to s</w:t>
      </w:r>
      <w:r w:rsidRPr="005633D9">
        <w:t>mallholders that it makes the maize safer for human consumption</w:t>
      </w:r>
      <w:r w:rsidR="00467AA4" w:rsidRPr="005633D9">
        <w:t xml:space="preserve">. </w:t>
      </w:r>
      <w:r w:rsidR="0094366E" w:rsidRPr="005633D9">
        <w:t>Even though it is not stipulated that aggregators raise awareness broadly about Aflasafe, it is an expectation of the pilot that such awareness is created to ensure adoption by smallholders.</w:t>
      </w:r>
      <w:r w:rsidR="00467AA4" w:rsidRPr="005633D9">
        <w:t xml:space="preserve"> </w:t>
      </w:r>
    </w:p>
    <w:p w:rsidR="007C3B38" w:rsidRPr="005633D9" w:rsidRDefault="007A2E54" w:rsidP="009207E0">
      <w:pPr>
        <w:pStyle w:val="Bullets"/>
      </w:pPr>
      <w:r w:rsidRPr="005633D9">
        <w:t>Smallholder</w:t>
      </w:r>
      <w:r w:rsidR="007C3B38" w:rsidRPr="005633D9">
        <w:t>s</w:t>
      </w:r>
      <w:r w:rsidR="00154E62" w:rsidRPr="005633D9">
        <w:t xml:space="preserve"> not targeted by aggregators for participation in the pilot</w:t>
      </w:r>
      <w:r w:rsidR="007C3B38" w:rsidRPr="005633D9">
        <w:t xml:space="preserve">, </w:t>
      </w:r>
      <w:r w:rsidR="00DD5D28" w:rsidRPr="005633D9">
        <w:t xml:space="preserve">particularly large </w:t>
      </w:r>
      <w:r w:rsidRPr="005633D9">
        <w:t>smallholder</w:t>
      </w:r>
      <w:r w:rsidR="00DD5D28" w:rsidRPr="005633D9">
        <w:t xml:space="preserve">s </w:t>
      </w:r>
      <w:r w:rsidR="00154E62" w:rsidRPr="005633D9">
        <w:t>with more</w:t>
      </w:r>
      <w:r w:rsidR="00DD5D28" w:rsidRPr="005633D9">
        <w:t xml:space="preserve"> resource</w:t>
      </w:r>
      <w:r w:rsidR="00154E62" w:rsidRPr="005633D9">
        <w:t xml:space="preserve">s of their own, </w:t>
      </w:r>
      <w:r w:rsidR="007C3B38" w:rsidRPr="005633D9">
        <w:t xml:space="preserve">may learn about the </w:t>
      </w:r>
      <w:r w:rsidR="00154E62" w:rsidRPr="005633D9">
        <w:t xml:space="preserve">pilot’s </w:t>
      </w:r>
      <w:r w:rsidR="007C3B38" w:rsidRPr="005633D9">
        <w:t>incentives</w:t>
      </w:r>
      <w:r w:rsidR="00077175" w:rsidRPr="005633D9">
        <w:t>,</w:t>
      </w:r>
      <w:r w:rsidR="007C3B38" w:rsidRPr="005633D9">
        <w:t xml:space="preserve"> procure Aflasafe</w:t>
      </w:r>
      <w:r w:rsidR="00154E62" w:rsidRPr="005633D9">
        <w:t xml:space="preserve"> on their own</w:t>
      </w:r>
      <w:r w:rsidR="007C3B38" w:rsidRPr="005633D9">
        <w:t xml:space="preserve"> (through smallholder</w:t>
      </w:r>
      <w:r w:rsidR="00154E62" w:rsidRPr="005633D9">
        <w:t>s</w:t>
      </w:r>
      <w:r w:rsidR="007C3B38" w:rsidRPr="005633D9">
        <w:t xml:space="preserve"> in the pilot or directly from the market), and sell aflatoxin-free maize to aggregators. </w:t>
      </w:r>
      <w:r w:rsidR="00DD5D28" w:rsidRPr="005633D9">
        <w:t xml:space="preserve">At </w:t>
      </w:r>
      <w:r w:rsidR="00154E62" w:rsidRPr="005633D9">
        <w:t xml:space="preserve">a </w:t>
      </w:r>
      <w:r w:rsidR="00DD5D28" w:rsidRPr="005633D9">
        <w:t xml:space="preserve">minimum, it is very likely that </w:t>
      </w:r>
      <w:r w:rsidR="00154E62" w:rsidRPr="005633D9">
        <w:t>non-participating</w:t>
      </w:r>
      <w:r w:rsidR="00DD5D28" w:rsidRPr="005633D9">
        <w:t xml:space="preserve"> </w:t>
      </w:r>
      <w:r w:rsidRPr="005633D9">
        <w:t>smallholder</w:t>
      </w:r>
      <w:r w:rsidR="00DD5D28" w:rsidRPr="005633D9">
        <w:t xml:space="preserve">s </w:t>
      </w:r>
      <w:r w:rsidR="00154E62" w:rsidRPr="005633D9">
        <w:t xml:space="preserve">who live in the same </w:t>
      </w:r>
      <w:r w:rsidR="00DD5D28" w:rsidRPr="005633D9">
        <w:t xml:space="preserve">villages </w:t>
      </w:r>
      <w:r w:rsidR="00077175" w:rsidRPr="005633D9">
        <w:t xml:space="preserve">as </w:t>
      </w:r>
      <w:r w:rsidR="00154E62" w:rsidRPr="005633D9">
        <w:t xml:space="preserve">participating </w:t>
      </w:r>
      <w:r w:rsidRPr="005633D9">
        <w:t>smallholder</w:t>
      </w:r>
      <w:r w:rsidR="00154E62" w:rsidRPr="005633D9">
        <w:t xml:space="preserve">s will </w:t>
      </w:r>
      <w:r w:rsidR="00DD5D28" w:rsidRPr="005633D9">
        <w:t xml:space="preserve">become aware </w:t>
      </w:r>
      <w:r w:rsidR="00154E62" w:rsidRPr="005633D9">
        <w:t xml:space="preserve">of </w:t>
      </w:r>
      <w:r w:rsidR="00DD5D28" w:rsidRPr="005633D9">
        <w:t>Aflasafe and</w:t>
      </w:r>
      <w:r w:rsidR="00154E62" w:rsidRPr="005633D9">
        <w:t>—</w:t>
      </w:r>
      <w:r w:rsidR="00DD5D28" w:rsidRPr="005633D9">
        <w:t>if aggregators raise awareness</w:t>
      </w:r>
      <w:r w:rsidR="00077175" w:rsidRPr="005633D9">
        <w:t xml:space="preserve"> of</w:t>
      </w:r>
      <w:r w:rsidR="00DD5D28" w:rsidRPr="005633D9">
        <w:t xml:space="preserve"> </w:t>
      </w:r>
      <w:r w:rsidR="00154E62" w:rsidRPr="005633D9">
        <w:t xml:space="preserve">these issues with participating </w:t>
      </w:r>
      <w:r w:rsidRPr="005633D9">
        <w:t>smallholder</w:t>
      </w:r>
      <w:r w:rsidR="00DD5D28" w:rsidRPr="005633D9">
        <w:t>s</w:t>
      </w:r>
      <w:r w:rsidR="00154E62" w:rsidRPr="005633D9">
        <w:t>—</w:t>
      </w:r>
      <w:r w:rsidR="00DD5D28" w:rsidRPr="005633D9">
        <w:t>about aflatoxin</w:t>
      </w:r>
      <w:r w:rsidR="008B50C0">
        <w:t>s</w:t>
      </w:r>
      <w:r w:rsidR="00DD5D28" w:rsidRPr="005633D9">
        <w:t xml:space="preserve"> and </w:t>
      </w:r>
      <w:r w:rsidR="008B50C0">
        <w:t>their</w:t>
      </w:r>
      <w:r w:rsidR="008B50C0" w:rsidRPr="005633D9">
        <w:t xml:space="preserve"> </w:t>
      </w:r>
      <w:r w:rsidR="00DD5D28" w:rsidRPr="005633D9">
        <w:t xml:space="preserve">adverse health </w:t>
      </w:r>
      <w:r w:rsidR="00154E62" w:rsidRPr="005633D9">
        <w:t>effects</w:t>
      </w:r>
      <w:r w:rsidR="00DD5D28" w:rsidRPr="005633D9">
        <w:t xml:space="preserve">. </w:t>
      </w:r>
    </w:p>
    <w:p w:rsidR="00433ED3" w:rsidRPr="005633D9" w:rsidRDefault="00433ED3" w:rsidP="00433ED3">
      <w:pPr>
        <w:pStyle w:val="Bullets"/>
        <w:numPr>
          <w:ilvl w:val="0"/>
          <w:numId w:val="0"/>
        </w:numPr>
      </w:pPr>
    </w:p>
    <w:p w:rsidR="002C194D" w:rsidRPr="005633D9" w:rsidRDefault="00154E62" w:rsidP="0001022D">
      <w:pPr>
        <w:pStyle w:val="Bullets"/>
        <w:numPr>
          <w:ilvl w:val="0"/>
          <w:numId w:val="0"/>
        </w:numPr>
      </w:pPr>
      <w:r w:rsidRPr="005633D9">
        <w:t xml:space="preserve">This set of </w:t>
      </w:r>
      <w:r w:rsidR="00433ED3" w:rsidRPr="005633D9">
        <w:t xml:space="preserve">complex </w:t>
      </w:r>
      <w:r w:rsidRPr="005633D9">
        <w:t xml:space="preserve">potential </w:t>
      </w:r>
      <w:r w:rsidR="00433ED3" w:rsidRPr="005633D9">
        <w:t>interactions</w:t>
      </w:r>
      <w:r w:rsidRPr="005633D9">
        <w:t xml:space="preserve">—and others that the discussion may not have anticipated—imply that </w:t>
      </w:r>
      <w:r w:rsidR="00433ED3" w:rsidRPr="005633D9">
        <w:t xml:space="preserve">the evaluation </w:t>
      </w:r>
      <w:r w:rsidRPr="005633D9">
        <w:t>must</w:t>
      </w:r>
      <w:r w:rsidR="00433ED3" w:rsidRPr="005633D9">
        <w:t xml:space="preserve"> collect </w:t>
      </w:r>
      <w:r w:rsidRPr="005633D9">
        <w:t>extensive</w:t>
      </w:r>
      <w:r w:rsidR="00433ED3" w:rsidRPr="005633D9">
        <w:t xml:space="preserve"> information </w:t>
      </w:r>
      <w:r w:rsidRPr="005633D9">
        <w:t>on</w:t>
      </w:r>
      <w:r w:rsidR="00433ED3" w:rsidRPr="005633D9">
        <w:t xml:space="preserve"> factors that </w:t>
      </w:r>
      <w:r w:rsidRPr="005633D9">
        <w:t>may lead</w:t>
      </w:r>
      <w:r w:rsidR="00433ED3" w:rsidRPr="005633D9">
        <w:t xml:space="preserve"> to the success </w:t>
      </w:r>
      <w:r w:rsidRPr="005633D9">
        <w:t xml:space="preserve">or failure </w:t>
      </w:r>
      <w:r w:rsidR="00433ED3" w:rsidRPr="005633D9">
        <w:t xml:space="preserve">of the pilot </w:t>
      </w:r>
      <w:r w:rsidRPr="005633D9">
        <w:t>in</w:t>
      </w:r>
      <w:r w:rsidR="00433ED3" w:rsidRPr="005633D9">
        <w:t xml:space="preserve"> creat</w:t>
      </w:r>
      <w:r w:rsidRPr="005633D9">
        <w:t>ing</w:t>
      </w:r>
      <w:r w:rsidR="00433ED3" w:rsidRPr="005633D9">
        <w:t xml:space="preserve"> a</w:t>
      </w:r>
      <w:r w:rsidRPr="005633D9">
        <w:t xml:space="preserve"> sustainable</w:t>
      </w:r>
      <w:r w:rsidR="00433ED3" w:rsidRPr="005633D9">
        <w:t xml:space="preserve"> market for aflatoxin-free maize.</w:t>
      </w:r>
      <w:r w:rsidR="002B2B01" w:rsidRPr="005633D9">
        <w:t xml:space="preserve"> </w:t>
      </w:r>
      <w:r w:rsidR="002C194D" w:rsidRPr="005633D9">
        <w:t>The rest of th</w:t>
      </w:r>
      <w:r w:rsidRPr="005633D9">
        <w:t>is</w:t>
      </w:r>
      <w:r w:rsidR="002C194D" w:rsidRPr="005633D9">
        <w:t xml:space="preserve"> document describes </w:t>
      </w:r>
      <w:r w:rsidRPr="005633D9">
        <w:t>Abt</w:t>
      </w:r>
      <w:r w:rsidR="009C4F0F" w:rsidRPr="005633D9">
        <w:t xml:space="preserve"> Associates’</w:t>
      </w:r>
      <w:r w:rsidR="002C194D" w:rsidRPr="005633D9">
        <w:t xml:space="preserve"> proposed approach to assess</w:t>
      </w:r>
      <w:r w:rsidRPr="005633D9">
        <w:t>ing whether</w:t>
      </w:r>
      <w:r w:rsidR="002C194D" w:rsidRPr="005633D9">
        <w:t xml:space="preserve"> the AgResults </w:t>
      </w:r>
      <w:r w:rsidRPr="005633D9">
        <w:t xml:space="preserve">pilot </w:t>
      </w:r>
      <w:r w:rsidR="002C194D" w:rsidRPr="005633D9">
        <w:t xml:space="preserve">achieved </w:t>
      </w:r>
      <w:r w:rsidRPr="005633D9">
        <w:t>its intended</w:t>
      </w:r>
      <w:r w:rsidR="002C194D" w:rsidRPr="005633D9">
        <w:t xml:space="preserve"> impacts</w:t>
      </w:r>
      <w:r w:rsidR="00433ED3" w:rsidRPr="005633D9">
        <w:t xml:space="preserve"> and why</w:t>
      </w:r>
      <w:r w:rsidRPr="005633D9">
        <w:t>—</w:t>
      </w:r>
      <w:r w:rsidR="00433ED3" w:rsidRPr="005633D9">
        <w:t>and if not, why not</w:t>
      </w:r>
      <w:r w:rsidR="002C194D" w:rsidRPr="005633D9">
        <w:t xml:space="preserve">. The next section </w:t>
      </w:r>
      <w:r w:rsidR="0014130B" w:rsidRPr="005633D9">
        <w:t>lists the evaluation questions to be addressed and the types of analytic methods—qualitative, quantitative, mixed—that will be used to address each question.</w:t>
      </w:r>
      <w:r w:rsidR="002B2B01" w:rsidRPr="005633D9">
        <w:t xml:space="preserve"> </w:t>
      </w:r>
      <w:r w:rsidR="002C194D" w:rsidRPr="005633D9">
        <w:t xml:space="preserve">Section 3 </w:t>
      </w:r>
      <w:r w:rsidRPr="005633D9">
        <w:t xml:space="preserve">then </w:t>
      </w:r>
      <w:r w:rsidR="002C194D" w:rsidRPr="005633D9">
        <w:t xml:space="preserve">presents </w:t>
      </w:r>
      <w:r w:rsidRPr="005633D9">
        <w:t>details of the evaluation</w:t>
      </w:r>
      <w:r w:rsidR="0014130B" w:rsidRPr="005633D9">
        <w:t xml:space="preserve"> </w:t>
      </w:r>
      <w:r w:rsidR="00575EFD" w:rsidRPr="005633D9">
        <w:t xml:space="preserve">approach </w:t>
      </w:r>
      <w:r w:rsidRPr="005633D9">
        <w:t>to be used in answering</w:t>
      </w:r>
      <w:r w:rsidR="0014130B" w:rsidRPr="005633D9">
        <w:t xml:space="preserve"> each</w:t>
      </w:r>
      <w:r w:rsidR="00575EFD" w:rsidRPr="005633D9">
        <w:t xml:space="preserve"> question</w:t>
      </w:r>
      <w:r w:rsidR="0014130B" w:rsidRPr="005633D9">
        <w:t>.</w:t>
      </w:r>
      <w:r w:rsidR="002C194D" w:rsidRPr="005633D9">
        <w:t xml:space="preserve"> Section 4 concludes </w:t>
      </w:r>
      <w:r w:rsidRPr="005633D9">
        <w:t>by reviewing</w:t>
      </w:r>
      <w:r w:rsidR="002C194D" w:rsidRPr="005633D9">
        <w:t xml:space="preserve"> the </w:t>
      </w:r>
      <w:r w:rsidR="00575EFD" w:rsidRPr="005633D9">
        <w:t>evaluation</w:t>
      </w:r>
      <w:r w:rsidRPr="005633D9">
        <w:t>’s</w:t>
      </w:r>
      <w:r w:rsidR="00575EFD" w:rsidRPr="005633D9">
        <w:t xml:space="preserve"> implementation </w:t>
      </w:r>
      <w:r w:rsidR="002C194D" w:rsidRPr="005633D9">
        <w:t xml:space="preserve">timeline. </w:t>
      </w:r>
    </w:p>
    <w:p w:rsidR="00E570B7" w:rsidRPr="005633D9" w:rsidRDefault="00C659DA" w:rsidP="00747C79">
      <w:pPr>
        <w:pStyle w:val="Heading1"/>
        <w:rPr>
          <w:noProof w:val="0"/>
          <w:lang w:val="en-GB"/>
        </w:rPr>
      </w:pPr>
      <w:bookmarkStart w:id="18" w:name="_Toc407700409"/>
      <w:bookmarkStart w:id="19" w:name="_Toc353550117"/>
      <w:r w:rsidRPr="005633D9">
        <w:rPr>
          <w:noProof w:val="0"/>
          <w:lang w:val="en-GB"/>
        </w:rPr>
        <w:lastRenderedPageBreak/>
        <w:t>Evaluation</w:t>
      </w:r>
      <w:r w:rsidR="0014130B" w:rsidRPr="005633D9">
        <w:rPr>
          <w:noProof w:val="0"/>
          <w:lang w:val="en-GB"/>
        </w:rPr>
        <w:t xml:space="preserve"> </w:t>
      </w:r>
      <w:r w:rsidR="002222A4" w:rsidRPr="005633D9">
        <w:rPr>
          <w:noProof w:val="0"/>
          <w:lang w:val="en-GB"/>
        </w:rPr>
        <w:t>questions and research method</w:t>
      </w:r>
      <w:r w:rsidR="0014130B" w:rsidRPr="005633D9">
        <w:rPr>
          <w:noProof w:val="0"/>
          <w:lang w:val="en-GB"/>
        </w:rPr>
        <w:t>s</w:t>
      </w:r>
      <w:bookmarkEnd w:id="18"/>
      <w:r w:rsidR="0014130B" w:rsidRPr="005633D9">
        <w:rPr>
          <w:noProof w:val="0"/>
          <w:lang w:val="en-GB"/>
        </w:rPr>
        <w:t xml:space="preserve"> </w:t>
      </w:r>
      <w:bookmarkEnd w:id="19"/>
    </w:p>
    <w:p w:rsidR="00FC2B6C" w:rsidRPr="005633D9" w:rsidRDefault="004B148B" w:rsidP="00305690">
      <w:pPr>
        <w:pStyle w:val="BodyText"/>
      </w:pPr>
      <w:r w:rsidRPr="005633D9">
        <w:t xml:space="preserve">As noted above, the overarching objective of the AgResults Aflasafe pilot is to </w:t>
      </w:r>
      <w:r w:rsidR="00E16F20" w:rsidRPr="005633D9">
        <w:t>stimulate the development of a sustainable, private sector-driven market for aflatoxin-free maize</w:t>
      </w:r>
      <w:r w:rsidR="00857034" w:rsidRPr="005633D9">
        <w:t>,</w:t>
      </w:r>
      <w:r w:rsidR="0094366E" w:rsidRPr="005633D9">
        <w:t xml:space="preserve"> resulting in a reduction in adverse health impacts of aflatoxin</w:t>
      </w:r>
      <w:r w:rsidR="00EE2A66" w:rsidRPr="005633D9">
        <w:t>s</w:t>
      </w:r>
      <w:r w:rsidR="00174CE9" w:rsidRPr="005633D9">
        <w:t>.</w:t>
      </w:r>
    </w:p>
    <w:p w:rsidR="00C659DA" w:rsidRPr="005633D9" w:rsidRDefault="00FC2B6C" w:rsidP="00305690">
      <w:pPr>
        <w:pStyle w:val="BodyText"/>
      </w:pPr>
      <w:r w:rsidRPr="005633D9">
        <w:t>T</w:t>
      </w:r>
      <w:r w:rsidR="00C659DA" w:rsidRPr="005633D9">
        <w:t xml:space="preserve">he AgResults evaluation </w:t>
      </w:r>
      <w:r w:rsidR="004B148B" w:rsidRPr="005633D9">
        <w:t>w</w:t>
      </w:r>
      <w:r w:rsidR="0087261A" w:rsidRPr="005633D9">
        <w:t>i</w:t>
      </w:r>
      <w:r w:rsidR="004B148B" w:rsidRPr="005633D9">
        <w:t>ll answer</w:t>
      </w:r>
      <w:r w:rsidR="00C659DA" w:rsidRPr="005633D9">
        <w:t xml:space="preserve"> seven questions</w:t>
      </w:r>
      <w:r w:rsidR="00174CE9" w:rsidRPr="005633D9">
        <w:t xml:space="preserve"> </w:t>
      </w:r>
      <w:r w:rsidR="00EE2A66" w:rsidRPr="005633D9">
        <w:t>that</w:t>
      </w:r>
      <w:r w:rsidR="00174CE9" w:rsidRPr="005633D9">
        <w:t xml:space="preserve"> respond to this overarching objective</w:t>
      </w:r>
      <w:r w:rsidR="009C4F58" w:rsidRPr="005633D9">
        <w:t xml:space="preserve"> using a mixed-method evaluation approach.</w:t>
      </w:r>
      <w:r w:rsidR="00243735" w:rsidRPr="005633D9">
        <w:t xml:space="preserve"> </w:t>
      </w:r>
      <w:r w:rsidR="00D34D9B">
        <w:fldChar w:fldCharType="begin"/>
      </w:r>
      <w:r w:rsidR="00D34D9B">
        <w:instrText xml:space="preserve"> REF _Ref406699663 \h </w:instrText>
      </w:r>
      <w:r w:rsidR="00D34D9B">
        <w:fldChar w:fldCharType="separate"/>
      </w:r>
      <w:r w:rsidR="00D34D9B" w:rsidRPr="005633D9">
        <w:t xml:space="preserve">Table </w:t>
      </w:r>
      <w:r w:rsidR="00D34D9B">
        <w:rPr>
          <w:noProof/>
        </w:rPr>
        <w:t>2</w:t>
      </w:r>
      <w:r w:rsidR="00D34D9B" w:rsidRPr="005633D9">
        <w:noBreakHyphen/>
      </w:r>
      <w:r w:rsidR="00D34D9B">
        <w:rPr>
          <w:noProof/>
        </w:rPr>
        <w:t>1</w:t>
      </w:r>
      <w:r w:rsidR="00D34D9B">
        <w:fldChar w:fldCharType="end"/>
      </w:r>
      <w:r w:rsidR="009C4F58" w:rsidRPr="005633D9">
        <w:t xml:space="preserve"> presents these evaluation questions along with </w:t>
      </w:r>
      <w:r w:rsidR="00EE2A66" w:rsidRPr="005633D9">
        <w:t xml:space="preserve">the </w:t>
      </w:r>
      <w:r w:rsidR="0050698E" w:rsidRPr="005633D9">
        <w:t>main method we will use to answer the question.</w:t>
      </w:r>
      <w:r w:rsidR="006A17CB" w:rsidRPr="005633D9">
        <w:t xml:space="preserve"> </w:t>
      </w:r>
      <w:r w:rsidR="005E56B0" w:rsidRPr="005633D9">
        <w:t xml:space="preserve">Appendix </w:t>
      </w:r>
      <w:r w:rsidR="00D34D9B">
        <w:t>A</w:t>
      </w:r>
      <w:r w:rsidR="00D34D9B" w:rsidRPr="005633D9">
        <w:t xml:space="preserve"> </w:t>
      </w:r>
      <w:r w:rsidR="005E56B0" w:rsidRPr="005633D9">
        <w:t>provides a more</w:t>
      </w:r>
      <w:r w:rsidR="00243735" w:rsidRPr="005633D9">
        <w:t xml:space="preserve"> </w:t>
      </w:r>
      <w:r w:rsidR="006A17CB" w:rsidRPr="005633D9">
        <w:t xml:space="preserve">detailed mapping </w:t>
      </w:r>
      <w:r w:rsidR="00D34D9B">
        <w:t>showing</w:t>
      </w:r>
      <w:r w:rsidR="00D34D9B" w:rsidRPr="005633D9">
        <w:t xml:space="preserve"> </w:t>
      </w:r>
      <w:r w:rsidR="006A17CB" w:rsidRPr="005633D9">
        <w:t xml:space="preserve">how each </w:t>
      </w:r>
      <w:r w:rsidR="006013E2" w:rsidRPr="005633D9">
        <w:t xml:space="preserve">evaluation </w:t>
      </w:r>
      <w:r w:rsidR="006A17CB" w:rsidRPr="005633D9">
        <w:t>question corresponds to our data collection instruments.</w:t>
      </w:r>
    </w:p>
    <w:p w:rsidR="00C659DA" w:rsidRPr="005633D9" w:rsidRDefault="009E40D8" w:rsidP="00A567CD">
      <w:pPr>
        <w:pStyle w:val="Caption"/>
        <w:rPr>
          <w:lang w:val="en-GB"/>
        </w:rPr>
      </w:pPr>
      <w:bookmarkStart w:id="20" w:name="_Ref406699663"/>
      <w:bookmarkStart w:id="21" w:name="_Toc407700432"/>
      <w:r w:rsidRPr="005633D9">
        <w:rPr>
          <w:lang w:val="en-GB"/>
        </w:rPr>
        <w:t xml:space="preserve">Table </w:t>
      </w:r>
      <w:r w:rsidRPr="005633D9">
        <w:rPr>
          <w:lang w:val="en-GB"/>
        </w:rPr>
        <w:fldChar w:fldCharType="begin"/>
      </w:r>
      <w:r w:rsidRPr="005633D9">
        <w:rPr>
          <w:lang w:val="en-GB"/>
        </w:rPr>
        <w:instrText xml:space="preserve"> STYLEREF 1 \s </w:instrText>
      </w:r>
      <w:r w:rsidRPr="005633D9">
        <w:rPr>
          <w:lang w:val="en-GB"/>
        </w:rPr>
        <w:fldChar w:fldCharType="separate"/>
      </w:r>
      <w:r w:rsidR="00F33102">
        <w:rPr>
          <w:noProof/>
          <w:lang w:val="en-GB"/>
        </w:rPr>
        <w:t>2</w:t>
      </w:r>
      <w:r w:rsidRPr="005633D9">
        <w:rPr>
          <w:lang w:val="en-GB"/>
        </w:rPr>
        <w:fldChar w:fldCharType="end"/>
      </w:r>
      <w:r w:rsidRPr="005633D9">
        <w:rPr>
          <w:lang w:val="en-GB"/>
        </w:rPr>
        <w:noBreakHyphen/>
      </w:r>
      <w:r w:rsidRPr="005633D9">
        <w:rPr>
          <w:lang w:val="en-GB"/>
        </w:rPr>
        <w:fldChar w:fldCharType="begin"/>
      </w:r>
      <w:r w:rsidRPr="005633D9">
        <w:rPr>
          <w:lang w:val="en-GB"/>
        </w:rPr>
        <w:instrText xml:space="preserve"> SEQ Table \* ARABIC \s 1 </w:instrText>
      </w:r>
      <w:r w:rsidRPr="005633D9">
        <w:rPr>
          <w:lang w:val="en-GB"/>
        </w:rPr>
        <w:fldChar w:fldCharType="separate"/>
      </w:r>
      <w:r w:rsidR="00F33102">
        <w:rPr>
          <w:noProof/>
          <w:lang w:val="en-GB"/>
        </w:rPr>
        <w:t>1</w:t>
      </w:r>
      <w:r w:rsidRPr="005633D9">
        <w:rPr>
          <w:lang w:val="en-GB"/>
        </w:rPr>
        <w:fldChar w:fldCharType="end"/>
      </w:r>
      <w:bookmarkEnd w:id="20"/>
      <w:r w:rsidRPr="005633D9">
        <w:rPr>
          <w:lang w:val="en-GB"/>
        </w:rPr>
        <w:t>.</w:t>
      </w:r>
      <w:r w:rsidRPr="005633D9">
        <w:rPr>
          <w:lang w:val="en-GB"/>
        </w:rPr>
        <w:tab/>
      </w:r>
      <w:r w:rsidR="008F64B0" w:rsidRPr="005633D9">
        <w:rPr>
          <w:lang w:val="en-GB"/>
        </w:rPr>
        <w:t xml:space="preserve">Evaluation </w:t>
      </w:r>
      <w:r w:rsidR="002222A4" w:rsidRPr="005633D9">
        <w:rPr>
          <w:lang w:val="en-GB"/>
        </w:rPr>
        <w:t>questions and approaches</w:t>
      </w:r>
      <w:bookmarkEnd w:id="21"/>
      <w:r w:rsidR="002222A4" w:rsidRPr="005633D9">
        <w:rPr>
          <w:lang w:val="en-GB"/>
        </w:rPr>
        <w:t xml:space="preserve"> </w:t>
      </w:r>
    </w:p>
    <w:tbl>
      <w:tblPr>
        <w:tblStyle w:val="AbtFinal"/>
        <w:tblW w:w="5000" w:type="pct"/>
        <w:tblLook w:val="04A0" w:firstRow="1" w:lastRow="0" w:firstColumn="1" w:lastColumn="0" w:noHBand="0" w:noVBand="1"/>
      </w:tblPr>
      <w:tblGrid>
        <w:gridCol w:w="834"/>
        <w:gridCol w:w="4304"/>
        <w:gridCol w:w="4438"/>
      </w:tblGrid>
      <w:tr w:rsidR="0050698E" w:rsidRPr="005633D9" w:rsidTr="0090472C">
        <w:trPr>
          <w:cnfStyle w:val="100000000000" w:firstRow="1" w:lastRow="0" w:firstColumn="0" w:lastColumn="0" w:oddVBand="0" w:evenVBand="0" w:oddHBand="0" w:evenHBand="0" w:firstRowFirstColumn="0" w:firstRowLastColumn="0" w:lastRowFirstColumn="0" w:lastRowLastColumn="0"/>
        </w:trPr>
        <w:tc>
          <w:tcPr>
            <w:tcW w:w="834" w:type="dxa"/>
          </w:tcPr>
          <w:p w:rsidR="0050698E" w:rsidRPr="005633D9" w:rsidRDefault="0050698E" w:rsidP="00B22D64">
            <w:pPr>
              <w:pStyle w:val="ExhibitColumnHead"/>
              <w:rPr>
                <w:b/>
                <w:lang w:val="en-GB"/>
              </w:rPr>
            </w:pPr>
            <w:r w:rsidRPr="005633D9">
              <w:rPr>
                <w:b/>
                <w:lang w:val="en-GB"/>
              </w:rPr>
              <w:t>#</w:t>
            </w:r>
          </w:p>
        </w:tc>
        <w:tc>
          <w:tcPr>
            <w:tcW w:w="4304" w:type="dxa"/>
          </w:tcPr>
          <w:p w:rsidR="0050698E" w:rsidRPr="005633D9" w:rsidRDefault="006013E2" w:rsidP="00B22D64">
            <w:pPr>
              <w:pStyle w:val="ExhibitColumnHead"/>
              <w:rPr>
                <w:b/>
                <w:lang w:val="en-GB"/>
              </w:rPr>
            </w:pPr>
            <w:r w:rsidRPr="005633D9">
              <w:rPr>
                <w:b/>
                <w:lang w:val="en-GB"/>
              </w:rPr>
              <w:t xml:space="preserve">Evaluation </w:t>
            </w:r>
            <w:r w:rsidR="0050698E" w:rsidRPr="005633D9">
              <w:rPr>
                <w:b/>
                <w:lang w:val="en-GB"/>
              </w:rPr>
              <w:t>Question</w:t>
            </w:r>
          </w:p>
        </w:tc>
        <w:tc>
          <w:tcPr>
            <w:tcW w:w="4438" w:type="dxa"/>
          </w:tcPr>
          <w:p w:rsidR="0050698E" w:rsidRPr="005633D9" w:rsidRDefault="0050698E" w:rsidP="00B22D64">
            <w:pPr>
              <w:pStyle w:val="ExhibitColumnHead"/>
              <w:rPr>
                <w:b/>
                <w:lang w:val="en-GB"/>
              </w:rPr>
            </w:pPr>
            <w:r w:rsidRPr="005633D9">
              <w:rPr>
                <w:b/>
                <w:lang w:val="en-GB"/>
              </w:rPr>
              <w:t>Evaluation Method</w:t>
            </w:r>
          </w:p>
        </w:tc>
      </w:tr>
      <w:tr w:rsidR="0050698E" w:rsidRPr="005633D9" w:rsidTr="0090472C">
        <w:trPr>
          <w:cnfStyle w:val="000000100000" w:firstRow="0" w:lastRow="0" w:firstColumn="0" w:lastColumn="0" w:oddVBand="0" w:evenVBand="0" w:oddHBand="1" w:evenHBand="0" w:firstRowFirstColumn="0" w:firstRowLastColumn="0" w:lastRowFirstColumn="0" w:lastRowLastColumn="0"/>
        </w:trPr>
        <w:tc>
          <w:tcPr>
            <w:tcW w:w="834" w:type="dxa"/>
          </w:tcPr>
          <w:p w:rsidR="0050698E" w:rsidRPr="005633D9" w:rsidRDefault="0050698E" w:rsidP="00B22D64">
            <w:pPr>
              <w:pStyle w:val="ExhibitText"/>
              <w:rPr>
                <w:lang w:val="en-GB"/>
              </w:rPr>
            </w:pPr>
            <w:r w:rsidRPr="005633D9">
              <w:rPr>
                <w:lang w:val="en-GB"/>
              </w:rPr>
              <w:t>1</w:t>
            </w:r>
          </w:p>
        </w:tc>
        <w:tc>
          <w:tcPr>
            <w:tcW w:w="4304" w:type="dxa"/>
          </w:tcPr>
          <w:p w:rsidR="0050698E" w:rsidRPr="005633D9" w:rsidRDefault="0050698E" w:rsidP="00B22D64">
            <w:pPr>
              <w:pStyle w:val="ExhibitText"/>
              <w:rPr>
                <w:lang w:val="en-GB"/>
              </w:rPr>
            </w:pPr>
            <w:r w:rsidRPr="005633D9">
              <w:rPr>
                <w:lang w:val="en-GB"/>
              </w:rPr>
              <w:t xml:space="preserve">What has been the impact of the AgResults project/pilot on private sector </w:t>
            </w:r>
            <w:r w:rsidR="00305690" w:rsidRPr="005633D9">
              <w:rPr>
                <w:lang w:val="en-GB"/>
              </w:rPr>
              <w:t xml:space="preserve">engagement </w:t>
            </w:r>
            <w:r w:rsidRPr="005633D9">
              <w:rPr>
                <w:lang w:val="en-GB"/>
              </w:rPr>
              <w:t>in the development and uptake of agricultural innovations?</w:t>
            </w:r>
          </w:p>
        </w:tc>
        <w:tc>
          <w:tcPr>
            <w:tcW w:w="4438" w:type="dxa"/>
          </w:tcPr>
          <w:p w:rsidR="0050698E" w:rsidRPr="005633D9" w:rsidRDefault="0050698E" w:rsidP="00B22D64">
            <w:pPr>
              <w:pStyle w:val="ExhibitText"/>
              <w:rPr>
                <w:lang w:val="en-GB"/>
              </w:rPr>
            </w:pPr>
            <w:r w:rsidRPr="005633D9">
              <w:rPr>
                <w:lang w:val="en-GB"/>
              </w:rPr>
              <w:t>Theory-based qualitative; Structure, Conduct</w:t>
            </w:r>
            <w:r w:rsidR="00FE392B" w:rsidRPr="005633D9">
              <w:rPr>
                <w:lang w:val="en-GB"/>
              </w:rPr>
              <w:t>,</w:t>
            </w:r>
            <w:r w:rsidR="009E40D8" w:rsidRPr="005633D9">
              <w:rPr>
                <w:lang w:val="en-GB"/>
              </w:rPr>
              <w:t xml:space="preserve"> Performance (SCP)</w:t>
            </w:r>
          </w:p>
        </w:tc>
      </w:tr>
      <w:tr w:rsidR="0050698E" w:rsidRPr="005633D9" w:rsidTr="0090472C">
        <w:trPr>
          <w:cnfStyle w:val="000000010000" w:firstRow="0" w:lastRow="0" w:firstColumn="0" w:lastColumn="0" w:oddVBand="0" w:evenVBand="0" w:oddHBand="0" w:evenHBand="1" w:firstRowFirstColumn="0" w:firstRowLastColumn="0" w:lastRowFirstColumn="0" w:lastRowLastColumn="0"/>
        </w:trPr>
        <w:tc>
          <w:tcPr>
            <w:tcW w:w="834" w:type="dxa"/>
          </w:tcPr>
          <w:p w:rsidR="0050698E" w:rsidRPr="005633D9" w:rsidRDefault="0050698E" w:rsidP="00B22D64">
            <w:pPr>
              <w:pStyle w:val="ExhibitText"/>
              <w:rPr>
                <w:lang w:val="en-GB"/>
              </w:rPr>
            </w:pPr>
            <w:r w:rsidRPr="005633D9">
              <w:rPr>
                <w:lang w:val="en-GB"/>
              </w:rPr>
              <w:t>2</w:t>
            </w:r>
          </w:p>
        </w:tc>
        <w:tc>
          <w:tcPr>
            <w:tcW w:w="4304" w:type="dxa"/>
          </w:tcPr>
          <w:p w:rsidR="0050698E" w:rsidRPr="005633D9" w:rsidRDefault="0050698E" w:rsidP="00B22D64">
            <w:pPr>
              <w:pStyle w:val="ExhibitText"/>
              <w:rPr>
                <w:lang w:val="en-GB"/>
              </w:rPr>
            </w:pPr>
            <w:r w:rsidRPr="005633D9">
              <w:rPr>
                <w:lang w:val="en-GB"/>
              </w:rPr>
              <w:t>What has been the impact of the AgResults project/pilot on smallholders’ uptake of Aflasafe?</w:t>
            </w:r>
          </w:p>
        </w:tc>
        <w:tc>
          <w:tcPr>
            <w:tcW w:w="4438" w:type="dxa"/>
          </w:tcPr>
          <w:p w:rsidR="0050698E" w:rsidRPr="005633D9" w:rsidRDefault="0050698E" w:rsidP="00B22D64">
            <w:pPr>
              <w:pStyle w:val="ExhibitText"/>
              <w:rPr>
                <w:lang w:val="en-GB"/>
              </w:rPr>
            </w:pPr>
            <w:r w:rsidRPr="005633D9">
              <w:rPr>
                <w:lang w:val="en-GB"/>
              </w:rPr>
              <w:t>Impact evaluation using Randomized Control Trial (RCT) supplemented by qualitative interviews</w:t>
            </w:r>
          </w:p>
        </w:tc>
      </w:tr>
      <w:tr w:rsidR="0050698E" w:rsidRPr="005633D9" w:rsidTr="0090472C">
        <w:trPr>
          <w:cnfStyle w:val="000000100000" w:firstRow="0" w:lastRow="0" w:firstColumn="0" w:lastColumn="0" w:oddVBand="0" w:evenVBand="0" w:oddHBand="1" w:evenHBand="0" w:firstRowFirstColumn="0" w:firstRowLastColumn="0" w:lastRowFirstColumn="0" w:lastRowLastColumn="0"/>
        </w:trPr>
        <w:tc>
          <w:tcPr>
            <w:tcW w:w="834" w:type="dxa"/>
          </w:tcPr>
          <w:p w:rsidR="0050698E" w:rsidRPr="005633D9" w:rsidRDefault="0050698E" w:rsidP="00B22D64">
            <w:pPr>
              <w:pStyle w:val="ExhibitText"/>
              <w:rPr>
                <w:lang w:val="en-GB"/>
              </w:rPr>
            </w:pPr>
            <w:r w:rsidRPr="005633D9">
              <w:rPr>
                <w:lang w:val="en-GB"/>
              </w:rPr>
              <w:t>3</w:t>
            </w:r>
          </w:p>
        </w:tc>
        <w:tc>
          <w:tcPr>
            <w:tcW w:w="4304" w:type="dxa"/>
          </w:tcPr>
          <w:p w:rsidR="0050698E" w:rsidRPr="005633D9" w:rsidRDefault="0050698E" w:rsidP="00B22D64">
            <w:pPr>
              <w:pStyle w:val="ExhibitText"/>
              <w:rPr>
                <w:lang w:val="en-GB"/>
              </w:rPr>
            </w:pPr>
            <w:r w:rsidRPr="005633D9">
              <w:rPr>
                <w:lang w:val="en-GB"/>
              </w:rPr>
              <w:t>What has been the impact of the AgResults project/pilot on smallholders’ incomes?</w:t>
            </w:r>
          </w:p>
        </w:tc>
        <w:tc>
          <w:tcPr>
            <w:tcW w:w="4438" w:type="dxa"/>
          </w:tcPr>
          <w:p w:rsidR="0050698E" w:rsidRPr="005633D9" w:rsidRDefault="0050698E" w:rsidP="00B22D64">
            <w:pPr>
              <w:pStyle w:val="ExhibitText"/>
              <w:rPr>
                <w:lang w:val="en-GB"/>
              </w:rPr>
            </w:pPr>
            <w:r w:rsidRPr="005633D9">
              <w:rPr>
                <w:lang w:val="en-GB"/>
              </w:rPr>
              <w:t>Impact evaluation using RCT supplemented by qualitative interviews</w:t>
            </w:r>
          </w:p>
        </w:tc>
      </w:tr>
      <w:tr w:rsidR="009E40D8" w:rsidRPr="005633D9" w:rsidTr="0090472C">
        <w:trPr>
          <w:cnfStyle w:val="000000010000" w:firstRow="0" w:lastRow="0" w:firstColumn="0" w:lastColumn="0" w:oddVBand="0" w:evenVBand="0" w:oddHBand="0" w:evenHBand="1" w:firstRowFirstColumn="0" w:firstRowLastColumn="0" w:lastRowFirstColumn="0" w:lastRowLastColumn="0"/>
        </w:trPr>
        <w:tc>
          <w:tcPr>
            <w:tcW w:w="834" w:type="dxa"/>
          </w:tcPr>
          <w:p w:rsidR="009E40D8" w:rsidRPr="005633D9" w:rsidRDefault="009E40D8" w:rsidP="00B22D64">
            <w:pPr>
              <w:pStyle w:val="ExhibitText"/>
              <w:rPr>
                <w:lang w:val="en-GB"/>
              </w:rPr>
            </w:pPr>
            <w:r w:rsidRPr="005633D9">
              <w:rPr>
                <w:lang w:val="en-GB"/>
              </w:rPr>
              <w:t>4</w:t>
            </w:r>
          </w:p>
        </w:tc>
        <w:tc>
          <w:tcPr>
            <w:tcW w:w="4304" w:type="dxa"/>
          </w:tcPr>
          <w:p w:rsidR="009E40D8" w:rsidRPr="005633D9" w:rsidRDefault="009E40D8" w:rsidP="00B22D64">
            <w:pPr>
              <w:pStyle w:val="ExhibitText"/>
              <w:rPr>
                <w:lang w:val="en-GB"/>
              </w:rPr>
            </w:pPr>
            <w:r w:rsidRPr="005633D9">
              <w:rPr>
                <w:lang w:val="en-GB"/>
              </w:rPr>
              <w:t>What has been the impact of the AgResults project/pilot on poor consumers’ demand for derivative food products (i.e., aflatoxin-free maize)?</w:t>
            </w:r>
          </w:p>
        </w:tc>
        <w:tc>
          <w:tcPr>
            <w:tcW w:w="4438" w:type="dxa"/>
          </w:tcPr>
          <w:p w:rsidR="009E40D8" w:rsidRPr="005633D9" w:rsidRDefault="009E40D8" w:rsidP="00B22D64">
            <w:pPr>
              <w:pStyle w:val="ExhibitText"/>
              <w:rPr>
                <w:lang w:val="en-GB"/>
              </w:rPr>
            </w:pPr>
            <w:r w:rsidRPr="005633D9">
              <w:rPr>
                <w:i/>
                <w:lang w:val="en-GB"/>
              </w:rPr>
              <w:t xml:space="preserve">Study </w:t>
            </w:r>
            <w:r w:rsidR="0090472C" w:rsidRPr="005633D9">
              <w:rPr>
                <w:i/>
                <w:lang w:val="en-GB"/>
              </w:rPr>
              <w:t>sample</w:t>
            </w:r>
            <w:r w:rsidRPr="005633D9">
              <w:rPr>
                <w:i/>
                <w:lang w:val="en-GB"/>
              </w:rPr>
              <w:t>:</w:t>
            </w:r>
            <w:r w:rsidRPr="005633D9">
              <w:rPr>
                <w:lang w:val="en-GB"/>
              </w:rPr>
              <w:t xml:space="preserve"> Impact evaluation using RCT </w:t>
            </w:r>
          </w:p>
          <w:p w:rsidR="009E40D8" w:rsidRPr="005633D9" w:rsidRDefault="009E40D8" w:rsidP="00B22D64">
            <w:pPr>
              <w:pStyle w:val="ExhibitText"/>
              <w:rPr>
                <w:lang w:val="en-GB"/>
              </w:rPr>
            </w:pPr>
            <w:r w:rsidRPr="005633D9">
              <w:rPr>
                <w:i/>
                <w:lang w:val="en-GB"/>
              </w:rPr>
              <w:t xml:space="preserve">Urban </w:t>
            </w:r>
            <w:r w:rsidR="0090472C" w:rsidRPr="005633D9">
              <w:rPr>
                <w:i/>
                <w:lang w:val="en-GB"/>
              </w:rPr>
              <w:t>consumers</w:t>
            </w:r>
            <w:r w:rsidRPr="005633D9">
              <w:rPr>
                <w:i/>
                <w:lang w:val="en-GB"/>
              </w:rPr>
              <w:t>:</w:t>
            </w:r>
            <w:r w:rsidRPr="005633D9">
              <w:rPr>
                <w:lang w:val="en-GB"/>
              </w:rPr>
              <w:t xml:space="preserve"> Qualitative point-of-sale surveys at retail outlets</w:t>
            </w:r>
          </w:p>
        </w:tc>
      </w:tr>
      <w:tr w:rsidR="0050698E" w:rsidRPr="005633D9" w:rsidTr="0090472C">
        <w:trPr>
          <w:cnfStyle w:val="000000100000" w:firstRow="0" w:lastRow="0" w:firstColumn="0" w:lastColumn="0" w:oddVBand="0" w:evenVBand="0" w:oddHBand="1" w:evenHBand="0" w:firstRowFirstColumn="0" w:firstRowLastColumn="0" w:lastRowFirstColumn="0" w:lastRowLastColumn="0"/>
        </w:trPr>
        <w:tc>
          <w:tcPr>
            <w:tcW w:w="834" w:type="dxa"/>
          </w:tcPr>
          <w:p w:rsidR="0050698E" w:rsidRPr="005633D9" w:rsidRDefault="0050698E" w:rsidP="00B22D64">
            <w:pPr>
              <w:pStyle w:val="ExhibitText"/>
              <w:rPr>
                <w:lang w:val="en-GB"/>
              </w:rPr>
            </w:pPr>
            <w:r w:rsidRPr="005633D9">
              <w:rPr>
                <w:lang w:val="en-GB"/>
              </w:rPr>
              <w:t>5</w:t>
            </w:r>
          </w:p>
        </w:tc>
        <w:tc>
          <w:tcPr>
            <w:tcW w:w="4304" w:type="dxa"/>
          </w:tcPr>
          <w:p w:rsidR="0050698E" w:rsidRPr="005633D9" w:rsidRDefault="0050698E" w:rsidP="00B22D64">
            <w:pPr>
              <w:pStyle w:val="ExhibitText"/>
              <w:rPr>
                <w:lang w:val="en-GB"/>
              </w:rPr>
            </w:pPr>
            <w:r w:rsidRPr="005633D9">
              <w:rPr>
                <w:lang w:val="en-GB"/>
              </w:rPr>
              <w:t>What evidence exists that the AgResults pilot is scalable and that its effect will be sustainable in the medium to long term?</w:t>
            </w:r>
          </w:p>
        </w:tc>
        <w:tc>
          <w:tcPr>
            <w:tcW w:w="4438" w:type="dxa"/>
          </w:tcPr>
          <w:p w:rsidR="0050698E" w:rsidRPr="005633D9" w:rsidRDefault="0050698E" w:rsidP="00B22D64">
            <w:pPr>
              <w:pStyle w:val="ExhibitText"/>
              <w:rPr>
                <w:lang w:val="en-GB"/>
              </w:rPr>
            </w:pPr>
            <w:r w:rsidRPr="005633D9">
              <w:rPr>
                <w:lang w:val="en-GB"/>
              </w:rPr>
              <w:t xml:space="preserve">Combination of SCP, qualitative </w:t>
            </w:r>
            <w:r w:rsidR="007A2E54" w:rsidRPr="005633D9">
              <w:rPr>
                <w:lang w:val="en-GB"/>
              </w:rPr>
              <w:t>smallholder</w:t>
            </w:r>
            <w:r w:rsidRPr="005633D9">
              <w:rPr>
                <w:lang w:val="en-GB"/>
              </w:rPr>
              <w:t xml:space="preserve"> interviews</w:t>
            </w:r>
            <w:r w:rsidR="00406543" w:rsidRPr="005633D9">
              <w:rPr>
                <w:lang w:val="en-GB"/>
              </w:rPr>
              <w:t>,</w:t>
            </w:r>
            <w:r w:rsidRPr="005633D9">
              <w:rPr>
                <w:lang w:val="en-GB"/>
              </w:rPr>
              <w:t xml:space="preserve"> and demand analysis</w:t>
            </w:r>
          </w:p>
        </w:tc>
      </w:tr>
      <w:tr w:rsidR="0050698E" w:rsidRPr="005633D9" w:rsidTr="0090472C">
        <w:trPr>
          <w:cnfStyle w:val="000000010000" w:firstRow="0" w:lastRow="0" w:firstColumn="0" w:lastColumn="0" w:oddVBand="0" w:evenVBand="0" w:oddHBand="0" w:evenHBand="1" w:firstRowFirstColumn="0" w:firstRowLastColumn="0" w:lastRowFirstColumn="0" w:lastRowLastColumn="0"/>
        </w:trPr>
        <w:tc>
          <w:tcPr>
            <w:tcW w:w="834" w:type="dxa"/>
          </w:tcPr>
          <w:p w:rsidR="0050698E" w:rsidRPr="005633D9" w:rsidRDefault="0050698E" w:rsidP="00B22D64">
            <w:pPr>
              <w:pStyle w:val="ExhibitText"/>
              <w:rPr>
                <w:lang w:val="en-GB"/>
              </w:rPr>
            </w:pPr>
            <w:r w:rsidRPr="005633D9">
              <w:rPr>
                <w:lang w:val="en-GB"/>
              </w:rPr>
              <w:t>6</w:t>
            </w:r>
          </w:p>
        </w:tc>
        <w:tc>
          <w:tcPr>
            <w:tcW w:w="4304" w:type="dxa"/>
          </w:tcPr>
          <w:p w:rsidR="0050698E" w:rsidRPr="005633D9" w:rsidRDefault="0050698E" w:rsidP="00B22D64">
            <w:pPr>
              <w:pStyle w:val="ExhibitText"/>
              <w:rPr>
                <w:lang w:val="en-GB"/>
              </w:rPr>
            </w:pPr>
            <w:r w:rsidRPr="005633D9">
              <w:rPr>
                <w:lang w:val="en-GB"/>
              </w:rPr>
              <w:t>What is the evidence on the scale of any effect on private sector investment and uptake and on the cost-effectiveness of AgResults as an approach?</w:t>
            </w:r>
          </w:p>
        </w:tc>
        <w:tc>
          <w:tcPr>
            <w:tcW w:w="4438" w:type="dxa"/>
          </w:tcPr>
          <w:p w:rsidR="0050698E" w:rsidRPr="005633D9" w:rsidRDefault="0050698E" w:rsidP="00B22D64">
            <w:pPr>
              <w:pStyle w:val="ExhibitText"/>
              <w:rPr>
                <w:lang w:val="en-GB"/>
              </w:rPr>
            </w:pPr>
            <w:r w:rsidRPr="005633D9">
              <w:rPr>
                <w:lang w:val="en-GB"/>
              </w:rPr>
              <w:t>SCP, with focus on market structure</w:t>
            </w:r>
            <w:r w:rsidR="00406543" w:rsidRPr="005633D9">
              <w:rPr>
                <w:lang w:val="en-GB"/>
              </w:rPr>
              <w:t xml:space="preserve"> and per-</w:t>
            </w:r>
            <w:r w:rsidR="00E30754" w:rsidRPr="005633D9">
              <w:rPr>
                <w:lang w:val="en-GB"/>
              </w:rPr>
              <w:t>unit cost effectiveness of key outcomes</w:t>
            </w:r>
          </w:p>
        </w:tc>
      </w:tr>
      <w:tr w:rsidR="0050698E" w:rsidRPr="005633D9" w:rsidTr="0090472C">
        <w:trPr>
          <w:cnfStyle w:val="000000100000" w:firstRow="0" w:lastRow="0" w:firstColumn="0" w:lastColumn="0" w:oddVBand="0" w:evenVBand="0" w:oddHBand="1" w:evenHBand="0" w:firstRowFirstColumn="0" w:firstRowLastColumn="0" w:lastRowFirstColumn="0" w:lastRowLastColumn="0"/>
        </w:trPr>
        <w:tc>
          <w:tcPr>
            <w:tcW w:w="834" w:type="dxa"/>
          </w:tcPr>
          <w:p w:rsidR="0050698E" w:rsidRPr="005633D9" w:rsidRDefault="0050698E" w:rsidP="00B22D64">
            <w:pPr>
              <w:pStyle w:val="ExhibitText"/>
              <w:rPr>
                <w:lang w:val="en-GB"/>
              </w:rPr>
            </w:pPr>
            <w:r w:rsidRPr="005633D9">
              <w:rPr>
                <w:lang w:val="en-GB"/>
              </w:rPr>
              <w:t>7</w:t>
            </w:r>
          </w:p>
        </w:tc>
        <w:tc>
          <w:tcPr>
            <w:tcW w:w="4304" w:type="dxa"/>
          </w:tcPr>
          <w:p w:rsidR="0050698E" w:rsidRPr="005633D9" w:rsidRDefault="009C4F0F" w:rsidP="00B22D64">
            <w:pPr>
              <w:pStyle w:val="ExhibitText"/>
              <w:rPr>
                <w:lang w:val="en-GB"/>
              </w:rPr>
            </w:pPr>
            <w:r w:rsidRPr="005633D9">
              <w:rPr>
                <w:lang w:val="en-GB"/>
              </w:rPr>
              <w:t>What lessons can be learnt</w:t>
            </w:r>
            <w:r w:rsidR="0050698E" w:rsidRPr="005633D9">
              <w:rPr>
                <w:lang w:val="en-GB"/>
              </w:rPr>
              <w:t xml:space="preserve"> about best practices in the design and implementation of agricultural pull mechanisms?</w:t>
            </w:r>
          </w:p>
        </w:tc>
        <w:tc>
          <w:tcPr>
            <w:tcW w:w="4438" w:type="dxa"/>
          </w:tcPr>
          <w:p w:rsidR="0050698E" w:rsidRPr="005633D9" w:rsidRDefault="0050698E" w:rsidP="00B22D64">
            <w:pPr>
              <w:pStyle w:val="ExhibitText"/>
              <w:rPr>
                <w:lang w:val="en-GB"/>
              </w:rPr>
            </w:pPr>
            <w:r w:rsidRPr="005633D9">
              <w:rPr>
                <w:lang w:val="en-GB"/>
              </w:rPr>
              <w:t xml:space="preserve">Compilation of results from all AgResults </w:t>
            </w:r>
            <w:r w:rsidR="00406543" w:rsidRPr="005633D9">
              <w:rPr>
                <w:lang w:val="en-GB"/>
              </w:rPr>
              <w:t>p</w:t>
            </w:r>
            <w:r w:rsidRPr="005633D9">
              <w:rPr>
                <w:lang w:val="en-GB"/>
              </w:rPr>
              <w:t>ilot evaluations</w:t>
            </w:r>
          </w:p>
        </w:tc>
      </w:tr>
    </w:tbl>
    <w:p w:rsidR="005E56B0" w:rsidRPr="005633D9" w:rsidRDefault="005E56B0" w:rsidP="003C327F">
      <w:pPr>
        <w:rPr>
          <w:lang w:val="en-GB"/>
        </w:rPr>
      </w:pPr>
    </w:p>
    <w:p w:rsidR="00C659DA" w:rsidRPr="005633D9" w:rsidRDefault="00E1637F" w:rsidP="003C327F">
      <w:pPr>
        <w:rPr>
          <w:lang w:val="en-GB"/>
        </w:rPr>
      </w:pPr>
      <w:r w:rsidRPr="005633D9">
        <w:rPr>
          <w:lang w:val="en-GB"/>
        </w:rPr>
        <w:t>We will also address, within each of the seven questions, whether the pilot’s impact has had any gender-differentiated effects, a</w:t>
      </w:r>
      <w:r w:rsidR="00876374" w:rsidRPr="005633D9">
        <w:rPr>
          <w:lang w:val="en-GB"/>
        </w:rPr>
        <w:t>nd analys</w:t>
      </w:r>
      <w:r w:rsidRPr="005633D9">
        <w:rPr>
          <w:lang w:val="en-GB"/>
        </w:rPr>
        <w:t xml:space="preserve">e the determinants of any such effects that are identified. </w:t>
      </w:r>
      <w:r w:rsidR="002E3AC8" w:rsidRPr="005633D9">
        <w:rPr>
          <w:lang w:val="en-GB"/>
        </w:rPr>
        <w:t xml:space="preserve">Questions 1, </w:t>
      </w:r>
      <w:r w:rsidR="00811DEB" w:rsidRPr="005633D9">
        <w:rPr>
          <w:lang w:val="en-GB"/>
        </w:rPr>
        <w:t xml:space="preserve">4, </w:t>
      </w:r>
      <w:r w:rsidR="002E3AC8" w:rsidRPr="005633D9">
        <w:rPr>
          <w:lang w:val="en-GB"/>
        </w:rPr>
        <w:t>5, 6</w:t>
      </w:r>
      <w:r w:rsidR="00426E7E" w:rsidRPr="005633D9">
        <w:rPr>
          <w:lang w:val="en-GB"/>
        </w:rPr>
        <w:t>,</w:t>
      </w:r>
      <w:r w:rsidR="002E3AC8" w:rsidRPr="005633D9">
        <w:rPr>
          <w:lang w:val="en-GB"/>
        </w:rPr>
        <w:t xml:space="preserve"> and 7 are related to the pilot’s impact on the market and</w:t>
      </w:r>
      <w:r w:rsidR="000173F2" w:rsidRPr="005633D9">
        <w:rPr>
          <w:lang w:val="en-GB"/>
        </w:rPr>
        <w:t xml:space="preserve"> are</w:t>
      </w:r>
      <w:r w:rsidR="0087261A" w:rsidRPr="005633D9">
        <w:rPr>
          <w:lang w:val="en-GB"/>
        </w:rPr>
        <w:t xml:space="preserve"> perhaps the most important from </w:t>
      </w:r>
      <w:r w:rsidR="000173F2" w:rsidRPr="005633D9">
        <w:rPr>
          <w:lang w:val="en-GB"/>
        </w:rPr>
        <w:t xml:space="preserve">the perspective of the contributions </w:t>
      </w:r>
      <w:r w:rsidR="00426E7E" w:rsidRPr="005633D9">
        <w:rPr>
          <w:lang w:val="en-GB"/>
        </w:rPr>
        <w:t>they make</w:t>
      </w:r>
      <w:r w:rsidR="000173F2" w:rsidRPr="005633D9">
        <w:rPr>
          <w:lang w:val="en-GB"/>
        </w:rPr>
        <w:t xml:space="preserve"> </w:t>
      </w:r>
      <w:r w:rsidR="00077175" w:rsidRPr="005633D9">
        <w:rPr>
          <w:lang w:val="en-GB"/>
        </w:rPr>
        <w:t xml:space="preserve">to </w:t>
      </w:r>
      <w:r w:rsidR="00FC2B6C" w:rsidRPr="005633D9">
        <w:rPr>
          <w:lang w:val="en-GB"/>
        </w:rPr>
        <w:t xml:space="preserve">the </w:t>
      </w:r>
      <w:r w:rsidR="000173F2" w:rsidRPr="005633D9">
        <w:rPr>
          <w:lang w:val="en-GB"/>
        </w:rPr>
        <w:t xml:space="preserve">development policy </w:t>
      </w:r>
      <w:r w:rsidR="0087261A" w:rsidRPr="005633D9">
        <w:rPr>
          <w:lang w:val="en-GB"/>
        </w:rPr>
        <w:t>learning agenda</w:t>
      </w:r>
      <w:r w:rsidR="000173F2" w:rsidRPr="005633D9">
        <w:rPr>
          <w:lang w:val="en-GB"/>
        </w:rPr>
        <w:t>.</w:t>
      </w:r>
      <w:r w:rsidR="00243735" w:rsidRPr="005633D9">
        <w:rPr>
          <w:lang w:val="en-GB"/>
        </w:rPr>
        <w:t xml:space="preserve"> </w:t>
      </w:r>
      <w:r w:rsidR="002E3AC8" w:rsidRPr="005633D9">
        <w:rPr>
          <w:lang w:val="en-GB"/>
        </w:rPr>
        <w:t xml:space="preserve">To attribute a causal impact of the pilot on the market or private sector engagement, the evaluation has to </w:t>
      </w:r>
      <w:r w:rsidR="00FC2B6C" w:rsidRPr="005633D9">
        <w:rPr>
          <w:lang w:val="en-GB"/>
        </w:rPr>
        <w:t>contrast</w:t>
      </w:r>
      <w:r w:rsidR="002E3AC8" w:rsidRPr="005633D9">
        <w:rPr>
          <w:lang w:val="en-GB"/>
        </w:rPr>
        <w:t xml:space="preserve"> markets </w:t>
      </w:r>
      <w:r w:rsidR="00FC2B6C" w:rsidRPr="005633D9">
        <w:rPr>
          <w:lang w:val="en-GB"/>
        </w:rPr>
        <w:t xml:space="preserve">that are subject to </w:t>
      </w:r>
      <w:r w:rsidR="002E3AC8" w:rsidRPr="005633D9">
        <w:rPr>
          <w:lang w:val="en-GB"/>
        </w:rPr>
        <w:t>the pilot pull mechanism</w:t>
      </w:r>
      <w:r w:rsidR="00FC2B6C" w:rsidRPr="005633D9">
        <w:rPr>
          <w:lang w:val="en-GB"/>
        </w:rPr>
        <w:t xml:space="preserve"> with </w:t>
      </w:r>
      <w:r w:rsidR="002E3AC8" w:rsidRPr="005633D9">
        <w:rPr>
          <w:lang w:val="en-GB"/>
        </w:rPr>
        <w:t>other</w:t>
      </w:r>
      <w:r w:rsidR="00FC2B6C" w:rsidRPr="005633D9">
        <w:rPr>
          <w:lang w:val="en-GB"/>
        </w:rPr>
        <w:t xml:space="preserve"> markets</w:t>
      </w:r>
      <w:r w:rsidR="002E3AC8" w:rsidRPr="005633D9">
        <w:rPr>
          <w:lang w:val="en-GB"/>
        </w:rPr>
        <w:t xml:space="preserve"> </w:t>
      </w:r>
      <w:r w:rsidR="00FC2B6C" w:rsidRPr="005633D9">
        <w:rPr>
          <w:lang w:val="en-GB"/>
        </w:rPr>
        <w:t>that are not.</w:t>
      </w:r>
      <w:r w:rsidR="00243735" w:rsidRPr="005633D9">
        <w:rPr>
          <w:lang w:val="en-GB"/>
        </w:rPr>
        <w:t xml:space="preserve"> </w:t>
      </w:r>
      <w:r w:rsidR="00575EFD" w:rsidRPr="005633D9">
        <w:rPr>
          <w:lang w:val="en-GB"/>
        </w:rPr>
        <w:t>S</w:t>
      </w:r>
      <w:r w:rsidR="00735F91" w:rsidRPr="005633D9">
        <w:rPr>
          <w:lang w:val="en-GB"/>
        </w:rPr>
        <w:t>mall numbers of market participants and multiple levels of interaction</w:t>
      </w:r>
      <w:r w:rsidR="00575EFD" w:rsidRPr="005633D9">
        <w:rPr>
          <w:lang w:val="en-GB"/>
        </w:rPr>
        <w:t xml:space="preserve"> make</w:t>
      </w:r>
      <w:r w:rsidR="00735F91" w:rsidRPr="005633D9">
        <w:rPr>
          <w:lang w:val="en-GB"/>
        </w:rPr>
        <w:t xml:space="preserve"> </w:t>
      </w:r>
      <w:r w:rsidR="002E3AC8" w:rsidRPr="005633D9">
        <w:rPr>
          <w:lang w:val="en-GB"/>
        </w:rPr>
        <w:t xml:space="preserve">it difficult to </w:t>
      </w:r>
      <w:r w:rsidR="00FC2B6C" w:rsidRPr="005633D9">
        <w:rPr>
          <w:lang w:val="en-GB"/>
        </w:rPr>
        <w:t>measure these consequences in a large</w:t>
      </w:r>
      <w:r w:rsidR="00426E7E" w:rsidRPr="005633D9">
        <w:rPr>
          <w:lang w:val="en-GB"/>
        </w:rPr>
        <w:t>,</w:t>
      </w:r>
      <w:r w:rsidR="00FC2B6C" w:rsidRPr="005633D9">
        <w:rPr>
          <w:lang w:val="en-GB"/>
        </w:rPr>
        <w:t xml:space="preserve"> sample-based</w:t>
      </w:r>
      <w:r w:rsidR="002E3AC8" w:rsidRPr="005633D9">
        <w:rPr>
          <w:lang w:val="en-GB"/>
        </w:rPr>
        <w:t xml:space="preserve"> quantitative evaluation.</w:t>
      </w:r>
      <w:r w:rsidR="00243735" w:rsidRPr="005633D9">
        <w:rPr>
          <w:lang w:val="en-GB"/>
        </w:rPr>
        <w:t xml:space="preserve"> </w:t>
      </w:r>
      <w:r w:rsidR="002E3AC8" w:rsidRPr="005633D9">
        <w:rPr>
          <w:lang w:val="en-GB"/>
        </w:rPr>
        <w:t xml:space="preserve">Therefore, we </w:t>
      </w:r>
      <w:r w:rsidR="00D139EC" w:rsidRPr="005633D9">
        <w:rPr>
          <w:lang w:val="en-GB"/>
        </w:rPr>
        <w:t>will</w:t>
      </w:r>
      <w:r w:rsidR="002E3AC8" w:rsidRPr="005633D9">
        <w:rPr>
          <w:lang w:val="en-GB"/>
        </w:rPr>
        <w:t xml:space="preserve"> </w:t>
      </w:r>
      <w:r w:rsidR="00FC2B6C" w:rsidRPr="005633D9">
        <w:rPr>
          <w:lang w:val="en-GB"/>
        </w:rPr>
        <w:t xml:space="preserve">assess </w:t>
      </w:r>
      <w:r w:rsidR="002E3AC8" w:rsidRPr="005633D9">
        <w:rPr>
          <w:lang w:val="en-GB"/>
        </w:rPr>
        <w:t>the</w:t>
      </w:r>
      <w:r w:rsidR="002E3AC8" w:rsidRPr="005633D9">
        <w:rPr>
          <w:rFonts w:ascii="Times" w:hAnsi="Times"/>
          <w:lang w:val="en-GB"/>
        </w:rPr>
        <w:t xml:space="preserve"> market-level </w:t>
      </w:r>
      <w:r w:rsidR="00FC2B6C" w:rsidRPr="005633D9">
        <w:rPr>
          <w:rFonts w:ascii="Times" w:hAnsi="Times"/>
          <w:lang w:val="en-GB"/>
        </w:rPr>
        <w:t xml:space="preserve">questions on the agenda </w:t>
      </w:r>
      <w:r w:rsidR="002E3AC8" w:rsidRPr="005633D9">
        <w:rPr>
          <w:rFonts w:ascii="Times" w:hAnsi="Times"/>
          <w:lang w:val="en-GB"/>
        </w:rPr>
        <w:t>(questions 1, 5, 6</w:t>
      </w:r>
      <w:r w:rsidR="00426E7E" w:rsidRPr="005633D9">
        <w:rPr>
          <w:rFonts w:ascii="Times" w:hAnsi="Times"/>
          <w:lang w:val="en-GB"/>
        </w:rPr>
        <w:t>,</w:t>
      </w:r>
      <w:r w:rsidR="002E3AC8" w:rsidRPr="005633D9">
        <w:rPr>
          <w:rFonts w:ascii="Times" w:hAnsi="Times"/>
          <w:lang w:val="en-GB"/>
        </w:rPr>
        <w:t xml:space="preserve"> and 7) using </w:t>
      </w:r>
      <w:r w:rsidR="00575EFD" w:rsidRPr="005633D9">
        <w:rPr>
          <w:rFonts w:ascii="Times" w:hAnsi="Times"/>
          <w:lang w:val="en-GB"/>
        </w:rPr>
        <w:t xml:space="preserve">primarily </w:t>
      </w:r>
      <w:r w:rsidR="002E3AC8" w:rsidRPr="005633D9">
        <w:rPr>
          <w:rFonts w:ascii="Times" w:hAnsi="Times"/>
          <w:lang w:val="en-GB"/>
        </w:rPr>
        <w:t>qualitative methods</w:t>
      </w:r>
      <w:r w:rsidR="00FC2B6C" w:rsidRPr="005633D9">
        <w:rPr>
          <w:rFonts w:ascii="Times" w:hAnsi="Times"/>
          <w:lang w:val="en-GB"/>
        </w:rPr>
        <w:t>—</w:t>
      </w:r>
      <w:r w:rsidR="003C327F" w:rsidRPr="005633D9">
        <w:rPr>
          <w:rFonts w:ascii="Times" w:hAnsi="Times"/>
          <w:lang w:val="en-GB"/>
        </w:rPr>
        <w:t>specifically</w:t>
      </w:r>
      <w:r w:rsidR="00FE392B" w:rsidRPr="005633D9">
        <w:rPr>
          <w:rFonts w:ascii="Times" w:hAnsi="Times"/>
          <w:lang w:val="en-GB"/>
        </w:rPr>
        <w:t>,</w:t>
      </w:r>
      <w:r w:rsidR="003C327F" w:rsidRPr="005633D9">
        <w:rPr>
          <w:rFonts w:ascii="Times" w:hAnsi="Times"/>
          <w:lang w:val="en-GB"/>
        </w:rPr>
        <w:t xml:space="preserve"> a</w:t>
      </w:r>
      <w:r w:rsidR="00FE392B" w:rsidRPr="005633D9">
        <w:rPr>
          <w:rFonts w:ascii="Times" w:hAnsi="Times"/>
          <w:lang w:val="en-GB"/>
        </w:rPr>
        <w:t xml:space="preserve">n </w:t>
      </w:r>
      <w:r w:rsidR="003C327F" w:rsidRPr="005633D9">
        <w:rPr>
          <w:rFonts w:ascii="Times" w:hAnsi="Times"/>
          <w:lang w:val="en-GB"/>
        </w:rPr>
        <w:t>SCP framework</w:t>
      </w:r>
      <w:r w:rsidR="002E3AC8" w:rsidRPr="005633D9">
        <w:rPr>
          <w:rFonts w:ascii="Times" w:hAnsi="Times"/>
          <w:lang w:val="en-GB"/>
        </w:rPr>
        <w:t xml:space="preserve">. We will </w:t>
      </w:r>
      <w:r w:rsidR="002E3AC8" w:rsidRPr="005633D9">
        <w:rPr>
          <w:rFonts w:ascii="Times" w:hAnsi="Times"/>
          <w:lang w:val="en-GB"/>
        </w:rPr>
        <w:lastRenderedPageBreak/>
        <w:t>complement th</w:t>
      </w:r>
      <w:r w:rsidR="00FC2B6C" w:rsidRPr="005633D9">
        <w:rPr>
          <w:rFonts w:ascii="Times" w:hAnsi="Times"/>
          <w:lang w:val="en-GB"/>
        </w:rPr>
        <w:t>is</w:t>
      </w:r>
      <w:r w:rsidR="002E3AC8" w:rsidRPr="005633D9">
        <w:rPr>
          <w:rFonts w:ascii="Times" w:hAnsi="Times"/>
          <w:lang w:val="en-GB"/>
        </w:rPr>
        <w:t xml:space="preserve"> market analysis with </w:t>
      </w:r>
      <w:r w:rsidR="00FC2B6C" w:rsidRPr="005633D9">
        <w:rPr>
          <w:rFonts w:ascii="Times" w:hAnsi="Times"/>
          <w:lang w:val="en-GB"/>
        </w:rPr>
        <w:t>quantitative analyses</w:t>
      </w:r>
      <w:r w:rsidR="002E3AC8" w:rsidRPr="005633D9">
        <w:rPr>
          <w:rFonts w:ascii="Times" w:hAnsi="Times"/>
          <w:lang w:val="en-GB"/>
        </w:rPr>
        <w:t xml:space="preserve"> of the effect</w:t>
      </w:r>
      <w:r w:rsidR="00FC2B6C" w:rsidRPr="005633D9">
        <w:rPr>
          <w:rFonts w:ascii="Times" w:hAnsi="Times"/>
          <w:lang w:val="en-GB"/>
        </w:rPr>
        <w:t>s</w:t>
      </w:r>
      <w:r w:rsidR="002E3AC8" w:rsidRPr="005633D9">
        <w:rPr>
          <w:rFonts w:ascii="Times" w:hAnsi="Times"/>
          <w:lang w:val="en-GB"/>
        </w:rPr>
        <w:t xml:space="preserve"> of the mechanism on </w:t>
      </w:r>
      <w:r w:rsidR="003C327F" w:rsidRPr="005633D9">
        <w:rPr>
          <w:rFonts w:ascii="Times" w:hAnsi="Times"/>
          <w:lang w:val="en-GB"/>
        </w:rPr>
        <w:t xml:space="preserve">smallholder </w:t>
      </w:r>
      <w:r w:rsidR="00FC2B6C" w:rsidRPr="005633D9">
        <w:rPr>
          <w:rFonts w:ascii="Times" w:hAnsi="Times"/>
          <w:lang w:val="en-GB"/>
        </w:rPr>
        <w:t>uptake of Aflasafe</w:t>
      </w:r>
      <w:r w:rsidR="002E3AC8" w:rsidRPr="005633D9">
        <w:rPr>
          <w:rFonts w:ascii="Times" w:hAnsi="Times"/>
          <w:lang w:val="en-GB"/>
        </w:rPr>
        <w:t xml:space="preserve">, </w:t>
      </w:r>
      <w:r w:rsidR="00FC2B6C" w:rsidRPr="005633D9">
        <w:rPr>
          <w:rFonts w:ascii="Times" w:hAnsi="Times"/>
          <w:lang w:val="en-GB"/>
        </w:rPr>
        <w:t>incomes</w:t>
      </w:r>
      <w:r w:rsidR="003C327F" w:rsidRPr="005633D9">
        <w:rPr>
          <w:rFonts w:ascii="Times" w:hAnsi="Times"/>
          <w:lang w:val="en-GB"/>
        </w:rPr>
        <w:t xml:space="preserve">, </w:t>
      </w:r>
      <w:r w:rsidR="00FC2B6C" w:rsidRPr="005633D9">
        <w:rPr>
          <w:rFonts w:ascii="Times" w:hAnsi="Times"/>
          <w:lang w:val="en-GB"/>
        </w:rPr>
        <w:t xml:space="preserve">and </w:t>
      </w:r>
      <w:r w:rsidR="003C327F" w:rsidRPr="005633D9">
        <w:rPr>
          <w:rFonts w:ascii="Times" w:hAnsi="Times"/>
          <w:lang w:val="en-GB"/>
        </w:rPr>
        <w:t xml:space="preserve">awareness and consumption of </w:t>
      </w:r>
      <w:r w:rsidR="002E3AC8" w:rsidRPr="005633D9">
        <w:rPr>
          <w:rFonts w:ascii="Times" w:hAnsi="Times"/>
          <w:lang w:val="en-GB"/>
        </w:rPr>
        <w:t>aflatoxin-free maize</w:t>
      </w:r>
      <w:r w:rsidR="00FC2B6C" w:rsidRPr="005633D9">
        <w:rPr>
          <w:rFonts w:ascii="Times" w:hAnsi="Times"/>
          <w:lang w:val="en-GB"/>
        </w:rPr>
        <w:t xml:space="preserve"> (questions 2, 3, and 4).</w:t>
      </w:r>
      <w:r w:rsidR="00243735" w:rsidRPr="005633D9">
        <w:rPr>
          <w:rFonts w:ascii="Times" w:hAnsi="Times"/>
          <w:lang w:val="en-GB"/>
        </w:rPr>
        <w:t xml:space="preserve"> </w:t>
      </w:r>
      <w:r w:rsidR="009A4FFE" w:rsidRPr="005633D9">
        <w:rPr>
          <w:rFonts w:ascii="Times" w:hAnsi="Times"/>
          <w:lang w:val="en-GB"/>
        </w:rPr>
        <w:t xml:space="preserve">But </w:t>
      </w:r>
      <w:r w:rsidR="000173F2" w:rsidRPr="005633D9">
        <w:rPr>
          <w:lang w:val="en-GB"/>
        </w:rPr>
        <w:t>mixed method</w:t>
      </w:r>
      <w:r w:rsidR="009A4FFE" w:rsidRPr="005633D9">
        <w:rPr>
          <w:lang w:val="en-GB"/>
        </w:rPr>
        <w:t xml:space="preserve">s will play a role in addressing </w:t>
      </w:r>
      <w:r w:rsidR="00CC3BCF" w:rsidRPr="005633D9">
        <w:rPr>
          <w:lang w:val="en-GB"/>
        </w:rPr>
        <w:t>all</w:t>
      </w:r>
      <w:r w:rsidR="00FE392B" w:rsidRPr="005633D9">
        <w:rPr>
          <w:lang w:val="en-GB"/>
        </w:rPr>
        <w:t xml:space="preserve"> the questions; </w:t>
      </w:r>
      <w:r w:rsidR="009A4FFE" w:rsidRPr="005633D9">
        <w:rPr>
          <w:lang w:val="en-GB"/>
        </w:rPr>
        <w:t>for example, w</w:t>
      </w:r>
      <w:r w:rsidR="00DB58AF" w:rsidRPr="005633D9">
        <w:rPr>
          <w:lang w:val="en-GB"/>
        </w:rPr>
        <w:t xml:space="preserve">e will use qualitative methods to help understand </w:t>
      </w:r>
      <w:r w:rsidR="009A4FFE" w:rsidRPr="005633D9">
        <w:rPr>
          <w:lang w:val="en-GB"/>
        </w:rPr>
        <w:t xml:space="preserve">in depth </w:t>
      </w:r>
      <w:r w:rsidR="00DB58AF" w:rsidRPr="005633D9">
        <w:rPr>
          <w:lang w:val="en-GB"/>
        </w:rPr>
        <w:t>the outcomes</w:t>
      </w:r>
      <w:r w:rsidR="009A4FFE" w:rsidRPr="005633D9">
        <w:rPr>
          <w:lang w:val="en-GB"/>
        </w:rPr>
        <w:t xml:space="preserve"> of the quantitative impact analyses of questions 2, 3, and 4</w:t>
      </w:r>
      <w:r w:rsidR="0001022D" w:rsidRPr="005633D9">
        <w:rPr>
          <w:lang w:val="en-GB"/>
        </w:rPr>
        <w:t xml:space="preserve"> and assess the pilot’s impact on consumer demand </w:t>
      </w:r>
      <w:r w:rsidR="00077175" w:rsidRPr="005633D9">
        <w:rPr>
          <w:lang w:val="en-GB"/>
        </w:rPr>
        <w:t xml:space="preserve">from </w:t>
      </w:r>
      <w:r w:rsidR="0001022D" w:rsidRPr="005633D9">
        <w:rPr>
          <w:lang w:val="en-GB"/>
        </w:rPr>
        <w:t>urban households using qualitative methods</w:t>
      </w:r>
      <w:r w:rsidR="00DB58AF" w:rsidRPr="005633D9">
        <w:rPr>
          <w:lang w:val="en-GB"/>
        </w:rPr>
        <w:t xml:space="preserve">. </w:t>
      </w:r>
    </w:p>
    <w:p w:rsidR="00BF56E1" w:rsidRPr="005633D9" w:rsidRDefault="00353109" w:rsidP="00400295">
      <w:pPr>
        <w:rPr>
          <w:rFonts w:ascii="Arial" w:hAnsi="Arial"/>
          <w:b/>
          <w:color w:val="FFFFFF"/>
          <w:kern w:val="28"/>
          <w:sz w:val="28"/>
          <w:lang w:val="en-GB"/>
        </w:rPr>
      </w:pPr>
      <w:r w:rsidRPr="005633D9">
        <w:rPr>
          <w:lang w:val="en-GB"/>
        </w:rPr>
        <w:t>In the next section</w:t>
      </w:r>
      <w:r w:rsidR="008625B8" w:rsidRPr="005633D9">
        <w:rPr>
          <w:lang w:val="en-GB"/>
        </w:rPr>
        <w:t>,</w:t>
      </w:r>
      <w:r w:rsidRPr="005633D9">
        <w:rPr>
          <w:lang w:val="en-GB"/>
        </w:rPr>
        <w:t xml:space="preserve"> we present our evaluation approach </w:t>
      </w:r>
      <w:r w:rsidR="00D73328" w:rsidRPr="005633D9">
        <w:rPr>
          <w:lang w:val="en-GB"/>
        </w:rPr>
        <w:t xml:space="preserve">for the </w:t>
      </w:r>
      <w:r w:rsidR="0001022D" w:rsidRPr="005633D9">
        <w:rPr>
          <w:lang w:val="en-GB"/>
        </w:rPr>
        <w:t>specific</w:t>
      </w:r>
      <w:r w:rsidRPr="005633D9">
        <w:rPr>
          <w:lang w:val="en-GB"/>
        </w:rPr>
        <w:t xml:space="preserve"> evaluation question</w:t>
      </w:r>
      <w:r w:rsidR="00D73328" w:rsidRPr="005633D9">
        <w:rPr>
          <w:lang w:val="en-GB"/>
        </w:rPr>
        <w:t>s posed</w:t>
      </w:r>
      <w:r w:rsidRPr="005633D9">
        <w:rPr>
          <w:lang w:val="en-GB"/>
        </w:rPr>
        <w:t xml:space="preserve">. </w:t>
      </w:r>
    </w:p>
    <w:p w:rsidR="00BF56E1" w:rsidRPr="005633D9" w:rsidRDefault="00BF56E1" w:rsidP="00BF56E1">
      <w:pPr>
        <w:pStyle w:val="Heading1"/>
        <w:rPr>
          <w:noProof w:val="0"/>
          <w:lang w:val="en-GB"/>
        </w:rPr>
      </w:pPr>
      <w:bookmarkStart w:id="22" w:name="_Toc407700410"/>
      <w:r w:rsidRPr="005633D9">
        <w:rPr>
          <w:noProof w:val="0"/>
          <w:lang w:val="en-GB"/>
        </w:rPr>
        <w:lastRenderedPageBreak/>
        <w:t xml:space="preserve">Evaluation </w:t>
      </w:r>
      <w:r w:rsidR="002222A4" w:rsidRPr="005633D9">
        <w:rPr>
          <w:noProof w:val="0"/>
          <w:lang w:val="en-GB"/>
        </w:rPr>
        <w:t>approach by question</w:t>
      </w:r>
      <w:bookmarkEnd w:id="22"/>
    </w:p>
    <w:p w:rsidR="00BF56E1" w:rsidRPr="005633D9" w:rsidRDefault="00BF56E1" w:rsidP="0009159C">
      <w:pPr>
        <w:pStyle w:val="Heading2"/>
        <w:spacing w:after="120"/>
        <w:rPr>
          <w:lang w:val="en-GB"/>
        </w:rPr>
      </w:pPr>
      <w:bookmarkStart w:id="23" w:name="_Toc375336121"/>
      <w:bookmarkStart w:id="24" w:name="_Ref379462425"/>
      <w:bookmarkStart w:id="25" w:name="_Toc407700411"/>
      <w:r w:rsidRPr="005633D9">
        <w:rPr>
          <w:lang w:val="en-GB"/>
        </w:rPr>
        <w:t xml:space="preserve">Evaluation </w:t>
      </w:r>
      <w:r w:rsidR="002222A4" w:rsidRPr="005633D9">
        <w:rPr>
          <w:lang w:val="en-GB"/>
        </w:rPr>
        <w:t>questio</w:t>
      </w:r>
      <w:r w:rsidRPr="005633D9">
        <w:rPr>
          <w:lang w:val="en-GB"/>
        </w:rPr>
        <w:t>n 1:</w:t>
      </w:r>
      <w:r w:rsidR="00243735" w:rsidRPr="005633D9">
        <w:rPr>
          <w:lang w:val="en-GB"/>
        </w:rPr>
        <w:t xml:space="preserve"> </w:t>
      </w:r>
      <w:r w:rsidRPr="005633D9">
        <w:rPr>
          <w:lang w:val="en-GB"/>
        </w:rPr>
        <w:t>What is the impact of the AgResults pilot on private sector engagement in the market for aflatoxin-free maize?</w:t>
      </w:r>
      <w:bookmarkEnd w:id="23"/>
      <w:bookmarkEnd w:id="24"/>
      <w:bookmarkEnd w:id="25"/>
      <w:r w:rsidRPr="005633D9">
        <w:rPr>
          <w:lang w:val="en-GB"/>
        </w:rPr>
        <w:t xml:space="preserve"> </w:t>
      </w:r>
    </w:p>
    <w:p w:rsidR="009E421C" w:rsidRPr="005633D9" w:rsidRDefault="009E421C" w:rsidP="00B77EA1">
      <w:pPr>
        <w:rPr>
          <w:lang w:val="en-GB"/>
        </w:rPr>
      </w:pPr>
      <w:r w:rsidRPr="005633D9">
        <w:rPr>
          <w:lang w:val="en-GB"/>
        </w:rPr>
        <w:t>Our evaluation of the impact of the AgResults pilot on private sec</w:t>
      </w:r>
      <w:r w:rsidR="00527470" w:rsidRPr="005633D9">
        <w:rPr>
          <w:lang w:val="en-GB"/>
        </w:rPr>
        <w:t>tor engagement in the market will</w:t>
      </w:r>
      <w:r w:rsidRPr="005633D9">
        <w:rPr>
          <w:lang w:val="en-GB"/>
        </w:rPr>
        <w:t xml:space="preserve"> </w:t>
      </w:r>
      <w:r w:rsidR="00876374" w:rsidRPr="005633D9">
        <w:rPr>
          <w:lang w:val="en-GB"/>
        </w:rPr>
        <w:t>analyse</w:t>
      </w:r>
      <w:r w:rsidR="001F6C26" w:rsidRPr="005633D9">
        <w:rPr>
          <w:lang w:val="en-GB"/>
        </w:rPr>
        <w:t xml:space="preserve"> whether the pilot intervention enabled the emergence </w:t>
      </w:r>
      <w:r w:rsidR="00527470" w:rsidRPr="005633D9">
        <w:rPr>
          <w:lang w:val="en-GB"/>
        </w:rPr>
        <w:t>of a market for aflatoxin-free maize</w:t>
      </w:r>
      <w:r w:rsidR="00DD2171" w:rsidRPr="005633D9">
        <w:rPr>
          <w:lang w:val="en-GB"/>
        </w:rPr>
        <w:t xml:space="preserve">. It </w:t>
      </w:r>
      <w:r w:rsidR="001F6C26" w:rsidRPr="005633D9">
        <w:rPr>
          <w:lang w:val="en-GB"/>
        </w:rPr>
        <w:t>will document the structure of the market and the strategies of firms in the market, and will evaluate whether the pilot structure had a gender-differentiated effect on participation in the market or the accrual of gains from such participation.</w:t>
      </w:r>
    </w:p>
    <w:p w:rsidR="004157AD" w:rsidRPr="005633D9" w:rsidRDefault="004157AD" w:rsidP="004157AD">
      <w:pPr>
        <w:pStyle w:val="BodyText"/>
      </w:pPr>
      <w:r w:rsidRPr="005633D9">
        <w:t>We will use a theory-based qualitative approach</w:t>
      </w:r>
      <w:r w:rsidR="005A11F2" w:rsidRPr="005633D9">
        <w:t>—</w:t>
      </w:r>
      <w:r w:rsidR="00FE392B" w:rsidRPr="005633D9">
        <w:t xml:space="preserve">the Structure, Conduct, </w:t>
      </w:r>
      <w:r w:rsidRPr="005633D9">
        <w:t>Performance framework</w:t>
      </w:r>
      <w:r w:rsidR="005A11F2" w:rsidRPr="005633D9">
        <w:t>—</w:t>
      </w:r>
      <w:r w:rsidRPr="005633D9">
        <w:t>to analyse the effects of the AgResults pilot on the market for Aflasafe-treated/aflatoxin-free maize.</w:t>
      </w:r>
      <w:r w:rsidRPr="005633D9">
        <w:rPr>
          <w:rStyle w:val="FootnoteReference"/>
        </w:rPr>
        <w:footnoteReference w:id="6"/>
      </w:r>
      <w:r w:rsidRPr="005633D9">
        <w:t xml:space="preserve"> This framework delineates how the underlying conditions in a market influence the market’s structure, which in turn influences individual firms’ conduct in the market (such as decisions to invest in new market segments and technological and organisational decisions). Individual firms’ decisions, at an aggregate level, lead to market performance outcomes of interest such as the adequacy of a product’s supply in terms of volume and quality, prices, returns to investors, and responsiveness to consumer demand. </w:t>
      </w:r>
    </w:p>
    <w:p w:rsidR="004157AD" w:rsidRPr="005633D9" w:rsidRDefault="004157AD" w:rsidP="004157AD">
      <w:pPr>
        <w:rPr>
          <w:lang w:val="en-GB"/>
        </w:rPr>
      </w:pPr>
      <w:r w:rsidRPr="005633D9">
        <w:rPr>
          <w:lang w:val="en-GB"/>
        </w:rPr>
        <w:t xml:space="preserve">Building on the basic SCP framework, Sutton </w:t>
      </w:r>
      <w:r w:rsidR="00083EBB">
        <w:rPr>
          <w:noProof/>
          <w:lang w:val="en-GB"/>
        </w:rPr>
        <w:t>(1992)</w:t>
      </w:r>
      <w:r w:rsidRPr="005633D9">
        <w:rPr>
          <w:lang w:val="en-GB"/>
        </w:rPr>
        <w:t xml:space="preserve"> introduced the practice of</w:t>
      </w:r>
      <w:r w:rsidR="00243735" w:rsidRPr="005633D9">
        <w:rPr>
          <w:lang w:val="en-GB"/>
        </w:rPr>
        <w:t xml:space="preserve"> </w:t>
      </w:r>
      <w:r w:rsidRPr="005633D9">
        <w:rPr>
          <w:lang w:val="en-GB"/>
        </w:rPr>
        <w:t xml:space="preserve">examining how endogenous and exogenous sunk cost investments influence industry structure. This approach will be applied in the current analysis; it recognizes that firm strategic conduct is a direct response to market conditions and that aggregation of the outcomes of firm strategic </w:t>
      </w:r>
      <w:r w:rsidR="007C0210" w:rsidRPr="005633D9">
        <w:rPr>
          <w:lang w:val="en-GB"/>
        </w:rPr>
        <w:t>behaviour</w:t>
      </w:r>
      <w:r w:rsidRPr="005633D9">
        <w:rPr>
          <w:lang w:val="en-GB"/>
        </w:rPr>
        <w:t xml:space="preserve"> gives rise to market structure. Thus, while the overall paradigm is referred to as SCP, the specific analytical model actually reflects a causal flow from Situation to Strategy to Structure to Performance (SSSP).</w:t>
      </w:r>
    </w:p>
    <w:p w:rsidR="004157AD" w:rsidRPr="005633D9" w:rsidRDefault="004157AD" w:rsidP="004157AD">
      <w:pPr>
        <w:rPr>
          <w:lang w:val="en-GB"/>
        </w:rPr>
      </w:pPr>
      <w:r w:rsidRPr="005633D9">
        <w:rPr>
          <w:lang w:val="en-GB"/>
        </w:rPr>
        <w:t>The underlying, or “basic</w:t>
      </w:r>
      <w:r w:rsidR="004F2CBF" w:rsidRPr="005633D9">
        <w:rPr>
          <w:lang w:val="en-GB"/>
        </w:rPr>
        <w:t>”,</w:t>
      </w:r>
      <w:r w:rsidRPr="005633D9">
        <w:rPr>
          <w:lang w:val="en-GB"/>
        </w:rPr>
        <w:t xml:space="preserve"> conditions of a market are fixed in the short to medium term and include characteristics of supply and demand of a product and its market and the institutional environment. Supply and demand conditions include cost structures, seasonality of demand and supply, income distribution, and buyers’ and suppliers’ responses to changes in prices and income (elasticities). The characteristics of a market include the prevalence of information costs and asymmetry and asset specificity</w:t>
      </w:r>
      <w:r w:rsidR="00864A27" w:rsidRPr="005633D9">
        <w:rPr>
          <w:lang w:val="en-GB"/>
        </w:rPr>
        <w:t>,</w:t>
      </w:r>
      <w:r w:rsidRPr="005633D9">
        <w:rPr>
          <w:lang w:val="en-GB"/>
        </w:rPr>
        <w:t xml:space="preserve"> which increase transaction costs and risk. The institutional environment includes both formal (legal) and informal (cultural) controls on </w:t>
      </w:r>
      <w:r w:rsidR="007C0210" w:rsidRPr="005633D9">
        <w:rPr>
          <w:lang w:val="en-GB"/>
        </w:rPr>
        <w:t>behaviour</w:t>
      </w:r>
      <w:r w:rsidRPr="005633D9">
        <w:rPr>
          <w:lang w:val="en-GB"/>
        </w:rPr>
        <w:t xml:space="preserve">, and are critical to establishing </w:t>
      </w:r>
      <w:r w:rsidR="007C0210" w:rsidRPr="005633D9">
        <w:rPr>
          <w:lang w:val="en-GB"/>
        </w:rPr>
        <w:t>behaviour</w:t>
      </w:r>
      <w:r w:rsidRPr="005633D9">
        <w:rPr>
          <w:lang w:val="en-GB"/>
        </w:rPr>
        <w:t xml:space="preserve">al norms that reduce transaction costs and the risks </w:t>
      </w:r>
      <w:r w:rsidR="00864A27" w:rsidRPr="005633D9">
        <w:rPr>
          <w:lang w:val="en-GB"/>
        </w:rPr>
        <w:t xml:space="preserve">to which </w:t>
      </w:r>
      <w:r w:rsidRPr="005633D9">
        <w:rPr>
          <w:lang w:val="en-GB"/>
        </w:rPr>
        <w:t>potential buyers and suppliers in the market are exposed. Together</w:t>
      </w:r>
      <w:r w:rsidR="00864A27" w:rsidRPr="005633D9">
        <w:rPr>
          <w:lang w:val="en-GB"/>
        </w:rPr>
        <w:t>,</w:t>
      </w:r>
      <w:r w:rsidRPr="005633D9">
        <w:rPr>
          <w:lang w:val="en-GB"/>
        </w:rPr>
        <w:t xml:space="preserve"> these conditions define the incentives and create interdependencies that shape individuals’ and firms’ decisions regarding whether and how to engage in the market </w:t>
      </w:r>
      <w:r w:rsidR="00426E7E" w:rsidRPr="005633D9">
        <w:rPr>
          <w:lang w:val="en-GB"/>
        </w:rPr>
        <w:t>(</w:t>
      </w:r>
      <w:r w:rsidR="00D02D78" w:rsidRPr="005633D9">
        <w:rPr>
          <w:lang w:val="en-GB"/>
        </w:rPr>
        <w:t>North, 1990</w:t>
      </w:r>
      <w:r w:rsidR="00426E7E" w:rsidRPr="005633D9">
        <w:rPr>
          <w:lang w:val="en-GB"/>
        </w:rPr>
        <w:t>)</w:t>
      </w:r>
      <w:r w:rsidRPr="005633D9">
        <w:rPr>
          <w:lang w:val="en-GB"/>
        </w:rPr>
        <w:t>.</w:t>
      </w:r>
    </w:p>
    <w:p w:rsidR="004157AD" w:rsidRPr="005633D9" w:rsidRDefault="004157AD" w:rsidP="004157AD">
      <w:pPr>
        <w:rPr>
          <w:lang w:val="en-GB"/>
        </w:rPr>
      </w:pPr>
      <w:r w:rsidRPr="005633D9">
        <w:rPr>
          <w:lang w:val="en-GB"/>
        </w:rPr>
        <w:t>Individuals’ and firms’ strategic behavio</w:t>
      </w:r>
      <w:r w:rsidR="007C0210" w:rsidRPr="005633D9">
        <w:rPr>
          <w:lang w:val="en-GB"/>
        </w:rPr>
        <w:t>u</w:t>
      </w:r>
      <w:r w:rsidRPr="005633D9">
        <w:rPr>
          <w:lang w:val="en-GB"/>
        </w:rPr>
        <w:t>rs reflect their attempts to pursue profit and utility objectives given the constraints imposed by external conditions. Strategic behavio</w:t>
      </w:r>
      <w:r w:rsidR="007C0210" w:rsidRPr="005633D9">
        <w:rPr>
          <w:lang w:val="en-GB"/>
        </w:rPr>
        <w:t>u</w:t>
      </w:r>
      <w:r w:rsidRPr="005633D9">
        <w:rPr>
          <w:lang w:val="en-GB"/>
        </w:rPr>
        <w:t xml:space="preserve">r includes such decisions as whether to invest in production facilities or a new venture, pricing and service </w:t>
      </w:r>
      <w:r w:rsidRPr="005633D9">
        <w:rPr>
          <w:lang w:val="en-GB"/>
        </w:rPr>
        <w:lastRenderedPageBreak/>
        <w:t xml:space="preserve">delivery decisions, whether to register a company rather than to continue as an informal entrepreneur, and the choice of institutional arrangements between market actors such as the choice of contract structure. </w:t>
      </w:r>
    </w:p>
    <w:p w:rsidR="004157AD" w:rsidRPr="005633D9" w:rsidRDefault="004157AD" w:rsidP="004157AD">
      <w:pPr>
        <w:rPr>
          <w:lang w:val="en-GB"/>
        </w:rPr>
      </w:pPr>
      <w:r w:rsidRPr="005633D9">
        <w:rPr>
          <w:lang w:val="en-GB"/>
        </w:rPr>
        <w:t xml:space="preserve">A market’s structure is shaped by the aggregate decisions of many individual firms. Structural elements include the numbers of buyers and sellers in the market, the characteristics of production and value creation (such as the technological packages that dominate), the degree and types of product differentiation, and barriers to entry. Such structural features tend to evolve over the medium to long term and as such are represented among the basic conditions that influence firms’ strategic </w:t>
      </w:r>
      <w:r w:rsidR="007C0210" w:rsidRPr="005633D9">
        <w:rPr>
          <w:lang w:val="en-GB"/>
        </w:rPr>
        <w:t>behaviour</w:t>
      </w:r>
      <w:r w:rsidRPr="005633D9">
        <w:rPr>
          <w:lang w:val="en-GB"/>
        </w:rPr>
        <w:t xml:space="preserve">. </w:t>
      </w:r>
    </w:p>
    <w:p w:rsidR="00FE392B" w:rsidRPr="005633D9" w:rsidRDefault="004157AD" w:rsidP="00864A27">
      <w:pPr>
        <w:pStyle w:val="BodyText"/>
      </w:pPr>
      <w:r w:rsidRPr="005633D9">
        <w:t>The performance of a market can be understood in innumerable ways, but the main elements of interest for the AgResults pilot markets include whether a market for Aflasafe-treated/aflatoxin-free maize emerges and whether maize transacted in this market reflects the quality and volume preferences of maize buyers and is affordable to buyers while providing adequate returns to motivate suppliers to continue to engage in the market. In the case of the aflatoxin-free maize market in Nigeria, under-investment or no investment in production would lead to no or substandard products and services being generated. The result in terms of performance is a “missing” or “failed” market in which latent demand for aflatoxin-free maize is never expressed, while suppliers avoid investing in the production of such a product due to its risk and lack of promise.</w:t>
      </w:r>
      <w:r w:rsidR="00A74F29" w:rsidRPr="005633D9">
        <w:t xml:space="preserve"> </w:t>
      </w:r>
      <w:r w:rsidR="00A2401E" w:rsidRPr="005633D9">
        <w:fldChar w:fldCharType="begin"/>
      </w:r>
      <w:r w:rsidR="00A2401E" w:rsidRPr="005633D9">
        <w:instrText xml:space="preserve"> REF _Ref403423439 \h </w:instrText>
      </w:r>
      <w:r w:rsidR="00A2401E" w:rsidRPr="005633D9">
        <w:fldChar w:fldCharType="separate"/>
      </w:r>
      <w:r w:rsidR="00F33102" w:rsidRPr="005633D9">
        <w:t xml:space="preserve">Table </w:t>
      </w:r>
      <w:r w:rsidR="00F33102">
        <w:rPr>
          <w:noProof/>
        </w:rPr>
        <w:t>3</w:t>
      </w:r>
      <w:r w:rsidR="00F33102" w:rsidRPr="005633D9">
        <w:noBreakHyphen/>
      </w:r>
      <w:r w:rsidR="00F33102">
        <w:rPr>
          <w:noProof/>
        </w:rPr>
        <w:t>1</w:t>
      </w:r>
      <w:r w:rsidR="00A2401E" w:rsidRPr="005633D9">
        <w:fldChar w:fldCharType="end"/>
      </w:r>
      <w:r w:rsidR="00A74F29" w:rsidRPr="005633D9">
        <w:t xml:space="preserve"> </w:t>
      </w:r>
      <w:r w:rsidR="00A2401E" w:rsidRPr="005633D9">
        <w:t>summarizes</w:t>
      </w:r>
      <w:r w:rsidR="00A74F29" w:rsidRPr="005633D9">
        <w:t xml:space="preserve"> the key evaluation method and the key outcome measures </w:t>
      </w:r>
      <w:r w:rsidR="00A2401E" w:rsidRPr="005633D9">
        <w:t>on which</w:t>
      </w:r>
      <w:r w:rsidR="00A74F29" w:rsidRPr="005633D9">
        <w:t xml:space="preserve"> we will collect information to answer evaluation question 1.</w:t>
      </w:r>
      <w:r w:rsidR="00D4160A" w:rsidRPr="005633D9">
        <w:t xml:space="preserve"> The following section presents the method, analysis plan</w:t>
      </w:r>
      <w:r w:rsidR="00B77763" w:rsidRPr="005633D9">
        <w:t>,</w:t>
      </w:r>
      <w:r w:rsidR="00D4160A" w:rsidRPr="005633D9">
        <w:t xml:space="preserve"> and data sources for qualitative analysis</w:t>
      </w:r>
      <w:r w:rsidR="001B030B" w:rsidRPr="005633D9">
        <w:t>.</w:t>
      </w:r>
    </w:p>
    <w:p w:rsidR="00A2401E" w:rsidRPr="005633D9" w:rsidRDefault="00A2401E" w:rsidP="00A2401E">
      <w:pPr>
        <w:pStyle w:val="Caption"/>
        <w:rPr>
          <w:lang w:val="en-GB"/>
        </w:rPr>
      </w:pPr>
      <w:bookmarkStart w:id="26" w:name="_Ref403423439"/>
      <w:bookmarkStart w:id="27" w:name="_Toc407700433"/>
      <w:r w:rsidRPr="005633D9">
        <w:rPr>
          <w:lang w:val="en-GB"/>
        </w:rPr>
        <w:t xml:space="preserve">Table </w:t>
      </w:r>
      <w:r w:rsidR="002222A4" w:rsidRPr="005633D9">
        <w:rPr>
          <w:lang w:val="en-GB"/>
        </w:rPr>
        <w:fldChar w:fldCharType="begin"/>
      </w:r>
      <w:r w:rsidR="002222A4" w:rsidRPr="005633D9">
        <w:rPr>
          <w:lang w:val="en-GB"/>
        </w:rPr>
        <w:instrText xml:space="preserve"> STYLEREF 1 \s </w:instrText>
      </w:r>
      <w:r w:rsidR="002222A4" w:rsidRPr="005633D9">
        <w:rPr>
          <w:lang w:val="en-GB"/>
        </w:rPr>
        <w:fldChar w:fldCharType="separate"/>
      </w:r>
      <w:r w:rsidR="00F33102">
        <w:rPr>
          <w:noProof/>
          <w:lang w:val="en-GB"/>
        </w:rPr>
        <w:t>3</w:t>
      </w:r>
      <w:r w:rsidR="002222A4" w:rsidRPr="005633D9">
        <w:rPr>
          <w:lang w:val="en-GB"/>
        </w:rPr>
        <w:fldChar w:fldCharType="end"/>
      </w:r>
      <w:r w:rsidR="00E42393" w:rsidRPr="005633D9">
        <w:rPr>
          <w:lang w:val="en-GB"/>
        </w:rPr>
        <w:noBreakHyphen/>
      </w:r>
      <w:r w:rsidR="002222A4" w:rsidRPr="005633D9">
        <w:rPr>
          <w:lang w:val="en-GB"/>
        </w:rPr>
        <w:fldChar w:fldCharType="begin"/>
      </w:r>
      <w:r w:rsidR="002222A4" w:rsidRPr="005633D9">
        <w:rPr>
          <w:lang w:val="en-GB"/>
        </w:rPr>
        <w:instrText xml:space="preserve"> SEQ Table \* ARABIC \s 1 </w:instrText>
      </w:r>
      <w:r w:rsidR="002222A4" w:rsidRPr="005633D9">
        <w:rPr>
          <w:lang w:val="en-GB"/>
        </w:rPr>
        <w:fldChar w:fldCharType="separate"/>
      </w:r>
      <w:r w:rsidR="00F33102">
        <w:rPr>
          <w:noProof/>
          <w:lang w:val="en-GB"/>
        </w:rPr>
        <w:t>1</w:t>
      </w:r>
      <w:r w:rsidR="002222A4" w:rsidRPr="005633D9">
        <w:rPr>
          <w:lang w:val="en-GB"/>
        </w:rPr>
        <w:fldChar w:fldCharType="end"/>
      </w:r>
      <w:bookmarkEnd w:id="26"/>
      <w:r w:rsidRPr="005633D9">
        <w:rPr>
          <w:lang w:val="en-GB"/>
        </w:rPr>
        <w:t>.</w:t>
      </w:r>
      <w:r w:rsidR="00CA29EC" w:rsidRPr="005633D9">
        <w:rPr>
          <w:lang w:val="en-GB"/>
        </w:rPr>
        <w:tab/>
      </w:r>
      <w:r w:rsidRPr="005633D9">
        <w:rPr>
          <w:lang w:val="en-GB"/>
        </w:rPr>
        <w:t xml:space="preserve">Evaluation </w:t>
      </w:r>
      <w:r w:rsidR="002222A4" w:rsidRPr="005633D9">
        <w:rPr>
          <w:lang w:val="en-GB"/>
        </w:rPr>
        <w:t xml:space="preserve">method and outcome measures </w:t>
      </w:r>
      <w:r w:rsidRPr="005633D9">
        <w:rPr>
          <w:lang w:val="en-GB"/>
        </w:rPr>
        <w:t xml:space="preserve">for </w:t>
      </w:r>
      <w:r w:rsidR="002222A4" w:rsidRPr="005633D9">
        <w:rPr>
          <w:lang w:val="en-GB"/>
        </w:rPr>
        <w:t xml:space="preserve">evaluation question </w:t>
      </w:r>
      <w:r w:rsidRPr="005633D9">
        <w:rPr>
          <w:lang w:val="en-GB"/>
        </w:rPr>
        <w:t>1</w:t>
      </w:r>
      <w:bookmarkEnd w:id="27"/>
    </w:p>
    <w:tbl>
      <w:tblPr>
        <w:tblStyle w:val="Abt"/>
        <w:tblW w:w="0" w:type="auto"/>
        <w:tblLook w:val="04A0" w:firstRow="1" w:lastRow="0" w:firstColumn="1" w:lastColumn="0" w:noHBand="0" w:noVBand="1"/>
      </w:tblPr>
      <w:tblGrid>
        <w:gridCol w:w="3168"/>
        <w:gridCol w:w="6408"/>
      </w:tblGrid>
      <w:tr w:rsidR="00934205" w:rsidRPr="005C6021" w:rsidTr="0099298C">
        <w:trPr>
          <w:cnfStyle w:val="100000000000" w:firstRow="1" w:lastRow="0" w:firstColumn="0" w:lastColumn="0" w:oddVBand="0" w:evenVBand="0" w:oddHBand="0" w:evenHBand="0" w:firstRowFirstColumn="0" w:firstRowLastColumn="0" w:lastRowFirstColumn="0" w:lastRowLastColumn="0"/>
        </w:trPr>
        <w:tc>
          <w:tcPr>
            <w:tcW w:w="9576" w:type="dxa"/>
            <w:gridSpan w:val="2"/>
          </w:tcPr>
          <w:p w:rsidR="00934205" w:rsidRPr="005C6021" w:rsidRDefault="00934205" w:rsidP="005C6021">
            <w:pPr>
              <w:pStyle w:val="ExhibitColumnHead"/>
              <w:rPr>
                <w:b/>
                <w:lang w:val="en-GB"/>
              </w:rPr>
            </w:pPr>
            <w:r w:rsidRPr="005C6021">
              <w:rPr>
                <w:b/>
                <w:lang w:val="en-GB"/>
              </w:rPr>
              <w:t>Evaluation Question 1</w:t>
            </w:r>
            <w:r w:rsidR="00F81E8B" w:rsidRPr="005C6021">
              <w:rPr>
                <w:b/>
                <w:lang w:val="en-GB"/>
              </w:rPr>
              <w:t>:</w:t>
            </w:r>
            <w:r w:rsidRPr="005C6021">
              <w:rPr>
                <w:b/>
                <w:lang w:val="en-GB"/>
              </w:rPr>
              <w:t xml:space="preserve"> What is the impact of the AgResults pilot on private sector engagement in the market for aflatoxin-free maize? </w:t>
            </w:r>
          </w:p>
        </w:tc>
      </w:tr>
      <w:tr w:rsidR="00934205" w:rsidRPr="005633D9" w:rsidTr="005C6021">
        <w:trPr>
          <w:cnfStyle w:val="000000100000" w:firstRow="0" w:lastRow="0" w:firstColumn="0" w:lastColumn="0" w:oddVBand="0" w:evenVBand="0" w:oddHBand="1" w:evenHBand="0" w:firstRowFirstColumn="0" w:firstRowLastColumn="0" w:lastRowFirstColumn="0" w:lastRowLastColumn="0"/>
        </w:trPr>
        <w:tc>
          <w:tcPr>
            <w:tcW w:w="3168" w:type="dxa"/>
          </w:tcPr>
          <w:p w:rsidR="00934205" w:rsidRPr="005633D9" w:rsidRDefault="00934205" w:rsidP="005C6021">
            <w:pPr>
              <w:pStyle w:val="ExhibitColumnHead"/>
              <w:rPr>
                <w:lang w:val="en-GB"/>
              </w:rPr>
            </w:pPr>
            <w:r w:rsidRPr="005633D9">
              <w:rPr>
                <w:lang w:val="en-GB"/>
              </w:rPr>
              <w:t>Evaluation Method</w:t>
            </w:r>
          </w:p>
        </w:tc>
        <w:tc>
          <w:tcPr>
            <w:tcW w:w="6408" w:type="dxa"/>
          </w:tcPr>
          <w:p w:rsidR="00934205" w:rsidRPr="005633D9" w:rsidRDefault="00934205" w:rsidP="005C6021">
            <w:pPr>
              <w:pStyle w:val="ExhibitColumnHead"/>
              <w:rPr>
                <w:lang w:val="en-GB"/>
              </w:rPr>
            </w:pPr>
            <w:r w:rsidRPr="005633D9">
              <w:rPr>
                <w:lang w:val="en-GB"/>
              </w:rPr>
              <w:t>Outcome Measures</w:t>
            </w:r>
          </w:p>
        </w:tc>
      </w:tr>
      <w:tr w:rsidR="00934205" w:rsidRPr="005633D9" w:rsidTr="005C6021">
        <w:trPr>
          <w:cnfStyle w:val="000000010000" w:firstRow="0" w:lastRow="0" w:firstColumn="0" w:lastColumn="0" w:oddVBand="0" w:evenVBand="0" w:oddHBand="0" w:evenHBand="1" w:firstRowFirstColumn="0" w:firstRowLastColumn="0" w:lastRowFirstColumn="0" w:lastRowLastColumn="0"/>
        </w:trPr>
        <w:tc>
          <w:tcPr>
            <w:tcW w:w="3168" w:type="dxa"/>
          </w:tcPr>
          <w:p w:rsidR="00934205" w:rsidRPr="005633D9" w:rsidRDefault="00934205" w:rsidP="00FE392B">
            <w:pPr>
              <w:pStyle w:val="ExhibitText"/>
              <w:rPr>
                <w:lang w:val="en-GB"/>
              </w:rPr>
            </w:pPr>
            <w:r w:rsidRPr="005633D9">
              <w:rPr>
                <w:lang w:val="en-GB"/>
              </w:rPr>
              <w:t>SCP framework that compares the baseline market situation, strategy structure, and performance for aflatoxin-free maize to the endline market situation strategy, structure, and performance, with baseline survey informing the hypotheses on expected changes in the market by endline.</w:t>
            </w:r>
          </w:p>
        </w:tc>
        <w:tc>
          <w:tcPr>
            <w:tcW w:w="6408" w:type="dxa"/>
          </w:tcPr>
          <w:p w:rsidR="00934205" w:rsidRPr="005633D9" w:rsidRDefault="00934205" w:rsidP="00AC1804">
            <w:pPr>
              <w:pStyle w:val="ExhibitTextBullets"/>
              <w:rPr>
                <w:lang w:val="en-GB"/>
              </w:rPr>
            </w:pPr>
            <w:r w:rsidRPr="005633D9">
              <w:rPr>
                <w:lang w:val="en-GB"/>
              </w:rPr>
              <w:t>Market situation for aflatoxin-free maize</w:t>
            </w:r>
          </w:p>
          <w:p w:rsidR="00934205" w:rsidRPr="005633D9" w:rsidRDefault="00934205" w:rsidP="00AC1804">
            <w:pPr>
              <w:pStyle w:val="ExhibitTextBullets"/>
              <w:numPr>
                <w:ilvl w:val="0"/>
                <w:numId w:val="0"/>
              </w:numPr>
              <w:ind w:left="252"/>
              <w:rPr>
                <w:lang w:val="en-GB"/>
              </w:rPr>
            </w:pPr>
            <w:r w:rsidRPr="005633D9">
              <w:rPr>
                <w:lang w:val="en-GB"/>
              </w:rPr>
              <w:t>Firm perceptions of :</w:t>
            </w:r>
          </w:p>
          <w:p w:rsidR="00934205" w:rsidRPr="005633D9" w:rsidRDefault="00934205" w:rsidP="00F52CB7">
            <w:pPr>
              <w:pStyle w:val="ExhibitTextBullets"/>
              <w:numPr>
                <w:ilvl w:val="0"/>
                <w:numId w:val="23"/>
              </w:numPr>
              <w:rPr>
                <w:lang w:val="en-GB"/>
              </w:rPr>
            </w:pPr>
            <w:r w:rsidRPr="005633D9">
              <w:rPr>
                <w:lang w:val="en-GB"/>
              </w:rPr>
              <w:t>Aflatoxins and potential solutions like Aflasafe</w:t>
            </w:r>
          </w:p>
          <w:p w:rsidR="00934205" w:rsidRPr="005633D9" w:rsidRDefault="00934205" w:rsidP="00F52CB7">
            <w:pPr>
              <w:pStyle w:val="ExhibitTextBullets"/>
              <w:numPr>
                <w:ilvl w:val="0"/>
                <w:numId w:val="23"/>
              </w:numPr>
              <w:rPr>
                <w:lang w:val="en-GB"/>
              </w:rPr>
            </w:pPr>
            <w:r w:rsidRPr="005633D9">
              <w:rPr>
                <w:lang w:val="en-GB"/>
              </w:rPr>
              <w:t>Supply and demand conditions for aflatoxin-free maize</w:t>
            </w:r>
          </w:p>
          <w:p w:rsidR="00934205" w:rsidRPr="005633D9" w:rsidRDefault="00934205" w:rsidP="00F52CB7">
            <w:pPr>
              <w:pStyle w:val="ExhibitTextBullets"/>
              <w:numPr>
                <w:ilvl w:val="0"/>
                <w:numId w:val="23"/>
              </w:numPr>
              <w:rPr>
                <w:lang w:val="en-GB"/>
              </w:rPr>
            </w:pPr>
            <w:r w:rsidRPr="005633D9">
              <w:rPr>
                <w:lang w:val="en-GB"/>
              </w:rPr>
              <w:t>Transaction costs and risk in acting in the market</w:t>
            </w:r>
          </w:p>
          <w:p w:rsidR="00934205" w:rsidRPr="005633D9" w:rsidRDefault="00934205" w:rsidP="00F52CB7">
            <w:pPr>
              <w:pStyle w:val="ExhibitTextBullets"/>
              <w:numPr>
                <w:ilvl w:val="0"/>
                <w:numId w:val="23"/>
              </w:numPr>
              <w:rPr>
                <w:lang w:val="en-GB"/>
              </w:rPr>
            </w:pPr>
            <w:r w:rsidRPr="005633D9">
              <w:rPr>
                <w:lang w:val="en-GB"/>
              </w:rPr>
              <w:t>Institutional environment and its implications for engagement</w:t>
            </w:r>
          </w:p>
          <w:p w:rsidR="00934205" w:rsidRPr="005633D9" w:rsidRDefault="00934205" w:rsidP="00AC1804">
            <w:pPr>
              <w:pStyle w:val="ExhibitTextBullets"/>
              <w:rPr>
                <w:lang w:val="en-GB"/>
              </w:rPr>
            </w:pPr>
            <w:r w:rsidRPr="005633D9">
              <w:rPr>
                <w:lang w:val="en-GB"/>
              </w:rPr>
              <w:t>Market strategy for aflatoxin-free maize by value chain actors</w:t>
            </w:r>
          </w:p>
          <w:p w:rsidR="00934205" w:rsidRPr="005633D9" w:rsidRDefault="00934205" w:rsidP="00F52CB7">
            <w:pPr>
              <w:pStyle w:val="ExhibitTextBullets"/>
              <w:numPr>
                <w:ilvl w:val="0"/>
                <w:numId w:val="23"/>
              </w:numPr>
              <w:rPr>
                <w:lang w:val="en-GB"/>
              </w:rPr>
            </w:pPr>
            <w:r w:rsidRPr="005633D9">
              <w:rPr>
                <w:lang w:val="en-GB"/>
              </w:rPr>
              <w:t>Drivers for decisions to transact in aflatoxin-free maize</w:t>
            </w:r>
          </w:p>
          <w:p w:rsidR="00934205" w:rsidRPr="005633D9" w:rsidRDefault="00934205" w:rsidP="00F52CB7">
            <w:pPr>
              <w:pStyle w:val="ExhibitTextBullets"/>
              <w:numPr>
                <w:ilvl w:val="0"/>
                <w:numId w:val="23"/>
              </w:numPr>
              <w:rPr>
                <w:lang w:val="en-GB"/>
              </w:rPr>
            </w:pPr>
            <w:r w:rsidRPr="005633D9">
              <w:rPr>
                <w:lang w:val="en-GB"/>
              </w:rPr>
              <w:t>Procurement , distribution, and processing and merchandising strategy for aflatoxin-free maize</w:t>
            </w:r>
          </w:p>
          <w:p w:rsidR="00934205" w:rsidRPr="005633D9" w:rsidRDefault="00934205" w:rsidP="00AC1804">
            <w:pPr>
              <w:pStyle w:val="ExhibitTextBullets"/>
              <w:rPr>
                <w:lang w:val="en-GB"/>
              </w:rPr>
            </w:pPr>
            <w:r w:rsidRPr="005633D9">
              <w:rPr>
                <w:lang w:val="en-GB"/>
              </w:rPr>
              <w:t>Market structure for aflatoxin-free maize</w:t>
            </w:r>
          </w:p>
          <w:p w:rsidR="00934205" w:rsidRPr="005633D9" w:rsidRDefault="00934205" w:rsidP="00F52CB7">
            <w:pPr>
              <w:pStyle w:val="ExhibitTextBullets"/>
              <w:numPr>
                <w:ilvl w:val="0"/>
                <w:numId w:val="23"/>
              </w:numPr>
              <w:rPr>
                <w:lang w:val="en-GB"/>
              </w:rPr>
            </w:pPr>
            <w:r w:rsidRPr="005633D9">
              <w:rPr>
                <w:lang w:val="en-GB"/>
              </w:rPr>
              <w:t>Flow of aflatoxin-free maize through the value chain</w:t>
            </w:r>
          </w:p>
          <w:p w:rsidR="00934205" w:rsidRPr="005633D9" w:rsidRDefault="00934205" w:rsidP="00F52CB7">
            <w:pPr>
              <w:pStyle w:val="ExhibitTextBullets"/>
              <w:numPr>
                <w:ilvl w:val="0"/>
                <w:numId w:val="23"/>
              </w:numPr>
              <w:rPr>
                <w:lang w:val="en-GB"/>
              </w:rPr>
            </w:pPr>
            <w:r w:rsidRPr="005633D9">
              <w:rPr>
                <w:lang w:val="en-GB"/>
              </w:rPr>
              <w:t>Number and types of private actors who participate in the market</w:t>
            </w:r>
          </w:p>
          <w:p w:rsidR="00934205" w:rsidRPr="005633D9" w:rsidRDefault="00934205" w:rsidP="00F52CB7">
            <w:pPr>
              <w:pStyle w:val="ExhibitTextBullets"/>
              <w:numPr>
                <w:ilvl w:val="0"/>
                <w:numId w:val="23"/>
              </w:numPr>
              <w:rPr>
                <w:lang w:val="en-GB"/>
              </w:rPr>
            </w:pPr>
            <w:r w:rsidRPr="005633D9">
              <w:rPr>
                <w:lang w:val="en-GB"/>
              </w:rPr>
              <w:t>Volume and share of volume transacted by different value chain actors</w:t>
            </w:r>
          </w:p>
          <w:p w:rsidR="00934205" w:rsidRPr="005633D9" w:rsidRDefault="00934205" w:rsidP="00F52CB7">
            <w:pPr>
              <w:pStyle w:val="ExhibitTextBullets"/>
              <w:numPr>
                <w:ilvl w:val="0"/>
                <w:numId w:val="23"/>
              </w:numPr>
              <w:rPr>
                <w:lang w:val="en-GB"/>
              </w:rPr>
            </w:pPr>
            <w:r w:rsidRPr="005633D9">
              <w:rPr>
                <w:lang w:val="en-GB"/>
              </w:rPr>
              <w:t>Difference in how women participate in the aflatoxin-free maize value chain</w:t>
            </w:r>
          </w:p>
          <w:p w:rsidR="00934205" w:rsidRPr="005633D9" w:rsidRDefault="00934205" w:rsidP="00AC1804">
            <w:pPr>
              <w:pStyle w:val="ExhibitTextBullets"/>
              <w:rPr>
                <w:lang w:val="en-GB"/>
              </w:rPr>
            </w:pPr>
            <w:r w:rsidRPr="005633D9">
              <w:rPr>
                <w:lang w:val="en-GB"/>
              </w:rPr>
              <w:t>Market performance</w:t>
            </w:r>
          </w:p>
          <w:p w:rsidR="00934205" w:rsidRPr="005633D9" w:rsidRDefault="00934205" w:rsidP="00C676E2">
            <w:pPr>
              <w:pStyle w:val="ExhibitTextBullets"/>
              <w:numPr>
                <w:ilvl w:val="0"/>
                <w:numId w:val="23"/>
              </w:numPr>
              <w:rPr>
                <w:lang w:val="en-GB"/>
              </w:rPr>
            </w:pPr>
            <w:r w:rsidRPr="005633D9">
              <w:rPr>
                <w:lang w:val="en-GB"/>
              </w:rPr>
              <w:t xml:space="preserve"> Is there a market for aflatoxin-free maize?</w:t>
            </w:r>
          </w:p>
          <w:p w:rsidR="00934205" w:rsidRPr="005633D9" w:rsidRDefault="00934205" w:rsidP="00AC30D1">
            <w:pPr>
              <w:pStyle w:val="ExhibitTextBullets"/>
              <w:numPr>
                <w:ilvl w:val="0"/>
                <w:numId w:val="23"/>
              </w:numPr>
              <w:rPr>
                <w:lang w:val="en-GB"/>
              </w:rPr>
            </w:pPr>
            <w:r w:rsidRPr="005633D9">
              <w:rPr>
                <w:lang w:val="en-GB"/>
              </w:rPr>
              <w:t xml:space="preserve"> Costs and benefits of participation in the market</w:t>
            </w:r>
          </w:p>
        </w:tc>
      </w:tr>
    </w:tbl>
    <w:p w:rsidR="004157AD" w:rsidRPr="005633D9" w:rsidRDefault="004157AD" w:rsidP="004157AD">
      <w:pPr>
        <w:pStyle w:val="BodyText"/>
      </w:pPr>
    </w:p>
    <w:p w:rsidR="00BF56E1" w:rsidRPr="005633D9" w:rsidRDefault="00BF56E1" w:rsidP="00AC30D1">
      <w:pPr>
        <w:pStyle w:val="Heading3"/>
        <w:rPr>
          <w:lang w:val="en-GB"/>
        </w:rPr>
      </w:pPr>
      <w:bookmarkStart w:id="28" w:name="_Toc375336126"/>
      <w:r w:rsidRPr="005633D9">
        <w:rPr>
          <w:lang w:val="en-GB"/>
        </w:rPr>
        <w:lastRenderedPageBreak/>
        <w:t>Method</w:t>
      </w:r>
      <w:bookmarkEnd w:id="28"/>
    </w:p>
    <w:p w:rsidR="00DD2171" w:rsidRPr="005633D9" w:rsidRDefault="00DD2171" w:rsidP="00BF56E1">
      <w:pPr>
        <w:rPr>
          <w:lang w:val="en-GB"/>
        </w:rPr>
      </w:pPr>
      <w:r w:rsidRPr="005633D9">
        <w:rPr>
          <w:lang w:val="en-GB"/>
        </w:rPr>
        <w:t xml:space="preserve">We will </w:t>
      </w:r>
      <w:r w:rsidR="00A9046F" w:rsidRPr="005633D9">
        <w:rPr>
          <w:lang w:val="en-GB"/>
        </w:rPr>
        <w:t>examine</w:t>
      </w:r>
      <w:r w:rsidRPr="005633D9">
        <w:rPr>
          <w:lang w:val="en-GB"/>
        </w:rPr>
        <w:t xml:space="preserve"> private sector engagement</w:t>
      </w:r>
      <w:r w:rsidR="00A9046F" w:rsidRPr="005633D9">
        <w:rPr>
          <w:lang w:val="en-GB"/>
        </w:rPr>
        <w:t xml:space="preserve"> in the pilot</w:t>
      </w:r>
      <w:r w:rsidRPr="005633D9">
        <w:rPr>
          <w:lang w:val="en-GB"/>
        </w:rPr>
        <w:t xml:space="preserve"> using qualitative methods over the interval from early 2014 to late 2017. The baseline will be completed in early 2015</w:t>
      </w:r>
      <w:r w:rsidR="00C867E1" w:rsidRPr="005633D9">
        <w:rPr>
          <w:lang w:val="en-GB"/>
        </w:rPr>
        <w:t>,</w:t>
      </w:r>
      <w:r w:rsidRPr="005633D9">
        <w:rPr>
          <w:lang w:val="en-GB"/>
        </w:rPr>
        <w:t xml:space="preserve"> and the endline will occur during the last year o</w:t>
      </w:r>
      <w:r w:rsidR="00C867E1" w:rsidRPr="005633D9">
        <w:rPr>
          <w:lang w:val="en-GB"/>
        </w:rPr>
        <w:t>f the pilot. The endline will cover all first-</w:t>
      </w:r>
      <w:r w:rsidRPr="005633D9">
        <w:rPr>
          <w:lang w:val="en-GB"/>
        </w:rPr>
        <w:t>year aggregators of the pilot and aggregators from similar geography</w:t>
      </w:r>
      <w:r w:rsidR="00C867E1" w:rsidRPr="005633D9">
        <w:rPr>
          <w:lang w:val="en-GB"/>
        </w:rPr>
        <w:t>,</w:t>
      </w:r>
      <w:r w:rsidRPr="005633D9">
        <w:rPr>
          <w:lang w:val="en-GB"/>
        </w:rPr>
        <w:t xml:space="preserve"> covering Kaduna and Kano State in northern Nigeria and Ogun and Oyo </w:t>
      </w:r>
      <w:r w:rsidR="00C867E1" w:rsidRPr="005633D9">
        <w:rPr>
          <w:lang w:val="en-GB"/>
        </w:rPr>
        <w:t>S</w:t>
      </w:r>
      <w:r w:rsidRPr="005633D9">
        <w:rPr>
          <w:lang w:val="en-GB"/>
        </w:rPr>
        <w:t xml:space="preserve">tate in southern Nigeria. In covering both the </w:t>
      </w:r>
      <w:r w:rsidR="00C867E1" w:rsidRPr="005633D9">
        <w:rPr>
          <w:lang w:val="en-GB"/>
        </w:rPr>
        <w:t xml:space="preserve">northern and southern </w:t>
      </w:r>
      <w:r w:rsidRPr="005633D9">
        <w:rPr>
          <w:lang w:val="en-GB"/>
        </w:rPr>
        <w:t xml:space="preserve">states, the qualitative analysis will offer insight into the comparative impact of the pilot on private sector engagement in the two markets, differences in smallholders’ responses to the opportunity to supply Aflasafe-treated maize to the market, and differences in consumer demand for Aflasafe-treated maize. </w:t>
      </w:r>
    </w:p>
    <w:p w:rsidR="005D349A" w:rsidRPr="005633D9" w:rsidRDefault="00BF56E1" w:rsidP="00BF56E1">
      <w:pPr>
        <w:rPr>
          <w:lang w:val="en-GB"/>
        </w:rPr>
      </w:pPr>
      <w:r w:rsidRPr="005633D9">
        <w:rPr>
          <w:lang w:val="en-GB"/>
        </w:rPr>
        <w:t xml:space="preserve">Our evaluation approach for </w:t>
      </w:r>
      <w:r w:rsidR="002261D7" w:rsidRPr="005633D9">
        <w:rPr>
          <w:lang w:val="en-GB"/>
        </w:rPr>
        <w:t>evaluation q</w:t>
      </w:r>
      <w:r w:rsidRPr="005633D9">
        <w:rPr>
          <w:lang w:val="en-GB"/>
        </w:rPr>
        <w:t xml:space="preserve">uestion 1 will be </w:t>
      </w:r>
      <w:r w:rsidR="00E92BB7" w:rsidRPr="005633D9">
        <w:rPr>
          <w:lang w:val="en-GB"/>
        </w:rPr>
        <w:t>organise</w:t>
      </w:r>
      <w:r w:rsidRPr="005633D9">
        <w:rPr>
          <w:lang w:val="en-GB"/>
        </w:rPr>
        <w:t xml:space="preserve">d around the SCP framework. The preliminary SCP framework, based on a qualitative assessment during the protocol design phase, will be the source of hypotheses </w:t>
      </w:r>
      <w:r w:rsidR="002261D7" w:rsidRPr="005633D9">
        <w:rPr>
          <w:lang w:val="en-GB"/>
        </w:rPr>
        <w:t>that we will test</w:t>
      </w:r>
      <w:r w:rsidRPr="005633D9">
        <w:rPr>
          <w:lang w:val="en-GB"/>
        </w:rPr>
        <w:t xml:space="preserve"> regarding the baseline status of the market and the anticipated impact of the pilot on the market. </w:t>
      </w:r>
      <w:r w:rsidR="002261D7" w:rsidRPr="005633D9">
        <w:rPr>
          <w:lang w:val="en-GB"/>
        </w:rPr>
        <w:t>We will adjust h</w:t>
      </w:r>
      <w:r w:rsidRPr="005633D9">
        <w:rPr>
          <w:lang w:val="en-GB"/>
        </w:rPr>
        <w:t xml:space="preserve">ypotheses for the endline survey on the basis of baseline results and any unanticipated adjustments to pilot implementation that might take place. </w:t>
      </w:r>
      <w:r w:rsidR="002261D7" w:rsidRPr="005633D9">
        <w:rPr>
          <w:lang w:val="en-GB"/>
        </w:rPr>
        <w:t>We will also adjust hypotheses based on major developments in the market that might affect pilot impact but are not themselves presumed to be due to or influenced by the pilot (such as the entry of new players or policy changes).</w:t>
      </w:r>
    </w:p>
    <w:p w:rsidR="00BF56E1" w:rsidRPr="005633D9" w:rsidRDefault="00BF56E1" w:rsidP="00BF56E1">
      <w:pPr>
        <w:rPr>
          <w:lang w:val="en-GB"/>
        </w:rPr>
      </w:pPr>
      <w:r w:rsidRPr="005633D9">
        <w:rPr>
          <w:lang w:val="en-GB"/>
        </w:rPr>
        <w:t xml:space="preserve">As part of our hypothesis testing, we </w:t>
      </w:r>
      <w:r w:rsidR="00AE481F" w:rsidRPr="005633D9">
        <w:rPr>
          <w:lang w:val="en-GB"/>
        </w:rPr>
        <w:t xml:space="preserve">will </w:t>
      </w:r>
      <w:r w:rsidRPr="005633D9">
        <w:rPr>
          <w:lang w:val="en-GB"/>
        </w:rPr>
        <w:t>conduct interviews with market actors who are engaged in the pilot and those who are not in order to elucidate factors that drive the decision to participate (or not) and implications of that participation (or lack thereof) for the development of the market for aflatoxin-free maize. To identify market actors who are not engaged in the pilot</w:t>
      </w:r>
      <w:r w:rsidR="002261D7" w:rsidRPr="005633D9">
        <w:rPr>
          <w:lang w:val="en-GB"/>
        </w:rPr>
        <w:t>,</w:t>
      </w:r>
      <w:r w:rsidRPr="005633D9">
        <w:rPr>
          <w:lang w:val="en-GB"/>
        </w:rPr>
        <w:t xml:space="preserve"> we will work with the AgResults </w:t>
      </w:r>
      <w:r w:rsidR="00B748BA">
        <w:rPr>
          <w:lang w:val="en-GB"/>
        </w:rPr>
        <w:t>P</w:t>
      </w:r>
      <w:r w:rsidRPr="005633D9">
        <w:rPr>
          <w:lang w:val="en-GB"/>
        </w:rPr>
        <w:t xml:space="preserve">ilot </w:t>
      </w:r>
      <w:r w:rsidR="00B748BA">
        <w:rPr>
          <w:lang w:val="en-GB"/>
        </w:rPr>
        <w:t>M</w:t>
      </w:r>
      <w:r w:rsidRPr="005633D9">
        <w:rPr>
          <w:lang w:val="en-GB"/>
        </w:rPr>
        <w:t>anager to identify aggregators who were almost selected for the pilot but did not meet all the criteria. This will ensure that our comparative groups of market actors, particularly the aggregators, are as similar as possible to those who participated in the AgResults pilot.</w:t>
      </w:r>
      <w:r w:rsidR="005D349A" w:rsidRPr="005633D9">
        <w:rPr>
          <w:lang w:val="en-GB"/>
        </w:rPr>
        <w:t xml:space="preserve"> We will also examine the role of women in the market for Aflasafe-treated/aflatoxin-free maize, and explore how the emergence of this market has introduced opportunities or constraints to women, given their existing roles in </w:t>
      </w:r>
      <w:r w:rsidR="002261D7" w:rsidRPr="005633D9">
        <w:rPr>
          <w:lang w:val="en-GB"/>
        </w:rPr>
        <w:t xml:space="preserve">the </w:t>
      </w:r>
      <w:r w:rsidR="005D349A" w:rsidRPr="005633D9">
        <w:rPr>
          <w:lang w:val="en-GB"/>
        </w:rPr>
        <w:t xml:space="preserve">Nigerian maize markets in general. </w:t>
      </w:r>
      <w:r w:rsidR="00DD2171" w:rsidRPr="005633D9">
        <w:rPr>
          <w:lang w:val="en-GB"/>
        </w:rPr>
        <w:t xml:space="preserve">The next </w:t>
      </w:r>
      <w:r w:rsidR="0021067F" w:rsidRPr="005633D9">
        <w:rPr>
          <w:lang w:val="en-GB"/>
        </w:rPr>
        <w:t>sub</w:t>
      </w:r>
      <w:r w:rsidR="00DD2171" w:rsidRPr="005633D9">
        <w:rPr>
          <w:lang w:val="en-GB"/>
        </w:rPr>
        <w:t xml:space="preserve">sections present our </w:t>
      </w:r>
      <w:r w:rsidR="0021067F" w:rsidRPr="005633D9">
        <w:rPr>
          <w:lang w:val="en-GB"/>
        </w:rPr>
        <w:t xml:space="preserve">hypothesized baseline scenario and the expected endline impacts. </w:t>
      </w:r>
    </w:p>
    <w:p w:rsidR="00DD2171" w:rsidRPr="005633D9" w:rsidRDefault="00DD2171" w:rsidP="0015516C">
      <w:pPr>
        <w:pStyle w:val="Heading4"/>
        <w:rPr>
          <w:lang w:val="en-GB"/>
        </w:rPr>
      </w:pPr>
      <w:r w:rsidRPr="005633D9">
        <w:rPr>
          <w:lang w:val="en-GB"/>
        </w:rPr>
        <w:t>Hypothesized baseline scenario</w:t>
      </w:r>
    </w:p>
    <w:p w:rsidR="00DD2171" w:rsidRPr="005633D9" w:rsidRDefault="00DD2171" w:rsidP="00DD2171">
      <w:pPr>
        <w:rPr>
          <w:lang w:val="en-GB"/>
        </w:rPr>
      </w:pPr>
      <w:r w:rsidRPr="005633D9">
        <w:rPr>
          <w:lang w:val="en-GB"/>
        </w:rPr>
        <w:t xml:space="preserve">The basic conditions of the market for aflatoxin-treated maize in Nigeria include limited awareness on the part of consumers and most other market actors (with the exception of some poultry feeders and multi-national food companies) of aflatoxins as a threat to both human and animal health, non-enforcement of existing regulations about aflatoxin levels, limited demand for aflatoxin-free maize along the marketing chain, high information costs to determine the aflatoxin levels of maize that is transacted, and a lack of awareness or capacity for economical application of Aflasafe among smallholders, as well as severely limited availability of Aflasafe through commercial channels. </w:t>
      </w:r>
    </w:p>
    <w:p w:rsidR="00DD2171" w:rsidRPr="005633D9" w:rsidRDefault="00DD2171" w:rsidP="00DD2171">
      <w:pPr>
        <w:rPr>
          <w:lang w:val="en-GB"/>
        </w:rPr>
      </w:pPr>
      <w:r w:rsidRPr="005633D9">
        <w:rPr>
          <w:lang w:val="en-GB"/>
        </w:rPr>
        <w:t xml:space="preserve">As a result of these conditions, smallholders, consumers, intermediaries, and processors do not actively engage in the market for aflatoxin-free maize. Market players such as large poultry smallholders, who are aware of aflatoxins as an issue, seek to mitigate them by rejecting feed that has high aflatoxin levels or through alternate methods such mixing clay binders into animal feeds. As a result of these factors there is no significant production of, nor trade in, aflatoxin-free </w:t>
      </w:r>
      <w:r w:rsidRPr="005633D9">
        <w:rPr>
          <w:lang w:val="en-GB"/>
        </w:rPr>
        <w:lastRenderedPageBreak/>
        <w:t>maize, such that a market for aflatoxin-free maize effectively does not exist. From a performance perspective, this is considered “market failure”</w:t>
      </w:r>
      <w:r w:rsidR="00AE3B05" w:rsidRPr="005633D9">
        <w:rPr>
          <w:lang w:val="en-GB"/>
        </w:rPr>
        <w:t>,</w:t>
      </w:r>
      <w:r w:rsidRPr="005633D9">
        <w:rPr>
          <w:lang w:val="en-GB"/>
        </w:rPr>
        <w:t xml:space="preserve"> as it is perceived that latent supply and demand exist and that market constraints impede the development of what would otherwise be a dynamic market for aflatoxin-free maize. </w:t>
      </w:r>
    </w:p>
    <w:p w:rsidR="00DD2171" w:rsidRPr="005633D9" w:rsidRDefault="00DD2171" w:rsidP="00DD2171">
      <w:pPr>
        <w:rPr>
          <w:lang w:val="en-GB"/>
        </w:rPr>
      </w:pPr>
      <w:r w:rsidRPr="005633D9">
        <w:rPr>
          <w:lang w:val="en-GB"/>
        </w:rPr>
        <w:t xml:space="preserve">The baseline SSSP of </w:t>
      </w:r>
      <w:r w:rsidR="00AE3B05" w:rsidRPr="005633D9">
        <w:rPr>
          <w:lang w:val="en-GB"/>
        </w:rPr>
        <w:t xml:space="preserve">the </w:t>
      </w:r>
      <w:r w:rsidRPr="005633D9">
        <w:rPr>
          <w:lang w:val="en-GB"/>
        </w:rPr>
        <w:t>aflatoxin-free maize market are described in more detail below:</w:t>
      </w:r>
    </w:p>
    <w:p w:rsidR="00DD2171" w:rsidRPr="005633D9" w:rsidRDefault="00DD2171" w:rsidP="0015516C">
      <w:pPr>
        <w:pStyle w:val="Heading5"/>
        <w:rPr>
          <w:lang w:val="en-GB"/>
        </w:rPr>
      </w:pPr>
      <w:r w:rsidRPr="005633D9">
        <w:rPr>
          <w:lang w:val="en-GB"/>
        </w:rPr>
        <w:t>Situation</w:t>
      </w:r>
    </w:p>
    <w:p w:rsidR="00DD2171" w:rsidRPr="005633D9" w:rsidRDefault="00DD2171" w:rsidP="005E53FA">
      <w:pPr>
        <w:pStyle w:val="BulletsLessSpace"/>
      </w:pPr>
      <w:r w:rsidRPr="005633D9">
        <w:t xml:space="preserve">Limited awareness on the part of smallholders and consumers of aflatoxins as a health threat </w:t>
      </w:r>
      <w:r w:rsidR="004471AB" w:rsidRPr="005633D9">
        <w:t>(</w:t>
      </w:r>
      <w:r w:rsidR="00083EBB" w:rsidRPr="005633D9">
        <w:t>Dahlberg, 2012</w:t>
      </w:r>
      <w:r w:rsidR="004471AB" w:rsidRPr="005633D9">
        <w:t xml:space="preserve">; </w:t>
      </w:r>
      <w:r w:rsidR="00083EBB" w:rsidRPr="005633D9">
        <w:t>Narayan et al., 2013</w:t>
      </w:r>
      <w:r w:rsidR="004471AB" w:rsidRPr="005633D9">
        <w:t>)</w:t>
      </w:r>
      <w:r w:rsidRPr="005633D9">
        <w:t>:</w:t>
      </w:r>
    </w:p>
    <w:p w:rsidR="00DD2171" w:rsidRPr="005633D9" w:rsidRDefault="00DD2171" w:rsidP="00DD2171">
      <w:pPr>
        <w:pStyle w:val="Bullet2"/>
        <w:rPr>
          <w:lang w:val="en-GB"/>
        </w:rPr>
      </w:pPr>
      <w:r w:rsidRPr="005633D9">
        <w:rPr>
          <w:lang w:val="en-GB"/>
        </w:rPr>
        <w:t>“There is limited awareness among maize consumers, including smallholders, of the long-term adverse health effects of aflatoxin. Consumers do not demand aflatoxin-free food…because they do not perceive aflatoxin to be a problem</w:t>
      </w:r>
      <w:r w:rsidR="004F2CBF" w:rsidRPr="005633D9">
        <w:rPr>
          <w:lang w:val="en-GB"/>
        </w:rPr>
        <w:t>”.</w:t>
      </w:r>
      <w:r w:rsidRPr="005633D9">
        <w:rPr>
          <w:lang w:val="en-GB"/>
        </w:rPr>
        <w:t xml:space="preserve"> (Dahlberg</w:t>
      </w:r>
      <w:r w:rsidR="00B65D18">
        <w:rPr>
          <w:lang w:val="en-GB"/>
        </w:rPr>
        <w:t>,</w:t>
      </w:r>
      <w:r w:rsidRPr="005633D9">
        <w:rPr>
          <w:lang w:val="en-GB"/>
        </w:rPr>
        <w:t xml:space="preserve"> 2012, 12)</w:t>
      </w:r>
    </w:p>
    <w:p w:rsidR="00DD2171" w:rsidRPr="005633D9" w:rsidRDefault="00DD2171" w:rsidP="00DD2171">
      <w:pPr>
        <w:pStyle w:val="Bullet2"/>
        <w:rPr>
          <w:lang w:val="en-GB"/>
        </w:rPr>
      </w:pPr>
      <w:r w:rsidRPr="005633D9">
        <w:rPr>
          <w:lang w:val="en-GB"/>
        </w:rPr>
        <w:t>“Few maize-producing organisations and individual smallholders in Nigeria are currently aware of the aflatoxin problem. Those who are aware are unwilling to invest in reducing aflatoxin contamination without confidence that there will be a premium market for aflatoxin-free crops and without public sector enforcement of aflatoxin limits</w:t>
      </w:r>
      <w:r w:rsidR="004F2CBF" w:rsidRPr="005633D9">
        <w:rPr>
          <w:lang w:val="en-GB"/>
        </w:rPr>
        <w:t>”.</w:t>
      </w:r>
      <w:r w:rsidRPr="005633D9">
        <w:rPr>
          <w:lang w:val="en-GB"/>
        </w:rPr>
        <w:t xml:space="preserve"> (Dahlberg</w:t>
      </w:r>
      <w:r w:rsidR="00B65D18">
        <w:rPr>
          <w:lang w:val="en-GB"/>
        </w:rPr>
        <w:t>,</w:t>
      </w:r>
      <w:r w:rsidRPr="005633D9">
        <w:rPr>
          <w:lang w:val="en-GB"/>
        </w:rPr>
        <w:t xml:space="preserve"> 2012, 5)</w:t>
      </w:r>
    </w:p>
    <w:p w:rsidR="00DD2171" w:rsidRPr="005633D9" w:rsidRDefault="00DD2171" w:rsidP="005E53FA">
      <w:pPr>
        <w:pStyle w:val="BulletsLessSpace"/>
      </w:pPr>
      <w:r w:rsidRPr="005633D9">
        <w:t xml:space="preserve">Regulatory limits on aflatoxin levels exist but are not enforced for maize intended for domestic consumption due to concerns over </w:t>
      </w:r>
      <w:r w:rsidR="005A59C5">
        <w:t xml:space="preserve">the </w:t>
      </w:r>
      <w:r w:rsidRPr="005633D9">
        <w:t>food security impact of enforcement</w:t>
      </w:r>
      <w:r w:rsidR="00243735" w:rsidRPr="005633D9">
        <w:t xml:space="preserve"> </w:t>
      </w:r>
      <w:r w:rsidR="00083EBB">
        <w:rPr>
          <w:noProof/>
        </w:rPr>
        <w:t>(Dahlberg, 2012; Narayan et al., 2013)</w:t>
      </w:r>
      <w:r w:rsidRPr="005633D9">
        <w:t>:</w:t>
      </w:r>
    </w:p>
    <w:p w:rsidR="00DD2171" w:rsidRPr="005633D9" w:rsidRDefault="00DD2171" w:rsidP="00DD2171">
      <w:pPr>
        <w:pStyle w:val="Bullet2"/>
        <w:rPr>
          <w:lang w:val="en-GB"/>
        </w:rPr>
      </w:pPr>
      <w:r w:rsidRPr="005633D9">
        <w:rPr>
          <w:lang w:val="en-GB"/>
        </w:rPr>
        <w:t>“According to IITA’s estimates, 40</w:t>
      </w:r>
      <w:r w:rsidR="00E04F25" w:rsidRPr="005633D9">
        <w:rPr>
          <w:lang w:val="en-GB"/>
        </w:rPr>
        <w:t>–</w:t>
      </w:r>
      <w:r w:rsidRPr="005633D9">
        <w:rPr>
          <w:lang w:val="en-GB"/>
        </w:rPr>
        <w:t>60</w:t>
      </w:r>
      <w:r w:rsidR="007C2141" w:rsidRPr="005633D9">
        <w:rPr>
          <w:lang w:val="en-GB"/>
        </w:rPr>
        <w:t xml:space="preserve"> percent</w:t>
      </w:r>
      <w:r w:rsidRPr="005633D9">
        <w:rPr>
          <w:lang w:val="en-GB"/>
        </w:rPr>
        <w:t xml:space="preserve"> of Nigeria’s maize crop would be deemed unfit for sale (if limits were enforced), jeopardizing perceived food security and the livelihoods of thousands of smallholders</w:t>
      </w:r>
      <w:r w:rsidR="004F2CBF" w:rsidRPr="005633D9">
        <w:rPr>
          <w:lang w:val="en-GB"/>
        </w:rPr>
        <w:t>”.</w:t>
      </w:r>
      <w:r w:rsidR="00243735" w:rsidRPr="005633D9">
        <w:rPr>
          <w:lang w:val="en-GB"/>
        </w:rPr>
        <w:t xml:space="preserve"> </w:t>
      </w:r>
      <w:r w:rsidRPr="005633D9">
        <w:rPr>
          <w:lang w:val="en-GB"/>
        </w:rPr>
        <w:t>(Dahlberg</w:t>
      </w:r>
      <w:r w:rsidR="00B65D18">
        <w:rPr>
          <w:lang w:val="en-GB"/>
        </w:rPr>
        <w:t>,</w:t>
      </w:r>
      <w:r w:rsidRPr="005633D9">
        <w:rPr>
          <w:lang w:val="en-GB"/>
        </w:rPr>
        <w:t xml:space="preserve"> 2012, 75)</w:t>
      </w:r>
    </w:p>
    <w:p w:rsidR="00DD2171" w:rsidRPr="005633D9" w:rsidRDefault="00DD2171" w:rsidP="005E53FA">
      <w:pPr>
        <w:pStyle w:val="BulletsLessSpace"/>
      </w:pPr>
      <w:r w:rsidRPr="005633D9">
        <w:t xml:space="preserve">High information costs to determine </w:t>
      </w:r>
      <w:r w:rsidR="005A59C5">
        <w:t xml:space="preserve">the </w:t>
      </w:r>
      <w:r w:rsidRPr="005633D9">
        <w:t>Aflasafe-</w:t>
      </w:r>
      <w:r w:rsidR="00E04F25" w:rsidRPr="005633D9">
        <w:t xml:space="preserve">treated </w:t>
      </w:r>
      <w:r w:rsidRPr="005633D9">
        <w:t>and/or aflatoxin-free status of maize:</w:t>
      </w:r>
    </w:p>
    <w:p w:rsidR="00DD2171" w:rsidRPr="005633D9" w:rsidRDefault="00DD2171" w:rsidP="00DD2171">
      <w:pPr>
        <w:pStyle w:val="Bullet2"/>
        <w:rPr>
          <w:lang w:val="en-GB"/>
        </w:rPr>
      </w:pPr>
      <w:r w:rsidRPr="005633D9">
        <w:rPr>
          <w:lang w:val="en-GB"/>
        </w:rPr>
        <w:t>“Existing methods of aflatoxin, Aflasafe testing are expensive and time-consuming</w:t>
      </w:r>
      <w:r w:rsidR="004F2CBF" w:rsidRPr="005633D9">
        <w:rPr>
          <w:lang w:val="en-GB"/>
        </w:rPr>
        <w:t>”</w:t>
      </w:r>
      <w:r w:rsidRPr="005633D9">
        <w:rPr>
          <w:lang w:val="en-GB"/>
        </w:rPr>
        <w:t xml:space="preserve"> (Dahlberg</w:t>
      </w:r>
      <w:r w:rsidR="00B65D18">
        <w:rPr>
          <w:lang w:val="en-GB"/>
        </w:rPr>
        <w:t>,</w:t>
      </w:r>
      <w:r w:rsidRPr="005633D9">
        <w:rPr>
          <w:lang w:val="en-GB"/>
        </w:rPr>
        <w:t xml:space="preserve"> 2012, 65)</w:t>
      </w:r>
    </w:p>
    <w:p w:rsidR="00DD2171" w:rsidRPr="005633D9" w:rsidRDefault="00DD2171" w:rsidP="00DD2171">
      <w:pPr>
        <w:pStyle w:val="Bullet2"/>
        <w:rPr>
          <w:lang w:val="en-GB"/>
        </w:rPr>
      </w:pPr>
      <w:r w:rsidRPr="005633D9">
        <w:rPr>
          <w:lang w:val="en-GB"/>
        </w:rPr>
        <w:t xml:space="preserve"> “(A)n inexpensive and accessible testing method is not widely available to diagnose and monitor aflatoxin levels throughout the value chain</w:t>
      </w:r>
      <w:r w:rsidR="004F2CBF" w:rsidRPr="005633D9">
        <w:rPr>
          <w:lang w:val="en-GB"/>
        </w:rPr>
        <w:t>”.</w:t>
      </w:r>
      <w:r w:rsidRPr="005633D9">
        <w:rPr>
          <w:lang w:val="en-GB"/>
        </w:rPr>
        <w:t xml:space="preserve"> (Dahlberg</w:t>
      </w:r>
      <w:r w:rsidR="00B65D18">
        <w:rPr>
          <w:lang w:val="en-GB"/>
        </w:rPr>
        <w:t>,</w:t>
      </w:r>
      <w:r w:rsidRPr="005633D9">
        <w:rPr>
          <w:lang w:val="en-GB"/>
        </w:rPr>
        <w:t xml:space="preserve"> 2012, 12) </w:t>
      </w:r>
    </w:p>
    <w:p w:rsidR="00DD2171" w:rsidRPr="005633D9" w:rsidRDefault="00DD2171" w:rsidP="00DD2171">
      <w:pPr>
        <w:pStyle w:val="Bullet2"/>
        <w:rPr>
          <w:lang w:val="en-GB"/>
        </w:rPr>
      </w:pPr>
      <w:r w:rsidRPr="005633D9">
        <w:rPr>
          <w:lang w:val="en-GB"/>
        </w:rPr>
        <w:t>“The protocol for testing for Aflasafe is expected to involve a delay of several weeks between sampling and test completion…Participating organisations will receive payment as soon as Aflasafe prevalence in delivered maize has been verified</w:t>
      </w:r>
      <w:r w:rsidR="004F2CBF" w:rsidRPr="005633D9">
        <w:rPr>
          <w:lang w:val="en-GB"/>
        </w:rPr>
        <w:t>”</w:t>
      </w:r>
      <w:r w:rsidR="00243735" w:rsidRPr="005633D9">
        <w:rPr>
          <w:lang w:val="en-GB"/>
        </w:rPr>
        <w:t xml:space="preserve"> </w:t>
      </w:r>
      <w:r w:rsidRPr="005633D9">
        <w:rPr>
          <w:lang w:val="en-GB"/>
        </w:rPr>
        <w:t>(Dahlberg</w:t>
      </w:r>
      <w:r w:rsidR="00B65D18">
        <w:rPr>
          <w:lang w:val="en-GB"/>
        </w:rPr>
        <w:t>,</w:t>
      </w:r>
      <w:r w:rsidRPr="005633D9">
        <w:rPr>
          <w:lang w:val="en-GB"/>
        </w:rPr>
        <w:t xml:space="preserve"> 2012, 18</w:t>
      </w:r>
      <w:r w:rsidR="004F2CBF" w:rsidRPr="005633D9">
        <w:rPr>
          <w:lang w:val="en-GB"/>
        </w:rPr>
        <w:t>–</w:t>
      </w:r>
      <w:r w:rsidRPr="005633D9">
        <w:rPr>
          <w:lang w:val="en-GB"/>
        </w:rPr>
        <w:t>19)</w:t>
      </w:r>
      <w:r w:rsidR="00DD2385" w:rsidRPr="005633D9">
        <w:rPr>
          <w:lang w:val="en-GB"/>
        </w:rPr>
        <w:t>.</w:t>
      </w:r>
    </w:p>
    <w:p w:rsidR="00DD2171" w:rsidRPr="005633D9" w:rsidRDefault="00DD2171" w:rsidP="005E53FA">
      <w:pPr>
        <w:pStyle w:val="BulletsLessSpace"/>
      </w:pPr>
      <w:r w:rsidRPr="005633D9">
        <w:t>Increased production costs means application of Aflasafe by smallholders is uneconomical at current yields:</w:t>
      </w:r>
    </w:p>
    <w:p w:rsidR="00DD2171" w:rsidRPr="005633D9" w:rsidRDefault="00DD2171" w:rsidP="00DD2171">
      <w:pPr>
        <w:pStyle w:val="Bullet2"/>
        <w:rPr>
          <w:lang w:val="en-GB"/>
        </w:rPr>
      </w:pPr>
      <w:r w:rsidRPr="005633D9">
        <w:rPr>
          <w:lang w:val="en-GB"/>
        </w:rPr>
        <w:t xml:space="preserve">“Higher levels of yield are therefore essential to reduce the cost of Aflasafe per </w:t>
      </w:r>
      <w:r w:rsidR="00523473" w:rsidRPr="005633D9">
        <w:rPr>
          <w:lang w:val="en-GB"/>
        </w:rPr>
        <w:t>MT</w:t>
      </w:r>
      <w:r w:rsidRPr="005633D9">
        <w:rPr>
          <w:lang w:val="en-GB"/>
        </w:rPr>
        <w:t xml:space="preserve"> of maize produced</w:t>
      </w:r>
      <w:r w:rsidR="004F2CBF" w:rsidRPr="005633D9">
        <w:rPr>
          <w:lang w:val="en-GB"/>
        </w:rPr>
        <w:t>”</w:t>
      </w:r>
      <w:r w:rsidRPr="005633D9">
        <w:rPr>
          <w:lang w:val="en-GB"/>
        </w:rPr>
        <w:t xml:space="preserve"> (Dahlberg</w:t>
      </w:r>
      <w:r w:rsidR="00B65D18">
        <w:rPr>
          <w:lang w:val="en-GB"/>
        </w:rPr>
        <w:t>,</w:t>
      </w:r>
      <w:r w:rsidRPr="005633D9">
        <w:rPr>
          <w:lang w:val="en-GB"/>
        </w:rPr>
        <w:t xml:space="preserve"> 2012, 6)</w:t>
      </w:r>
    </w:p>
    <w:p w:rsidR="00DD2171" w:rsidRPr="005633D9" w:rsidRDefault="00DD2171" w:rsidP="00DD2171">
      <w:pPr>
        <w:pStyle w:val="Bullet2"/>
        <w:rPr>
          <w:lang w:val="en-GB"/>
        </w:rPr>
      </w:pPr>
      <w:r w:rsidRPr="005633D9">
        <w:rPr>
          <w:lang w:val="en-GB"/>
        </w:rPr>
        <w:t xml:space="preserve">Currently, yields are below 2 </w:t>
      </w:r>
      <w:r w:rsidR="00523473" w:rsidRPr="005633D9">
        <w:rPr>
          <w:lang w:val="en-GB"/>
        </w:rPr>
        <w:t>MT</w:t>
      </w:r>
      <w:r w:rsidRPr="005633D9">
        <w:rPr>
          <w:lang w:val="en-GB"/>
        </w:rPr>
        <w:t>s/hectare</w:t>
      </w:r>
      <w:r w:rsidR="004F2CBF" w:rsidRPr="005633D9">
        <w:rPr>
          <w:lang w:val="en-GB"/>
        </w:rPr>
        <w:t>,</w:t>
      </w:r>
      <w:r w:rsidRPr="005633D9">
        <w:rPr>
          <w:lang w:val="en-GB"/>
        </w:rPr>
        <w:t xml:space="preserve"> and business plan calculations estimate that a premium of </w:t>
      </w:r>
      <w:r w:rsidR="00722EC8">
        <w:rPr>
          <w:lang w:val="en-GB"/>
        </w:rPr>
        <w:t>$18.44</w:t>
      </w:r>
      <w:r w:rsidRPr="005633D9">
        <w:rPr>
          <w:lang w:val="en-GB"/>
        </w:rPr>
        <w:t>/</w:t>
      </w:r>
      <w:r w:rsidR="00523473" w:rsidRPr="005633D9">
        <w:rPr>
          <w:lang w:val="en-GB"/>
        </w:rPr>
        <w:t>MT</w:t>
      </w:r>
      <w:r w:rsidRPr="005633D9">
        <w:rPr>
          <w:lang w:val="en-GB"/>
        </w:rPr>
        <w:t xml:space="preserve"> </w:t>
      </w:r>
      <w:r w:rsidR="00722EC8">
        <w:rPr>
          <w:lang w:val="en-GB"/>
        </w:rPr>
        <w:t xml:space="preserve">(3000 Naira) </w:t>
      </w:r>
      <w:r w:rsidRPr="005633D9">
        <w:rPr>
          <w:lang w:val="en-GB"/>
        </w:rPr>
        <w:t>would be economical and attracti</w:t>
      </w:r>
      <w:r w:rsidR="004F2CBF" w:rsidRPr="005633D9">
        <w:rPr>
          <w:lang w:val="en-GB"/>
        </w:rPr>
        <w:t>ve at yields of approximately 3 </w:t>
      </w:r>
      <w:r w:rsidR="00523473" w:rsidRPr="005633D9">
        <w:rPr>
          <w:lang w:val="en-GB"/>
        </w:rPr>
        <w:t>MT</w:t>
      </w:r>
      <w:r w:rsidRPr="005633D9">
        <w:rPr>
          <w:lang w:val="en-GB"/>
        </w:rPr>
        <w:t>s/hectare (Dahlberg</w:t>
      </w:r>
      <w:r w:rsidR="00B65D18">
        <w:rPr>
          <w:lang w:val="en-GB"/>
        </w:rPr>
        <w:t>,</w:t>
      </w:r>
      <w:r w:rsidRPr="005633D9">
        <w:rPr>
          <w:lang w:val="en-GB"/>
        </w:rPr>
        <w:t xml:space="preserve"> 2012).</w:t>
      </w:r>
    </w:p>
    <w:p w:rsidR="00DD2171" w:rsidRPr="005633D9" w:rsidRDefault="00DD2171" w:rsidP="005E53FA">
      <w:pPr>
        <w:pStyle w:val="BulletsLessSpace"/>
      </w:pPr>
      <w:r w:rsidRPr="005633D9">
        <w:lastRenderedPageBreak/>
        <w:t>Limited to no demand for Aflasafe by producers:</w:t>
      </w:r>
    </w:p>
    <w:p w:rsidR="00DD2171" w:rsidRPr="005633D9" w:rsidRDefault="00DD2171" w:rsidP="00BC4FAA">
      <w:pPr>
        <w:pStyle w:val="Bullet2"/>
        <w:keepNext/>
        <w:rPr>
          <w:lang w:val="en-GB"/>
        </w:rPr>
      </w:pPr>
      <w:r w:rsidRPr="005633D9">
        <w:rPr>
          <w:lang w:val="en-GB"/>
        </w:rPr>
        <w:t>“No existing demand for Aflasafe...” (Dahlberg</w:t>
      </w:r>
      <w:r w:rsidR="00B65D18">
        <w:rPr>
          <w:lang w:val="en-GB"/>
        </w:rPr>
        <w:t>,</w:t>
      </w:r>
      <w:r w:rsidRPr="005633D9">
        <w:rPr>
          <w:lang w:val="en-GB"/>
        </w:rPr>
        <w:t xml:space="preserve"> 2012, 65) </w:t>
      </w:r>
    </w:p>
    <w:p w:rsidR="00DD2171" w:rsidRPr="005633D9" w:rsidRDefault="004F2CBF" w:rsidP="00DD2171">
      <w:pPr>
        <w:pStyle w:val="Bullet2"/>
        <w:rPr>
          <w:lang w:val="en-GB"/>
        </w:rPr>
      </w:pPr>
      <w:r w:rsidRPr="005633D9">
        <w:rPr>
          <w:lang w:val="en-GB"/>
        </w:rPr>
        <w:t>“S</w:t>
      </w:r>
      <w:r w:rsidR="00DD2171" w:rsidRPr="005633D9">
        <w:rPr>
          <w:lang w:val="en-GB"/>
        </w:rPr>
        <w:t>mallholders, processors and other maize suppliers do not recognize that available aflatoxin control solutions, including biocontrol, are economical to use</w:t>
      </w:r>
      <w:r w:rsidRPr="005633D9">
        <w:rPr>
          <w:lang w:val="en-GB"/>
        </w:rPr>
        <w:t>”.</w:t>
      </w:r>
      <w:r w:rsidR="00DD2171" w:rsidRPr="005633D9">
        <w:rPr>
          <w:lang w:val="en-GB"/>
        </w:rPr>
        <w:t xml:space="preserve"> (Dahlberg</w:t>
      </w:r>
      <w:r w:rsidR="00B65D18">
        <w:rPr>
          <w:lang w:val="en-GB"/>
        </w:rPr>
        <w:t>,</w:t>
      </w:r>
      <w:r w:rsidR="00DD2171" w:rsidRPr="005633D9">
        <w:rPr>
          <w:lang w:val="en-GB"/>
        </w:rPr>
        <w:t xml:space="preserve"> 2012, 12)</w:t>
      </w:r>
    </w:p>
    <w:p w:rsidR="00DD2171" w:rsidRPr="005633D9" w:rsidRDefault="00DD2171" w:rsidP="00DD2171">
      <w:pPr>
        <w:pStyle w:val="Bullets"/>
      </w:pPr>
      <w:r w:rsidRPr="005633D9">
        <w:t>Limited supply of Aflasafe</w:t>
      </w:r>
      <w:r w:rsidR="004F2CBF" w:rsidRPr="005633D9">
        <w:t>.</w:t>
      </w:r>
      <w:r w:rsidRPr="005633D9">
        <w:t xml:space="preserve"> </w:t>
      </w:r>
    </w:p>
    <w:p w:rsidR="00DD2171" w:rsidRPr="005633D9" w:rsidRDefault="00DD2171" w:rsidP="0015516C">
      <w:pPr>
        <w:pStyle w:val="Heading5"/>
        <w:rPr>
          <w:lang w:val="en-GB"/>
        </w:rPr>
      </w:pPr>
      <w:r w:rsidRPr="005633D9">
        <w:rPr>
          <w:lang w:val="en-GB"/>
        </w:rPr>
        <w:t>Strategy</w:t>
      </w:r>
    </w:p>
    <w:p w:rsidR="00DD2171" w:rsidRPr="005633D9" w:rsidRDefault="00DD2171" w:rsidP="00DD2171">
      <w:pPr>
        <w:pStyle w:val="Bullets"/>
      </w:pPr>
      <w:r w:rsidRPr="005633D9">
        <w:t>Retail companies do not monitor aflatoxin levels (Dahlberg</w:t>
      </w:r>
      <w:r w:rsidR="00B65D18">
        <w:t>,</w:t>
      </w:r>
      <w:r w:rsidRPr="005633D9">
        <w:t xml:space="preserve"> 2012, 65)</w:t>
      </w:r>
      <w:r w:rsidR="004F2CBF" w:rsidRPr="005633D9">
        <w:t>.</w:t>
      </w:r>
    </w:p>
    <w:p w:rsidR="00DD2171" w:rsidRPr="005633D9" w:rsidRDefault="00DD2171" w:rsidP="00DD2171">
      <w:pPr>
        <w:pStyle w:val="Bullets"/>
      </w:pPr>
      <w:r w:rsidRPr="005633D9">
        <w:t>Some poultry and other feeders test for aflatoxins and reject contaminated shipments and/or use clay binders to mitigate aflatoxin effects (Dahlberg</w:t>
      </w:r>
      <w:r w:rsidR="00B65D18">
        <w:t>,</w:t>
      </w:r>
      <w:r w:rsidRPr="005633D9">
        <w:t xml:space="preserve"> 2012, 65; </w:t>
      </w:r>
      <w:r w:rsidR="00685334" w:rsidRPr="005633D9">
        <w:t>Narayan et al., 2013)</w:t>
      </w:r>
      <w:r w:rsidR="004F2CBF" w:rsidRPr="005633D9">
        <w:t>.</w:t>
      </w:r>
    </w:p>
    <w:p w:rsidR="00DD2171" w:rsidRPr="005633D9" w:rsidRDefault="00DD2171" w:rsidP="00DD2171">
      <w:pPr>
        <w:pStyle w:val="Bullets"/>
      </w:pPr>
      <w:r w:rsidRPr="005633D9">
        <w:t>Maize traders and processors do not invest in</w:t>
      </w:r>
      <w:r w:rsidR="00DD2385" w:rsidRPr="005633D9">
        <w:t xml:space="preserve"> serving aflatoxin-free markets.</w:t>
      </w:r>
    </w:p>
    <w:p w:rsidR="00DD2171" w:rsidRPr="005633D9" w:rsidRDefault="00DD2171" w:rsidP="00DD2171">
      <w:pPr>
        <w:pStyle w:val="Bullets"/>
      </w:pPr>
      <w:r w:rsidRPr="005633D9">
        <w:t>Smallholders do not use Aflasafe under current market conditions because to do so will increase their costs with no corresponding increase in price received—application of Aflasafe is uneconomical</w:t>
      </w:r>
      <w:r w:rsidR="00DD2385" w:rsidRPr="005633D9">
        <w:t>.</w:t>
      </w:r>
    </w:p>
    <w:p w:rsidR="00DD2171" w:rsidRPr="005633D9" w:rsidRDefault="00DD2171" w:rsidP="0015516C">
      <w:pPr>
        <w:pStyle w:val="Heading5"/>
        <w:rPr>
          <w:lang w:val="en-GB"/>
        </w:rPr>
      </w:pPr>
      <w:r w:rsidRPr="005633D9">
        <w:rPr>
          <w:lang w:val="en-GB"/>
        </w:rPr>
        <w:t>Structure</w:t>
      </w:r>
    </w:p>
    <w:p w:rsidR="00DD2171" w:rsidRPr="005633D9" w:rsidRDefault="00DD2171" w:rsidP="00DD2171">
      <w:pPr>
        <w:pStyle w:val="Bullets"/>
      </w:pPr>
      <w:r w:rsidRPr="005633D9">
        <w:t>Insignificant number of producers of Aflasafe-treated maize</w:t>
      </w:r>
    </w:p>
    <w:p w:rsidR="00DD2171" w:rsidRPr="005633D9" w:rsidRDefault="00DD2171" w:rsidP="00DD2171">
      <w:pPr>
        <w:pStyle w:val="Bullets"/>
      </w:pPr>
      <w:r w:rsidRPr="005633D9">
        <w:t>Insignificant volume of Aflasafe-treated maize produced and sold</w:t>
      </w:r>
    </w:p>
    <w:p w:rsidR="00DD2171" w:rsidRPr="005633D9" w:rsidRDefault="00DD2171" w:rsidP="00DD2171">
      <w:pPr>
        <w:pStyle w:val="Bullets"/>
      </w:pPr>
      <w:r w:rsidRPr="005633D9">
        <w:t>No differentiated market for aflatoxin-free maize, meaning no price premium or facilities to segregate Aflasafe-treated maize from mainstream maize</w:t>
      </w:r>
      <w:r w:rsidR="0022798E">
        <w:t>.</w:t>
      </w:r>
    </w:p>
    <w:p w:rsidR="00DD2171" w:rsidRPr="005633D9" w:rsidRDefault="00DD2171" w:rsidP="0015516C">
      <w:pPr>
        <w:pStyle w:val="Heading5"/>
        <w:rPr>
          <w:lang w:val="en-GB"/>
        </w:rPr>
      </w:pPr>
      <w:r w:rsidRPr="005633D9">
        <w:rPr>
          <w:lang w:val="en-GB"/>
        </w:rPr>
        <w:t>Performance</w:t>
      </w:r>
    </w:p>
    <w:p w:rsidR="00DD2171" w:rsidRPr="005633D9" w:rsidRDefault="00DD2171" w:rsidP="00DD2171">
      <w:pPr>
        <w:pStyle w:val="Bullets"/>
      </w:pPr>
      <w:r w:rsidRPr="005633D9">
        <w:t>Market “failure” due to lack of information on the adverse effects of aflatoxins among consumers and producers that results in no provision of a product (aflatoxin-free maize) for which potential supply and demand could support market activity</w:t>
      </w:r>
    </w:p>
    <w:p w:rsidR="00DD2171" w:rsidRPr="005633D9" w:rsidRDefault="00DD2171" w:rsidP="00DD2171">
      <w:pPr>
        <w:pStyle w:val="Bullets"/>
      </w:pPr>
      <w:r w:rsidRPr="005633D9">
        <w:t>Human and animal health and productivity problems due to aflatoxins</w:t>
      </w:r>
      <w:r w:rsidR="0022798E">
        <w:t>.</w:t>
      </w:r>
    </w:p>
    <w:p w:rsidR="00DD2171" w:rsidRPr="005633D9" w:rsidRDefault="00DD2171" w:rsidP="0015516C">
      <w:pPr>
        <w:pStyle w:val="Heading4"/>
        <w:rPr>
          <w:lang w:val="en-GB"/>
        </w:rPr>
      </w:pPr>
      <w:r w:rsidRPr="005633D9">
        <w:rPr>
          <w:lang w:val="en-GB"/>
        </w:rPr>
        <w:t>Hypothesized pilot impacts: endline scenario</w:t>
      </w:r>
    </w:p>
    <w:p w:rsidR="00DD2171" w:rsidRPr="005633D9" w:rsidRDefault="00DD2171" w:rsidP="00DD2171">
      <w:pPr>
        <w:rPr>
          <w:lang w:val="en-GB"/>
        </w:rPr>
      </w:pPr>
      <w:r w:rsidRPr="005633D9">
        <w:rPr>
          <w:lang w:val="en-GB"/>
        </w:rPr>
        <w:t>Seen within this</w:t>
      </w:r>
      <w:r w:rsidR="00243735" w:rsidRPr="005633D9">
        <w:rPr>
          <w:lang w:val="en-GB"/>
        </w:rPr>
        <w:t xml:space="preserve"> </w:t>
      </w:r>
      <w:r w:rsidRPr="005633D9">
        <w:rPr>
          <w:lang w:val="en-GB"/>
        </w:rPr>
        <w:t xml:space="preserve">SCP framework, the AgResults pilot incentives are intended to “artificially” and temporarily alter the underlying conditions of the market by, for example, creating an expression of supply or demand where it would not otherwise exist, and through this change </w:t>
      </w:r>
      <w:r w:rsidR="005A59C5" w:rsidRPr="005633D9">
        <w:rPr>
          <w:lang w:val="en-GB"/>
        </w:rPr>
        <w:t>induc</w:t>
      </w:r>
      <w:r w:rsidR="005A59C5">
        <w:rPr>
          <w:lang w:val="en-GB"/>
        </w:rPr>
        <w:t>ing</w:t>
      </w:r>
      <w:r w:rsidR="005A59C5" w:rsidRPr="005633D9">
        <w:rPr>
          <w:lang w:val="en-GB"/>
        </w:rPr>
        <w:t xml:space="preserve"> </w:t>
      </w:r>
      <w:r w:rsidRPr="005633D9">
        <w:rPr>
          <w:lang w:val="en-GB"/>
        </w:rPr>
        <w:t>private sector actors (such as millers, storage suppliers</w:t>
      </w:r>
      <w:r w:rsidR="00DD2385" w:rsidRPr="005633D9">
        <w:rPr>
          <w:lang w:val="en-GB"/>
        </w:rPr>
        <w:t>,</w:t>
      </w:r>
      <w:r w:rsidRPr="005633D9">
        <w:rPr>
          <w:lang w:val="en-GB"/>
        </w:rPr>
        <w:t xml:space="preserve"> or aggregators) to engage in the market. This engagement, if it is sustained and of adequate scale, should catalyse engagement by other parties (such as smallholders who take up a new technology to produce a product for which the millers or aggregators are offering premium prices)</w:t>
      </w:r>
      <w:r w:rsidR="0092472E" w:rsidRPr="005633D9">
        <w:rPr>
          <w:lang w:val="en-GB"/>
        </w:rPr>
        <w:t>. E</w:t>
      </w:r>
      <w:r w:rsidRPr="005633D9">
        <w:rPr>
          <w:lang w:val="en-GB"/>
        </w:rPr>
        <w:t>ventually, if the reaction is sustained and of adequate scale, these responses will serve on aggregate to alter the structure and performance of the market to the point where it</w:t>
      </w:r>
      <w:r w:rsidR="00A9046F" w:rsidRPr="005633D9">
        <w:rPr>
          <w:lang w:val="en-GB"/>
        </w:rPr>
        <w:t>s new configuration</w:t>
      </w:r>
      <w:r w:rsidRPr="005633D9">
        <w:rPr>
          <w:lang w:val="en-GB"/>
        </w:rPr>
        <w:t xml:space="preserve"> becomes self-sustaining. </w:t>
      </w:r>
    </w:p>
    <w:p w:rsidR="00DD2171" w:rsidRPr="005633D9" w:rsidRDefault="00DD2171" w:rsidP="00DD2171">
      <w:pPr>
        <w:rPr>
          <w:lang w:val="en-GB"/>
        </w:rPr>
      </w:pPr>
      <w:r w:rsidRPr="005633D9">
        <w:rPr>
          <w:lang w:val="en-GB"/>
        </w:rPr>
        <w:t>The basic premise underlying the pilot intervention is that reducing the risk and increasing returns to transacting aflatoxin-free maize will unlock latent demand for it and stimulate the emergence of a market for it. That is, the pilot will “jumpstart the market by creating a surplus of aflatox</w:t>
      </w:r>
      <w:r w:rsidR="0092472E" w:rsidRPr="005633D9">
        <w:rPr>
          <w:lang w:val="en-GB"/>
        </w:rPr>
        <w:t>in-free maize” (Dahlberg</w:t>
      </w:r>
      <w:r w:rsidR="00B65D18">
        <w:rPr>
          <w:lang w:val="en-GB"/>
        </w:rPr>
        <w:t>,</w:t>
      </w:r>
      <w:r w:rsidR="0092472E" w:rsidRPr="005633D9">
        <w:rPr>
          <w:lang w:val="en-GB"/>
        </w:rPr>
        <w:t xml:space="preserve"> 2012, </w:t>
      </w:r>
      <w:r w:rsidRPr="005633D9">
        <w:rPr>
          <w:lang w:val="en-GB"/>
        </w:rPr>
        <w:t>6). It will also ensure that several necessary (but not sufficient) conditions for the establishment of a market are met. These include the availability of testing methods to determine the presence of Aflasafe in maize and a test for aflatoxin levels (or Aflasafe levels). Articulated within the SCP framework, the pilot will alter the basic conditions of the market, cataly</w:t>
      </w:r>
      <w:r w:rsidR="00E04F25" w:rsidRPr="005633D9">
        <w:rPr>
          <w:lang w:val="en-GB"/>
        </w:rPr>
        <w:t>s</w:t>
      </w:r>
      <w:r w:rsidRPr="005633D9">
        <w:rPr>
          <w:lang w:val="en-GB"/>
        </w:rPr>
        <w:t xml:space="preserve">ing changes in firm strategy </w:t>
      </w:r>
      <w:r w:rsidR="0022798E">
        <w:rPr>
          <w:lang w:val="en-GB"/>
        </w:rPr>
        <w:t>that</w:t>
      </w:r>
      <w:r w:rsidRPr="005633D9">
        <w:rPr>
          <w:lang w:val="en-GB"/>
        </w:rPr>
        <w:t xml:space="preserve">, if significant, will lead to the emergence </w:t>
      </w:r>
      <w:r w:rsidRPr="005633D9">
        <w:rPr>
          <w:lang w:val="en-GB"/>
        </w:rPr>
        <w:lastRenderedPageBreak/>
        <w:t>of a differentiated market for aflatoxin-free maize. Thus, the hypothesized endline SSSP of aflatoxin-free maize market will be as described below</w:t>
      </w:r>
      <w:r w:rsidR="0092472E" w:rsidRPr="005633D9">
        <w:rPr>
          <w:lang w:val="en-GB"/>
        </w:rPr>
        <w:t>.</w:t>
      </w:r>
    </w:p>
    <w:p w:rsidR="00DD2171" w:rsidRPr="005633D9" w:rsidRDefault="00DD2171" w:rsidP="0015516C">
      <w:pPr>
        <w:pStyle w:val="Heading5"/>
        <w:rPr>
          <w:lang w:val="en-GB"/>
        </w:rPr>
      </w:pPr>
      <w:r w:rsidRPr="005633D9">
        <w:rPr>
          <w:lang w:val="en-GB"/>
        </w:rPr>
        <w:t>Situation</w:t>
      </w:r>
    </w:p>
    <w:p w:rsidR="00DD2171" w:rsidRPr="005633D9" w:rsidRDefault="00DD2171" w:rsidP="00DD2171">
      <w:pPr>
        <w:rPr>
          <w:lang w:val="en-GB"/>
        </w:rPr>
      </w:pPr>
      <w:r w:rsidRPr="005633D9">
        <w:rPr>
          <w:lang w:val="en-GB"/>
        </w:rPr>
        <w:t>Specific pilot interventions (each of which alters basic market conditions) include:</w:t>
      </w:r>
    </w:p>
    <w:p w:rsidR="00DD2171" w:rsidRPr="005633D9" w:rsidRDefault="00DD2171" w:rsidP="00DD2171">
      <w:pPr>
        <w:pStyle w:val="Bullets"/>
      </w:pPr>
      <w:r w:rsidRPr="005633D9">
        <w:t>Reward intermediaries who transact Aflasafe-treated maize</w:t>
      </w:r>
    </w:p>
    <w:p w:rsidR="00DD2171" w:rsidRPr="005633D9" w:rsidRDefault="00DD2171" w:rsidP="00DD2171">
      <w:pPr>
        <w:pStyle w:val="Bullets"/>
      </w:pPr>
      <w:r w:rsidRPr="005633D9">
        <w:t xml:space="preserve">Reduce costs of Aflasafe utilization by supporting activities to increase smallholders’ yields </w:t>
      </w:r>
    </w:p>
    <w:p w:rsidR="00DD2171" w:rsidRPr="005633D9" w:rsidRDefault="00DD2171" w:rsidP="00DD2171">
      <w:pPr>
        <w:pStyle w:val="Bullets"/>
      </w:pPr>
      <w:r w:rsidRPr="005633D9">
        <w:t>Make Aflasafe available to smallholders</w:t>
      </w:r>
    </w:p>
    <w:p w:rsidR="00DD2171" w:rsidRPr="005633D9" w:rsidRDefault="00DD2171" w:rsidP="00DD2171">
      <w:pPr>
        <w:pStyle w:val="Bullets"/>
      </w:pPr>
      <w:r w:rsidRPr="005633D9">
        <w:t>Develop test for Aflasafe levels</w:t>
      </w:r>
    </w:p>
    <w:p w:rsidR="00DD2171" w:rsidRPr="005633D9" w:rsidRDefault="00DD2171" w:rsidP="00DD2171">
      <w:pPr>
        <w:pStyle w:val="Bullets"/>
      </w:pPr>
      <w:r w:rsidRPr="005633D9">
        <w:t>Develop test for aflatoxin levels</w:t>
      </w:r>
      <w:r w:rsidR="0092472E" w:rsidRPr="005633D9">
        <w:t>.</w:t>
      </w:r>
    </w:p>
    <w:p w:rsidR="00DD2171" w:rsidRPr="005633D9" w:rsidRDefault="00DD2171" w:rsidP="0015516C">
      <w:pPr>
        <w:pStyle w:val="Heading5"/>
        <w:rPr>
          <w:lang w:val="en-GB"/>
        </w:rPr>
      </w:pPr>
      <w:r w:rsidRPr="005633D9">
        <w:rPr>
          <w:lang w:val="en-GB"/>
        </w:rPr>
        <w:t>Strategy</w:t>
      </w:r>
    </w:p>
    <w:p w:rsidR="00DD2171" w:rsidRPr="005633D9" w:rsidRDefault="00DD2171" w:rsidP="00DD2171">
      <w:pPr>
        <w:rPr>
          <w:lang w:val="en-GB"/>
        </w:rPr>
      </w:pPr>
      <w:r w:rsidRPr="005633D9">
        <w:rPr>
          <w:lang w:val="en-GB"/>
        </w:rPr>
        <w:t>It is hypothesized that the changed basic conditions in the market will have the following effects on firm strategy</w:t>
      </w:r>
      <w:r w:rsidR="0092472E" w:rsidRPr="005633D9">
        <w:rPr>
          <w:lang w:val="en-GB"/>
        </w:rPr>
        <w:t>:</w:t>
      </w:r>
    </w:p>
    <w:p w:rsidR="00DD2171" w:rsidRPr="005633D9" w:rsidRDefault="00DD2171" w:rsidP="005E53FA">
      <w:pPr>
        <w:pStyle w:val="BulletsLessSpace"/>
      </w:pPr>
      <w:r w:rsidRPr="005633D9">
        <w:t>“Aggregator” firms (intermediaries/aggregators/traders) will respond to pilot incentives by engaging in the market for Aflasafe-treated maize. They will:</w:t>
      </w:r>
    </w:p>
    <w:p w:rsidR="00DD2171" w:rsidRPr="005633D9" w:rsidRDefault="00DD2171" w:rsidP="00DD2171">
      <w:pPr>
        <w:pStyle w:val="Bullet2"/>
        <w:rPr>
          <w:lang w:val="en-GB"/>
        </w:rPr>
      </w:pPr>
      <w:r w:rsidRPr="005633D9">
        <w:rPr>
          <w:lang w:val="en-GB"/>
        </w:rPr>
        <w:t xml:space="preserve">Supply Aflasafe to smallholders </w:t>
      </w:r>
    </w:p>
    <w:p w:rsidR="00DD2171" w:rsidRPr="005633D9" w:rsidRDefault="00DD2171" w:rsidP="00DD2171">
      <w:pPr>
        <w:pStyle w:val="Bullet2"/>
        <w:rPr>
          <w:lang w:val="en-GB"/>
        </w:rPr>
      </w:pPr>
      <w:r w:rsidRPr="005633D9">
        <w:rPr>
          <w:lang w:val="en-GB"/>
        </w:rPr>
        <w:t>Contract with smallholders for supply of Aflasafe-treated maize</w:t>
      </w:r>
    </w:p>
    <w:p w:rsidR="00DD2171" w:rsidRPr="005633D9" w:rsidRDefault="00DD2171" w:rsidP="00DD2171">
      <w:pPr>
        <w:pStyle w:val="Bullet2"/>
        <w:numPr>
          <w:ilvl w:val="1"/>
          <w:numId w:val="5"/>
        </w:numPr>
        <w:rPr>
          <w:lang w:val="en-GB"/>
        </w:rPr>
      </w:pPr>
      <w:r w:rsidRPr="005633D9">
        <w:rPr>
          <w:lang w:val="en-GB"/>
        </w:rPr>
        <w:t xml:space="preserve">Although the pilot seeks explicitly to create conditions for inclusion of smallholders in the market, aggregators may have a preference for working with larger </w:t>
      </w:r>
      <w:r w:rsidR="00C35C5F" w:rsidRPr="005633D9">
        <w:rPr>
          <w:lang w:val="en-GB"/>
        </w:rPr>
        <w:t xml:space="preserve">farmers, </w:t>
      </w:r>
      <w:r w:rsidRPr="005633D9">
        <w:rPr>
          <w:lang w:val="en-GB"/>
        </w:rPr>
        <w:t>who typically have better access to inputs and resources and can produce larger volumes of maize.</w:t>
      </w:r>
    </w:p>
    <w:p w:rsidR="00DD2171" w:rsidRPr="005633D9" w:rsidRDefault="00DD2171" w:rsidP="005E53FA">
      <w:pPr>
        <w:pStyle w:val="Bullet2"/>
        <w:numPr>
          <w:ilvl w:val="1"/>
          <w:numId w:val="5"/>
        </w:numPr>
        <w:spacing w:after="0"/>
        <w:rPr>
          <w:lang w:val="en-GB"/>
        </w:rPr>
      </w:pPr>
      <w:r w:rsidRPr="005633D9">
        <w:rPr>
          <w:lang w:val="en-GB"/>
        </w:rPr>
        <w:t>Pilot requirements that set a maximum farm size for aggregators to procure from while receiving the per-unit award may help to offset this proclivity</w:t>
      </w:r>
      <w:r w:rsidR="00C35C5F" w:rsidRPr="005633D9">
        <w:rPr>
          <w:lang w:val="en-GB"/>
        </w:rPr>
        <w:t>. Meanwhile,</w:t>
      </w:r>
      <w:r w:rsidRPr="005633D9">
        <w:rPr>
          <w:lang w:val="en-GB"/>
        </w:rPr>
        <w:t xml:space="preserve"> the sustained interaction, yield</w:t>
      </w:r>
      <w:r w:rsidR="00C35C5F" w:rsidRPr="005633D9">
        <w:rPr>
          <w:lang w:val="en-GB"/>
        </w:rPr>
        <w:t xml:space="preserve"> </w:t>
      </w:r>
      <w:r w:rsidRPr="005633D9">
        <w:rPr>
          <w:lang w:val="en-GB"/>
        </w:rPr>
        <w:t>enhancement, relationship building</w:t>
      </w:r>
      <w:r w:rsidR="00C35C5F" w:rsidRPr="005633D9">
        <w:rPr>
          <w:lang w:val="en-GB"/>
        </w:rPr>
        <w:t>,</w:t>
      </w:r>
      <w:r w:rsidRPr="005633D9">
        <w:rPr>
          <w:lang w:val="en-GB"/>
        </w:rPr>
        <w:t xml:space="preserve"> and market expansion that take place throughout the pilot may create incentives for continued procurement from these smallholders once the restrictions on farm size are eliminated with the end of the pilot. </w:t>
      </w:r>
    </w:p>
    <w:p w:rsidR="00DD2171" w:rsidRPr="005633D9" w:rsidRDefault="00DD2171" w:rsidP="00A527C5">
      <w:pPr>
        <w:pStyle w:val="ListParagraph"/>
        <w:numPr>
          <w:ilvl w:val="1"/>
          <w:numId w:val="5"/>
        </w:numPr>
        <w:spacing w:after="0"/>
        <w:rPr>
          <w:lang w:val="en-GB"/>
        </w:rPr>
      </w:pPr>
      <w:r w:rsidRPr="005633D9">
        <w:rPr>
          <w:rFonts w:ascii="Times New Roman" w:eastAsia="Times New Roman" w:hAnsi="Times New Roman" w:cs="Times New Roman"/>
          <w:szCs w:val="20"/>
          <w:lang w:val="en-GB"/>
        </w:rPr>
        <w:t xml:space="preserve">The limits on the smallholder size may also have unintended (and positive) effects on participation of women smallholders in the production of Aflasafe-treated maize if </w:t>
      </w:r>
      <w:r w:rsidR="00A527C5" w:rsidRPr="005633D9">
        <w:rPr>
          <w:rFonts w:ascii="Times New Roman" w:eastAsia="Times New Roman" w:hAnsi="Times New Roman" w:cs="Times New Roman"/>
          <w:szCs w:val="20"/>
          <w:lang w:val="en-GB"/>
        </w:rPr>
        <w:t>they lead</w:t>
      </w:r>
      <w:r w:rsidRPr="005633D9">
        <w:rPr>
          <w:rFonts w:ascii="Times New Roman" w:eastAsia="Times New Roman" w:hAnsi="Times New Roman" w:cs="Times New Roman"/>
          <w:szCs w:val="20"/>
          <w:lang w:val="en-GB"/>
        </w:rPr>
        <w:t xml:space="preserve"> aggregators to contract smallholders at the sub-household level to supply maize from individual plots. For example, an aggregator who might not be able to contract a household with 20 hectares of maize could contract the male household head and female household head for 10 hectares each, thus qualifying for the per-unit award on those purchases. This could have the effect of increasing the inclusion—and empowerment—of women in the market if it directly engaged them in the training, negotiations, marketing, and other activities that otherwise might have engaged the male head of household by default.</w:t>
      </w:r>
    </w:p>
    <w:p w:rsidR="00DD2171" w:rsidRPr="005633D9" w:rsidRDefault="00DD2171" w:rsidP="001A4DB7">
      <w:pPr>
        <w:pStyle w:val="ListParagraph"/>
        <w:numPr>
          <w:ilvl w:val="1"/>
          <w:numId w:val="5"/>
        </w:numPr>
        <w:spacing w:after="0"/>
        <w:rPr>
          <w:lang w:val="en-GB"/>
        </w:rPr>
      </w:pPr>
      <w:r w:rsidRPr="005633D9">
        <w:rPr>
          <w:rFonts w:ascii="Times New Roman" w:eastAsia="Times New Roman" w:hAnsi="Times New Roman" w:cs="Times New Roman"/>
          <w:szCs w:val="20"/>
          <w:lang w:val="en-GB"/>
        </w:rPr>
        <w:t xml:space="preserve">Although the pilot only pays its per-unit reward on Aflasafe-treated maize procured from smallholders, it does not prohibit procurement of Aflasafe-treated maize from larger </w:t>
      </w:r>
      <w:r w:rsidR="00C35C5F" w:rsidRPr="005633D9">
        <w:rPr>
          <w:rFonts w:ascii="Times New Roman" w:eastAsia="Times New Roman" w:hAnsi="Times New Roman" w:cs="Times New Roman"/>
          <w:szCs w:val="20"/>
          <w:lang w:val="en-GB"/>
        </w:rPr>
        <w:t>farmers</w:t>
      </w:r>
      <w:r w:rsidRPr="005633D9">
        <w:rPr>
          <w:rFonts w:ascii="Times New Roman" w:eastAsia="Times New Roman" w:hAnsi="Times New Roman" w:cs="Times New Roman"/>
          <w:szCs w:val="20"/>
          <w:lang w:val="en-GB"/>
        </w:rPr>
        <w:t xml:space="preserve">. This entry by large-scale </w:t>
      </w:r>
      <w:r w:rsidR="00C35C5F" w:rsidRPr="005633D9">
        <w:rPr>
          <w:rFonts w:ascii="Times New Roman" w:eastAsia="Times New Roman" w:hAnsi="Times New Roman" w:cs="Times New Roman"/>
          <w:szCs w:val="20"/>
          <w:lang w:val="en-GB"/>
        </w:rPr>
        <w:t xml:space="preserve">farmers </w:t>
      </w:r>
      <w:r w:rsidRPr="005633D9">
        <w:rPr>
          <w:rFonts w:ascii="Times New Roman" w:eastAsia="Times New Roman" w:hAnsi="Times New Roman" w:cs="Times New Roman"/>
          <w:szCs w:val="20"/>
          <w:lang w:val="en-GB"/>
        </w:rPr>
        <w:t xml:space="preserve">to the market could help bolster development of the market in general by increasing the availability of the product. </w:t>
      </w:r>
    </w:p>
    <w:p w:rsidR="00DD2171" w:rsidRPr="005633D9" w:rsidRDefault="00DD2171" w:rsidP="00DD2171">
      <w:pPr>
        <w:pStyle w:val="Bullet2"/>
        <w:rPr>
          <w:lang w:val="en-GB"/>
        </w:rPr>
      </w:pPr>
      <w:r w:rsidRPr="005633D9">
        <w:rPr>
          <w:lang w:val="en-GB"/>
        </w:rPr>
        <w:t>Link smallholders with yield-enhancing inputs</w:t>
      </w:r>
      <w:r w:rsidR="00480282">
        <w:rPr>
          <w:lang w:val="en-GB"/>
        </w:rPr>
        <w:t>.</w:t>
      </w:r>
    </w:p>
    <w:p w:rsidR="00DD2171" w:rsidRPr="005633D9" w:rsidRDefault="00DD2171" w:rsidP="00DD2171">
      <w:pPr>
        <w:pStyle w:val="Bullet2"/>
        <w:rPr>
          <w:lang w:val="en-GB"/>
        </w:rPr>
      </w:pPr>
      <w:r w:rsidRPr="005633D9">
        <w:rPr>
          <w:lang w:val="en-GB"/>
        </w:rPr>
        <w:t>Compensate smallholders for use of Aflasafe either through premium prices or advantageous contract conditions</w:t>
      </w:r>
      <w:r w:rsidR="00480282">
        <w:rPr>
          <w:lang w:val="en-GB"/>
        </w:rPr>
        <w:t>.</w:t>
      </w:r>
    </w:p>
    <w:p w:rsidR="00DD2171" w:rsidRPr="005633D9" w:rsidRDefault="00DD2171" w:rsidP="00DD2171">
      <w:pPr>
        <w:pStyle w:val="Bullet2"/>
        <w:rPr>
          <w:lang w:val="en-GB"/>
        </w:rPr>
      </w:pPr>
      <w:r w:rsidRPr="005633D9">
        <w:rPr>
          <w:lang w:val="en-GB"/>
        </w:rPr>
        <w:lastRenderedPageBreak/>
        <w:t>Invest in facilities to segregate aflatoxin-free maize</w:t>
      </w:r>
      <w:r w:rsidR="00480282">
        <w:rPr>
          <w:lang w:val="en-GB"/>
        </w:rPr>
        <w:t>.</w:t>
      </w:r>
    </w:p>
    <w:p w:rsidR="00DD2171" w:rsidRPr="005633D9" w:rsidRDefault="00DD2171" w:rsidP="00AC1804">
      <w:pPr>
        <w:pStyle w:val="Bullet2"/>
        <w:rPr>
          <w:lang w:val="en-GB"/>
        </w:rPr>
      </w:pPr>
      <w:r w:rsidRPr="005633D9">
        <w:rPr>
          <w:lang w:val="en-GB"/>
        </w:rPr>
        <w:t>Pursue linkages with buyers that demand aflatoxin-free maize</w:t>
      </w:r>
      <w:r w:rsidR="001A4DB7" w:rsidRPr="005633D9">
        <w:rPr>
          <w:lang w:val="en-GB"/>
        </w:rPr>
        <w:t xml:space="preserve">. </w:t>
      </w:r>
      <w:r w:rsidRPr="005633D9">
        <w:rPr>
          <w:lang w:val="en-GB"/>
        </w:rPr>
        <w:t>While there is existing demand for aflatoxin-free maize (detailed below), the pilot does not directly reward sales to those markets</w:t>
      </w:r>
      <w:r w:rsidR="001A4DB7" w:rsidRPr="005633D9">
        <w:rPr>
          <w:lang w:val="en-GB"/>
        </w:rPr>
        <w:t>. Thus,</w:t>
      </w:r>
      <w:r w:rsidRPr="005633D9">
        <w:rPr>
          <w:lang w:val="en-GB"/>
        </w:rPr>
        <w:t xml:space="preserve"> aggregators, if motivated by short-term considerations and facing costs to develop markets, might choose to blend the Aflasafe-treated maize with their commodity maize rather than invest in the development of segregated markets. </w:t>
      </w:r>
    </w:p>
    <w:p w:rsidR="00DD2171" w:rsidRPr="005633D9" w:rsidRDefault="00DD2171" w:rsidP="00DD2171">
      <w:pPr>
        <w:pStyle w:val="Bullets"/>
      </w:pPr>
      <w:r w:rsidRPr="005633D9">
        <w:t>Large maize processors will buy Aflasafe-treated</w:t>
      </w:r>
      <w:r w:rsidR="001A4DB7" w:rsidRPr="005633D9">
        <w:t>/</w:t>
      </w:r>
      <w:r w:rsidRPr="005633D9">
        <w:t>aflatoxin-free maize if they perceive a market for it</w:t>
      </w:r>
      <w:r w:rsidR="001A4DB7" w:rsidRPr="005633D9">
        <w:t xml:space="preserve"> and</w:t>
      </w:r>
      <w:r w:rsidRPr="005633D9">
        <w:t xml:space="preserve"> adequate supply, and </w:t>
      </w:r>
      <w:r w:rsidR="001A4DB7" w:rsidRPr="005633D9">
        <w:t xml:space="preserve">if </w:t>
      </w:r>
      <w:r w:rsidRPr="005633D9">
        <w:t>costs of adapting current systems to aflatoxin-free maize are not perceived to be excessive relative to potential return.</w:t>
      </w:r>
    </w:p>
    <w:p w:rsidR="00DD2171" w:rsidRPr="005633D9" w:rsidRDefault="00DD2171" w:rsidP="00F04A96">
      <w:pPr>
        <w:pStyle w:val="Bullets"/>
      </w:pPr>
      <w:r w:rsidRPr="005633D9">
        <w:t>Some poultry producers and exporters have expressed demand for aflatoxin-free maize and may form the backbone of the downstream market for aflatoxin-free maize stimulated by the pilot.</w:t>
      </w:r>
    </w:p>
    <w:p w:rsidR="00DD2171" w:rsidRPr="005633D9" w:rsidRDefault="00DD2171" w:rsidP="00F04A96">
      <w:pPr>
        <w:pStyle w:val="Bullets"/>
      </w:pPr>
      <w:r w:rsidRPr="005633D9">
        <w:t>There is currently little awareness on the part of domestic consumers about aflatoxins</w:t>
      </w:r>
      <w:r w:rsidR="001A4DB7" w:rsidRPr="005633D9">
        <w:t>,</w:t>
      </w:r>
      <w:r w:rsidRPr="005633D9">
        <w:t xml:space="preserve"> and so the potential end-market for aflatoxin-free maize for human consumption is latent; given existing demand for aflatoxin-free maize among other buyers and limited availability of Aflasafe-treated maize at the outset, there may be limited investment in developing the market for human consumption.</w:t>
      </w:r>
    </w:p>
    <w:p w:rsidR="00DD2171" w:rsidRPr="005633D9" w:rsidRDefault="00DD2171" w:rsidP="00DD2171">
      <w:pPr>
        <w:pStyle w:val="Bullets"/>
      </w:pPr>
      <w:r w:rsidRPr="005633D9">
        <w:t>Small-scale and informal actors in the market, such as open-air</w:t>
      </w:r>
      <w:r w:rsidR="001A4DB7" w:rsidRPr="005633D9">
        <w:t>,</w:t>
      </w:r>
      <w:r w:rsidRPr="005633D9">
        <w:t xml:space="preserve"> market-based retailers of loose maize (many of whom are women), will not engage in the market for aflatoxin-free maize because they will lack means to verify and convey to their buyers that it is a different product </w:t>
      </w:r>
      <w:r w:rsidR="001A4DB7" w:rsidRPr="005633D9">
        <w:t>from</w:t>
      </w:r>
      <w:r w:rsidRPr="005633D9">
        <w:t xml:space="preserve"> the visually equivalent commodity maize that they traditionally sell.</w:t>
      </w:r>
    </w:p>
    <w:p w:rsidR="00DD2171" w:rsidRPr="005633D9" w:rsidRDefault="00DD2171" w:rsidP="005E53FA">
      <w:pPr>
        <w:pStyle w:val="Bullets"/>
        <w:spacing w:after="40"/>
      </w:pPr>
      <w:r w:rsidRPr="005633D9">
        <w:t>Hypotheses regarding specific strategies for aflatoxin-free maize procurement include:</w:t>
      </w:r>
    </w:p>
    <w:p w:rsidR="00DD2171" w:rsidRPr="005633D9" w:rsidRDefault="00DD2171" w:rsidP="00DD2171">
      <w:pPr>
        <w:pStyle w:val="Bullet2"/>
        <w:rPr>
          <w:lang w:val="en-GB"/>
        </w:rPr>
      </w:pPr>
      <w:r w:rsidRPr="005633D9">
        <w:rPr>
          <w:lang w:val="en-GB"/>
        </w:rPr>
        <w:t>Reliance on contracts for suppliers of aflatoxin-free maize</w:t>
      </w:r>
    </w:p>
    <w:p w:rsidR="00DD2171" w:rsidRPr="005633D9" w:rsidRDefault="00DD2171" w:rsidP="00DD2171">
      <w:pPr>
        <w:pStyle w:val="Bullet2"/>
        <w:rPr>
          <w:lang w:val="en-GB"/>
        </w:rPr>
      </w:pPr>
      <w:r w:rsidRPr="005633D9">
        <w:rPr>
          <w:lang w:val="en-GB"/>
        </w:rPr>
        <w:t>Potential for multiple levels of intermediation (rather than smallholders supplying direct</w:t>
      </w:r>
      <w:r w:rsidR="001A4DB7" w:rsidRPr="005633D9">
        <w:rPr>
          <w:lang w:val="en-GB"/>
        </w:rPr>
        <w:t>ly</w:t>
      </w:r>
      <w:r w:rsidRPr="005633D9">
        <w:rPr>
          <w:lang w:val="en-GB"/>
        </w:rPr>
        <w:t xml:space="preserve"> to processors) if intermediaries emerge with strengths in supplying aflatoxin-free maize</w:t>
      </w:r>
    </w:p>
    <w:p w:rsidR="00DD2171" w:rsidRPr="005633D9" w:rsidRDefault="00DD2171" w:rsidP="00DD2171">
      <w:pPr>
        <w:pStyle w:val="Bullet2"/>
        <w:rPr>
          <w:lang w:val="en-GB"/>
        </w:rPr>
      </w:pPr>
      <w:r w:rsidRPr="005633D9">
        <w:rPr>
          <w:lang w:val="en-GB"/>
        </w:rPr>
        <w:t xml:space="preserve">Prices for aflatoxin-free maize at </w:t>
      </w:r>
      <w:r w:rsidR="001A4DB7" w:rsidRPr="005633D9">
        <w:rPr>
          <w:lang w:val="en-GB"/>
        </w:rPr>
        <w:t xml:space="preserve">the </w:t>
      </w:r>
      <w:r w:rsidRPr="005633D9">
        <w:rPr>
          <w:lang w:val="en-GB"/>
        </w:rPr>
        <w:t>farm</w:t>
      </w:r>
      <w:r w:rsidR="001A4DB7" w:rsidRPr="005633D9">
        <w:rPr>
          <w:lang w:val="en-GB"/>
        </w:rPr>
        <w:t xml:space="preserve"> </w:t>
      </w:r>
      <w:r w:rsidRPr="005633D9">
        <w:rPr>
          <w:lang w:val="en-GB"/>
        </w:rPr>
        <w:t xml:space="preserve">gate </w:t>
      </w:r>
      <w:r w:rsidR="00480282">
        <w:rPr>
          <w:lang w:val="en-GB"/>
        </w:rPr>
        <w:t xml:space="preserve">that </w:t>
      </w:r>
      <w:r w:rsidRPr="005633D9">
        <w:rPr>
          <w:lang w:val="en-GB"/>
        </w:rPr>
        <w:t xml:space="preserve">will reflect </w:t>
      </w:r>
      <w:r w:rsidR="001A4DB7" w:rsidRPr="005633D9">
        <w:rPr>
          <w:lang w:val="en-GB"/>
        </w:rPr>
        <w:t xml:space="preserve">the </w:t>
      </w:r>
      <w:r w:rsidRPr="005633D9">
        <w:rPr>
          <w:lang w:val="en-GB"/>
        </w:rPr>
        <w:t>contractual package and may not include an explicit premium for being aflatoxin-free</w:t>
      </w:r>
    </w:p>
    <w:p w:rsidR="00DD2171" w:rsidRPr="005633D9" w:rsidRDefault="00DD2171" w:rsidP="005E53FA">
      <w:pPr>
        <w:pStyle w:val="BulletsLessSpace"/>
      </w:pPr>
      <w:r w:rsidRPr="005633D9">
        <w:t>Hypotheses regarding specific strategies for value addition and merchandising of aflatoxin-free maize include:</w:t>
      </w:r>
    </w:p>
    <w:p w:rsidR="00DD2171" w:rsidRPr="005633D9" w:rsidRDefault="00DD2171" w:rsidP="00DD2171">
      <w:pPr>
        <w:pStyle w:val="Bullet2"/>
        <w:rPr>
          <w:lang w:val="en-GB"/>
        </w:rPr>
      </w:pPr>
      <w:r w:rsidRPr="005633D9">
        <w:rPr>
          <w:lang w:val="en-GB"/>
        </w:rPr>
        <w:t>Buyers will offer premium prices for aflatoxin-free maize at</w:t>
      </w:r>
      <w:r w:rsidR="001A4DB7" w:rsidRPr="005633D9">
        <w:rPr>
          <w:lang w:val="en-GB"/>
        </w:rPr>
        <w:t xml:space="preserve"> the</w:t>
      </w:r>
      <w:r w:rsidRPr="005633D9">
        <w:rPr>
          <w:lang w:val="en-GB"/>
        </w:rPr>
        <w:t xml:space="preserve"> intermediary/ processor level </w:t>
      </w:r>
    </w:p>
    <w:p w:rsidR="00DD2171" w:rsidRPr="005633D9" w:rsidRDefault="00EE0BC4" w:rsidP="00DD2171">
      <w:pPr>
        <w:pStyle w:val="Bullet2"/>
        <w:rPr>
          <w:lang w:val="en-GB"/>
        </w:rPr>
      </w:pPr>
      <w:r w:rsidRPr="005633D9">
        <w:rPr>
          <w:lang w:val="en-GB"/>
        </w:rPr>
        <w:t xml:space="preserve">Aggregators will </w:t>
      </w:r>
      <w:r w:rsidR="00685334" w:rsidRPr="005633D9">
        <w:rPr>
          <w:lang w:val="en-GB"/>
        </w:rPr>
        <w:t>i</w:t>
      </w:r>
      <w:r w:rsidR="001A4DB7" w:rsidRPr="005633D9">
        <w:rPr>
          <w:lang w:val="en-GB"/>
        </w:rPr>
        <w:t>nvest in storage and record</w:t>
      </w:r>
      <w:r w:rsidR="00DD2171" w:rsidRPr="005633D9">
        <w:rPr>
          <w:lang w:val="en-GB"/>
        </w:rPr>
        <w:t>keeping facilities and training for employees to support segrega</w:t>
      </w:r>
      <w:r w:rsidR="001A4DB7" w:rsidRPr="005633D9">
        <w:rPr>
          <w:lang w:val="en-GB"/>
        </w:rPr>
        <w:t>tion and identity preservation</w:t>
      </w:r>
    </w:p>
    <w:p w:rsidR="00DD2171" w:rsidRPr="005633D9" w:rsidRDefault="00EE0BC4" w:rsidP="00DD2171">
      <w:pPr>
        <w:pStyle w:val="Bullet2"/>
        <w:rPr>
          <w:lang w:val="en-GB"/>
        </w:rPr>
      </w:pPr>
      <w:r w:rsidRPr="005633D9">
        <w:rPr>
          <w:lang w:val="en-GB"/>
        </w:rPr>
        <w:t>Aggregators will have p</w:t>
      </w:r>
      <w:r w:rsidR="00DD2171" w:rsidRPr="005633D9">
        <w:rPr>
          <w:lang w:val="en-GB"/>
        </w:rPr>
        <w:t>re-arranged sales of value-added products to specialized clientele who are regular trade partners (rather than spot market sales)</w:t>
      </w:r>
    </w:p>
    <w:p w:rsidR="00DD2171" w:rsidRPr="005633D9" w:rsidRDefault="00DD2171" w:rsidP="0015516C">
      <w:pPr>
        <w:pStyle w:val="Heading5"/>
        <w:rPr>
          <w:lang w:val="en-GB"/>
        </w:rPr>
      </w:pPr>
      <w:r w:rsidRPr="005633D9">
        <w:rPr>
          <w:lang w:val="en-GB"/>
        </w:rPr>
        <w:t>Structure</w:t>
      </w:r>
    </w:p>
    <w:p w:rsidR="00DD2171" w:rsidRPr="005633D9" w:rsidRDefault="00DD2171" w:rsidP="00DD2171">
      <w:pPr>
        <w:rPr>
          <w:lang w:val="en-GB"/>
        </w:rPr>
      </w:pPr>
      <w:r w:rsidRPr="005633D9">
        <w:rPr>
          <w:lang w:val="en-GB"/>
        </w:rPr>
        <w:t>The aggregate impact of these individual firms’ engagement in the market is hypothesized to lead to the emergence of a market that will have the following structural features (Dahlberg</w:t>
      </w:r>
      <w:r w:rsidR="00B65D18">
        <w:rPr>
          <w:lang w:val="en-GB"/>
        </w:rPr>
        <w:t>,</w:t>
      </w:r>
      <w:r w:rsidRPr="005633D9">
        <w:rPr>
          <w:lang w:val="en-GB"/>
        </w:rPr>
        <w:t xml:space="preserve"> 2012, 31):</w:t>
      </w:r>
    </w:p>
    <w:p w:rsidR="00DD2171" w:rsidRPr="005633D9" w:rsidRDefault="001A4DB7" w:rsidP="00DD2171">
      <w:pPr>
        <w:pStyle w:val="Bullets"/>
      </w:pPr>
      <w:r w:rsidRPr="005633D9">
        <w:t>A d</w:t>
      </w:r>
      <w:r w:rsidR="00DD2171" w:rsidRPr="005633D9">
        <w:t xml:space="preserve">ifferentiated market for aflatoxin-free maize exists alongside </w:t>
      </w:r>
      <w:r w:rsidRPr="005633D9">
        <w:t xml:space="preserve">the </w:t>
      </w:r>
      <w:r w:rsidR="00DD2171" w:rsidRPr="005633D9">
        <w:t>undifferentiated maize market (eventual 3</w:t>
      </w:r>
      <w:r w:rsidR="007C2141" w:rsidRPr="005633D9">
        <w:t xml:space="preserve"> percent</w:t>
      </w:r>
      <w:r w:rsidR="00DD2171" w:rsidRPr="005633D9">
        <w:t xml:space="preserve"> market share projected in business plan)</w:t>
      </w:r>
      <w:r w:rsidRPr="005633D9">
        <w:t>.</w:t>
      </w:r>
      <w:r w:rsidR="00DD2171" w:rsidRPr="005633D9">
        <w:t xml:space="preserve"> </w:t>
      </w:r>
    </w:p>
    <w:p w:rsidR="00DD2171" w:rsidRPr="005633D9" w:rsidRDefault="00DD2171" w:rsidP="00DD2171">
      <w:pPr>
        <w:pStyle w:val="Bullets"/>
      </w:pPr>
      <w:r w:rsidRPr="005633D9">
        <w:lastRenderedPageBreak/>
        <w:t>A</w:t>
      </w:r>
      <w:r w:rsidR="001A4DB7" w:rsidRPr="005633D9">
        <w:t>n a</w:t>
      </w:r>
      <w:r w:rsidRPr="005633D9">
        <w:t xml:space="preserve">dequate number of producers </w:t>
      </w:r>
      <w:r w:rsidR="00480282">
        <w:t xml:space="preserve">are </w:t>
      </w:r>
      <w:r w:rsidRPr="005633D9">
        <w:t>engaged to generate</w:t>
      </w:r>
      <w:r w:rsidR="00243735" w:rsidRPr="005633D9">
        <w:t xml:space="preserve"> </w:t>
      </w:r>
      <w:r w:rsidRPr="005633D9">
        <w:t>a significant volume of aflatoxin-free maize (35,000 smallholders producing Aflasafe</w:t>
      </w:r>
      <w:r w:rsidR="001A4DB7" w:rsidRPr="005633D9">
        <w:t>-treated maize</w:t>
      </w:r>
      <w:r w:rsidRPr="005633D9">
        <w:t xml:space="preserve"> </w:t>
      </w:r>
      <w:r w:rsidR="001A4DB7" w:rsidRPr="005633D9">
        <w:t xml:space="preserve">are </w:t>
      </w:r>
      <w:r w:rsidRPr="005633D9">
        <w:t xml:space="preserve">anticipated by </w:t>
      </w:r>
      <w:r w:rsidR="001A4DB7" w:rsidRPr="005633D9">
        <w:t xml:space="preserve">the </w:t>
      </w:r>
      <w:r w:rsidRPr="005633D9">
        <w:t>end of pilot implementation)</w:t>
      </w:r>
      <w:r w:rsidR="001A4DB7" w:rsidRPr="005633D9">
        <w:t>.</w:t>
      </w:r>
    </w:p>
    <w:p w:rsidR="00DD2171" w:rsidRPr="005633D9" w:rsidRDefault="00DD2171" w:rsidP="00DD2171">
      <w:pPr>
        <w:pStyle w:val="Bullets"/>
      </w:pPr>
      <w:r w:rsidRPr="005633D9">
        <w:t xml:space="preserve">At the outset, transactions of aflatoxin-free maize </w:t>
      </w:r>
      <w:r w:rsidR="001A4DB7" w:rsidRPr="005633D9">
        <w:t>are</w:t>
      </w:r>
      <w:r w:rsidRPr="005633D9">
        <w:t xml:space="preserve"> expected to take place between a limited subset of maize market participants who are already aware of aflatoxins as an issue, and who see a direct potential benefit to engagement in the market. </w:t>
      </w:r>
    </w:p>
    <w:p w:rsidR="00DD2171" w:rsidRPr="005633D9" w:rsidRDefault="00DD2171" w:rsidP="005E53FA">
      <w:pPr>
        <w:pStyle w:val="Bullets"/>
        <w:spacing w:after="40"/>
      </w:pPr>
      <w:r w:rsidRPr="005633D9">
        <w:t>The following types of market actors are expected to be early entrants to the market</w:t>
      </w:r>
      <w:r w:rsidR="001A4DB7" w:rsidRPr="005633D9">
        <w:t>:</w:t>
      </w:r>
    </w:p>
    <w:p w:rsidR="00DD2171" w:rsidRPr="005633D9" w:rsidRDefault="00DD2171" w:rsidP="00DD2171">
      <w:pPr>
        <w:pStyle w:val="Bullet2"/>
        <w:rPr>
          <w:lang w:val="en-GB"/>
        </w:rPr>
      </w:pPr>
      <w:r w:rsidRPr="005633D9">
        <w:rPr>
          <w:lang w:val="en-GB"/>
        </w:rPr>
        <w:t>Smallholders who contract</w:t>
      </w:r>
      <w:r w:rsidR="001A4DB7" w:rsidRPr="005633D9">
        <w:rPr>
          <w:lang w:val="en-GB"/>
        </w:rPr>
        <w:t xml:space="preserve"> with pilot aggregators</w:t>
      </w:r>
      <w:r w:rsidRPr="005633D9">
        <w:rPr>
          <w:lang w:val="en-GB"/>
        </w:rPr>
        <w:t xml:space="preserve"> to produce Aflasafe</w:t>
      </w:r>
      <w:r w:rsidR="001A4DB7" w:rsidRPr="005633D9">
        <w:rPr>
          <w:lang w:val="en-GB"/>
        </w:rPr>
        <w:t>-treated maize</w:t>
      </w:r>
    </w:p>
    <w:p w:rsidR="00DD2171" w:rsidRPr="005633D9" w:rsidRDefault="00DD2171" w:rsidP="00DD2171">
      <w:pPr>
        <w:pStyle w:val="Bullet2"/>
        <w:rPr>
          <w:lang w:val="en-GB"/>
        </w:rPr>
      </w:pPr>
      <w:r w:rsidRPr="005633D9">
        <w:rPr>
          <w:lang w:val="en-GB"/>
        </w:rPr>
        <w:t xml:space="preserve">Intermediaries (aggregators) who are either pilot aggregators or purchasing on their behalf </w:t>
      </w:r>
    </w:p>
    <w:p w:rsidR="00DD2171" w:rsidRPr="005633D9" w:rsidRDefault="00DD2171" w:rsidP="00DD2171">
      <w:pPr>
        <w:pStyle w:val="Bullet2"/>
        <w:rPr>
          <w:lang w:val="en-GB"/>
        </w:rPr>
      </w:pPr>
      <w:r w:rsidRPr="005633D9">
        <w:rPr>
          <w:lang w:val="en-GB"/>
        </w:rPr>
        <w:t>Large-scale poultry and livestock feeders</w:t>
      </w:r>
    </w:p>
    <w:p w:rsidR="00DD2171" w:rsidRPr="005633D9" w:rsidRDefault="00DD2171" w:rsidP="00DD2171">
      <w:pPr>
        <w:pStyle w:val="Bullet2"/>
        <w:rPr>
          <w:lang w:val="en-GB"/>
        </w:rPr>
      </w:pPr>
      <w:r w:rsidRPr="005633D9">
        <w:rPr>
          <w:lang w:val="en-GB"/>
        </w:rPr>
        <w:t>Multi-national value-added food companies</w:t>
      </w:r>
    </w:p>
    <w:p w:rsidR="00DD2171" w:rsidRPr="005633D9" w:rsidRDefault="00DD2171" w:rsidP="00DD2171">
      <w:pPr>
        <w:pStyle w:val="Bullets"/>
      </w:pPr>
      <w:r w:rsidRPr="005633D9">
        <w:t>Entry of other market actors will depend on the effectiveness of awareness raising about aflatoxins, perceptions of the benefits versus costs of transacting aflatoxin-free maize, and the availability of adequate volumes of aflatoxin-free maize to support demand that emerges.</w:t>
      </w:r>
    </w:p>
    <w:p w:rsidR="00DD2171" w:rsidRPr="005633D9" w:rsidRDefault="00DD2171" w:rsidP="0015516C">
      <w:pPr>
        <w:pStyle w:val="Heading5"/>
        <w:rPr>
          <w:lang w:val="en-GB"/>
        </w:rPr>
      </w:pPr>
      <w:r w:rsidRPr="005633D9">
        <w:rPr>
          <w:lang w:val="en-GB"/>
        </w:rPr>
        <w:t>Performance</w:t>
      </w:r>
    </w:p>
    <w:p w:rsidR="00DD2171" w:rsidRPr="005633D9" w:rsidRDefault="00DD2171" w:rsidP="00DD2171">
      <w:pPr>
        <w:rPr>
          <w:lang w:val="en-GB"/>
        </w:rPr>
      </w:pPr>
      <w:r w:rsidRPr="005633D9">
        <w:rPr>
          <w:lang w:val="en-GB"/>
        </w:rPr>
        <w:t>The market performance outcome hypothesized to result from these changes is the emergence of a sustainable market for aflatoxin-free maize. Specifically sought is the “…emergence of reliable premium markets for aflatoxin-free maize, along with access to testing devices, Aflasafe, and yield-enhancing inputs</w:t>
      </w:r>
      <w:r w:rsidR="004F2CBF" w:rsidRPr="005633D9">
        <w:rPr>
          <w:lang w:val="en-GB"/>
        </w:rPr>
        <w:t>”</w:t>
      </w:r>
      <w:r w:rsidR="00D04296" w:rsidRPr="005633D9">
        <w:rPr>
          <w:lang w:val="en-GB"/>
        </w:rPr>
        <w:t xml:space="preserve"> </w:t>
      </w:r>
      <w:r w:rsidRPr="005633D9">
        <w:rPr>
          <w:lang w:val="en-GB"/>
        </w:rPr>
        <w:t>(Dahlberg</w:t>
      </w:r>
      <w:r w:rsidR="00B65D18">
        <w:rPr>
          <w:lang w:val="en-GB"/>
        </w:rPr>
        <w:t>,</w:t>
      </w:r>
      <w:r w:rsidRPr="005633D9">
        <w:rPr>
          <w:lang w:val="en-GB"/>
        </w:rPr>
        <w:t xml:space="preserve"> 2012, 28)</w:t>
      </w:r>
      <w:r w:rsidR="00D04296" w:rsidRPr="005633D9">
        <w:rPr>
          <w:lang w:val="en-GB"/>
        </w:rPr>
        <w:t>.</w:t>
      </w:r>
    </w:p>
    <w:p w:rsidR="00BF56E1" w:rsidRPr="005633D9" w:rsidRDefault="00F04A96" w:rsidP="0015516C">
      <w:pPr>
        <w:pStyle w:val="Heading3"/>
        <w:rPr>
          <w:lang w:val="en-GB"/>
        </w:rPr>
      </w:pPr>
      <w:r w:rsidRPr="005633D9">
        <w:rPr>
          <w:lang w:val="en-GB"/>
        </w:rPr>
        <w:t xml:space="preserve">Analysis </w:t>
      </w:r>
      <w:r w:rsidR="000A26AA" w:rsidRPr="005633D9">
        <w:rPr>
          <w:lang w:val="en-GB"/>
        </w:rPr>
        <w:t>plan</w:t>
      </w:r>
    </w:p>
    <w:p w:rsidR="00BF56E1" w:rsidRPr="005633D9" w:rsidRDefault="00D04296" w:rsidP="00BF56E1">
      <w:pPr>
        <w:rPr>
          <w:lang w:val="en-GB"/>
        </w:rPr>
      </w:pPr>
      <w:r w:rsidRPr="005633D9">
        <w:rPr>
          <w:lang w:val="en-GB"/>
        </w:rPr>
        <w:t>We will analyse d</w:t>
      </w:r>
      <w:r w:rsidR="00BF56E1" w:rsidRPr="005633D9">
        <w:rPr>
          <w:lang w:val="en-GB"/>
        </w:rPr>
        <w:t xml:space="preserve">ata on market structure using descriptive statistical methods. </w:t>
      </w:r>
      <w:r w:rsidRPr="005633D9">
        <w:rPr>
          <w:lang w:val="en-GB"/>
        </w:rPr>
        <w:t>We will analyse d</w:t>
      </w:r>
      <w:r w:rsidR="00BF56E1" w:rsidRPr="005633D9">
        <w:rPr>
          <w:lang w:val="en-GB"/>
        </w:rPr>
        <w:t xml:space="preserve">ata from key informant interviews using pattern analysis in which </w:t>
      </w:r>
      <w:r w:rsidRPr="005633D9">
        <w:rPr>
          <w:lang w:val="en-GB"/>
        </w:rPr>
        <w:t xml:space="preserve">we will evaluate </w:t>
      </w:r>
      <w:r w:rsidR="00BF56E1" w:rsidRPr="005633D9">
        <w:rPr>
          <w:lang w:val="en-GB"/>
        </w:rPr>
        <w:t xml:space="preserve">preliminary hypotheses on the basis of field results, </w:t>
      </w:r>
      <w:r w:rsidRPr="005633D9">
        <w:rPr>
          <w:lang w:val="en-GB"/>
        </w:rPr>
        <w:t xml:space="preserve">ascertaining </w:t>
      </w:r>
      <w:r w:rsidR="00BF56E1" w:rsidRPr="005633D9">
        <w:rPr>
          <w:lang w:val="en-GB"/>
        </w:rPr>
        <w:t xml:space="preserve">patterns and divergences among similar market actors with respect to those hypotheses. The analytic process and interactions with the </w:t>
      </w:r>
      <w:r w:rsidR="00513E26">
        <w:rPr>
          <w:lang w:val="en-GB"/>
        </w:rPr>
        <w:t>in-country</w:t>
      </w:r>
      <w:r w:rsidR="00513E26" w:rsidRPr="005633D9">
        <w:rPr>
          <w:lang w:val="en-GB"/>
        </w:rPr>
        <w:t xml:space="preserve"> </w:t>
      </w:r>
      <w:r w:rsidR="00BF56E1" w:rsidRPr="005633D9">
        <w:rPr>
          <w:lang w:val="en-GB"/>
        </w:rPr>
        <w:t>Agricultural Economist</w:t>
      </w:r>
      <w:r w:rsidRPr="005633D9">
        <w:rPr>
          <w:lang w:val="en-GB"/>
        </w:rPr>
        <w:t>,</w:t>
      </w:r>
      <w:r w:rsidR="00BF56E1" w:rsidRPr="005633D9">
        <w:rPr>
          <w:lang w:val="en-GB"/>
        </w:rPr>
        <w:t xml:space="preserve"> who collected the data</w:t>
      </w:r>
      <w:r w:rsidRPr="005633D9">
        <w:rPr>
          <w:lang w:val="en-GB"/>
        </w:rPr>
        <w:t>,</w:t>
      </w:r>
      <w:r w:rsidR="00BF56E1" w:rsidRPr="005633D9">
        <w:rPr>
          <w:lang w:val="en-GB"/>
        </w:rPr>
        <w:t xml:space="preserve"> will facilitate an active search for disconfirming evidence</w:t>
      </w:r>
      <w:r w:rsidR="00AE481F" w:rsidRPr="005633D9">
        <w:rPr>
          <w:lang w:val="en-GB"/>
        </w:rPr>
        <w:t xml:space="preserve"> of the hypothesis</w:t>
      </w:r>
      <w:r w:rsidRPr="005633D9">
        <w:rPr>
          <w:lang w:val="en-GB"/>
        </w:rPr>
        <w:t>. We will further investigate</w:t>
      </w:r>
      <w:r w:rsidR="00BF56E1" w:rsidRPr="005633D9">
        <w:rPr>
          <w:lang w:val="en-GB"/>
        </w:rPr>
        <w:t xml:space="preserve"> alternative explanations, and results </w:t>
      </w:r>
      <w:r w:rsidRPr="005633D9">
        <w:rPr>
          <w:lang w:val="en-GB"/>
        </w:rPr>
        <w:t>that</w:t>
      </w:r>
      <w:r w:rsidR="00BF56E1" w:rsidRPr="005633D9">
        <w:rPr>
          <w:lang w:val="en-GB"/>
        </w:rPr>
        <w:t xml:space="preserve"> do not align with the hypotheses</w:t>
      </w:r>
      <w:r w:rsidRPr="005633D9">
        <w:rPr>
          <w:lang w:val="en-GB"/>
        </w:rPr>
        <w:t>, through follow-</w:t>
      </w:r>
      <w:r w:rsidR="00AE481F" w:rsidRPr="005633D9">
        <w:rPr>
          <w:lang w:val="en-GB"/>
        </w:rPr>
        <w:t>up interviews</w:t>
      </w:r>
      <w:r w:rsidR="00BF56E1" w:rsidRPr="005633D9">
        <w:rPr>
          <w:lang w:val="en-GB"/>
        </w:rPr>
        <w:t xml:space="preserve">. </w:t>
      </w:r>
    </w:p>
    <w:p w:rsidR="00BF56E1" w:rsidRPr="005633D9" w:rsidRDefault="00BF56E1" w:rsidP="00BF56E1">
      <w:pPr>
        <w:rPr>
          <w:lang w:val="en-GB"/>
        </w:rPr>
      </w:pPr>
      <w:r w:rsidRPr="005633D9">
        <w:rPr>
          <w:lang w:val="en-GB"/>
        </w:rPr>
        <w:t xml:space="preserve">The Qualitative </w:t>
      </w:r>
      <w:r w:rsidR="00E4447F">
        <w:rPr>
          <w:lang w:val="en-GB"/>
        </w:rPr>
        <w:t>Lead</w:t>
      </w:r>
      <w:r w:rsidRPr="005633D9">
        <w:rPr>
          <w:lang w:val="en-GB"/>
        </w:rPr>
        <w:t xml:space="preserve"> will be responsible for data analysis and reporting of results; however, the nature of qualitative research implies that there will be substantial communication with the </w:t>
      </w:r>
      <w:r w:rsidR="00513E26">
        <w:rPr>
          <w:lang w:val="en-GB"/>
        </w:rPr>
        <w:t xml:space="preserve">in-country </w:t>
      </w:r>
      <w:r w:rsidRPr="005633D9">
        <w:rPr>
          <w:lang w:val="en-GB"/>
        </w:rPr>
        <w:t xml:space="preserve">Agricultural Economist based in Nigeria for the purpose of clarification of questions, elicitation of further insights, follow-up questions (as necessary), and vetting and review of research results. </w:t>
      </w:r>
    </w:p>
    <w:p w:rsidR="00BF56E1" w:rsidRPr="005633D9" w:rsidRDefault="00BF56E1" w:rsidP="00BF56E1">
      <w:pPr>
        <w:rPr>
          <w:lang w:val="en-GB"/>
        </w:rPr>
      </w:pPr>
      <w:r w:rsidRPr="005633D9">
        <w:rPr>
          <w:lang w:val="en-GB"/>
        </w:rPr>
        <w:t>Field data collection instruments for sector experts, traders, processors, farmers, and processed maize buyers (both animal feeders and retailers for human consumption), as well as data needs from the large-sample farmer survey</w:t>
      </w:r>
      <w:r w:rsidR="003126B9" w:rsidRPr="005633D9">
        <w:rPr>
          <w:lang w:val="en-GB"/>
        </w:rPr>
        <w:t>,</w:t>
      </w:r>
      <w:r w:rsidRPr="005633D9">
        <w:rPr>
          <w:lang w:val="en-GB"/>
        </w:rPr>
        <w:t xml:space="preserve"> are presented in </w:t>
      </w:r>
      <w:r w:rsidR="00D04296" w:rsidRPr="005633D9">
        <w:rPr>
          <w:lang w:val="en-GB"/>
        </w:rPr>
        <w:t xml:space="preserve">Appendixes </w:t>
      </w:r>
      <w:r w:rsidR="00D34D9B">
        <w:rPr>
          <w:lang w:val="en-GB"/>
        </w:rPr>
        <w:t>B</w:t>
      </w:r>
      <w:r w:rsidR="00D04296" w:rsidRPr="005633D9">
        <w:rPr>
          <w:lang w:val="en-GB"/>
        </w:rPr>
        <w:t xml:space="preserve"> and </w:t>
      </w:r>
      <w:r w:rsidR="00D34D9B">
        <w:rPr>
          <w:lang w:val="en-GB"/>
        </w:rPr>
        <w:t>C</w:t>
      </w:r>
      <w:r w:rsidRPr="005633D9">
        <w:rPr>
          <w:lang w:val="en-GB"/>
        </w:rPr>
        <w:t xml:space="preserve"> of this document. </w:t>
      </w:r>
    </w:p>
    <w:p w:rsidR="00B90D27" w:rsidRPr="005633D9" w:rsidRDefault="00B90D27" w:rsidP="0015516C">
      <w:pPr>
        <w:pStyle w:val="Heading3"/>
        <w:rPr>
          <w:lang w:val="en-GB"/>
        </w:rPr>
      </w:pPr>
      <w:r w:rsidRPr="005633D9">
        <w:rPr>
          <w:lang w:val="en-GB"/>
        </w:rPr>
        <w:t xml:space="preserve">Data </w:t>
      </w:r>
      <w:r w:rsidR="00841C66" w:rsidRPr="005633D9">
        <w:rPr>
          <w:lang w:val="en-GB"/>
        </w:rPr>
        <w:t>source</w:t>
      </w:r>
      <w:r w:rsidR="003126B9" w:rsidRPr="005633D9">
        <w:rPr>
          <w:lang w:val="en-GB"/>
        </w:rPr>
        <w:t>s</w:t>
      </w:r>
    </w:p>
    <w:p w:rsidR="00B90D27" w:rsidRPr="005633D9" w:rsidRDefault="00B90D27" w:rsidP="00B90D27">
      <w:pPr>
        <w:rPr>
          <w:lang w:val="en-GB"/>
        </w:rPr>
      </w:pPr>
      <w:r w:rsidRPr="005633D9">
        <w:rPr>
          <w:lang w:val="en-GB"/>
        </w:rPr>
        <w:t>We will collect data on the structure of the aflatoxin-free maize market from several sources.</w:t>
      </w:r>
      <w:r w:rsidR="00243735" w:rsidRPr="005633D9">
        <w:rPr>
          <w:lang w:val="en-GB"/>
        </w:rPr>
        <w:t xml:space="preserve"> </w:t>
      </w:r>
      <w:r w:rsidRPr="005633D9">
        <w:rPr>
          <w:lang w:val="en-GB"/>
        </w:rPr>
        <w:t xml:space="preserve">Data on sales of aflatoxin-free maize and their destinations will be collected by project verifiers under the supervision of the AgResults Secretariat (a list of data needs is provided in Appendix </w:t>
      </w:r>
      <w:r w:rsidR="00D34D9B">
        <w:rPr>
          <w:lang w:val="en-GB"/>
        </w:rPr>
        <w:t>B</w:t>
      </w:r>
      <w:r w:rsidRPr="005633D9">
        <w:rPr>
          <w:lang w:val="en-GB"/>
        </w:rPr>
        <w:t xml:space="preserve">). The baseline and endline qualitative smallholder surveys </w:t>
      </w:r>
      <w:r w:rsidR="003126B9" w:rsidRPr="005633D9">
        <w:rPr>
          <w:lang w:val="en-GB"/>
        </w:rPr>
        <w:t xml:space="preserve">(Appendix </w:t>
      </w:r>
      <w:r w:rsidR="00D34D9B">
        <w:rPr>
          <w:lang w:val="en-GB"/>
        </w:rPr>
        <w:t>C</w:t>
      </w:r>
      <w:r w:rsidR="003126B9" w:rsidRPr="005633D9">
        <w:rPr>
          <w:lang w:val="en-GB"/>
        </w:rPr>
        <w:t xml:space="preserve">) </w:t>
      </w:r>
      <w:r w:rsidRPr="005633D9">
        <w:rPr>
          <w:lang w:val="en-GB"/>
        </w:rPr>
        <w:t xml:space="preserve">will provide data on the characteristics and activities of smallholders growing aflatoxin-free maize and the movement </w:t>
      </w:r>
      <w:r w:rsidRPr="005633D9">
        <w:rPr>
          <w:lang w:val="en-GB"/>
        </w:rPr>
        <w:lastRenderedPageBreak/>
        <w:t>of maize following sale</w:t>
      </w:r>
      <w:r w:rsidR="003126B9" w:rsidRPr="005633D9">
        <w:rPr>
          <w:lang w:val="en-GB"/>
        </w:rPr>
        <w:t>. C</w:t>
      </w:r>
      <w:r w:rsidRPr="005633D9">
        <w:rPr>
          <w:lang w:val="en-GB"/>
        </w:rPr>
        <w:t xml:space="preserve">omplementary qualitative surveys of farmers, detailed under </w:t>
      </w:r>
      <w:r w:rsidR="003126B9" w:rsidRPr="005633D9">
        <w:rPr>
          <w:lang w:val="en-GB"/>
        </w:rPr>
        <w:t>evaluation q</w:t>
      </w:r>
      <w:r w:rsidRPr="005633D9">
        <w:rPr>
          <w:lang w:val="en-GB"/>
        </w:rPr>
        <w:t xml:space="preserve">uestion 2, will provide further insight into farmer participation in the market for aflatoxin-free maize. </w:t>
      </w:r>
      <w:r w:rsidR="008A25D0" w:rsidRPr="005633D9">
        <w:rPr>
          <w:lang w:val="en-GB"/>
        </w:rPr>
        <w:t>We will use s</w:t>
      </w:r>
      <w:r w:rsidRPr="005633D9">
        <w:rPr>
          <w:lang w:val="en-GB"/>
        </w:rPr>
        <w:t xml:space="preserve">mall-sample surveys with input suppliers, traders, processors, and retailers to estimate current and potential market flows of Aflasafe and aflatoxin-free maize. Here we anticipate conducting 200 phone interviews that are targeted to 20 types of actors with about 10 phone calls for each type of actor (including women actors where possible). </w:t>
      </w:r>
      <w:r w:rsidR="008A25D0" w:rsidRPr="005633D9">
        <w:rPr>
          <w:lang w:val="en-GB"/>
        </w:rPr>
        <w:t>We will use a</w:t>
      </w:r>
      <w:r w:rsidRPr="005633D9">
        <w:rPr>
          <w:lang w:val="en-GB"/>
        </w:rPr>
        <w:t xml:space="preserve"> lesser number of key informant interviews with those players to determine how aflatoxin-free maize fits into their overall business strategies </w:t>
      </w:r>
      <w:r w:rsidR="008A25D0" w:rsidRPr="005633D9">
        <w:rPr>
          <w:lang w:val="en-GB"/>
        </w:rPr>
        <w:t xml:space="preserve">and </w:t>
      </w:r>
      <w:r w:rsidRPr="005633D9">
        <w:rPr>
          <w:lang w:val="en-GB"/>
        </w:rPr>
        <w:t xml:space="preserve">their perceptions of market conditions, and how these influence their strategies. We anticipate conducting approximately 80 such long interviews with three </w:t>
      </w:r>
      <w:r w:rsidR="008A25D0" w:rsidRPr="005633D9">
        <w:rPr>
          <w:lang w:val="en-GB"/>
        </w:rPr>
        <w:t xml:space="preserve">potential </w:t>
      </w:r>
      <w:r w:rsidRPr="005633D9">
        <w:rPr>
          <w:lang w:val="en-GB"/>
        </w:rPr>
        <w:t xml:space="preserve">types of key informants (including women informants where feasible). </w:t>
      </w:r>
      <w:r w:rsidR="008A25D0" w:rsidRPr="005633D9">
        <w:rPr>
          <w:lang w:val="en-GB"/>
        </w:rPr>
        <w:t>We will interview s</w:t>
      </w:r>
      <w:r w:rsidRPr="005633D9">
        <w:rPr>
          <w:lang w:val="en-GB"/>
        </w:rPr>
        <w:t xml:space="preserve">ector experts to obtain overarching insight into the market as well as for triangulation of results coming from the market actor data collection interviews. </w:t>
      </w:r>
    </w:p>
    <w:p w:rsidR="00B90D27" w:rsidRPr="005633D9" w:rsidRDefault="00B90D27" w:rsidP="00B90D27">
      <w:pPr>
        <w:rPr>
          <w:lang w:val="en-GB"/>
        </w:rPr>
      </w:pPr>
      <w:r w:rsidRPr="005633D9">
        <w:rPr>
          <w:lang w:val="en-GB"/>
        </w:rPr>
        <w:t xml:space="preserve">We will record the large majority of the qualitative data (for this and other questions) using verbatim notes, and where necessary we will record the interview. </w:t>
      </w:r>
      <w:r w:rsidR="00E16D20" w:rsidRPr="005633D9">
        <w:rPr>
          <w:lang w:val="en-GB"/>
        </w:rPr>
        <w:t>We will enter t</w:t>
      </w:r>
      <w:r w:rsidRPr="005633D9">
        <w:rPr>
          <w:lang w:val="en-GB"/>
        </w:rPr>
        <w:t xml:space="preserve">he data into </w:t>
      </w:r>
      <w:r w:rsidR="00E16D20" w:rsidRPr="005633D9">
        <w:rPr>
          <w:lang w:val="en-GB"/>
        </w:rPr>
        <w:t xml:space="preserve">Microsoft® </w:t>
      </w:r>
      <w:r w:rsidRPr="005633D9">
        <w:rPr>
          <w:lang w:val="en-GB"/>
        </w:rPr>
        <w:t xml:space="preserve">Excel, and </w:t>
      </w:r>
      <w:r w:rsidR="00E16D20" w:rsidRPr="005633D9">
        <w:rPr>
          <w:lang w:val="en-GB"/>
        </w:rPr>
        <w:t xml:space="preserve">will </w:t>
      </w:r>
      <w:r w:rsidRPr="005633D9">
        <w:rPr>
          <w:lang w:val="en-GB"/>
        </w:rPr>
        <w:t xml:space="preserve">clean and </w:t>
      </w:r>
      <w:r w:rsidR="00876374" w:rsidRPr="005633D9">
        <w:rPr>
          <w:lang w:val="en-GB"/>
        </w:rPr>
        <w:t>analyse</w:t>
      </w:r>
      <w:r w:rsidR="00E16D20" w:rsidRPr="005633D9">
        <w:rPr>
          <w:lang w:val="en-GB"/>
        </w:rPr>
        <w:t xml:space="preserve"> them</w:t>
      </w:r>
      <w:r w:rsidRPr="005633D9">
        <w:rPr>
          <w:lang w:val="en-GB"/>
        </w:rPr>
        <w:t xml:space="preserve"> (for side-by-side comparison of responses), with different files for each of the three stages</w:t>
      </w:r>
      <w:r w:rsidR="005A11F2" w:rsidRPr="005633D9">
        <w:rPr>
          <w:lang w:val="en-GB"/>
        </w:rPr>
        <w:t>—</w:t>
      </w:r>
      <w:r w:rsidRPr="005633D9">
        <w:rPr>
          <w:lang w:val="en-GB"/>
        </w:rPr>
        <w:t>data entry, cleaning</w:t>
      </w:r>
      <w:r w:rsidR="00E16D20" w:rsidRPr="005633D9">
        <w:rPr>
          <w:lang w:val="en-GB"/>
        </w:rPr>
        <w:t>,</w:t>
      </w:r>
      <w:r w:rsidRPr="005633D9">
        <w:rPr>
          <w:lang w:val="en-GB"/>
        </w:rPr>
        <w:t xml:space="preserve"> and analysis.</w:t>
      </w:r>
    </w:p>
    <w:p w:rsidR="00B90D27" w:rsidRPr="005633D9" w:rsidRDefault="00B90D27" w:rsidP="00B90D27">
      <w:pPr>
        <w:rPr>
          <w:lang w:val="en-GB"/>
        </w:rPr>
      </w:pPr>
      <w:r w:rsidRPr="005633D9">
        <w:rPr>
          <w:lang w:val="en-GB"/>
        </w:rPr>
        <w:t>The evaluation of the pilot’s influence on private sector engagement in the market and farmer uptake of Aflasafe will investigate the following questions, organised according to the logic of the SCP framework and responding to the hypotheses defined within that framework in its preliminary application to the market. The organizing logic of the inquiry will move from the most easily ascertained aspect of the market (its structure) to the firm strategies and conditions driving those</w:t>
      </w:r>
      <w:r w:rsidR="00E81552">
        <w:rPr>
          <w:lang w:val="en-GB"/>
        </w:rPr>
        <w:t>,</w:t>
      </w:r>
      <w:r w:rsidRPr="005633D9">
        <w:rPr>
          <w:lang w:val="en-GB"/>
        </w:rPr>
        <w:t xml:space="preserve"> and indications of market performance</w:t>
      </w:r>
      <w:r w:rsidR="00E81552">
        <w:rPr>
          <w:lang w:val="en-GB"/>
        </w:rPr>
        <w:t>. C</w:t>
      </w:r>
      <w:r w:rsidRPr="005633D9">
        <w:rPr>
          <w:lang w:val="en-GB"/>
        </w:rPr>
        <w:t xml:space="preserve">ollection of </w:t>
      </w:r>
      <w:r w:rsidR="00E81552">
        <w:rPr>
          <w:lang w:val="en-GB"/>
        </w:rPr>
        <w:t xml:space="preserve">these </w:t>
      </w:r>
      <w:r w:rsidRPr="005633D9">
        <w:rPr>
          <w:lang w:val="en-GB"/>
        </w:rPr>
        <w:t xml:space="preserve">data will be partly informed by the product flows identified in the analysis of market structure. </w:t>
      </w:r>
    </w:p>
    <w:p w:rsidR="00B90D27" w:rsidRPr="005633D9" w:rsidRDefault="00B90D27" w:rsidP="00CC5F98">
      <w:pPr>
        <w:pStyle w:val="Heading4"/>
        <w:rPr>
          <w:lang w:val="en-GB"/>
        </w:rPr>
      </w:pPr>
      <w:r w:rsidRPr="005633D9">
        <w:rPr>
          <w:lang w:val="en-GB"/>
        </w:rPr>
        <w:t>Performance</w:t>
      </w:r>
    </w:p>
    <w:p w:rsidR="00B90D27" w:rsidRPr="005633D9" w:rsidRDefault="00B90D27" w:rsidP="00B90D27">
      <w:pPr>
        <w:pStyle w:val="Bullets"/>
      </w:pPr>
      <w:r w:rsidRPr="005633D9">
        <w:t xml:space="preserve">Does a market for aflatoxin-free maize exist? </w:t>
      </w:r>
    </w:p>
    <w:p w:rsidR="00B90D27" w:rsidRPr="005633D9" w:rsidRDefault="00B90D27" w:rsidP="00B90D27">
      <w:pPr>
        <w:pStyle w:val="Bullets"/>
      </w:pPr>
      <w:r w:rsidRPr="005633D9">
        <w:t xml:space="preserve">Are the costs and benefits of participation in the market adequate to ensure its sustenance? </w:t>
      </w:r>
    </w:p>
    <w:p w:rsidR="00B90D27" w:rsidRPr="005633D9" w:rsidRDefault="00B90D27" w:rsidP="00CC5F98">
      <w:pPr>
        <w:pStyle w:val="Heading4"/>
        <w:rPr>
          <w:lang w:val="en-GB"/>
        </w:rPr>
      </w:pPr>
      <w:r w:rsidRPr="005633D9">
        <w:rPr>
          <w:lang w:val="en-GB"/>
        </w:rPr>
        <w:t>Structure</w:t>
      </w:r>
    </w:p>
    <w:p w:rsidR="00B90D27" w:rsidRPr="005633D9" w:rsidRDefault="00B90D27" w:rsidP="00B90D27">
      <w:pPr>
        <w:pStyle w:val="Bullets"/>
      </w:pPr>
      <w:r w:rsidRPr="005633D9">
        <w:t xml:space="preserve">How is the value chain for aflatoxin-free maize structured in terms of how aflatoxin-free product flows through the market? </w:t>
      </w:r>
    </w:p>
    <w:p w:rsidR="00B90D27" w:rsidRPr="005633D9" w:rsidRDefault="00B90D27" w:rsidP="00B90D27">
      <w:pPr>
        <w:pStyle w:val="Bullets"/>
      </w:pPr>
      <w:r w:rsidRPr="005633D9">
        <w:t xml:space="preserve">How many private sector actors of different types participate in the market? </w:t>
      </w:r>
    </w:p>
    <w:p w:rsidR="00B90D27" w:rsidRPr="005633D9" w:rsidRDefault="00B90D27" w:rsidP="00B90D27">
      <w:pPr>
        <w:pStyle w:val="Bullets"/>
      </w:pPr>
      <w:r w:rsidRPr="005633D9">
        <w:t>What volumes, and shares of volumes</w:t>
      </w:r>
      <w:r w:rsidR="00E16D20" w:rsidRPr="005633D9">
        <w:t>,</w:t>
      </w:r>
      <w:r w:rsidRPr="005633D9">
        <w:t xml:space="preserve"> are transacted by different types of actors? </w:t>
      </w:r>
    </w:p>
    <w:p w:rsidR="00B90D27" w:rsidRPr="005633D9" w:rsidRDefault="00B90D27" w:rsidP="00B90D27">
      <w:pPr>
        <w:pStyle w:val="Bullets"/>
      </w:pPr>
      <w:r w:rsidRPr="005633D9">
        <w:t>Does women’s participation in the value chain for aflatoxin-free maize differ from their patterns of participation in commodity maize markets? In what ways</w:t>
      </w:r>
      <w:r w:rsidR="00E16D20" w:rsidRPr="005633D9">
        <w:t>?</w:t>
      </w:r>
      <w:r w:rsidRPr="005633D9">
        <w:t xml:space="preserve"> </w:t>
      </w:r>
      <w:r w:rsidR="00E81552">
        <w:t>W</w:t>
      </w:r>
      <w:r w:rsidRPr="005633D9">
        <w:t xml:space="preserve">hat factors drive these differences? </w:t>
      </w:r>
    </w:p>
    <w:p w:rsidR="00B90D27" w:rsidRPr="005633D9" w:rsidRDefault="00B90D27" w:rsidP="00CC5F98">
      <w:pPr>
        <w:pStyle w:val="Heading4"/>
        <w:rPr>
          <w:lang w:val="en-GB"/>
        </w:rPr>
      </w:pPr>
      <w:r w:rsidRPr="005633D9">
        <w:rPr>
          <w:lang w:val="en-GB"/>
        </w:rPr>
        <w:t>Strategy</w:t>
      </w:r>
    </w:p>
    <w:p w:rsidR="00B90D27" w:rsidRPr="005633D9" w:rsidRDefault="00B90D27" w:rsidP="008422D7">
      <w:pPr>
        <w:pStyle w:val="BulletsLessSpace"/>
      </w:pPr>
      <w:r w:rsidRPr="005633D9">
        <w:t xml:space="preserve">What drives the decision of whether or not to transact aflatoxin-free maize? </w:t>
      </w:r>
    </w:p>
    <w:p w:rsidR="00B90D27" w:rsidRPr="005633D9" w:rsidRDefault="00B90D27" w:rsidP="008422D7">
      <w:pPr>
        <w:pStyle w:val="BulletsLessSpace"/>
      </w:pPr>
      <w:r w:rsidRPr="005633D9">
        <w:t>What are procurement strategies for aflatoxin-free maize?</w:t>
      </w:r>
    </w:p>
    <w:p w:rsidR="00B90D27" w:rsidRPr="005633D9" w:rsidRDefault="00B90D27" w:rsidP="00B90D27">
      <w:pPr>
        <w:pStyle w:val="Bullet2"/>
        <w:rPr>
          <w:lang w:val="en-GB"/>
        </w:rPr>
      </w:pPr>
      <w:r w:rsidRPr="005633D9">
        <w:rPr>
          <w:lang w:val="en-GB"/>
        </w:rPr>
        <w:t>Sources</w:t>
      </w:r>
    </w:p>
    <w:p w:rsidR="00B90D27" w:rsidRPr="005633D9" w:rsidRDefault="00B90D27" w:rsidP="00B90D27">
      <w:pPr>
        <w:pStyle w:val="Bullet2"/>
        <w:rPr>
          <w:lang w:val="en-GB"/>
        </w:rPr>
      </w:pPr>
      <w:r w:rsidRPr="005633D9">
        <w:rPr>
          <w:lang w:val="en-GB"/>
        </w:rPr>
        <w:t>Organisation of procurement</w:t>
      </w:r>
    </w:p>
    <w:p w:rsidR="00B90D27" w:rsidRPr="005633D9" w:rsidRDefault="00B90D27" w:rsidP="00B90D27">
      <w:pPr>
        <w:pStyle w:val="Bullet2"/>
        <w:rPr>
          <w:lang w:val="en-GB"/>
        </w:rPr>
      </w:pPr>
      <w:r w:rsidRPr="005633D9">
        <w:rPr>
          <w:lang w:val="en-GB"/>
        </w:rPr>
        <w:t>Relationships with suppliers</w:t>
      </w:r>
    </w:p>
    <w:p w:rsidR="00B90D27" w:rsidRPr="005633D9" w:rsidRDefault="00B90D27" w:rsidP="000A26AA">
      <w:pPr>
        <w:pStyle w:val="Bullet2"/>
        <w:keepNext/>
        <w:rPr>
          <w:lang w:val="en-GB"/>
        </w:rPr>
      </w:pPr>
      <w:r w:rsidRPr="005633D9">
        <w:rPr>
          <w:lang w:val="en-GB"/>
        </w:rPr>
        <w:t>Quality control</w:t>
      </w:r>
    </w:p>
    <w:p w:rsidR="00B90D27" w:rsidRPr="005633D9" w:rsidRDefault="00B90D27" w:rsidP="00B90D27">
      <w:pPr>
        <w:pStyle w:val="Bullet2"/>
        <w:rPr>
          <w:lang w:val="en-GB"/>
        </w:rPr>
      </w:pPr>
      <w:r w:rsidRPr="005633D9">
        <w:rPr>
          <w:lang w:val="en-GB"/>
        </w:rPr>
        <w:t xml:space="preserve">Pricing </w:t>
      </w:r>
    </w:p>
    <w:p w:rsidR="00B90D27" w:rsidRPr="005633D9" w:rsidRDefault="00B90D27" w:rsidP="008422D7">
      <w:pPr>
        <w:pStyle w:val="BulletsLessSpace"/>
      </w:pPr>
      <w:r w:rsidRPr="005633D9">
        <w:lastRenderedPageBreak/>
        <w:t>What processing and distribution strategies are employed?</w:t>
      </w:r>
    </w:p>
    <w:p w:rsidR="00B90D27" w:rsidRPr="005633D9" w:rsidRDefault="00B90D27" w:rsidP="00B90D27">
      <w:pPr>
        <w:pStyle w:val="Bullet2"/>
        <w:rPr>
          <w:lang w:val="en-GB"/>
        </w:rPr>
      </w:pPr>
      <w:r w:rsidRPr="005633D9">
        <w:rPr>
          <w:lang w:val="en-GB"/>
        </w:rPr>
        <w:t>Investment in facilities/equipment and human capital for processing and di</w:t>
      </w:r>
      <w:r w:rsidR="00E16D20" w:rsidRPr="005633D9">
        <w:rPr>
          <w:lang w:val="en-GB"/>
        </w:rPr>
        <w:t>stributing aflatoxin-free maize</w:t>
      </w:r>
      <w:r w:rsidRPr="005633D9">
        <w:rPr>
          <w:lang w:val="en-GB"/>
        </w:rPr>
        <w:t xml:space="preserve"> </w:t>
      </w:r>
    </w:p>
    <w:p w:rsidR="00B90D27" w:rsidRPr="005633D9" w:rsidRDefault="00B90D27" w:rsidP="00B90D27">
      <w:pPr>
        <w:pStyle w:val="Bullet2"/>
        <w:rPr>
          <w:lang w:val="en-GB"/>
        </w:rPr>
      </w:pPr>
      <w:r w:rsidRPr="005633D9">
        <w:rPr>
          <w:lang w:val="en-GB"/>
        </w:rPr>
        <w:t>Product segregation and identity preservation relative to non-aflatoxin-free maize</w:t>
      </w:r>
    </w:p>
    <w:p w:rsidR="00B90D27" w:rsidRPr="005633D9" w:rsidRDefault="00B90D27" w:rsidP="008422D7">
      <w:pPr>
        <w:pStyle w:val="BulletsLessSpace"/>
      </w:pPr>
      <w:r w:rsidRPr="005633D9">
        <w:t>What merchandising strategies are employed?</w:t>
      </w:r>
    </w:p>
    <w:p w:rsidR="00B90D27" w:rsidRPr="005633D9" w:rsidRDefault="00B90D27" w:rsidP="00B90D27">
      <w:pPr>
        <w:pStyle w:val="Bullet2"/>
        <w:rPr>
          <w:lang w:val="en-GB"/>
        </w:rPr>
      </w:pPr>
      <w:r w:rsidRPr="005633D9">
        <w:rPr>
          <w:lang w:val="en-GB"/>
        </w:rPr>
        <w:t>Target markets for aflatoxin-free maize (defined by buyer characteristics and geography)</w:t>
      </w:r>
    </w:p>
    <w:p w:rsidR="00B90D27" w:rsidRPr="005633D9" w:rsidRDefault="00B90D27" w:rsidP="00B90D27">
      <w:pPr>
        <w:pStyle w:val="Bullet2"/>
        <w:rPr>
          <w:lang w:val="en-GB"/>
        </w:rPr>
      </w:pPr>
      <w:r w:rsidRPr="005633D9">
        <w:rPr>
          <w:lang w:val="en-GB"/>
        </w:rPr>
        <w:t>Packaging</w:t>
      </w:r>
    </w:p>
    <w:p w:rsidR="00B90D27" w:rsidRPr="005633D9" w:rsidRDefault="00B90D27" w:rsidP="00B90D27">
      <w:pPr>
        <w:pStyle w:val="Bullet2"/>
        <w:rPr>
          <w:lang w:val="en-GB"/>
        </w:rPr>
      </w:pPr>
      <w:r w:rsidRPr="005633D9">
        <w:rPr>
          <w:lang w:val="en-GB"/>
        </w:rPr>
        <w:t>Promotion</w:t>
      </w:r>
    </w:p>
    <w:p w:rsidR="00B90D27" w:rsidRPr="005633D9" w:rsidRDefault="00B90D27" w:rsidP="00B90D27">
      <w:pPr>
        <w:pStyle w:val="Bullet2"/>
        <w:rPr>
          <w:lang w:val="en-GB"/>
        </w:rPr>
      </w:pPr>
      <w:r w:rsidRPr="005633D9">
        <w:rPr>
          <w:lang w:val="en-GB"/>
        </w:rPr>
        <w:t>Pricing</w:t>
      </w:r>
    </w:p>
    <w:p w:rsidR="00B90D27" w:rsidRPr="005633D9" w:rsidRDefault="00B90D27" w:rsidP="008422D7">
      <w:pPr>
        <w:keepNext/>
        <w:rPr>
          <w:lang w:val="en-GB"/>
        </w:rPr>
      </w:pPr>
      <w:r w:rsidRPr="005633D9">
        <w:rPr>
          <w:lang w:val="en-GB"/>
        </w:rPr>
        <w:t>Basic conditions: What are firms’ perceptions of the following</w:t>
      </w:r>
      <w:r w:rsidR="00E16D20" w:rsidRPr="005633D9">
        <w:rPr>
          <w:lang w:val="en-GB"/>
        </w:rPr>
        <w:t>,</w:t>
      </w:r>
      <w:r w:rsidRPr="005633D9">
        <w:rPr>
          <w:lang w:val="en-GB"/>
        </w:rPr>
        <w:t xml:space="preserve"> and how do those perceptions influence their decisions and strategy around engaging in the market for aflatoxin-free maize?</w:t>
      </w:r>
    </w:p>
    <w:p w:rsidR="00B90D27" w:rsidRPr="005633D9" w:rsidRDefault="00B90D27" w:rsidP="00B90D27">
      <w:pPr>
        <w:pStyle w:val="Bullets"/>
      </w:pPr>
      <w:r w:rsidRPr="005633D9">
        <w:t>Perception of supply conditions</w:t>
      </w:r>
    </w:p>
    <w:p w:rsidR="00B90D27" w:rsidRPr="005633D9" w:rsidRDefault="00B90D27" w:rsidP="00B90D27">
      <w:pPr>
        <w:pStyle w:val="Bullets"/>
      </w:pPr>
      <w:r w:rsidRPr="005633D9">
        <w:t>Perception of demand conditions</w:t>
      </w:r>
    </w:p>
    <w:p w:rsidR="00B90D27" w:rsidRPr="005633D9" w:rsidRDefault="00B90D27" w:rsidP="00B90D27">
      <w:pPr>
        <w:pStyle w:val="Bullets"/>
      </w:pPr>
      <w:r w:rsidRPr="005633D9">
        <w:t xml:space="preserve">Perception of transaction costs and risk inherent in acting in </w:t>
      </w:r>
      <w:r w:rsidR="00E81552">
        <w:t xml:space="preserve">the </w:t>
      </w:r>
      <w:r w:rsidRPr="005633D9">
        <w:t>market</w:t>
      </w:r>
    </w:p>
    <w:p w:rsidR="00B90D27" w:rsidRPr="005633D9" w:rsidRDefault="00B90D27" w:rsidP="00B90D27">
      <w:pPr>
        <w:pStyle w:val="Bullets"/>
      </w:pPr>
      <w:r w:rsidRPr="005633D9">
        <w:t>Perception of institutional environment and its implications for engagement</w:t>
      </w:r>
    </w:p>
    <w:p w:rsidR="00B90D27" w:rsidRPr="005633D9" w:rsidRDefault="00B90D27" w:rsidP="00B90D27">
      <w:pPr>
        <w:pStyle w:val="Bullets"/>
      </w:pPr>
      <w:r w:rsidRPr="005633D9">
        <w:t xml:space="preserve">Awareness of aflatoxin as an issue and of potential solutions </w:t>
      </w:r>
      <w:r w:rsidR="00E81552">
        <w:t>such as</w:t>
      </w:r>
      <w:r w:rsidR="00E81552" w:rsidRPr="005633D9">
        <w:t xml:space="preserve"> </w:t>
      </w:r>
      <w:r w:rsidRPr="005633D9">
        <w:t>Aflasafe</w:t>
      </w:r>
    </w:p>
    <w:p w:rsidR="00B90D27" w:rsidRPr="005633D9" w:rsidRDefault="00B90D27" w:rsidP="00B90D27">
      <w:pPr>
        <w:pStyle w:val="Bullets"/>
      </w:pPr>
      <w:r w:rsidRPr="005633D9">
        <w:t>Perception of economics/effectiveness of</w:t>
      </w:r>
      <w:r w:rsidR="00243735" w:rsidRPr="005633D9">
        <w:t xml:space="preserve"> </w:t>
      </w:r>
      <w:r w:rsidRPr="005633D9">
        <w:t>available solutions to aflatoxin contamination</w:t>
      </w:r>
    </w:p>
    <w:p w:rsidR="00B90D27" w:rsidRPr="005633D9" w:rsidRDefault="00B90D27" w:rsidP="00B90D27">
      <w:pPr>
        <w:pStyle w:val="Bullets"/>
      </w:pPr>
      <w:r w:rsidRPr="005633D9">
        <w:t>Ability to realize conditions required for Aflasafe or aflatoxin-free maize to work as a solution for them</w:t>
      </w:r>
    </w:p>
    <w:p w:rsidR="00B90D27" w:rsidRPr="005633D9" w:rsidRDefault="003D314D" w:rsidP="00B90D27">
      <w:pPr>
        <w:rPr>
          <w:lang w:val="en-GB"/>
        </w:rPr>
      </w:pPr>
      <w:r w:rsidRPr="005633D9">
        <w:rPr>
          <w:lang w:val="en-GB"/>
        </w:rPr>
        <w:t>T</w:t>
      </w:r>
      <w:r w:rsidR="00B90D27" w:rsidRPr="005633D9">
        <w:rPr>
          <w:lang w:val="en-GB"/>
        </w:rPr>
        <w:t xml:space="preserve">he </w:t>
      </w:r>
      <w:r w:rsidR="00836FD2" w:rsidRPr="005633D9">
        <w:rPr>
          <w:lang w:val="en-GB"/>
        </w:rPr>
        <w:t xml:space="preserve">in-country </w:t>
      </w:r>
      <w:r w:rsidR="00B90D27" w:rsidRPr="005633D9">
        <w:rPr>
          <w:lang w:val="en-GB"/>
        </w:rPr>
        <w:t>Agricultural Economist</w:t>
      </w:r>
      <w:r w:rsidRPr="005633D9">
        <w:rPr>
          <w:lang w:val="en-GB"/>
        </w:rPr>
        <w:t>,</w:t>
      </w:r>
      <w:r w:rsidR="00B90D27" w:rsidRPr="005633D9">
        <w:rPr>
          <w:lang w:val="en-GB"/>
        </w:rPr>
        <w:t xml:space="preserve"> under supervision of the impact evaluation team’s </w:t>
      </w:r>
      <w:r w:rsidR="00E4447F">
        <w:rPr>
          <w:lang w:val="en-GB"/>
        </w:rPr>
        <w:t xml:space="preserve">Qualitative </w:t>
      </w:r>
      <w:r w:rsidR="002835CA">
        <w:rPr>
          <w:lang w:val="en-GB"/>
        </w:rPr>
        <w:t>Lead</w:t>
      </w:r>
      <w:r w:rsidRPr="005633D9">
        <w:rPr>
          <w:lang w:val="en-GB"/>
        </w:rPr>
        <w:t>, will undertake data collection and entry</w:t>
      </w:r>
      <w:r w:rsidR="00B90D27" w:rsidRPr="005633D9">
        <w:rPr>
          <w:lang w:val="en-GB"/>
        </w:rPr>
        <w:t xml:space="preserve">. With the exception of data collection using small-sample surveys, interviews will be held in person at the site of the respondent’s maize-oriented operations (if feasible). Small-sample surveys, which are intended to provide information on flows of aflatoxin-free maize, may be conducted by telephone. </w:t>
      </w:r>
      <w:r w:rsidRPr="005633D9">
        <w:rPr>
          <w:lang w:val="en-GB"/>
        </w:rPr>
        <w:t xml:space="preserve">The </w:t>
      </w:r>
      <w:r w:rsidR="00513E26">
        <w:rPr>
          <w:lang w:val="en-GB"/>
        </w:rPr>
        <w:t>in-country</w:t>
      </w:r>
      <w:r w:rsidR="002835CA">
        <w:rPr>
          <w:lang w:val="en-GB"/>
        </w:rPr>
        <w:t xml:space="preserve"> </w:t>
      </w:r>
      <w:r w:rsidRPr="005633D9">
        <w:rPr>
          <w:lang w:val="en-GB"/>
        </w:rPr>
        <w:t xml:space="preserve">Agricultural Economist </w:t>
      </w:r>
      <w:r w:rsidR="00B90D27" w:rsidRPr="005633D9">
        <w:rPr>
          <w:lang w:val="en-GB"/>
        </w:rPr>
        <w:t xml:space="preserve">will enter </w:t>
      </w:r>
      <w:r w:rsidRPr="005633D9">
        <w:rPr>
          <w:lang w:val="en-GB"/>
        </w:rPr>
        <w:t xml:space="preserve">data </w:t>
      </w:r>
      <w:r w:rsidR="00B90D27" w:rsidRPr="005633D9">
        <w:rPr>
          <w:lang w:val="en-GB"/>
        </w:rPr>
        <w:t xml:space="preserve">into a template provided by the </w:t>
      </w:r>
      <w:r w:rsidR="00E4447F">
        <w:rPr>
          <w:lang w:val="en-GB"/>
        </w:rPr>
        <w:t xml:space="preserve">Qualitative </w:t>
      </w:r>
      <w:r w:rsidR="002835CA">
        <w:rPr>
          <w:lang w:val="en-GB"/>
        </w:rPr>
        <w:t>Lead</w:t>
      </w:r>
      <w:r w:rsidR="002835CA" w:rsidRPr="005633D9">
        <w:rPr>
          <w:lang w:val="en-GB"/>
        </w:rPr>
        <w:t xml:space="preserve"> </w:t>
      </w:r>
      <w:r w:rsidRPr="005633D9">
        <w:rPr>
          <w:lang w:val="en-GB"/>
        </w:rPr>
        <w:t xml:space="preserve">and will transmit them to the United </w:t>
      </w:r>
      <w:r w:rsidR="00B90D27" w:rsidRPr="005633D9">
        <w:rPr>
          <w:lang w:val="en-GB"/>
        </w:rPr>
        <w:t>S</w:t>
      </w:r>
      <w:r w:rsidRPr="005633D9">
        <w:rPr>
          <w:lang w:val="en-GB"/>
        </w:rPr>
        <w:t>tates</w:t>
      </w:r>
      <w:r w:rsidR="00B90D27" w:rsidRPr="005633D9">
        <w:rPr>
          <w:lang w:val="en-GB"/>
        </w:rPr>
        <w:t xml:space="preserve">. </w:t>
      </w:r>
      <w:r w:rsidR="00EE0BC4" w:rsidRPr="005633D9">
        <w:rPr>
          <w:lang w:val="en-GB"/>
        </w:rPr>
        <w:t xml:space="preserve">Abt’s </w:t>
      </w:r>
      <w:r w:rsidR="00E4447F">
        <w:rPr>
          <w:lang w:val="en-GB"/>
        </w:rPr>
        <w:t xml:space="preserve">Qualitative </w:t>
      </w:r>
      <w:r w:rsidR="002835CA">
        <w:rPr>
          <w:lang w:val="en-GB"/>
        </w:rPr>
        <w:t>Lead</w:t>
      </w:r>
      <w:r w:rsidR="002835CA" w:rsidRPr="005633D9">
        <w:rPr>
          <w:lang w:val="en-GB"/>
        </w:rPr>
        <w:t xml:space="preserve"> </w:t>
      </w:r>
      <w:r w:rsidR="00EE0BC4" w:rsidRPr="005633D9">
        <w:rPr>
          <w:lang w:val="en-GB"/>
        </w:rPr>
        <w:t>will train the</w:t>
      </w:r>
      <w:r w:rsidR="00513E26">
        <w:rPr>
          <w:lang w:val="en-GB"/>
        </w:rPr>
        <w:t xml:space="preserve"> in-country</w:t>
      </w:r>
      <w:r w:rsidR="00EE0BC4" w:rsidRPr="005633D9">
        <w:rPr>
          <w:lang w:val="en-GB"/>
        </w:rPr>
        <w:t xml:space="preserve"> </w:t>
      </w:r>
      <w:r w:rsidR="00B90D27" w:rsidRPr="005633D9">
        <w:rPr>
          <w:lang w:val="en-GB"/>
        </w:rPr>
        <w:t xml:space="preserve">Agricultural Economist in the SCP model and appropriate data collection methods prior to implementation of baseline data collection activities. </w:t>
      </w:r>
    </w:p>
    <w:p w:rsidR="00B90D27" w:rsidRPr="005633D9" w:rsidRDefault="00B90D27" w:rsidP="00B90D27">
      <w:pPr>
        <w:rPr>
          <w:lang w:val="en-GB"/>
        </w:rPr>
      </w:pPr>
      <w:r w:rsidRPr="005633D9">
        <w:rPr>
          <w:lang w:val="en-GB"/>
        </w:rPr>
        <w:t>We will collect data from each type of market actor (except consumers</w:t>
      </w:r>
      <w:r w:rsidR="000D61C9" w:rsidRPr="005633D9">
        <w:rPr>
          <w:lang w:val="en-GB"/>
        </w:rPr>
        <w:t>,</w:t>
      </w:r>
      <w:r w:rsidRPr="005633D9">
        <w:rPr>
          <w:lang w:val="en-GB"/>
        </w:rPr>
        <w:t xml:space="preserve"> from whom data will be collected to answer </w:t>
      </w:r>
      <w:r w:rsidR="00D67BBE" w:rsidRPr="005633D9">
        <w:rPr>
          <w:lang w:val="en-GB"/>
        </w:rPr>
        <w:t>evaluation question </w:t>
      </w:r>
      <w:r w:rsidRPr="005633D9">
        <w:rPr>
          <w:lang w:val="en-GB"/>
        </w:rPr>
        <w:t xml:space="preserve">4) identified in </w:t>
      </w:r>
      <w:r w:rsidR="000D61C9" w:rsidRPr="005633D9">
        <w:rPr>
          <w:lang w:val="en-GB"/>
        </w:rPr>
        <w:fldChar w:fldCharType="begin"/>
      </w:r>
      <w:r w:rsidR="000D61C9" w:rsidRPr="005633D9">
        <w:rPr>
          <w:lang w:val="en-GB"/>
        </w:rPr>
        <w:instrText xml:space="preserve"> REF _Ref403450994 \h </w:instrText>
      </w:r>
      <w:r w:rsidR="000D61C9" w:rsidRPr="005633D9">
        <w:rPr>
          <w:lang w:val="en-GB"/>
        </w:rPr>
      </w:r>
      <w:r w:rsidR="000D61C9" w:rsidRPr="005633D9">
        <w:rPr>
          <w:lang w:val="en-GB"/>
        </w:rPr>
        <w:fldChar w:fldCharType="separate"/>
      </w:r>
      <w:r w:rsidR="00F33102" w:rsidRPr="005633D9">
        <w:rPr>
          <w:lang w:val="en-GB"/>
        </w:rPr>
        <w:t xml:space="preserve">Figure </w:t>
      </w:r>
      <w:r w:rsidR="00F33102">
        <w:rPr>
          <w:noProof/>
          <w:lang w:val="en-GB"/>
        </w:rPr>
        <w:t>1</w:t>
      </w:r>
      <w:r w:rsidR="00F33102" w:rsidRPr="005633D9">
        <w:rPr>
          <w:lang w:val="en-GB"/>
        </w:rPr>
        <w:noBreakHyphen/>
      </w:r>
      <w:r w:rsidR="00F33102">
        <w:rPr>
          <w:noProof/>
          <w:lang w:val="en-GB"/>
        </w:rPr>
        <w:t>3</w:t>
      </w:r>
      <w:r w:rsidR="000D61C9" w:rsidRPr="005633D9">
        <w:rPr>
          <w:lang w:val="en-GB"/>
        </w:rPr>
        <w:fldChar w:fldCharType="end"/>
      </w:r>
      <w:r w:rsidRPr="005633D9">
        <w:rPr>
          <w:lang w:val="en-GB"/>
        </w:rPr>
        <w:t xml:space="preserve"> above. The </w:t>
      </w:r>
      <w:r w:rsidR="00513E26">
        <w:rPr>
          <w:lang w:val="en-GB"/>
        </w:rPr>
        <w:t xml:space="preserve">in-country </w:t>
      </w:r>
      <w:r w:rsidRPr="005633D9">
        <w:rPr>
          <w:lang w:val="en-GB"/>
        </w:rPr>
        <w:t>Agricultural Economist will begin by identifying listings of potential respondents among each of those groups, disaggregated by gender. Respondents among those groups will be selected on three bases</w:t>
      </w:r>
      <w:r w:rsidR="00C22819" w:rsidRPr="005633D9">
        <w:rPr>
          <w:lang w:val="en-GB"/>
        </w:rPr>
        <w:t>: (1)</w:t>
      </w:r>
      <w:r w:rsidRPr="005633D9">
        <w:rPr>
          <w:lang w:val="en-GB"/>
        </w:rPr>
        <w:t xml:space="preserve"> ensuring that the largest players (of which there tend to be few) are represented; </w:t>
      </w:r>
      <w:r w:rsidR="00C22819" w:rsidRPr="005633D9">
        <w:rPr>
          <w:lang w:val="en-GB"/>
        </w:rPr>
        <w:t>(2)</w:t>
      </w:r>
      <w:r w:rsidR="00F110B1">
        <w:rPr>
          <w:lang w:val="en-GB"/>
        </w:rPr>
        <w:t> </w:t>
      </w:r>
      <w:r w:rsidRPr="005633D9">
        <w:rPr>
          <w:lang w:val="en-GB"/>
        </w:rPr>
        <w:t>randomly selecting from among remaining players (</w:t>
      </w:r>
      <w:r w:rsidR="00C22819" w:rsidRPr="005633D9">
        <w:rPr>
          <w:lang w:val="en-GB"/>
        </w:rPr>
        <w:t>we will specify</w:t>
      </w:r>
      <w:r w:rsidRPr="005633D9">
        <w:rPr>
          <w:lang w:val="en-GB"/>
        </w:rPr>
        <w:t xml:space="preserve"> numbers following collection of information on possible respondents); </w:t>
      </w:r>
      <w:r w:rsidR="00C22819" w:rsidRPr="005633D9">
        <w:rPr>
          <w:lang w:val="en-GB"/>
        </w:rPr>
        <w:t>and (3)</w:t>
      </w:r>
      <w:r w:rsidRPr="005633D9">
        <w:rPr>
          <w:lang w:val="en-GB"/>
        </w:rPr>
        <w:t xml:space="preserve"> specifically ensuring </w:t>
      </w:r>
      <w:r w:rsidR="00C22819" w:rsidRPr="005633D9">
        <w:rPr>
          <w:lang w:val="en-GB"/>
        </w:rPr>
        <w:t xml:space="preserve">that </w:t>
      </w:r>
      <w:r w:rsidRPr="005633D9">
        <w:rPr>
          <w:lang w:val="en-GB"/>
        </w:rPr>
        <w:t xml:space="preserve">women involved in the market are represented. </w:t>
      </w:r>
      <w:r w:rsidR="00C22819" w:rsidRPr="005633D9">
        <w:rPr>
          <w:lang w:val="en-GB"/>
        </w:rPr>
        <w:t>We will seek t</w:t>
      </w:r>
      <w:r w:rsidRPr="005633D9">
        <w:rPr>
          <w:lang w:val="en-GB"/>
        </w:rPr>
        <w:t xml:space="preserve">wo levels of response from different categories of respondents. </w:t>
      </w:r>
      <w:r w:rsidR="00C22819" w:rsidRPr="005633D9">
        <w:rPr>
          <w:lang w:val="en-GB"/>
        </w:rPr>
        <w:t>First, we will conduct b</w:t>
      </w:r>
      <w:r w:rsidRPr="005633D9">
        <w:rPr>
          <w:lang w:val="en-GB"/>
        </w:rPr>
        <w:t xml:space="preserve">rief structured surveys with relatively small samples of each type of </w:t>
      </w:r>
      <w:r w:rsidR="00C22819" w:rsidRPr="005633D9">
        <w:rPr>
          <w:lang w:val="en-GB"/>
        </w:rPr>
        <w:t xml:space="preserve">actor </w:t>
      </w:r>
      <w:r w:rsidRPr="005633D9">
        <w:rPr>
          <w:lang w:val="en-GB"/>
        </w:rPr>
        <w:t xml:space="preserve">to collect data on their activities (if any) with aflatoxin-free maize during the baseline and endline periods. Second, </w:t>
      </w:r>
      <w:r w:rsidR="00C22819" w:rsidRPr="005633D9">
        <w:rPr>
          <w:lang w:val="en-GB"/>
        </w:rPr>
        <w:t xml:space="preserve">we will select </w:t>
      </w:r>
      <w:r w:rsidRPr="005633D9">
        <w:rPr>
          <w:lang w:val="en-GB"/>
        </w:rPr>
        <w:t xml:space="preserve">a separate, smaller sampling (again, including major </w:t>
      </w:r>
      <w:r w:rsidR="00C22819" w:rsidRPr="005633D9">
        <w:rPr>
          <w:lang w:val="en-GB"/>
        </w:rPr>
        <w:t>actors</w:t>
      </w:r>
      <w:r w:rsidRPr="005633D9">
        <w:rPr>
          <w:lang w:val="en-GB"/>
        </w:rPr>
        <w:t xml:space="preserve">) and request </w:t>
      </w:r>
      <w:r w:rsidR="00C22819" w:rsidRPr="005633D9">
        <w:rPr>
          <w:lang w:val="en-GB"/>
        </w:rPr>
        <w:t xml:space="preserve">respondents </w:t>
      </w:r>
      <w:r w:rsidRPr="005633D9">
        <w:rPr>
          <w:lang w:val="en-GB"/>
        </w:rPr>
        <w:t xml:space="preserve">to participate in extended key informant surveys. </w:t>
      </w:r>
      <w:r w:rsidR="00C22819" w:rsidRPr="005633D9">
        <w:rPr>
          <w:lang w:val="en-GB"/>
        </w:rPr>
        <w:t>We will determine t</w:t>
      </w:r>
      <w:r w:rsidRPr="005633D9">
        <w:rPr>
          <w:lang w:val="en-GB"/>
        </w:rPr>
        <w:t xml:space="preserve">he number of surveys and questionnaires to be conducted following the identification of market participants by the </w:t>
      </w:r>
      <w:r w:rsidR="00513E26">
        <w:rPr>
          <w:lang w:val="en-GB"/>
        </w:rPr>
        <w:t xml:space="preserve">in-country </w:t>
      </w:r>
      <w:r w:rsidRPr="005633D9">
        <w:rPr>
          <w:lang w:val="en-GB"/>
        </w:rPr>
        <w:t>Agricultural Economist.</w:t>
      </w:r>
    </w:p>
    <w:p w:rsidR="00BF56E1" w:rsidRPr="005633D9" w:rsidRDefault="00AE481F" w:rsidP="0009159C">
      <w:pPr>
        <w:pStyle w:val="Heading2"/>
        <w:spacing w:after="120"/>
        <w:rPr>
          <w:lang w:val="en-GB"/>
        </w:rPr>
      </w:pPr>
      <w:bookmarkStart w:id="29" w:name="_Ref403466420"/>
      <w:bookmarkStart w:id="30" w:name="_Ref403485699"/>
      <w:bookmarkStart w:id="31" w:name="_Toc407700412"/>
      <w:r w:rsidRPr="005633D9">
        <w:rPr>
          <w:lang w:val="en-GB"/>
        </w:rPr>
        <w:lastRenderedPageBreak/>
        <w:t xml:space="preserve">Evaluation </w:t>
      </w:r>
      <w:r w:rsidR="000A26AA" w:rsidRPr="005633D9">
        <w:rPr>
          <w:lang w:val="en-GB"/>
        </w:rPr>
        <w:t xml:space="preserve">question </w:t>
      </w:r>
      <w:r w:rsidRPr="005633D9">
        <w:rPr>
          <w:lang w:val="en-GB"/>
        </w:rPr>
        <w:t>2</w:t>
      </w:r>
      <w:r w:rsidR="00BF56E1" w:rsidRPr="005633D9">
        <w:rPr>
          <w:lang w:val="en-GB"/>
        </w:rPr>
        <w:t>: What has been AgResults’ impact on smallholders’ uptake of Aflasafe</w:t>
      </w:r>
      <w:r w:rsidR="00D826B6" w:rsidRPr="005633D9">
        <w:rPr>
          <w:lang w:val="en-GB"/>
        </w:rPr>
        <w:t>?</w:t>
      </w:r>
      <w:bookmarkEnd w:id="29"/>
      <w:bookmarkEnd w:id="30"/>
      <w:bookmarkEnd w:id="31"/>
    </w:p>
    <w:p w:rsidR="001038A9" w:rsidRPr="005633D9" w:rsidRDefault="001038A9" w:rsidP="001038A9">
      <w:pPr>
        <w:pStyle w:val="BodyText"/>
      </w:pPr>
      <w:r w:rsidRPr="005633D9">
        <w:t>Aflasafe is ultimately intended to improve the health of consumers.</w:t>
      </w:r>
      <w:r w:rsidR="00243735" w:rsidRPr="005633D9">
        <w:t xml:space="preserve"> </w:t>
      </w:r>
      <w:r w:rsidRPr="005633D9">
        <w:t>One of the challenges in measuring impacts on health is that aflatoxin prevalence depends on environmental factors such as rainfall, moisture</w:t>
      </w:r>
      <w:r w:rsidR="00C22819" w:rsidRPr="005633D9">
        <w:t>,</w:t>
      </w:r>
      <w:r w:rsidRPr="005633D9">
        <w:t xml:space="preserve"> and temperature. It is possible that aflatoxin prevalence </w:t>
      </w:r>
      <w:r w:rsidR="00C22819" w:rsidRPr="005633D9">
        <w:t xml:space="preserve">could be </w:t>
      </w:r>
      <w:r w:rsidRPr="005633D9">
        <w:t>naturally low</w:t>
      </w:r>
      <w:r w:rsidR="00C22819" w:rsidRPr="005633D9">
        <w:t xml:space="preserve"> at the time of evaluation observations</w:t>
      </w:r>
      <w:r w:rsidR="00600FB4" w:rsidRPr="005633D9">
        <w:t xml:space="preserve"> in both the intervention sample and in a comparison group against </w:t>
      </w:r>
      <w:r w:rsidR="008422D7" w:rsidRPr="005633D9">
        <w:t>which</w:t>
      </w:r>
      <w:r w:rsidR="00600FB4" w:rsidRPr="005633D9">
        <w:t xml:space="preserve"> impacts are measured—</w:t>
      </w:r>
      <w:r w:rsidRPr="005633D9">
        <w:t>giving a potentially misleading impression that pull mechanisms have no impact or only a small impact on reducing aflatoxin presence in the maize</w:t>
      </w:r>
      <w:r w:rsidR="00600FB4" w:rsidRPr="005633D9">
        <w:t xml:space="preserve"> since there was little room for improvement</w:t>
      </w:r>
      <w:r w:rsidR="00C22819" w:rsidRPr="005633D9">
        <w:t>. In contrast,</w:t>
      </w:r>
      <w:r w:rsidRPr="005633D9">
        <w:t xml:space="preserve"> in a year in which farming conditions are favo</w:t>
      </w:r>
      <w:r w:rsidR="00C22819" w:rsidRPr="005633D9">
        <w:t>u</w:t>
      </w:r>
      <w:r w:rsidRPr="005633D9">
        <w:t>rable to aflatoxin accumulation</w:t>
      </w:r>
      <w:r w:rsidR="00C22819" w:rsidRPr="005633D9">
        <w:t>,</w:t>
      </w:r>
      <w:r w:rsidRPr="005633D9">
        <w:t xml:space="preserve"> a substantial impact </w:t>
      </w:r>
      <w:r w:rsidR="00C22819" w:rsidRPr="005633D9">
        <w:t>could be observed</w:t>
      </w:r>
      <w:r w:rsidRPr="005633D9">
        <w:t>.</w:t>
      </w:r>
      <w:r w:rsidR="00243735" w:rsidRPr="005633D9">
        <w:t xml:space="preserve"> </w:t>
      </w:r>
      <w:r w:rsidRPr="005633D9">
        <w:t>Therefore, it is important to measure the impact of AgResults on an indicator that, over the course of many harvests and hence on average, will create crops with less aflatoxin</w:t>
      </w:r>
      <w:r w:rsidR="00600FB4" w:rsidRPr="005633D9">
        <w:t xml:space="preserve"> and </w:t>
      </w:r>
      <w:r w:rsidR="00600FB4" w:rsidRPr="005633D9">
        <w:rPr>
          <w:i/>
        </w:rPr>
        <w:t xml:space="preserve">in every year </w:t>
      </w:r>
      <w:r w:rsidR="00600FB4" w:rsidRPr="005633D9">
        <w:t>has the potential for experiencing substantial impacts. The measure we have chosen for this purpose is</w:t>
      </w:r>
      <w:r w:rsidR="00243735" w:rsidRPr="005633D9">
        <w:t xml:space="preserve"> </w:t>
      </w:r>
      <w:r w:rsidRPr="005633D9">
        <w:t>the presence of Aflasafe in harvested maize.</w:t>
      </w:r>
      <w:r w:rsidR="00243735" w:rsidRPr="005633D9">
        <w:t xml:space="preserve"> </w:t>
      </w:r>
      <w:r w:rsidR="00BA6FF3" w:rsidRPr="005633D9">
        <w:t xml:space="preserve">We will address </w:t>
      </w:r>
      <w:r w:rsidR="00C22819" w:rsidRPr="005633D9">
        <w:t>evaluation q</w:t>
      </w:r>
      <w:r w:rsidRPr="005633D9">
        <w:t xml:space="preserve">uestion 2 on Aflasafe technology uptake by assessing whether </w:t>
      </w:r>
      <w:r w:rsidR="007A2E54" w:rsidRPr="005633D9">
        <w:t>smallholder</w:t>
      </w:r>
      <w:r w:rsidRPr="005633D9">
        <w:t>s applied Aflasafe a</w:t>
      </w:r>
      <w:r w:rsidR="00BA6FF3" w:rsidRPr="005633D9">
        <w:t>t</w:t>
      </w:r>
      <w:r w:rsidRPr="005633D9">
        <w:t xml:space="preserve"> the right time and at the right application rate</w:t>
      </w:r>
      <w:r w:rsidR="00CC3BCF" w:rsidRPr="005633D9">
        <w:t xml:space="preserve">, and by testing for </w:t>
      </w:r>
      <w:r w:rsidR="00177D6A" w:rsidRPr="005633D9">
        <w:t xml:space="preserve">the presence of </w:t>
      </w:r>
      <w:r w:rsidR="00CC3BCF" w:rsidRPr="005633D9">
        <w:t xml:space="preserve">Aflasafe in </w:t>
      </w:r>
      <w:r w:rsidR="00177D6A" w:rsidRPr="005633D9">
        <w:t xml:space="preserve">harvested </w:t>
      </w:r>
      <w:r w:rsidR="00CC3BCF" w:rsidRPr="005633D9">
        <w:t>maize</w:t>
      </w:r>
      <w:r w:rsidR="00177D6A" w:rsidRPr="005633D9">
        <w:t>.</w:t>
      </w:r>
    </w:p>
    <w:p w:rsidR="008F64B0" w:rsidRPr="005633D9" w:rsidRDefault="00013167" w:rsidP="00BF56E1">
      <w:pPr>
        <w:pStyle w:val="BodyText"/>
      </w:pPr>
      <w:r w:rsidRPr="005633D9">
        <w:t xml:space="preserve">We will estimate impacts </w:t>
      </w:r>
      <w:r w:rsidR="00BF56E1" w:rsidRPr="005633D9">
        <w:t xml:space="preserve">on </w:t>
      </w:r>
      <w:r w:rsidR="00600FB4" w:rsidRPr="005633D9">
        <w:t xml:space="preserve">these and other </w:t>
      </w:r>
      <w:r w:rsidR="00BF56E1" w:rsidRPr="005633D9">
        <w:t>smallholder outcomes—</w:t>
      </w:r>
      <w:r w:rsidR="00600FB4" w:rsidRPr="005633D9">
        <w:t>including</w:t>
      </w:r>
      <w:r w:rsidR="00BF56E1" w:rsidRPr="005633D9">
        <w:t xml:space="preserve"> farming activities and </w:t>
      </w:r>
      <w:r w:rsidR="00600FB4" w:rsidRPr="005633D9">
        <w:t>on-farm</w:t>
      </w:r>
      <w:r w:rsidR="00BF56E1" w:rsidRPr="005633D9">
        <w:t xml:space="preserve"> consumption</w:t>
      </w:r>
      <w:r w:rsidR="00600FB4" w:rsidRPr="005633D9">
        <w:t xml:space="preserve"> of Aflasafe-treated maize using </w:t>
      </w:r>
      <w:r w:rsidRPr="005633D9">
        <w:t>the impact inference design</w:t>
      </w:r>
      <w:r w:rsidR="00600FB4" w:rsidRPr="005633D9">
        <w:t xml:space="preserve"> described below. We also in this section describe </w:t>
      </w:r>
      <w:r w:rsidRPr="005633D9">
        <w:t>our data analysis plan, the sampling plan, the power analysis, the supporting qualitative analysis, and data sources for the supporting qualitative analysis.</w:t>
      </w:r>
      <w:r w:rsidR="00243735" w:rsidRPr="005633D9">
        <w:t xml:space="preserve"> </w:t>
      </w:r>
      <w:r w:rsidR="00054C0D" w:rsidRPr="005633D9">
        <w:t>We will use t</w:t>
      </w:r>
      <w:r w:rsidRPr="005633D9">
        <w:t>he same quantitative method to assess the impact on smallholder income (question 3) and the impact on smallholder demand for derivative aflatoxin-free food products (question 4).</w:t>
      </w:r>
      <w:r w:rsidR="00243735" w:rsidRPr="005633D9">
        <w:t xml:space="preserve"> </w:t>
      </w:r>
      <w:r w:rsidRPr="005633D9">
        <w:t>For this reason, the text below also serves as a general framework for evaluation question</w:t>
      </w:r>
      <w:r w:rsidR="00A2401E" w:rsidRPr="005633D9">
        <w:t>s</w:t>
      </w:r>
      <w:r w:rsidRPr="005633D9">
        <w:t xml:space="preserve"> 3 and 4.</w:t>
      </w:r>
      <w:r w:rsidR="00243735" w:rsidRPr="005633D9">
        <w:t xml:space="preserve"> </w:t>
      </w:r>
      <w:r w:rsidR="00A2401E" w:rsidRPr="005633D9">
        <w:fldChar w:fldCharType="begin"/>
      </w:r>
      <w:r w:rsidR="00A2401E" w:rsidRPr="005633D9">
        <w:instrText xml:space="preserve"> REF _Ref403423492 \h </w:instrText>
      </w:r>
      <w:r w:rsidR="00A2401E" w:rsidRPr="005633D9">
        <w:fldChar w:fldCharType="separate"/>
      </w:r>
      <w:r w:rsidR="00F33102" w:rsidRPr="005633D9">
        <w:t xml:space="preserve">Table </w:t>
      </w:r>
      <w:r w:rsidR="00F33102">
        <w:rPr>
          <w:noProof/>
        </w:rPr>
        <w:t>3</w:t>
      </w:r>
      <w:r w:rsidR="00F33102" w:rsidRPr="005633D9">
        <w:noBreakHyphen/>
      </w:r>
      <w:r w:rsidR="00F33102">
        <w:rPr>
          <w:noProof/>
        </w:rPr>
        <w:t>2</w:t>
      </w:r>
      <w:r w:rsidR="00A2401E" w:rsidRPr="005633D9">
        <w:fldChar w:fldCharType="end"/>
      </w:r>
      <w:r w:rsidR="00543C9F" w:rsidRPr="005633D9">
        <w:t xml:space="preserve"> presents in summary the key evaluation method and the key outcome measures to answer evaluation question 2. Subsequent sub-sections </w:t>
      </w:r>
      <w:r w:rsidR="00D4160A" w:rsidRPr="005633D9">
        <w:t xml:space="preserve">describe in more detail </w:t>
      </w:r>
      <w:r w:rsidR="00543C9F" w:rsidRPr="005633D9">
        <w:t>our method, data analysis plan</w:t>
      </w:r>
      <w:r w:rsidR="00054C0D" w:rsidRPr="005633D9">
        <w:t>,</w:t>
      </w:r>
      <w:r w:rsidR="00543C9F" w:rsidRPr="005633D9">
        <w:t xml:space="preserve"> and data sources </w:t>
      </w:r>
      <w:r w:rsidR="00D4160A" w:rsidRPr="005633D9">
        <w:t xml:space="preserve">for the quantitative analysis (Section </w:t>
      </w:r>
      <w:r w:rsidR="00F110B1">
        <w:fldChar w:fldCharType="begin"/>
      </w:r>
      <w:r w:rsidR="00F110B1">
        <w:instrText xml:space="preserve"> REF _Ref406731674 \r \h </w:instrText>
      </w:r>
      <w:r w:rsidR="00F110B1">
        <w:fldChar w:fldCharType="separate"/>
      </w:r>
      <w:r w:rsidR="00F110B1">
        <w:t>3.2.1</w:t>
      </w:r>
      <w:r w:rsidR="00F110B1">
        <w:fldChar w:fldCharType="end"/>
      </w:r>
      <w:r w:rsidR="00D4160A" w:rsidRPr="005633D9">
        <w:t xml:space="preserve">) and qualitative analysis (Section </w:t>
      </w:r>
      <w:r w:rsidR="00D4160A" w:rsidRPr="005633D9">
        <w:fldChar w:fldCharType="begin"/>
      </w:r>
      <w:r w:rsidR="00D4160A" w:rsidRPr="005633D9">
        <w:instrText xml:space="preserve"> REF _Ref381359183 \r \h </w:instrText>
      </w:r>
      <w:r w:rsidR="00D4160A" w:rsidRPr="005633D9">
        <w:fldChar w:fldCharType="separate"/>
      </w:r>
      <w:r w:rsidR="00F33102">
        <w:t>3.2.2</w:t>
      </w:r>
      <w:r w:rsidR="00D4160A" w:rsidRPr="005633D9">
        <w:fldChar w:fldCharType="end"/>
      </w:r>
      <w:r w:rsidR="00D4160A" w:rsidRPr="005633D9">
        <w:t>).</w:t>
      </w:r>
    </w:p>
    <w:p w:rsidR="00A2401E" w:rsidRPr="005633D9" w:rsidRDefault="00A2401E" w:rsidP="006736D0">
      <w:pPr>
        <w:pStyle w:val="Caption"/>
        <w:rPr>
          <w:lang w:val="en-GB"/>
        </w:rPr>
      </w:pPr>
      <w:bookmarkStart w:id="32" w:name="_Ref403423492"/>
      <w:bookmarkStart w:id="33" w:name="_Toc407700434"/>
      <w:r w:rsidRPr="005633D9">
        <w:rPr>
          <w:lang w:val="en-GB"/>
        </w:rPr>
        <w:t xml:space="preserve">Table </w:t>
      </w:r>
      <w:r w:rsidR="002222A4" w:rsidRPr="005633D9">
        <w:rPr>
          <w:lang w:val="en-GB"/>
        </w:rPr>
        <w:fldChar w:fldCharType="begin"/>
      </w:r>
      <w:r w:rsidR="002222A4" w:rsidRPr="005633D9">
        <w:rPr>
          <w:lang w:val="en-GB"/>
        </w:rPr>
        <w:instrText xml:space="preserve"> STYLEREF 1 \s </w:instrText>
      </w:r>
      <w:r w:rsidR="002222A4" w:rsidRPr="005633D9">
        <w:rPr>
          <w:lang w:val="en-GB"/>
        </w:rPr>
        <w:fldChar w:fldCharType="separate"/>
      </w:r>
      <w:r w:rsidR="00F33102">
        <w:rPr>
          <w:noProof/>
          <w:lang w:val="en-GB"/>
        </w:rPr>
        <w:t>3</w:t>
      </w:r>
      <w:r w:rsidR="002222A4" w:rsidRPr="005633D9">
        <w:rPr>
          <w:lang w:val="en-GB"/>
        </w:rPr>
        <w:fldChar w:fldCharType="end"/>
      </w:r>
      <w:r w:rsidR="00E42393" w:rsidRPr="005633D9">
        <w:rPr>
          <w:lang w:val="en-GB"/>
        </w:rPr>
        <w:noBreakHyphen/>
      </w:r>
      <w:r w:rsidR="002222A4" w:rsidRPr="005633D9">
        <w:rPr>
          <w:lang w:val="en-GB"/>
        </w:rPr>
        <w:fldChar w:fldCharType="begin"/>
      </w:r>
      <w:r w:rsidR="002222A4" w:rsidRPr="005633D9">
        <w:rPr>
          <w:lang w:val="en-GB"/>
        </w:rPr>
        <w:instrText xml:space="preserve"> SEQ Table \* ARABIC \s 1 </w:instrText>
      </w:r>
      <w:r w:rsidR="002222A4" w:rsidRPr="005633D9">
        <w:rPr>
          <w:lang w:val="en-GB"/>
        </w:rPr>
        <w:fldChar w:fldCharType="separate"/>
      </w:r>
      <w:r w:rsidR="00F33102">
        <w:rPr>
          <w:noProof/>
          <w:lang w:val="en-GB"/>
        </w:rPr>
        <w:t>2</w:t>
      </w:r>
      <w:r w:rsidR="002222A4" w:rsidRPr="005633D9">
        <w:rPr>
          <w:lang w:val="en-GB"/>
        </w:rPr>
        <w:fldChar w:fldCharType="end"/>
      </w:r>
      <w:bookmarkEnd w:id="32"/>
      <w:r w:rsidR="00A43987" w:rsidRPr="005633D9">
        <w:rPr>
          <w:lang w:val="en-GB"/>
        </w:rPr>
        <w:t>.</w:t>
      </w:r>
      <w:r w:rsidR="00A43987" w:rsidRPr="005633D9">
        <w:rPr>
          <w:lang w:val="en-GB"/>
        </w:rPr>
        <w:tab/>
      </w:r>
      <w:r w:rsidRPr="005633D9">
        <w:rPr>
          <w:lang w:val="en-GB"/>
        </w:rPr>
        <w:t xml:space="preserve">Evaluation </w:t>
      </w:r>
      <w:r w:rsidR="000A26AA" w:rsidRPr="005633D9">
        <w:rPr>
          <w:lang w:val="en-GB"/>
        </w:rPr>
        <w:t xml:space="preserve">method and outcome measures for evaluation question </w:t>
      </w:r>
      <w:r w:rsidR="006736D0" w:rsidRPr="005633D9">
        <w:rPr>
          <w:lang w:val="en-GB"/>
        </w:rPr>
        <w:t>2</w:t>
      </w:r>
      <w:bookmarkEnd w:id="33"/>
    </w:p>
    <w:tbl>
      <w:tblPr>
        <w:tblStyle w:val="Abt"/>
        <w:tblW w:w="5000" w:type="pct"/>
        <w:tblLook w:val="04A0" w:firstRow="1" w:lastRow="0" w:firstColumn="1" w:lastColumn="0" w:noHBand="0" w:noVBand="1"/>
      </w:tblPr>
      <w:tblGrid>
        <w:gridCol w:w="4437"/>
        <w:gridCol w:w="5139"/>
      </w:tblGrid>
      <w:tr w:rsidR="00F81E8B" w:rsidRPr="005633D9" w:rsidTr="00F81E8B">
        <w:trPr>
          <w:cnfStyle w:val="100000000000" w:firstRow="1" w:lastRow="0" w:firstColumn="0" w:lastColumn="0" w:oddVBand="0" w:evenVBand="0" w:oddHBand="0" w:evenHBand="0" w:firstRowFirstColumn="0" w:firstRowLastColumn="0" w:lastRowFirstColumn="0" w:lastRowLastColumn="0"/>
        </w:trPr>
        <w:tc>
          <w:tcPr>
            <w:tcW w:w="7277" w:type="dxa"/>
            <w:gridSpan w:val="2"/>
          </w:tcPr>
          <w:p w:rsidR="00F81E8B" w:rsidRPr="005633D9" w:rsidRDefault="00F81E8B" w:rsidP="00B22D64">
            <w:pPr>
              <w:pStyle w:val="ExhibitColumnHead"/>
              <w:rPr>
                <w:b/>
                <w:lang w:val="en-GB"/>
              </w:rPr>
            </w:pPr>
            <w:r w:rsidRPr="005633D9">
              <w:rPr>
                <w:b/>
                <w:lang w:val="en-GB"/>
              </w:rPr>
              <w:t>Evaluation Question 2: What has been AgResults’ impact on smallholders’ uptake of Aflasafe?</w:t>
            </w:r>
          </w:p>
        </w:tc>
      </w:tr>
      <w:tr w:rsidR="00F81E8B" w:rsidRPr="005633D9" w:rsidTr="00F81E8B">
        <w:trPr>
          <w:cnfStyle w:val="000000100000" w:firstRow="0" w:lastRow="0" w:firstColumn="0" w:lastColumn="0" w:oddVBand="0" w:evenVBand="0" w:oddHBand="1" w:evenHBand="0" w:firstRowFirstColumn="0" w:firstRowLastColumn="0" w:lastRowFirstColumn="0" w:lastRowLastColumn="0"/>
        </w:trPr>
        <w:tc>
          <w:tcPr>
            <w:tcW w:w="3372" w:type="dxa"/>
          </w:tcPr>
          <w:p w:rsidR="00F81E8B" w:rsidRPr="005633D9" w:rsidRDefault="00F81E8B" w:rsidP="00F81E8B">
            <w:pPr>
              <w:pStyle w:val="ExhibitColumnHead"/>
              <w:rPr>
                <w:lang w:val="en-GB"/>
              </w:rPr>
            </w:pPr>
            <w:r w:rsidRPr="005633D9">
              <w:rPr>
                <w:lang w:val="en-GB"/>
              </w:rPr>
              <w:t>Evaluation Method</w:t>
            </w:r>
          </w:p>
        </w:tc>
        <w:tc>
          <w:tcPr>
            <w:tcW w:w="3905" w:type="dxa"/>
          </w:tcPr>
          <w:p w:rsidR="00F81E8B" w:rsidRPr="005633D9" w:rsidRDefault="00F81E8B" w:rsidP="00F81E8B">
            <w:pPr>
              <w:pStyle w:val="ExhibitColumnHead"/>
              <w:rPr>
                <w:lang w:val="en-GB"/>
              </w:rPr>
            </w:pPr>
            <w:r w:rsidRPr="005633D9">
              <w:rPr>
                <w:lang w:val="en-GB"/>
              </w:rPr>
              <w:t>Outcome Measures</w:t>
            </w:r>
          </w:p>
        </w:tc>
      </w:tr>
      <w:tr w:rsidR="00F81E8B" w:rsidRPr="005633D9" w:rsidTr="00F81E8B">
        <w:trPr>
          <w:cnfStyle w:val="000000010000" w:firstRow="0" w:lastRow="0" w:firstColumn="0" w:lastColumn="0" w:oddVBand="0" w:evenVBand="0" w:oddHBand="0" w:evenHBand="1" w:firstRowFirstColumn="0" w:firstRowLastColumn="0" w:lastRowFirstColumn="0" w:lastRowLastColumn="0"/>
        </w:trPr>
        <w:tc>
          <w:tcPr>
            <w:tcW w:w="3372" w:type="dxa"/>
          </w:tcPr>
          <w:p w:rsidR="00F81E8B" w:rsidRPr="005633D9" w:rsidRDefault="00F81E8B" w:rsidP="00B626D2">
            <w:pPr>
              <w:pStyle w:val="ExhibitTextBullets"/>
              <w:rPr>
                <w:lang w:val="en-GB"/>
              </w:rPr>
            </w:pPr>
            <w:r w:rsidRPr="005633D9">
              <w:rPr>
                <w:lang w:val="en-GB"/>
              </w:rPr>
              <w:t xml:space="preserve">RCT: Villages listed by participating aggregators randomly assigned to receive the intervention or not. </w:t>
            </w:r>
          </w:p>
          <w:p w:rsidR="00F81E8B" w:rsidRPr="005633D9" w:rsidRDefault="00F81E8B" w:rsidP="00F110B1">
            <w:pPr>
              <w:pStyle w:val="ExhibitTextBullets"/>
              <w:rPr>
                <w:lang w:val="en-GB"/>
              </w:rPr>
            </w:pPr>
            <w:r w:rsidRPr="005633D9">
              <w:rPr>
                <w:lang w:val="en-GB"/>
              </w:rPr>
              <w:t xml:space="preserve">Quasi Experimental Design (QED): For aggregators </w:t>
            </w:r>
            <w:r w:rsidR="00F110B1">
              <w:rPr>
                <w:lang w:val="en-GB"/>
              </w:rPr>
              <w:t>that</w:t>
            </w:r>
            <w:r w:rsidR="00F110B1" w:rsidRPr="005633D9">
              <w:rPr>
                <w:lang w:val="en-GB"/>
              </w:rPr>
              <w:t xml:space="preserve"> </w:t>
            </w:r>
            <w:r w:rsidRPr="005633D9">
              <w:rPr>
                <w:lang w:val="en-GB"/>
              </w:rPr>
              <w:t>do not agree to participate in the RCT, villages similar to those chosen by the aggregator will serve as comparison group.</w:t>
            </w:r>
          </w:p>
        </w:tc>
        <w:tc>
          <w:tcPr>
            <w:tcW w:w="3905" w:type="dxa"/>
          </w:tcPr>
          <w:p w:rsidR="00F81E8B" w:rsidRPr="005633D9" w:rsidRDefault="00F81E8B" w:rsidP="00645FC6">
            <w:pPr>
              <w:pStyle w:val="ExhibitTextBullets"/>
              <w:rPr>
                <w:lang w:val="en-GB"/>
              </w:rPr>
            </w:pPr>
            <w:r w:rsidRPr="005633D9">
              <w:rPr>
                <w:lang w:val="en-GB"/>
              </w:rPr>
              <w:t>Smallholders’ correct use of Aflasafe: dummy variable equal to 1 if smallholder applied Aflasafe at the right time and the right application rate with an acceptable range –measured at baseline and endline.</w:t>
            </w:r>
          </w:p>
          <w:p w:rsidR="00F81E8B" w:rsidRPr="005633D9" w:rsidRDefault="00F81E8B" w:rsidP="00645FC6">
            <w:pPr>
              <w:pStyle w:val="ExhibitTextBullets"/>
              <w:rPr>
                <w:lang w:val="en-GB"/>
              </w:rPr>
            </w:pPr>
            <w:r w:rsidRPr="005633D9">
              <w:rPr>
                <w:lang w:val="en-GB"/>
              </w:rPr>
              <w:t>Presence of Aflasafe in smallholders’ maize samples bound for sale: dummy variable equal to 1 if presence above 70% detected – measured at endline.</w:t>
            </w:r>
          </w:p>
          <w:p w:rsidR="00F81E8B" w:rsidRPr="005633D9" w:rsidRDefault="00F81E8B" w:rsidP="00645FC6">
            <w:pPr>
              <w:pStyle w:val="ExhibitTextBullets"/>
              <w:rPr>
                <w:lang w:val="en-GB"/>
              </w:rPr>
            </w:pPr>
            <w:r w:rsidRPr="005633D9">
              <w:rPr>
                <w:lang w:val="en-GB"/>
              </w:rPr>
              <w:t>Presence of Aflasafe in smallholders’ maize samples for own consumption: dummy variable equal to 1 if presence above 70% detected – measured at endline.</w:t>
            </w:r>
          </w:p>
        </w:tc>
      </w:tr>
    </w:tbl>
    <w:p w:rsidR="002222A4" w:rsidRPr="005633D9" w:rsidRDefault="002222A4" w:rsidP="002222A4">
      <w:pPr>
        <w:rPr>
          <w:lang w:val="en-GB"/>
        </w:rPr>
      </w:pPr>
      <w:bookmarkStart w:id="34" w:name="_Ref403660647"/>
    </w:p>
    <w:p w:rsidR="00056778" w:rsidRPr="005633D9" w:rsidRDefault="00D4160A" w:rsidP="00CC5F98">
      <w:pPr>
        <w:pStyle w:val="Heading3"/>
      </w:pPr>
      <w:bookmarkStart w:id="35" w:name="_Ref406731674"/>
      <w:r w:rsidRPr="005633D9">
        <w:rPr>
          <w:lang w:val="en-GB"/>
        </w:rPr>
        <w:lastRenderedPageBreak/>
        <w:t xml:space="preserve">Quantitative </w:t>
      </w:r>
      <w:r w:rsidR="002222A4" w:rsidRPr="005633D9">
        <w:rPr>
          <w:lang w:val="en-GB"/>
        </w:rPr>
        <w:t>analysis</w:t>
      </w:r>
      <w:bookmarkEnd w:id="34"/>
      <w:bookmarkEnd w:id="35"/>
    </w:p>
    <w:p w:rsidR="00BF56E1" w:rsidRPr="005633D9" w:rsidRDefault="00A74F29" w:rsidP="00CC5F98">
      <w:pPr>
        <w:pStyle w:val="Heading4"/>
        <w:rPr>
          <w:lang w:val="en-GB"/>
        </w:rPr>
      </w:pPr>
      <w:r w:rsidRPr="005633D9">
        <w:rPr>
          <w:lang w:val="en-GB"/>
        </w:rPr>
        <w:t>Method</w:t>
      </w:r>
    </w:p>
    <w:p w:rsidR="00B05387" w:rsidRPr="005633D9" w:rsidRDefault="00B05387" w:rsidP="00F93043">
      <w:pPr>
        <w:pStyle w:val="BodyText"/>
      </w:pPr>
      <w:r w:rsidRPr="005633D9">
        <w:t>The impact of the intervention is expected to vary by aggregator because the aggregators differ in the contractual arrangements with the smallholders, particularly in how much training they provide to the smallholder</w:t>
      </w:r>
      <w:r w:rsidR="00747DFB" w:rsidRPr="005633D9">
        <w:t>s</w:t>
      </w:r>
      <w:r w:rsidRPr="005633D9">
        <w:t xml:space="preserve"> and how much of the incentives they share</w:t>
      </w:r>
      <w:r w:rsidR="00747DFB" w:rsidRPr="005633D9">
        <w:t xml:space="preserve"> with the smallholders</w:t>
      </w:r>
      <w:r w:rsidRPr="005633D9">
        <w:t xml:space="preserve">—both of which can lead to potentially very different impacts. The overall focus of the evaluation is on the impact of the “average” aggregator; thus, the primary estimate of interest will be the average impact of the AgResults </w:t>
      </w:r>
      <w:r w:rsidR="005B30C8">
        <w:t xml:space="preserve">intervention </w:t>
      </w:r>
      <w:r w:rsidRPr="005633D9">
        <w:t>across all sampled aggregators.</w:t>
      </w:r>
      <w:r w:rsidR="00243735" w:rsidRPr="005633D9">
        <w:t xml:space="preserve"> </w:t>
      </w:r>
    </w:p>
    <w:p w:rsidR="00B05387" w:rsidRPr="005633D9" w:rsidRDefault="00B05387" w:rsidP="005E0DF8">
      <w:pPr>
        <w:pStyle w:val="BodyText"/>
      </w:pPr>
      <w:r w:rsidRPr="005633D9">
        <w:t xml:space="preserve">Although the pilot offers incentives to aggregators for the promotion and use of Aflasafe, aggregators </w:t>
      </w:r>
      <w:r w:rsidR="0092147A" w:rsidRPr="005633D9">
        <w:t xml:space="preserve">did not plan to begin encouraging the use of Aflasafe with all </w:t>
      </w:r>
      <w:r w:rsidR="007A2E54" w:rsidRPr="005633D9">
        <w:t>smallholder</w:t>
      </w:r>
      <w:r w:rsidR="0092147A" w:rsidRPr="005633D9">
        <w:t>s in the first few years of the pilot</w:t>
      </w:r>
      <w:r w:rsidRPr="005633D9">
        <w:t>.</w:t>
      </w:r>
      <w:r w:rsidR="00243735" w:rsidRPr="005633D9">
        <w:t xml:space="preserve"> </w:t>
      </w:r>
      <w:r w:rsidRPr="005633D9">
        <w:t>Instead, all aggregators planned a “phased”</w:t>
      </w:r>
      <w:r w:rsidR="0092147A" w:rsidRPr="005633D9">
        <w:t xml:space="preserve"> engagement with villages: they planned to work with smallholders in some villages in 2014, additional villages in 2015, and still more villages in 2016.</w:t>
      </w:r>
      <w:r w:rsidR="00243735" w:rsidRPr="005633D9">
        <w:t xml:space="preserve"> </w:t>
      </w:r>
      <w:r w:rsidR="0092147A" w:rsidRPr="005633D9">
        <w:t>Within the selected villages, aggregators had also identified smallholders whom they expected to engage in the pilot.</w:t>
      </w:r>
      <w:r w:rsidR="00243735" w:rsidRPr="005633D9">
        <w:t xml:space="preserve"> </w:t>
      </w:r>
    </w:p>
    <w:p w:rsidR="007E4D76" w:rsidRPr="005633D9" w:rsidRDefault="007E4D76" w:rsidP="0092147A">
      <w:pPr>
        <w:pStyle w:val="BodyText"/>
      </w:pPr>
      <w:r w:rsidRPr="005633D9">
        <w:t>To estimate the aggregators’ impact on smallholder outcomes, we must compare the participating smallholders’ outcomes to the outcomes they would have obtained in the absence of the Afl</w:t>
      </w:r>
      <w:r w:rsidR="00747DFB" w:rsidRPr="005633D9">
        <w:t>a</w:t>
      </w:r>
      <w:r w:rsidRPr="005633D9">
        <w:t>safe pilot.</w:t>
      </w:r>
      <w:r w:rsidR="00243735" w:rsidRPr="005633D9">
        <w:t xml:space="preserve"> </w:t>
      </w:r>
      <w:r w:rsidRPr="005633D9">
        <w:t>To make this comparison, we must identify appropriate sets of comparison villages and smallholders.</w:t>
      </w:r>
      <w:r w:rsidR="00243735" w:rsidRPr="005633D9">
        <w:t xml:space="preserve"> </w:t>
      </w:r>
      <w:r w:rsidRPr="005633D9">
        <w:t>V</w:t>
      </w:r>
      <w:r w:rsidR="0092147A" w:rsidRPr="005633D9">
        <w:t>illage</w:t>
      </w:r>
      <w:r w:rsidRPr="005633D9">
        <w:t xml:space="preserve">s and smallholders selected </w:t>
      </w:r>
      <w:r w:rsidR="0092147A" w:rsidRPr="005633D9">
        <w:t xml:space="preserve">by aggregators </w:t>
      </w:r>
      <w:r w:rsidR="005E0DF8" w:rsidRPr="005633D9">
        <w:t xml:space="preserve">will naturally differ from non-selected </w:t>
      </w:r>
      <w:r w:rsidRPr="005633D9">
        <w:t xml:space="preserve">village and </w:t>
      </w:r>
      <w:r w:rsidR="005E0DF8" w:rsidRPr="005633D9">
        <w:t>smallholders on a range of</w:t>
      </w:r>
      <w:r w:rsidRPr="005633D9">
        <w:t xml:space="preserve"> </w:t>
      </w:r>
      <w:r w:rsidR="005E0DF8" w:rsidRPr="005633D9">
        <w:t xml:space="preserve">factors that </w:t>
      </w:r>
      <w:r w:rsidRPr="005633D9">
        <w:t>we, the evaluators, cannot observe.</w:t>
      </w:r>
      <w:r w:rsidR="00243735" w:rsidRPr="005633D9">
        <w:t xml:space="preserve"> </w:t>
      </w:r>
      <w:r w:rsidRPr="005633D9">
        <w:t>The impact evaluation must account for these unobservable factors, so that these unobservable differences are not mistakenly attributed to the impact of the pilot</w:t>
      </w:r>
      <w:r w:rsidR="00054C0D" w:rsidRPr="005633D9">
        <w:t>—</w:t>
      </w:r>
      <w:r w:rsidRPr="005633D9">
        <w:t>a phenomenon called “selection bias”.</w:t>
      </w:r>
      <w:r w:rsidR="00243735" w:rsidRPr="005633D9">
        <w:t xml:space="preserve"> </w:t>
      </w:r>
    </w:p>
    <w:p w:rsidR="0055767D" w:rsidRPr="005633D9" w:rsidRDefault="0055767D" w:rsidP="0055767D">
      <w:pPr>
        <w:pStyle w:val="BodyText"/>
      </w:pPr>
      <w:r w:rsidRPr="005633D9">
        <w:t xml:space="preserve">Recognizing our interest in eliminating selection bias and the aggregators’ dilemma of fairness in selecting which villages to engage in which year, we worked with </w:t>
      </w:r>
      <w:r w:rsidR="00747DFB" w:rsidRPr="005633D9">
        <w:t>six of the seven</w:t>
      </w:r>
      <w:r w:rsidRPr="005633D9">
        <w:t xml:space="preserve"> aggregators to</w:t>
      </w:r>
      <w:r w:rsidR="000A272E" w:rsidRPr="005633D9">
        <w:t xml:space="preserve"> </w:t>
      </w:r>
      <w:r w:rsidRPr="005633D9">
        <w:t>randomize villages that they would begin to work with in 2014 (Cohort A), 2015 (Cohort B), and 2016 (Cohort C).</w:t>
      </w:r>
      <w:r w:rsidR="00243735" w:rsidRPr="005633D9">
        <w:t xml:space="preserve"> </w:t>
      </w:r>
      <w:r w:rsidRPr="005633D9">
        <w:t>Just prior to</w:t>
      </w:r>
      <w:r w:rsidR="00327EE7" w:rsidRPr="005633D9">
        <w:t xml:space="preserve"> the third year of</w:t>
      </w:r>
      <w:r w:rsidRPr="005633D9">
        <w:t xml:space="preserve"> pilot implementation in 2016, </w:t>
      </w:r>
      <w:r w:rsidR="00450CF1" w:rsidRPr="005633D9">
        <w:t xml:space="preserve">we can compare </w:t>
      </w:r>
      <w:r w:rsidRPr="005633D9">
        <w:t xml:space="preserve">the villages in Cohort A and Cohort B (“treatment villages”) to villages in Cohort C (“control villages”) in order to estimate the impact of aggregators’ </w:t>
      </w:r>
      <w:r w:rsidR="00327EE7" w:rsidRPr="005633D9">
        <w:t xml:space="preserve">first and second year </w:t>
      </w:r>
      <w:r w:rsidRPr="005633D9">
        <w:t>implementations.</w:t>
      </w:r>
      <w:r w:rsidR="00327EE7" w:rsidRPr="005633D9">
        <w:rPr>
          <w:rStyle w:val="FootnoteReference"/>
        </w:rPr>
        <w:footnoteReference w:id="7"/>
      </w:r>
      <w:r w:rsidR="00243735" w:rsidRPr="005633D9">
        <w:t xml:space="preserve"> </w:t>
      </w:r>
      <w:r w:rsidRPr="005633D9">
        <w:t xml:space="preserve">The potential for selection bias arising from the aggregators’ selection of villages is addressed, because the comparison group consists of villages </w:t>
      </w:r>
      <w:r w:rsidR="009C4F0F" w:rsidRPr="005633D9">
        <w:t xml:space="preserve">that </w:t>
      </w:r>
      <w:r w:rsidRPr="005633D9">
        <w:t xml:space="preserve">were selected in the same manner </w:t>
      </w:r>
      <w:r w:rsidR="009C4F0F" w:rsidRPr="005633D9">
        <w:t xml:space="preserve">in which </w:t>
      </w:r>
      <w:r w:rsidRPr="005633D9">
        <w:t>the treatment group villages were selected.</w:t>
      </w:r>
      <w:r w:rsidR="00243735" w:rsidRPr="005633D9">
        <w:t xml:space="preserve"> </w:t>
      </w:r>
      <w:r w:rsidRPr="005633D9">
        <w:t>Except by chance, the treatment and control groups will not differ on any factors affecting subsequent smallholder outcomes besides their exposure to the AgResults intervention.</w:t>
      </w:r>
      <w:r w:rsidR="00243735" w:rsidRPr="005633D9">
        <w:t xml:space="preserve"> </w:t>
      </w:r>
      <w:r w:rsidRPr="005633D9">
        <w:t xml:space="preserve">Once chance is ruled out as an explanation for </w:t>
      </w:r>
      <w:r w:rsidR="009C4F0F" w:rsidRPr="005633D9">
        <w:t xml:space="preserve">the reason that </w:t>
      </w:r>
      <w:r w:rsidRPr="005633D9">
        <w:t>measured outcomes differ on average between the treatment and control groups (through tests of statistical significance), any remaining difference has to be a consequence of the pilot’s influence on the treatment group—an influence missing in the control group.</w:t>
      </w:r>
    </w:p>
    <w:p w:rsidR="0055767D" w:rsidRPr="005633D9" w:rsidRDefault="00327EE7" w:rsidP="0055767D">
      <w:pPr>
        <w:pStyle w:val="BodyText"/>
      </w:pPr>
      <w:r w:rsidRPr="005633D9">
        <w:lastRenderedPageBreak/>
        <w:t xml:space="preserve">The second type of selection bias, the aggregators’ selection of smallholders with whom to work, is addressed by our selection of the sample frame of </w:t>
      </w:r>
      <w:r w:rsidR="007A2E54" w:rsidRPr="005633D9">
        <w:t>smallholder</w:t>
      </w:r>
      <w:r w:rsidRPr="005633D9">
        <w:t>s.</w:t>
      </w:r>
      <w:r w:rsidR="002B2B01" w:rsidRPr="005633D9">
        <w:t xml:space="preserve"> </w:t>
      </w:r>
      <w:r w:rsidRPr="005633D9">
        <w:t>Within villages in each cohort, aggregators identified smallholders whom they expected to engage in the pilot.</w:t>
      </w:r>
      <w:r w:rsidR="00243735" w:rsidRPr="005633D9">
        <w:t xml:space="preserve"> </w:t>
      </w:r>
      <w:r w:rsidRPr="005633D9">
        <w:t xml:space="preserve">Because </w:t>
      </w:r>
      <w:r w:rsidR="009C4F0F" w:rsidRPr="005633D9">
        <w:t xml:space="preserve">the aggregators identified </w:t>
      </w:r>
      <w:r w:rsidRPr="005633D9">
        <w:t xml:space="preserve">targeted smallholders </w:t>
      </w:r>
      <w:r w:rsidRPr="005633D9">
        <w:rPr>
          <w:i/>
        </w:rPr>
        <w:t>prior to the randomization of villages</w:t>
      </w:r>
      <w:r w:rsidRPr="005633D9">
        <w:t xml:space="preserve">, </w:t>
      </w:r>
      <w:r w:rsidR="009C4F0F" w:rsidRPr="005633D9">
        <w:t xml:space="preserve">we can carry out </w:t>
      </w:r>
      <w:r w:rsidRPr="005633D9">
        <w:t xml:space="preserve">the division of the population into targeted smallholders and other </w:t>
      </w:r>
      <w:r w:rsidR="007A2E54" w:rsidRPr="005633D9">
        <w:t>smallholder</w:t>
      </w:r>
      <w:r w:rsidRPr="005633D9">
        <w:t>s for sampling purposes symmetrically in the treatment group villages and the control group villages.</w:t>
      </w:r>
      <w:r w:rsidR="00243735" w:rsidRPr="005633D9">
        <w:t xml:space="preserve"> </w:t>
      </w:r>
      <w:r w:rsidRPr="005633D9">
        <w:t>This feature preserves the comparability of the treatment and control components of the impact analysis sample, even in the presence of uneven sampling of subpopulations within the treatment group and within the control group.</w:t>
      </w:r>
      <w:r w:rsidR="00243735" w:rsidRPr="005633D9">
        <w:t xml:space="preserve"> </w:t>
      </w:r>
      <w:r w:rsidRPr="005633D9">
        <w:t>At this time we do not have precise estimates of the percent</w:t>
      </w:r>
      <w:r w:rsidR="007C2141" w:rsidRPr="005633D9">
        <w:t>age</w:t>
      </w:r>
      <w:r w:rsidRPr="005633D9">
        <w:t xml:space="preserve"> of smallholders in the treatment and control villages that the aggregators </w:t>
      </w:r>
      <w:r w:rsidR="009C4F0F" w:rsidRPr="005633D9">
        <w:t xml:space="preserve">are targeting </w:t>
      </w:r>
      <w:r w:rsidRPr="005633D9">
        <w:t>for participation in the pilot, but we estimate this percentage to be roughly 5</w:t>
      </w:r>
      <w:r w:rsidR="007C2141" w:rsidRPr="005633D9">
        <w:t>–</w:t>
      </w:r>
      <w:r w:rsidRPr="005633D9">
        <w:t>15</w:t>
      </w:r>
      <w:r w:rsidR="007C2141" w:rsidRPr="005633D9">
        <w:t xml:space="preserve"> percent</w:t>
      </w:r>
      <w:r w:rsidRPr="005633D9">
        <w:t>.</w:t>
      </w:r>
      <w:r w:rsidR="00243735" w:rsidRPr="005633D9">
        <w:t xml:space="preserve"> </w:t>
      </w:r>
      <w:r w:rsidRPr="005633D9">
        <w:t>Of the targeted smallholders, we anticipate that 50</w:t>
      </w:r>
      <w:r w:rsidR="007C2141" w:rsidRPr="005633D9">
        <w:t>–</w:t>
      </w:r>
      <w:r w:rsidRPr="005633D9">
        <w:t>80</w:t>
      </w:r>
      <w:r w:rsidR="007C2141" w:rsidRPr="005633D9">
        <w:t xml:space="preserve"> percent</w:t>
      </w:r>
      <w:r w:rsidRPr="005633D9">
        <w:t xml:space="preserve"> of the </w:t>
      </w:r>
      <w:r w:rsidR="007A2E54" w:rsidRPr="005633D9">
        <w:t>smallholder</w:t>
      </w:r>
      <w:r w:rsidRPr="005633D9">
        <w:t xml:space="preserve">s identified by the </w:t>
      </w:r>
      <w:r w:rsidR="007A2E54" w:rsidRPr="005633D9">
        <w:t>aggregator</w:t>
      </w:r>
      <w:r w:rsidRPr="005633D9">
        <w:t>s will participate in the pilot activities.</w:t>
      </w:r>
    </w:p>
    <w:p w:rsidR="00246AED" w:rsidRPr="005633D9" w:rsidRDefault="009C4F0F" w:rsidP="00246AED">
      <w:pPr>
        <w:pStyle w:val="BodyText"/>
      </w:pPr>
      <w:r w:rsidRPr="005633D9">
        <w:t>We will conduct t</w:t>
      </w:r>
      <w:r w:rsidR="0055767D" w:rsidRPr="005633D9">
        <w:t>he baseline survey for the evaluation in 2015 before Cohort B implementation begins. Abt had initiated a baseline survey in 2014 before Cohort A implementation began, but had to terminate that effort because of data quality concerns.</w:t>
      </w:r>
      <w:r w:rsidR="00243735" w:rsidRPr="005633D9">
        <w:t xml:space="preserve"> </w:t>
      </w:r>
      <w:r w:rsidR="0055767D" w:rsidRPr="005633D9">
        <w:t xml:space="preserve">We are using the lessons learnt from this effort to strengthen our data quality assurance </w:t>
      </w:r>
      <w:r w:rsidR="00600FB4" w:rsidRPr="005633D9">
        <w:t xml:space="preserve">in the 2015 round, </w:t>
      </w:r>
      <w:r w:rsidR="0055767D" w:rsidRPr="005633D9">
        <w:t xml:space="preserve">given the security concerns in Nigeria. </w:t>
      </w:r>
      <w:r w:rsidR="00246AED" w:rsidRPr="005633D9">
        <w:t xml:space="preserve">Of the six aggregators who agreed to the randomization design in 2014, only four aggregators </w:t>
      </w:r>
      <w:r w:rsidR="00600FB4" w:rsidRPr="005633D9">
        <w:t xml:space="preserve">reported </w:t>
      </w:r>
      <w:r w:rsidR="00246AED" w:rsidRPr="005633D9">
        <w:t>success</w:t>
      </w:r>
      <w:r w:rsidR="00600FB4" w:rsidRPr="005633D9">
        <w:t xml:space="preserve"> in</w:t>
      </w:r>
      <w:r w:rsidR="00246AED" w:rsidRPr="005633D9">
        <w:t xml:space="preserve"> adhering to the randomized design when we </w:t>
      </w:r>
      <w:r w:rsidR="00600FB4" w:rsidRPr="005633D9">
        <w:t xml:space="preserve">met with </w:t>
      </w:r>
      <w:r w:rsidR="00246AED" w:rsidRPr="005633D9">
        <w:t>them after the planting was completed for the first year of the pilot</w:t>
      </w:r>
      <w:r w:rsidR="00F93043">
        <w:t>; t</w:t>
      </w:r>
      <w:r w:rsidR="00E56A8B" w:rsidRPr="005633D9">
        <w:t xml:space="preserve">hey have agreed to work with us to </w:t>
      </w:r>
      <w:r w:rsidR="00246AED" w:rsidRPr="005633D9">
        <w:t>re-randomize the list of villages being engaged under Cohorts B and C</w:t>
      </w:r>
      <w:r w:rsidR="00B04CC2" w:rsidRPr="005633D9">
        <w:t>,</w:t>
      </w:r>
      <w:r w:rsidR="00246AED" w:rsidRPr="005633D9">
        <w:t xml:space="preserve"> and</w:t>
      </w:r>
      <w:r w:rsidR="00E56A8B" w:rsidRPr="005633D9">
        <w:t xml:space="preserve"> thus we will be able to</w:t>
      </w:r>
      <w:r w:rsidR="00246AED" w:rsidRPr="005633D9">
        <w:t xml:space="preserve"> use </w:t>
      </w:r>
      <w:r w:rsidR="00E56A8B" w:rsidRPr="005633D9">
        <w:t xml:space="preserve">our </w:t>
      </w:r>
      <w:r w:rsidR="00246AED" w:rsidRPr="005633D9">
        <w:t xml:space="preserve">experimental approach to measure impacts on Cohort B. However, the non-random selection of Cohort A villages by these </w:t>
      </w:r>
      <w:r w:rsidR="007A2E54" w:rsidRPr="005633D9">
        <w:t>aggregator</w:t>
      </w:r>
      <w:r w:rsidR="00246AED" w:rsidRPr="005633D9">
        <w:t>s requires us to pursue a quasi-experimental matching approach to measure impacts on Cohort A</w:t>
      </w:r>
      <w:r w:rsidR="00600FB4" w:rsidRPr="005633D9">
        <w:t xml:space="preserve"> for this minority portion of the sample</w:t>
      </w:r>
      <w:r w:rsidR="00246AED" w:rsidRPr="005633D9">
        <w:t xml:space="preserve">. </w:t>
      </w:r>
    </w:p>
    <w:p w:rsidR="00882782" w:rsidRPr="005633D9" w:rsidRDefault="00327EE7" w:rsidP="00246AED">
      <w:pPr>
        <w:pStyle w:val="BodyText"/>
      </w:pPr>
      <w:r w:rsidRPr="005633D9">
        <w:t>The seventh aggregator to be inc</w:t>
      </w:r>
      <w:r w:rsidR="00F93043">
        <w:t xml:space="preserve">luded in the impact evaluation </w:t>
      </w:r>
      <w:r w:rsidRPr="005633D9">
        <w:t xml:space="preserve">wished to use an existing, well-defined selection procedure to identify the communities and </w:t>
      </w:r>
      <w:r w:rsidR="007A2E54" w:rsidRPr="005633D9">
        <w:t>smallholder</w:t>
      </w:r>
      <w:r w:rsidRPr="005633D9">
        <w:t>s it enlists into the AgResults pilot.</w:t>
      </w:r>
      <w:r w:rsidR="00243735" w:rsidRPr="005633D9">
        <w:t xml:space="preserve"> </w:t>
      </w:r>
      <w:r w:rsidRPr="005633D9">
        <w:t>Historically, the organisation has expanded its scale geographically in approximately concentric, ever-widening circles</w:t>
      </w:r>
      <w:r w:rsidR="00B04CC2" w:rsidRPr="005633D9">
        <w:t>,</w:t>
      </w:r>
      <w:r w:rsidRPr="005633D9">
        <w:t xml:space="preserve"> and it is not open to a randomized process for selecting communities that would run counter to this approach.</w:t>
      </w:r>
      <w:r w:rsidR="00243735" w:rsidRPr="005633D9">
        <w:t xml:space="preserve"> </w:t>
      </w:r>
      <w:r w:rsidRPr="005633D9">
        <w:t xml:space="preserve">Moreover, because the village leader and smallholder screening and recruitment processes are time consuming and costly, the organisation is not willing to identify at the outset all of the communities and </w:t>
      </w:r>
      <w:r w:rsidR="007A2E54" w:rsidRPr="005633D9">
        <w:t>smallholder</w:t>
      </w:r>
      <w:r w:rsidRPr="005633D9">
        <w:t>s it will serve over the four years of the pilot.</w:t>
      </w:r>
      <w:r w:rsidR="00243735" w:rsidRPr="005633D9">
        <w:t xml:space="preserve"> </w:t>
      </w:r>
      <w:r w:rsidRPr="005633D9">
        <w:t>However, it can identify the overall geographic areas in which it expects to work by the end of the pilot.</w:t>
      </w:r>
      <w:r w:rsidR="00243735" w:rsidRPr="005633D9">
        <w:t xml:space="preserve"> </w:t>
      </w:r>
      <w:r w:rsidRPr="005633D9">
        <w:t xml:space="preserve">Hence, the study team can screen communities and smallholders in the treatment area to </w:t>
      </w:r>
      <w:r w:rsidR="00B04CC2" w:rsidRPr="005633D9">
        <w:t xml:space="preserve">select </w:t>
      </w:r>
      <w:r w:rsidRPr="005633D9">
        <w:t xml:space="preserve">a comparison group of “like” cases to those </w:t>
      </w:r>
      <w:r w:rsidR="00B04CC2" w:rsidRPr="005633D9">
        <w:t xml:space="preserve">that </w:t>
      </w:r>
      <w:r w:rsidR="00F93043">
        <w:t>the implementer</w:t>
      </w:r>
      <w:r w:rsidR="00B04CC2" w:rsidRPr="005633D9">
        <w:t xml:space="preserve"> selected </w:t>
      </w:r>
      <w:r w:rsidRPr="005633D9">
        <w:t>through the same process in the baseline year—the treatment group.</w:t>
      </w:r>
      <w:r w:rsidR="00243735" w:rsidRPr="005633D9">
        <w:t xml:space="preserve"> </w:t>
      </w:r>
      <w:r w:rsidR="00D4394F" w:rsidRPr="005633D9">
        <w:t>We examined villages in neighbo</w:t>
      </w:r>
      <w:r w:rsidR="007B4D4F" w:rsidRPr="005633D9">
        <w:t>u</w:t>
      </w:r>
      <w:r w:rsidR="00D4394F" w:rsidRPr="005633D9">
        <w:t xml:space="preserve">ring </w:t>
      </w:r>
      <w:r w:rsidR="00882782" w:rsidRPr="005633D9">
        <w:t>LGAs</w:t>
      </w:r>
      <w:r w:rsidR="00D4394F" w:rsidRPr="005633D9">
        <w:t>, as they will be similar in terms of weather, maize markets, and other farming determinants.</w:t>
      </w:r>
      <w:r w:rsidR="00243735" w:rsidRPr="005633D9">
        <w:t xml:space="preserve"> </w:t>
      </w:r>
      <w:r w:rsidR="00882782" w:rsidRPr="005633D9">
        <w:t xml:space="preserve">After consulting with </w:t>
      </w:r>
      <w:r w:rsidR="00F93043">
        <w:t>the implementer’s</w:t>
      </w:r>
      <w:r w:rsidR="00882782" w:rsidRPr="005633D9">
        <w:t xml:space="preserve"> representatives and analy</w:t>
      </w:r>
      <w:r w:rsidR="007B4D4F" w:rsidRPr="005633D9">
        <w:t>s</w:t>
      </w:r>
      <w:r w:rsidR="00882782" w:rsidRPr="005633D9">
        <w:t xml:space="preserve">ing secondary data from these </w:t>
      </w:r>
      <w:r w:rsidR="00AC3090" w:rsidRPr="005633D9">
        <w:t>LGAs</w:t>
      </w:r>
      <w:r w:rsidR="00882782" w:rsidRPr="005633D9">
        <w:t xml:space="preserve"> using the Living Standard Measurement Survey – Integrated Survey on Agriculture (LSMS-ISA) data, we have determined that villages in Bakori and Danja LGAs from Katsina state are the most suitable counterfactuals.</w:t>
      </w:r>
      <w:r w:rsidR="00243735" w:rsidRPr="005633D9">
        <w:t xml:space="preserve"> </w:t>
      </w:r>
      <w:r w:rsidR="00D4394F" w:rsidRPr="005633D9">
        <w:t xml:space="preserve">Computing a “distance” metric using these data is of limited use due to the paucity of samples in the region of interest; however, </w:t>
      </w:r>
      <w:r w:rsidR="00347BED" w:rsidRPr="005633D9">
        <w:t xml:space="preserve">using the 2010/11 LSMS data, </w:t>
      </w:r>
      <w:r w:rsidR="00D4394F" w:rsidRPr="005633D9">
        <w:t xml:space="preserve">we examined </w:t>
      </w:r>
      <w:r w:rsidR="00347BED" w:rsidRPr="005633D9">
        <w:t xml:space="preserve">data on total </w:t>
      </w:r>
      <w:r w:rsidR="00EE0BC4" w:rsidRPr="005633D9">
        <w:t xml:space="preserve">land </w:t>
      </w:r>
      <w:r w:rsidR="00347BED" w:rsidRPr="005633D9">
        <w:t>holdings, fertilizer usage, maize production, maize sales</w:t>
      </w:r>
      <w:r w:rsidR="008979A6" w:rsidRPr="005633D9">
        <w:t>,</w:t>
      </w:r>
      <w:r w:rsidR="00347BED" w:rsidRPr="005633D9">
        <w:t xml:space="preserve"> and household expenditures in order </w:t>
      </w:r>
      <w:r w:rsidR="007B4D4F" w:rsidRPr="005633D9">
        <w:t>to further refine the sample.</w:t>
      </w:r>
    </w:p>
    <w:p w:rsidR="00327EE7" w:rsidRPr="005633D9" w:rsidRDefault="00882782" w:rsidP="00AC1804">
      <w:pPr>
        <w:pStyle w:val="Bullets"/>
        <w:numPr>
          <w:ilvl w:val="0"/>
          <w:numId w:val="0"/>
        </w:numPr>
      </w:pPr>
      <w:r w:rsidRPr="005633D9">
        <w:lastRenderedPageBreak/>
        <w:t xml:space="preserve">The selection of villages </w:t>
      </w:r>
      <w:r w:rsidR="003A6DA9">
        <w:t>for</w:t>
      </w:r>
      <w:r w:rsidR="003A6DA9" w:rsidRPr="005633D9">
        <w:t xml:space="preserve"> </w:t>
      </w:r>
      <w:r w:rsidRPr="005633D9">
        <w:t xml:space="preserve">the </w:t>
      </w:r>
      <w:r w:rsidR="00F93043">
        <w:t>aggregator’s</w:t>
      </w:r>
      <w:r w:rsidRPr="005633D9">
        <w:t xml:space="preserve"> comparison group is not the only task.</w:t>
      </w:r>
      <w:r w:rsidR="00243735" w:rsidRPr="005633D9">
        <w:t xml:space="preserve"> </w:t>
      </w:r>
      <w:r w:rsidRPr="005633D9">
        <w:t xml:space="preserve">We have worked with </w:t>
      </w:r>
      <w:r w:rsidR="00F93043">
        <w:t>the aggregator</w:t>
      </w:r>
      <w:r w:rsidRPr="005633D9">
        <w:t xml:space="preserve"> to understand the criteria by which they select smallholders to participate in the Aflasafe pilot activities.</w:t>
      </w:r>
      <w:r w:rsidR="00243735" w:rsidRPr="005633D9">
        <w:t xml:space="preserve"> </w:t>
      </w:r>
      <w:r w:rsidR="00F93043">
        <w:t>The aggregator</w:t>
      </w:r>
      <w:r w:rsidRPr="005633D9">
        <w:t xml:space="preserve"> works with smallholders with less than 2</w:t>
      </w:r>
      <w:r w:rsidR="008979A6" w:rsidRPr="005633D9">
        <w:t> </w:t>
      </w:r>
      <w:r w:rsidRPr="005633D9">
        <w:t>hectares of land and those who have been growing maize for the last five years; thus, we will randomly sample smallholders meeting these criteria in the comparison villages.</w:t>
      </w:r>
      <w:r w:rsidR="00243735" w:rsidRPr="005633D9">
        <w:t xml:space="preserve"> </w:t>
      </w:r>
      <w:r w:rsidR="00327EE7" w:rsidRPr="005633D9">
        <w:t xml:space="preserve">Moreover, the study team will check how accurately it succeeded in applying the selection criteria once </w:t>
      </w:r>
      <w:r w:rsidR="00F93043">
        <w:t>the aggregator</w:t>
      </w:r>
      <w:r w:rsidR="00327EE7" w:rsidRPr="005633D9">
        <w:t xml:space="preserve"> begins </w:t>
      </w:r>
      <w:r w:rsidR="008979A6" w:rsidRPr="005633D9">
        <w:t xml:space="preserve">its own </w:t>
      </w:r>
      <w:r w:rsidR="00327EE7" w:rsidRPr="005633D9">
        <w:t>recruiting in the final year</w:t>
      </w:r>
      <w:r w:rsidR="008979A6" w:rsidRPr="005633D9">
        <w:t>’s</w:t>
      </w:r>
      <w:r w:rsidR="00327EE7" w:rsidRPr="005633D9">
        <w:t xml:space="preserve"> geographic bands.</w:t>
      </w:r>
      <w:r w:rsidR="00327EE7" w:rsidRPr="005633D9">
        <w:rPr>
          <w:rStyle w:val="FootnoteReference"/>
        </w:rPr>
        <w:footnoteReference w:id="8"/>
      </w:r>
    </w:p>
    <w:p w:rsidR="00747DFB" w:rsidRPr="005633D9" w:rsidRDefault="00246AED" w:rsidP="00246AED">
      <w:pPr>
        <w:pStyle w:val="BodyText"/>
      </w:pPr>
      <w:r w:rsidRPr="005633D9">
        <w:t>Given the current and potential issues with adherence to randomization and the seventh aggregator</w:t>
      </w:r>
      <w:r w:rsidR="00F03F22" w:rsidRPr="005633D9">
        <w:t>, which</w:t>
      </w:r>
      <w:r w:rsidRPr="005633D9">
        <w:t xml:space="preserve"> has not agreed to randomization, </w:t>
      </w:r>
      <w:r w:rsidR="000E155D" w:rsidRPr="005633D9">
        <w:t xml:space="preserve">our </w:t>
      </w:r>
      <w:r w:rsidR="00BF56E1" w:rsidRPr="005633D9">
        <w:t xml:space="preserve">evaluation reports </w:t>
      </w:r>
      <w:r w:rsidR="000E155D" w:rsidRPr="005633D9">
        <w:t xml:space="preserve">will </w:t>
      </w:r>
      <w:r w:rsidR="00BF56E1" w:rsidRPr="005633D9">
        <w:t xml:space="preserve">include </w:t>
      </w:r>
      <w:r w:rsidR="00747DFB" w:rsidRPr="005633D9">
        <w:t xml:space="preserve">impact estimates from the full set of aggregators, as well as </w:t>
      </w:r>
      <w:r w:rsidR="00BF56E1" w:rsidRPr="005633D9">
        <w:t>separate findings for the set of aggregators that use the more rigorous random assignment design.</w:t>
      </w:r>
      <w:r w:rsidR="00243735" w:rsidRPr="005633D9">
        <w:t xml:space="preserve"> </w:t>
      </w:r>
      <w:r w:rsidR="00747DFB" w:rsidRPr="005633D9">
        <w:t xml:space="preserve">Impact estimates that pool all aggregators will not be free from confounding factors arising from selection bias in the determination of treatment and control group villages for </w:t>
      </w:r>
      <w:r w:rsidR="00600FB4" w:rsidRPr="005633D9">
        <w:t xml:space="preserve">the </w:t>
      </w:r>
      <w:r w:rsidR="00747DFB" w:rsidRPr="005633D9">
        <w:t>aggregator</w:t>
      </w:r>
      <w:r w:rsidR="00600FB4" w:rsidRPr="005633D9">
        <w:t>s</w:t>
      </w:r>
      <w:r w:rsidR="00747DFB" w:rsidRPr="005633D9">
        <w:t xml:space="preserve"> not adhering to the randomization assignments </w:t>
      </w:r>
      <w:r w:rsidR="00F93043">
        <w:t xml:space="preserve">. </w:t>
      </w:r>
      <w:r w:rsidR="00243735" w:rsidRPr="005633D9">
        <w:t xml:space="preserve"> </w:t>
      </w:r>
    </w:p>
    <w:p w:rsidR="00367788" w:rsidRPr="005633D9" w:rsidRDefault="00614769" w:rsidP="003177F6">
      <w:pPr>
        <w:pStyle w:val="BodyText"/>
      </w:pPr>
      <w:r w:rsidRPr="005633D9">
        <w:t xml:space="preserve">Depending </w:t>
      </w:r>
      <w:r w:rsidR="00F03F22" w:rsidRPr="005633D9">
        <w:t xml:space="preserve">on </w:t>
      </w:r>
      <w:r w:rsidR="0063435F" w:rsidRPr="005633D9">
        <w:t xml:space="preserve">when activities initiate in Cohort C </w:t>
      </w:r>
      <w:r w:rsidR="00F07860" w:rsidRPr="005633D9">
        <w:t>villages (</w:t>
      </w:r>
      <w:r w:rsidR="0063435F" w:rsidRPr="005633D9">
        <w:t>2016 or 2017) and therefore the timing of the endline</w:t>
      </w:r>
      <w:r w:rsidR="002A1362" w:rsidRPr="005633D9">
        <w:t xml:space="preserve"> survey</w:t>
      </w:r>
      <w:r w:rsidRPr="005633D9">
        <w:t>, w</w:t>
      </w:r>
      <w:r w:rsidR="00571E33" w:rsidRPr="005633D9">
        <w:t>e</w:t>
      </w:r>
      <w:r w:rsidR="00367788" w:rsidRPr="005633D9">
        <w:t xml:space="preserve"> will measure the impact of </w:t>
      </w:r>
      <w:r w:rsidRPr="005633D9">
        <w:t xml:space="preserve">either </w:t>
      </w:r>
      <w:r w:rsidR="00367788" w:rsidRPr="005633D9">
        <w:t>two</w:t>
      </w:r>
      <w:r w:rsidRPr="005633D9">
        <w:t xml:space="preserve"> or three</w:t>
      </w:r>
      <w:r w:rsidR="00367788" w:rsidRPr="005633D9">
        <w:t xml:space="preserve"> years’ </w:t>
      </w:r>
      <w:r w:rsidR="00571E33" w:rsidRPr="005633D9">
        <w:t>pilot</w:t>
      </w:r>
      <w:r w:rsidR="00367788" w:rsidRPr="005633D9">
        <w:t xml:space="preserve"> implementation</w:t>
      </w:r>
      <w:r w:rsidR="00571E33" w:rsidRPr="005633D9">
        <w:t xml:space="preserve"> on smallholder outcomes by comparing smallholders in villages targeted by aggregators in spring 2014 (Cohort A) with smallholders in similar villages not targeted until </w:t>
      </w:r>
      <w:r w:rsidRPr="005633D9">
        <w:t>the last year of the pilot</w:t>
      </w:r>
      <w:r w:rsidR="00367788" w:rsidRPr="005633D9">
        <w:t xml:space="preserve"> (Cohort C</w:t>
      </w:r>
      <w:r w:rsidR="00571E33" w:rsidRPr="005633D9">
        <w:t>).</w:t>
      </w:r>
      <w:r w:rsidR="00243735" w:rsidRPr="005633D9">
        <w:t xml:space="preserve"> </w:t>
      </w:r>
      <w:r w:rsidR="00367788" w:rsidRPr="005633D9">
        <w:t xml:space="preserve">In addition, we will study the impact of </w:t>
      </w:r>
      <w:r w:rsidRPr="005633D9">
        <w:t xml:space="preserve">either </w:t>
      </w:r>
      <w:r w:rsidR="00367788" w:rsidRPr="005633D9">
        <w:t>one</w:t>
      </w:r>
      <w:r w:rsidRPr="005633D9">
        <w:t xml:space="preserve"> or two</w:t>
      </w:r>
      <w:r w:rsidR="00367788" w:rsidRPr="005633D9">
        <w:t xml:space="preserve"> year</w:t>
      </w:r>
      <w:r w:rsidR="00F03F22" w:rsidRPr="005633D9">
        <w:t>s</w:t>
      </w:r>
      <w:r w:rsidR="00367788" w:rsidRPr="005633D9">
        <w:t xml:space="preserve"> o</w:t>
      </w:r>
      <w:r w:rsidR="00F03F22" w:rsidRPr="005633D9">
        <w:t>f pilot implementation on small</w:t>
      </w:r>
      <w:r w:rsidR="00367788" w:rsidRPr="005633D9">
        <w:t xml:space="preserve">holder outcomes by comparing smallholders in villages targeted by aggregators in spring 2015 (Cohort B) with smallholders in similar villages not targeted until </w:t>
      </w:r>
      <w:r w:rsidRPr="005633D9">
        <w:t>the last year of the pilot</w:t>
      </w:r>
      <w:r w:rsidR="00367788" w:rsidRPr="005633D9">
        <w:t xml:space="preserve"> (Cohort C).</w:t>
      </w:r>
      <w:r w:rsidR="00243735" w:rsidRPr="005633D9">
        <w:t xml:space="preserve"> </w:t>
      </w:r>
      <w:r w:rsidR="00367788" w:rsidRPr="005633D9">
        <w:t>We thus have four contrasts</w:t>
      </w:r>
      <w:r w:rsidR="00534568" w:rsidRPr="005633D9">
        <w:t xml:space="preserve"> depending on when the endline survey occurs</w:t>
      </w:r>
      <w:r w:rsidR="00367788" w:rsidRPr="005633D9">
        <w:t>:</w:t>
      </w:r>
    </w:p>
    <w:tbl>
      <w:tblPr>
        <w:tblStyle w:val="Abt"/>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8"/>
        <w:gridCol w:w="4788"/>
      </w:tblGrid>
      <w:tr w:rsidR="00614769" w:rsidRPr="005633D9" w:rsidTr="008979A6">
        <w:trPr>
          <w:cnfStyle w:val="100000000000" w:firstRow="1" w:lastRow="0" w:firstColumn="0" w:lastColumn="0" w:oddVBand="0" w:evenVBand="0" w:oddHBand="0" w:evenHBand="0" w:firstRowFirstColumn="0" w:firstRowLastColumn="0" w:lastRowFirstColumn="0" w:lastRowLastColumn="0"/>
          <w:cantSplit/>
        </w:trPr>
        <w:tc>
          <w:tcPr>
            <w:tcW w:w="4788" w:type="dxa"/>
            <w:tcBorders>
              <w:top w:val="none" w:sz="0" w:space="0" w:color="auto"/>
              <w:left w:val="none" w:sz="0" w:space="0" w:color="auto"/>
              <w:bottom w:val="none" w:sz="0" w:space="0" w:color="auto"/>
              <w:right w:val="none" w:sz="0" w:space="0" w:color="auto"/>
            </w:tcBorders>
            <w:shd w:val="clear" w:color="auto" w:fill="auto"/>
          </w:tcPr>
          <w:p w:rsidR="00614769" w:rsidRPr="005633D9" w:rsidRDefault="00614769" w:rsidP="00A567CD">
            <w:pPr>
              <w:pStyle w:val="BodyText"/>
              <w:jc w:val="center"/>
              <w:rPr>
                <w:rFonts w:ascii="Times New Roman" w:hAnsi="Times New Roman"/>
              </w:rPr>
            </w:pPr>
            <w:r w:rsidRPr="005633D9">
              <w:rPr>
                <w:rFonts w:ascii="Times New Roman" w:hAnsi="Times New Roman"/>
              </w:rPr>
              <w:t xml:space="preserve">2016 </w:t>
            </w:r>
            <w:r w:rsidR="0063435F" w:rsidRPr="005633D9">
              <w:rPr>
                <w:rFonts w:ascii="Times New Roman" w:hAnsi="Times New Roman"/>
              </w:rPr>
              <w:t>Endline Survey</w:t>
            </w:r>
          </w:p>
        </w:tc>
        <w:tc>
          <w:tcPr>
            <w:tcW w:w="4788" w:type="dxa"/>
            <w:tcBorders>
              <w:top w:val="none" w:sz="0" w:space="0" w:color="auto"/>
              <w:left w:val="none" w:sz="0" w:space="0" w:color="auto"/>
              <w:bottom w:val="none" w:sz="0" w:space="0" w:color="auto"/>
              <w:right w:val="none" w:sz="0" w:space="0" w:color="auto"/>
            </w:tcBorders>
            <w:shd w:val="clear" w:color="auto" w:fill="auto"/>
          </w:tcPr>
          <w:p w:rsidR="00614769" w:rsidRPr="005633D9" w:rsidRDefault="00614769" w:rsidP="00A567CD">
            <w:pPr>
              <w:pStyle w:val="BodyText"/>
              <w:jc w:val="center"/>
              <w:rPr>
                <w:rFonts w:ascii="Times New Roman" w:hAnsi="Times New Roman"/>
              </w:rPr>
            </w:pPr>
            <w:r w:rsidRPr="005633D9">
              <w:rPr>
                <w:rFonts w:ascii="Times New Roman" w:hAnsi="Times New Roman"/>
              </w:rPr>
              <w:t xml:space="preserve">2017 </w:t>
            </w:r>
            <w:r w:rsidR="0063435F" w:rsidRPr="005633D9">
              <w:rPr>
                <w:rFonts w:ascii="Times New Roman" w:hAnsi="Times New Roman"/>
              </w:rPr>
              <w:t xml:space="preserve">Endline Survey </w:t>
            </w:r>
          </w:p>
        </w:tc>
      </w:tr>
      <w:tr w:rsidR="00614769" w:rsidRPr="005633D9" w:rsidTr="00B22D64">
        <w:trPr>
          <w:cnfStyle w:val="000000100000" w:firstRow="0" w:lastRow="0" w:firstColumn="0" w:lastColumn="0" w:oddVBand="0" w:evenVBand="0" w:oddHBand="1" w:evenHBand="0" w:firstRowFirstColumn="0" w:firstRowLastColumn="0" w:lastRowFirstColumn="0" w:lastRowLastColumn="0"/>
          <w:cantSplit/>
        </w:trPr>
        <w:tc>
          <w:tcPr>
            <w:tcW w:w="4788"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614769" w:rsidRPr="005633D9" w:rsidRDefault="00614769" w:rsidP="00F52CB7">
            <w:pPr>
              <w:pStyle w:val="BodyText"/>
              <w:numPr>
                <w:ilvl w:val="0"/>
                <w:numId w:val="15"/>
              </w:numPr>
              <w:rPr>
                <w:rFonts w:ascii="Times New Roman" w:hAnsi="Times New Roman"/>
              </w:rPr>
            </w:pPr>
            <w:r w:rsidRPr="005633D9">
              <w:rPr>
                <w:rFonts w:ascii="Times New Roman" w:hAnsi="Times New Roman"/>
              </w:rPr>
              <w:t>Two-year impacts in the RCT group (Cohort A versus Cohort C, four aggregators)</w:t>
            </w:r>
          </w:p>
        </w:tc>
        <w:tc>
          <w:tcPr>
            <w:tcW w:w="4788"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614769" w:rsidRPr="005633D9" w:rsidRDefault="00614769" w:rsidP="00F52CB7">
            <w:pPr>
              <w:pStyle w:val="BodyText"/>
              <w:numPr>
                <w:ilvl w:val="0"/>
                <w:numId w:val="19"/>
              </w:numPr>
              <w:rPr>
                <w:rFonts w:ascii="Times New Roman" w:hAnsi="Times New Roman"/>
              </w:rPr>
            </w:pPr>
            <w:r w:rsidRPr="005633D9">
              <w:rPr>
                <w:rFonts w:ascii="Times New Roman" w:hAnsi="Times New Roman"/>
              </w:rPr>
              <w:t>Three-year impacts in the RCT group (Cohort A versus Cohort C, four aggregators)</w:t>
            </w:r>
          </w:p>
        </w:tc>
      </w:tr>
      <w:tr w:rsidR="00614769" w:rsidRPr="005633D9" w:rsidTr="00B22D64">
        <w:trPr>
          <w:cnfStyle w:val="000000010000" w:firstRow="0" w:lastRow="0" w:firstColumn="0" w:lastColumn="0" w:oddVBand="0" w:evenVBand="0" w:oddHBand="0" w:evenHBand="1" w:firstRowFirstColumn="0" w:firstRowLastColumn="0" w:lastRowFirstColumn="0" w:lastRowLastColumn="0"/>
          <w:cantSplit/>
        </w:trPr>
        <w:tc>
          <w:tcPr>
            <w:tcW w:w="4788"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614769" w:rsidRPr="005633D9" w:rsidRDefault="00614769" w:rsidP="00F52CB7">
            <w:pPr>
              <w:pStyle w:val="BodyText"/>
              <w:numPr>
                <w:ilvl w:val="0"/>
                <w:numId w:val="16"/>
              </w:numPr>
              <w:rPr>
                <w:rFonts w:ascii="Times New Roman" w:hAnsi="Times New Roman"/>
              </w:rPr>
            </w:pPr>
            <w:r w:rsidRPr="005633D9">
              <w:rPr>
                <w:rFonts w:ascii="Times New Roman" w:hAnsi="Times New Roman"/>
              </w:rPr>
              <w:t>Two-year impacts in the entire group (Cohort A versus Cohort C, seven aggregators)</w:t>
            </w:r>
          </w:p>
        </w:tc>
        <w:tc>
          <w:tcPr>
            <w:tcW w:w="4788"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614769" w:rsidRPr="005633D9" w:rsidRDefault="00614769" w:rsidP="00F52CB7">
            <w:pPr>
              <w:pStyle w:val="BodyText"/>
              <w:numPr>
                <w:ilvl w:val="0"/>
                <w:numId w:val="20"/>
              </w:numPr>
              <w:rPr>
                <w:rFonts w:ascii="Times New Roman" w:hAnsi="Times New Roman"/>
              </w:rPr>
            </w:pPr>
            <w:r w:rsidRPr="005633D9">
              <w:rPr>
                <w:rFonts w:ascii="Times New Roman" w:hAnsi="Times New Roman"/>
              </w:rPr>
              <w:t>Three-year impacts in the entire group (Cohort A versus Cohort C, seven aggregators)</w:t>
            </w:r>
          </w:p>
        </w:tc>
      </w:tr>
      <w:tr w:rsidR="00614769" w:rsidRPr="005633D9" w:rsidTr="00B22D64">
        <w:trPr>
          <w:cnfStyle w:val="000000100000" w:firstRow="0" w:lastRow="0" w:firstColumn="0" w:lastColumn="0" w:oddVBand="0" w:evenVBand="0" w:oddHBand="1" w:evenHBand="0" w:firstRowFirstColumn="0" w:firstRowLastColumn="0" w:lastRowFirstColumn="0" w:lastRowLastColumn="0"/>
          <w:cantSplit/>
        </w:trPr>
        <w:tc>
          <w:tcPr>
            <w:tcW w:w="4788"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614769" w:rsidRPr="005633D9" w:rsidRDefault="00614769" w:rsidP="00F52CB7">
            <w:pPr>
              <w:pStyle w:val="BodyText"/>
              <w:numPr>
                <w:ilvl w:val="0"/>
                <w:numId w:val="17"/>
              </w:numPr>
              <w:rPr>
                <w:rFonts w:ascii="Times New Roman" w:hAnsi="Times New Roman"/>
              </w:rPr>
            </w:pPr>
            <w:r w:rsidRPr="005633D9">
              <w:rPr>
                <w:rFonts w:ascii="Times New Roman" w:hAnsi="Times New Roman"/>
              </w:rPr>
              <w:t>One-year impacts in the RCT group (Cohort B versus Cohort C, six aggregators)</w:t>
            </w:r>
          </w:p>
        </w:tc>
        <w:tc>
          <w:tcPr>
            <w:tcW w:w="4788"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614769" w:rsidRPr="005633D9" w:rsidRDefault="00614769" w:rsidP="00F52CB7">
            <w:pPr>
              <w:pStyle w:val="BodyText"/>
              <w:numPr>
                <w:ilvl w:val="0"/>
                <w:numId w:val="21"/>
              </w:numPr>
              <w:rPr>
                <w:rFonts w:ascii="Times New Roman" w:hAnsi="Times New Roman"/>
              </w:rPr>
            </w:pPr>
            <w:r w:rsidRPr="005633D9">
              <w:rPr>
                <w:rFonts w:ascii="Times New Roman" w:hAnsi="Times New Roman"/>
              </w:rPr>
              <w:t>Two-year impacts in the RCT group (Cohort B versus Cohort C, six aggregators)</w:t>
            </w:r>
          </w:p>
        </w:tc>
      </w:tr>
      <w:tr w:rsidR="00614769" w:rsidRPr="005633D9" w:rsidTr="00B22D64">
        <w:trPr>
          <w:cnfStyle w:val="000000010000" w:firstRow="0" w:lastRow="0" w:firstColumn="0" w:lastColumn="0" w:oddVBand="0" w:evenVBand="0" w:oddHBand="0" w:evenHBand="1" w:firstRowFirstColumn="0" w:firstRowLastColumn="0" w:lastRowFirstColumn="0" w:lastRowLastColumn="0"/>
          <w:cantSplit/>
        </w:trPr>
        <w:tc>
          <w:tcPr>
            <w:tcW w:w="4788"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614769" w:rsidRPr="005633D9" w:rsidRDefault="00614769" w:rsidP="00EE0BC4">
            <w:pPr>
              <w:pStyle w:val="BodyText"/>
              <w:numPr>
                <w:ilvl w:val="0"/>
                <w:numId w:val="18"/>
              </w:numPr>
              <w:rPr>
                <w:rFonts w:ascii="Times New Roman" w:hAnsi="Times New Roman"/>
              </w:rPr>
            </w:pPr>
            <w:r w:rsidRPr="005633D9">
              <w:rPr>
                <w:rFonts w:ascii="Times New Roman" w:hAnsi="Times New Roman"/>
              </w:rPr>
              <w:t xml:space="preserve">One-year impacts in the entire group (Cohort </w:t>
            </w:r>
            <w:r w:rsidR="00EE0BC4" w:rsidRPr="005633D9">
              <w:rPr>
                <w:rFonts w:ascii="Times New Roman" w:hAnsi="Times New Roman"/>
              </w:rPr>
              <w:t xml:space="preserve">B </w:t>
            </w:r>
            <w:r w:rsidRPr="005633D9">
              <w:rPr>
                <w:rFonts w:ascii="Times New Roman" w:hAnsi="Times New Roman"/>
              </w:rPr>
              <w:t>versus Cohort C, seven aggregators)</w:t>
            </w:r>
          </w:p>
        </w:tc>
        <w:tc>
          <w:tcPr>
            <w:tcW w:w="4788"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614769" w:rsidRPr="005633D9" w:rsidRDefault="00614769" w:rsidP="00EE0BC4">
            <w:pPr>
              <w:pStyle w:val="BodyText"/>
              <w:numPr>
                <w:ilvl w:val="0"/>
                <w:numId w:val="22"/>
              </w:numPr>
              <w:rPr>
                <w:rFonts w:ascii="Times New Roman" w:hAnsi="Times New Roman"/>
              </w:rPr>
            </w:pPr>
            <w:r w:rsidRPr="005633D9">
              <w:rPr>
                <w:rFonts w:ascii="Times New Roman" w:hAnsi="Times New Roman"/>
              </w:rPr>
              <w:t xml:space="preserve">Two-year impacts in the entire group (Cohort </w:t>
            </w:r>
            <w:r w:rsidR="00EE0BC4" w:rsidRPr="005633D9">
              <w:rPr>
                <w:rFonts w:ascii="Times New Roman" w:hAnsi="Times New Roman"/>
              </w:rPr>
              <w:t xml:space="preserve">B </w:t>
            </w:r>
            <w:r w:rsidRPr="005633D9">
              <w:rPr>
                <w:rFonts w:ascii="Times New Roman" w:hAnsi="Times New Roman"/>
              </w:rPr>
              <w:t>versus Cohort C, seven aggregators)</w:t>
            </w:r>
          </w:p>
        </w:tc>
      </w:tr>
    </w:tbl>
    <w:p w:rsidR="00747DFB" w:rsidRPr="005633D9" w:rsidRDefault="00747DFB" w:rsidP="00BF56E1">
      <w:pPr>
        <w:pStyle w:val="BodyText"/>
      </w:pPr>
      <w:r w:rsidRPr="005633D9">
        <w:lastRenderedPageBreak/>
        <w:t>We next discuss the data analysis method, sampling plan, and power analysis that support the quantitative analysis.</w:t>
      </w:r>
      <w:r w:rsidR="00243735" w:rsidRPr="005633D9">
        <w:t xml:space="preserve"> </w:t>
      </w:r>
    </w:p>
    <w:p w:rsidR="00D139EC" w:rsidRPr="005633D9" w:rsidRDefault="004E32F8" w:rsidP="00CC5F98">
      <w:pPr>
        <w:pStyle w:val="Heading4"/>
        <w:rPr>
          <w:lang w:val="en-GB"/>
        </w:rPr>
      </w:pPr>
      <w:bookmarkStart w:id="36" w:name="_Ref403402956"/>
      <w:r w:rsidRPr="005633D9">
        <w:rPr>
          <w:lang w:val="en-GB"/>
        </w:rPr>
        <w:t xml:space="preserve">Analysis </w:t>
      </w:r>
      <w:r w:rsidR="000A26AA" w:rsidRPr="005633D9">
        <w:rPr>
          <w:lang w:val="en-GB"/>
        </w:rPr>
        <w:t>plan</w:t>
      </w:r>
      <w:bookmarkEnd w:id="36"/>
    </w:p>
    <w:p w:rsidR="00D139EC" w:rsidRPr="005633D9" w:rsidRDefault="00D139EC" w:rsidP="00D139EC">
      <w:pPr>
        <w:pStyle w:val="BodyText"/>
        <w:rPr>
          <w:color w:val="000000"/>
        </w:rPr>
      </w:pPr>
      <w:r w:rsidRPr="005633D9">
        <w:rPr>
          <w:color w:val="000000"/>
        </w:rPr>
        <w:t xml:space="preserve">A straightforward method to answer </w:t>
      </w:r>
      <w:r w:rsidR="008362CA" w:rsidRPr="005633D9">
        <w:rPr>
          <w:color w:val="000000"/>
        </w:rPr>
        <w:t xml:space="preserve">evaluation question </w:t>
      </w:r>
      <w:r w:rsidR="00560681" w:rsidRPr="005633D9">
        <w:rPr>
          <w:color w:val="000000"/>
        </w:rPr>
        <w:t>2</w:t>
      </w:r>
      <w:r w:rsidRPr="005633D9">
        <w:rPr>
          <w:color w:val="000000"/>
        </w:rPr>
        <w:t xml:space="preserve"> is to compare the mean outcomes</w:t>
      </w:r>
      <w:r w:rsidR="00243735" w:rsidRPr="005633D9">
        <w:rPr>
          <w:color w:val="000000"/>
        </w:rPr>
        <w:t xml:space="preserve"> </w:t>
      </w:r>
      <w:r w:rsidRPr="005633D9">
        <w:rPr>
          <w:color w:val="000000"/>
        </w:rPr>
        <w:t>for smallholders in</w:t>
      </w:r>
      <w:r w:rsidR="00D77537" w:rsidRPr="005633D9">
        <w:rPr>
          <w:color w:val="000000"/>
        </w:rPr>
        <w:t xml:space="preserve"> the</w:t>
      </w:r>
      <w:r w:rsidRPr="005633D9">
        <w:rPr>
          <w:color w:val="000000"/>
        </w:rPr>
        <w:t xml:space="preserve"> treatment group to the mean outcomes of the smallholders in the comparison group.</w:t>
      </w:r>
      <w:r w:rsidR="00243735" w:rsidRPr="005633D9">
        <w:rPr>
          <w:color w:val="000000"/>
        </w:rPr>
        <w:t xml:space="preserve"> </w:t>
      </w:r>
      <w:r w:rsidRPr="005633D9">
        <w:rPr>
          <w:color w:val="000000"/>
        </w:rPr>
        <w:t xml:space="preserve">This is a valid approach </w:t>
      </w:r>
      <w:r w:rsidR="00896423" w:rsidRPr="005633D9">
        <w:rPr>
          <w:color w:val="000000"/>
        </w:rPr>
        <w:t xml:space="preserve">for the RCT contrasts, </w:t>
      </w:r>
      <w:r w:rsidRPr="005633D9">
        <w:rPr>
          <w:color w:val="000000"/>
        </w:rPr>
        <w:t>but it does not maximize statistical power for determining whether any apparent impact (i.e.</w:t>
      </w:r>
      <w:r w:rsidR="00A04A54" w:rsidRPr="005633D9">
        <w:rPr>
          <w:color w:val="000000"/>
        </w:rPr>
        <w:t>,</w:t>
      </w:r>
      <w:r w:rsidRPr="005633D9">
        <w:rPr>
          <w:color w:val="000000"/>
        </w:rPr>
        <w:t xml:space="preserve"> outcome difference) is real or an </w:t>
      </w:r>
      <w:r w:rsidR="00F03F22" w:rsidRPr="005633D9">
        <w:rPr>
          <w:color w:val="000000"/>
        </w:rPr>
        <w:t>artefact</w:t>
      </w:r>
      <w:r w:rsidR="00A04A54" w:rsidRPr="005633D9">
        <w:rPr>
          <w:color w:val="000000"/>
        </w:rPr>
        <w:t xml:space="preserve"> of chance (</w:t>
      </w:r>
      <w:r w:rsidRPr="005633D9">
        <w:rPr>
          <w:color w:val="000000"/>
        </w:rPr>
        <w:t>i.e.</w:t>
      </w:r>
      <w:r w:rsidR="00A04A54" w:rsidRPr="005633D9">
        <w:rPr>
          <w:color w:val="000000"/>
        </w:rPr>
        <w:t>,</w:t>
      </w:r>
      <w:r w:rsidRPr="005633D9">
        <w:rPr>
          <w:color w:val="000000"/>
        </w:rPr>
        <w:t xml:space="preserve"> for running statistical hypothesis tests of the null hypothesis of zero impact</w:t>
      </w:r>
      <w:r w:rsidR="00A04A54" w:rsidRPr="005633D9">
        <w:rPr>
          <w:color w:val="000000"/>
        </w:rPr>
        <w:t>)</w:t>
      </w:r>
      <w:r w:rsidRPr="005633D9">
        <w:rPr>
          <w:color w:val="000000"/>
        </w:rPr>
        <w:t>.</w:t>
      </w:r>
      <w:r w:rsidR="00243735" w:rsidRPr="005633D9">
        <w:rPr>
          <w:color w:val="000000"/>
        </w:rPr>
        <w:t xml:space="preserve"> </w:t>
      </w:r>
      <w:r w:rsidRPr="005633D9">
        <w:rPr>
          <w:color w:val="000000"/>
        </w:rPr>
        <w:t>A better approach, which does more to rule out chance as the possible explanation, is to use a regression model that includes covariates such as baseline smallholder characteristics</w:t>
      </w:r>
      <w:r w:rsidR="00A04A54" w:rsidRPr="005633D9">
        <w:rPr>
          <w:color w:val="000000"/>
        </w:rPr>
        <w:t>,</w:t>
      </w:r>
      <w:r w:rsidRPr="005633D9">
        <w:rPr>
          <w:color w:val="000000"/>
        </w:rPr>
        <w:t xml:space="preserve"> including demographic variables, farm characteristics, and other measures of available labo</w:t>
      </w:r>
      <w:r w:rsidR="00F03F22" w:rsidRPr="005633D9">
        <w:rPr>
          <w:color w:val="000000"/>
        </w:rPr>
        <w:t>u</w:t>
      </w:r>
      <w:r w:rsidRPr="005633D9">
        <w:rPr>
          <w:color w:val="000000"/>
        </w:rPr>
        <w:t>r and capital inputs for farming.</w:t>
      </w:r>
      <w:r w:rsidR="00243735" w:rsidRPr="005633D9">
        <w:rPr>
          <w:color w:val="000000"/>
        </w:rPr>
        <w:t xml:space="preserve"> </w:t>
      </w:r>
      <w:r w:rsidR="00896423" w:rsidRPr="005633D9">
        <w:rPr>
          <w:color w:val="000000"/>
        </w:rPr>
        <w:t>The regression model is also preferred for the quasi-experimental contrasts, because the inclusion of baseline covariates will “control” for observed, systematic differences between the treatment and control groups that are not due to chance alone.</w:t>
      </w:r>
      <w:r w:rsidR="00243735" w:rsidRPr="005633D9">
        <w:rPr>
          <w:color w:val="000000"/>
        </w:rPr>
        <w:t xml:space="preserve"> </w:t>
      </w:r>
      <w:r w:rsidR="00896423" w:rsidRPr="005633D9">
        <w:rPr>
          <w:color w:val="000000"/>
        </w:rPr>
        <w:t xml:space="preserve">The </w:t>
      </w:r>
      <w:r w:rsidRPr="005633D9">
        <w:rPr>
          <w:color w:val="000000"/>
        </w:rPr>
        <w:t xml:space="preserve">set </w:t>
      </w:r>
      <w:r w:rsidR="00AE481F" w:rsidRPr="005633D9">
        <w:rPr>
          <w:color w:val="000000"/>
        </w:rPr>
        <w:t>of covariates</w:t>
      </w:r>
      <w:r w:rsidRPr="005633D9">
        <w:rPr>
          <w:color w:val="000000"/>
        </w:rPr>
        <w:t xml:space="preserve"> will include a “fixed effect” for each </w:t>
      </w:r>
      <w:r w:rsidR="00367788" w:rsidRPr="005633D9">
        <w:rPr>
          <w:color w:val="000000"/>
        </w:rPr>
        <w:t>aggregator</w:t>
      </w:r>
      <w:r w:rsidRPr="005633D9">
        <w:rPr>
          <w:color w:val="000000"/>
        </w:rPr>
        <w:t>.</w:t>
      </w:r>
      <w:r w:rsidR="00243735" w:rsidRPr="005633D9">
        <w:rPr>
          <w:color w:val="000000"/>
        </w:rPr>
        <w:t xml:space="preserve"> </w:t>
      </w:r>
      <w:r w:rsidRPr="005633D9">
        <w:rPr>
          <w:color w:val="000000"/>
        </w:rPr>
        <w:t xml:space="preserve">This fixed effect represents the average effect on smallholders of </w:t>
      </w:r>
      <w:r w:rsidR="00367788" w:rsidRPr="005633D9">
        <w:rPr>
          <w:color w:val="000000"/>
        </w:rPr>
        <w:t>working with a specific aggregator</w:t>
      </w:r>
      <w:r w:rsidRPr="005633D9">
        <w:rPr>
          <w:color w:val="000000"/>
        </w:rPr>
        <w:t xml:space="preserve">: smallholders </w:t>
      </w:r>
      <w:r w:rsidR="00367788" w:rsidRPr="005633D9">
        <w:rPr>
          <w:color w:val="000000"/>
        </w:rPr>
        <w:t xml:space="preserve">associated with the same aggregator </w:t>
      </w:r>
      <w:r w:rsidRPr="005633D9">
        <w:rPr>
          <w:color w:val="000000"/>
        </w:rPr>
        <w:t>are likely to experience similar market factors (e.g.</w:t>
      </w:r>
      <w:r w:rsidR="00A04A54" w:rsidRPr="005633D9">
        <w:rPr>
          <w:color w:val="000000"/>
        </w:rPr>
        <w:t>,</w:t>
      </w:r>
      <w:r w:rsidRPr="005633D9">
        <w:rPr>
          <w:color w:val="000000"/>
        </w:rPr>
        <w:t xml:space="preserve"> local maize prices) as well as similar exogenous shocks that affect maize production</w:t>
      </w:r>
      <w:r w:rsidR="00367788" w:rsidRPr="005633D9">
        <w:rPr>
          <w:color w:val="000000"/>
        </w:rPr>
        <w:t>.</w:t>
      </w:r>
    </w:p>
    <w:p w:rsidR="00D139EC" w:rsidRPr="005633D9" w:rsidRDefault="00D139EC" w:rsidP="00D139EC">
      <w:pPr>
        <w:pStyle w:val="BodyText"/>
      </w:pPr>
      <w:r w:rsidRPr="005633D9">
        <w:rPr>
          <w:color w:val="000000"/>
        </w:rPr>
        <w:t xml:space="preserve">We will conduct a statistical test to determine whether any </w:t>
      </w:r>
      <w:r w:rsidR="00896423" w:rsidRPr="005633D9">
        <w:rPr>
          <w:color w:val="000000"/>
        </w:rPr>
        <w:t xml:space="preserve">regression-adjusted </w:t>
      </w:r>
      <w:r w:rsidRPr="005633D9">
        <w:rPr>
          <w:color w:val="000000"/>
        </w:rPr>
        <w:t>mean difference in outcomes is statistically significant.</w:t>
      </w:r>
      <w:r w:rsidR="00243735" w:rsidRPr="005633D9">
        <w:rPr>
          <w:color w:val="000000"/>
        </w:rPr>
        <w:t xml:space="preserve"> </w:t>
      </w:r>
      <w:r w:rsidRPr="005633D9">
        <w:rPr>
          <w:color w:val="000000"/>
        </w:rPr>
        <w:t xml:space="preserve">To conduct valid inference on the estimated impact, we will need to take into account that </w:t>
      </w:r>
      <w:r w:rsidR="00D77537" w:rsidRPr="005633D9">
        <w:rPr>
          <w:color w:val="000000"/>
        </w:rPr>
        <w:t xml:space="preserve">geographically </w:t>
      </w:r>
      <w:r w:rsidRPr="005633D9">
        <w:rPr>
          <w:color w:val="000000"/>
        </w:rPr>
        <w:t>proximate groups of smallholders might have correlated outcomes.</w:t>
      </w:r>
      <w:r w:rsidR="00243735" w:rsidRPr="005633D9">
        <w:rPr>
          <w:color w:val="000000"/>
        </w:rPr>
        <w:t xml:space="preserve"> </w:t>
      </w:r>
      <w:r w:rsidRPr="005633D9">
        <w:rPr>
          <w:color w:val="000000"/>
        </w:rPr>
        <w:t>In particular, we view smallholders in the same village as likely to have correlated outcomes because they share a knowledge network, common soil quality, aflatoxin risk, and possibly other common unobservable factors.</w:t>
      </w:r>
      <w:r w:rsidR="00243735" w:rsidRPr="005633D9">
        <w:rPr>
          <w:color w:val="000000"/>
        </w:rPr>
        <w:t xml:space="preserve"> </w:t>
      </w:r>
      <w:r w:rsidRPr="005633D9">
        <w:rPr>
          <w:color w:val="000000"/>
        </w:rPr>
        <w:t xml:space="preserve">We will account for this correlation by using </w:t>
      </w:r>
      <w:r w:rsidRPr="005633D9">
        <w:rPr>
          <w:i/>
          <w:color w:val="000000"/>
        </w:rPr>
        <w:t>village-level random effects</w:t>
      </w:r>
      <w:r w:rsidRPr="005633D9">
        <w:t xml:space="preserve"> in the regression impact estimation model.</w:t>
      </w:r>
      <w:r w:rsidR="00243735" w:rsidRPr="005633D9">
        <w:t xml:space="preserve"> </w:t>
      </w:r>
    </w:p>
    <w:p w:rsidR="00D139EC" w:rsidRPr="005633D9" w:rsidRDefault="00D139EC" w:rsidP="00D139EC">
      <w:pPr>
        <w:pStyle w:val="BodyText"/>
      </w:pPr>
      <w:r w:rsidRPr="005633D9">
        <w:t>To summarize, the regression model will have the form suggested in Equation [1], where the</w:t>
      </w:r>
      <w:r w:rsidR="00A16C28" w:rsidRPr="005633D9">
        <w:t xml:space="preserve"> treatment indicator </w:t>
      </w:r>
      <w:r w:rsidR="00A16C28" w:rsidRPr="005633D9">
        <w:rPr>
          <w:i/>
        </w:rPr>
        <w:t>T</w:t>
      </w:r>
      <w:r w:rsidR="00A16C28" w:rsidRPr="005633D9">
        <w:rPr>
          <w:i/>
          <w:vertAlign w:val="subscript"/>
        </w:rPr>
        <w:t>i</w:t>
      </w:r>
      <w:r w:rsidR="00A16C28" w:rsidRPr="005633D9">
        <w:t xml:space="preserve"> is equal to one if the smallholder is in the treatment group, and zero otherwise.</w:t>
      </w:r>
      <w:r w:rsidR="00243735" w:rsidRPr="005633D9">
        <w:t xml:space="preserve"> </w:t>
      </w:r>
      <w:r w:rsidR="00A16C28" w:rsidRPr="005633D9">
        <w:t xml:space="preserve">The </w:t>
      </w:r>
      <w:r w:rsidRPr="005633D9">
        <w:t xml:space="preserve">estimate of β measures the average impact of the intervention on outcome </w:t>
      </w:r>
      <w:r w:rsidRPr="005633D9">
        <w:rPr>
          <w:i/>
        </w:rPr>
        <w:t>Y</w:t>
      </w:r>
      <w:r w:rsidRPr="005633D9">
        <w:t>.</w:t>
      </w:r>
      <w:r w:rsidR="00243735" w:rsidRPr="005633D9">
        <w:t xml:space="preserve"> </w:t>
      </w:r>
      <w:r w:rsidRPr="005633D9">
        <w:t xml:space="preserve">Each smallholder </w:t>
      </w:r>
      <w:r w:rsidRPr="005633D9">
        <w:rPr>
          <w:i/>
        </w:rPr>
        <w:t xml:space="preserve">i </w:t>
      </w:r>
      <w:r w:rsidRPr="005633D9">
        <w:t xml:space="preserve">obtains outcome </w:t>
      </w:r>
      <w:r w:rsidRPr="005633D9">
        <w:rPr>
          <w:i/>
        </w:rPr>
        <w:t>Y</w:t>
      </w:r>
      <w:r w:rsidRPr="005633D9">
        <w:rPr>
          <w:i/>
          <w:vertAlign w:val="subscript"/>
        </w:rPr>
        <w:t>i</w:t>
      </w:r>
      <w:r w:rsidRPr="005633D9">
        <w:rPr>
          <w:i/>
        </w:rPr>
        <w:t xml:space="preserve">, </w:t>
      </w:r>
      <w:r w:rsidRPr="005633D9">
        <w:t xml:space="preserve">has </w:t>
      </w:r>
      <w:r w:rsidRPr="005633D9">
        <w:rPr>
          <w:i/>
        </w:rPr>
        <w:t xml:space="preserve">M </w:t>
      </w:r>
      <w:r w:rsidRPr="005633D9">
        <w:t xml:space="preserve">baseline characteristics </w:t>
      </w:r>
      <w:r w:rsidR="00EE0BC4" w:rsidRPr="005633D9">
        <w:rPr>
          <w:i/>
        </w:rPr>
        <w:t>x</w:t>
      </w:r>
      <w:r w:rsidR="00EE0BC4" w:rsidRPr="005633D9">
        <w:rPr>
          <w:i/>
          <w:vertAlign w:val="subscript"/>
        </w:rPr>
        <w:t>im</w:t>
      </w:r>
      <w:r w:rsidR="00105982" w:rsidRPr="005633D9">
        <w:rPr>
          <w:i/>
          <w:vertAlign w:val="subscript"/>
        </w:rPr>
        <w:t xml:space="preserve"> </w:t>
      </w:r>
      <w:r w:rsidR="00105982" w:rsidRPr="005633D9">
        <w:t xml:space="preserve">(where </w:t>
      </w:r>
      <w:r w:rsidR="00105982" w:rsidRPr="005633D9">
        <w:rPr>
          <w:i/>
        </w:rPr>
        <w:t>a</w:t>
      </w:r>
      <w:r w:rsidR="00105982" w:rsidRPr="005633D9">
        <w:rPr>
          <w:i/>
          <w:vertAlign w:val="subscript"/>
        </w:rPr>
        <w:t>m</w:t>
      </w:r>
      <w:r w:rsidR="00105982" w:rsidRPr="005633D9">
        <w:t xml:space="preserve"> is the</w:t>
      </w:r>
      <w:r w:rsidR="001F34B4">
        <w:t xml:space="preserve"> </w:t>
      </w:r>
      <w:r w:rsidR="00105982" w:rsidRPr="005633D9">
        <w:t xml:space="preserve">estimated coefficient for each baseline characteristic </w:t>
      </w:r>
      <w:r w:rsidR="00105982" w:rsidRPr="005633D9">
        <w:rPr>
          <w:i/>
        </w:rPr>
        <w:t>m</w:t>
      </w:r>
      <w:r w:rsidR="00105982" w:rsidRPr="005633D9">
        <w:t>)</w:t>
      </w:r>
      <w:r w:rsidRPr="005633D9">
        <w:rPr>
          <w:i/>
        </w:rPr>
        <w:t xml:space="preserve">, </w:t>
      </w:r>
      <w:r w:rsidRPr="005633D9">
        <w:t xml:space="preserve">and a random smallholder-specific factor </w:t>
      </w:r>
      <w:r w:rsidRPr="005633D9">
        <w:rPr>
          <w:i/>
        </w:rPr>
        <w:sym w:font="Symbol" w:char="F065"/>
      </w:r>
      <w:r w:rsidRPr="005633D9">
        <w:rPr>
          <w:i/>
          <w:vertAlign w:val="subscript"/>
        </w:rPr>
        <w:t>i</w:t>
      </w:r>
      <w:r w:rsidRPr="005633D9">
        <w:t>.</w:t>
      </w:r>
      <w:r w:rsidR="00243735" w:rsidRPr="005633D9">
        <w:t xml:space="preserve"> </w:t>
      </w:r>
      <w:r w:rsidR="004172EB" w:rsidRPr="005633D9">
        <w:t xml:space="preserve">(Smallholder baseline characteristics will not be included for the RCT and whole-group contrasts </w:t>
      </w:r>
      <w:r w:rsidR="009B7358" w:rsidRPr="005633D9">
        <w:t>between Cohorts A and C</w:t>
      </w:r>
      <w:r w:rsidR="004172EB" w:rsidRPr="005633D9">
        <w:t xml:space="preserve">, </w:t>
      </w:r>
      <w:r w:rsidR="009B7358" w:rsidRPr="005633D9">
        <w:t>due to lack of baseline for Cohort A smallholders</w:t>
      </w:r>
      <w:r w:rsidR="004172EB" w:rsidRPr="005633D9">
        <w:t xml:space="preserve">.) </w:t>
      </w:r>
      <w:r w:rsidRPr="005633D9">
        <w:t xml:space="preserve">There are </w:t>
      </w:r>
      <w:r w:rsidRPr="005633D9">
        <w:rPr>
          <w:i/>
        </w:rPr>
        <w:t>Q</w:t>
      </w:r>
      <w:r w:rsidRPr="005633D9">
        <w:t xml:space="preserve"> aggregators, </w:t>
      </w:r>
      <w:r w:rsidRPr="005633D9">
        <w:rPr>
          <w:i/>
        </w:rPr>
        <w:t>I</w:t>
      </w:r>
      <w:r w:rsidRPr="005633D9">
        <w:rPr>
          <w:i/>
          <w:vertAlign w:val="subscript"/>
        </w:rPr>
        <w:t>q</w:t>
      </w:r>
      <w:r w:rsidRPr="005633D9">
        <w:rPr>
          <w:vertAlign w:val="subscript"/>
        </w:rPr>
        <w:t xml:space="preserve"> </w:t>
      </w:r>
      <w:r w:rsidRPr="005633D9">
        <w:t xml:space="preserve">is the aggregator </w:t>
      </w:r>
      <w:r w:rsidR="00D638DA" w:rsidRPr="005633D9">
        <w:t>indicator variable</w:t>
      </w:r>
      <w:r w:rsidRPr="005633D9">
        <w:t xml:space="preserve">, and average outcomes vary by </w:t>
      </w:r>
      <w:r w:rsidR="0098067E" w:rsidRPr="005633D9">
        <w:t xml:space="preserve">the </w:t>
      </w:r>
      <w:r w:rsidRPr="005633D9">
        <w:t>aggregator the smallholder is working with (</w:t>
      </w:r>
      <w:r w:rsidRPr="005633D9">
        <w:rPr>
          <w:i/>
        </w:rPr>
        <w:t>τ</w:t>
      </w:r>
      <w:r w:rsidRPr="005633D9">
        <w:rPr>
          <w:i/>
          <w:vertAlign w:val="subscript"/>
        </w:rPr>
        <w:t>q</w:t>
      </w:r>
      <w:r w:rsidRPr="005633D9">
        <w:t xml:space="preserve">). Each smallholder shares a common village random effect </w:t>
      </w:r>
      <w:r w:rsidRPr="005633D9">
        <w:rPr>
          <w:i/>
        </w:rPr>
        <w:t>γ</w:t>
      </w:r>
      <w:r w:rsidRPr="005633D9">
        <w:rPr>
          <w:i/>
          <w:vertAlign w:val="subscript"/>
        </w:rPr>
        <w:t>k</w:t>
      </w:r>
      <w:r w:rsidRPr="005633D9">
        <w:t xml:space="preserve"> with other smallholders in village </w:t>
      </w:r>
      <w:r w:rsidRPr="005633D9">
        <w:rPr>
          <w:i/>
        </w:rPr>
        <w:t>k</w:t>
      </w:r>
      <w:r w:rsidR="00E4447F">
        <w:rPr>
          <w:i/>
        </w:rPr>
        <w:t>.</w:t>
      </w:r>
    </w:p>
    <w:tbl>
      <w:tblPr>
        <w:tblStyle w:val="Abt"/>
        <w:tblW w:w="0" w:type="auto"/>
        <w:tblBorders>
          <w:top w:val="none" w:sz="0" w:space="0" w:color="auto"/>
          <w:left w:val="none" w:sz="0" w:space="0" w:color="auto"/>
          <w:bottom w:val="none" w:sz="0" w:space="0" w:color="auto"/>
          <w:right w:val="none" w:sz="0" w:space="0" w:color="auto"/>
          <w:insideH w:val="single" w:sz="8" w:space="0" w:color="auto"/>
          <w:insideV w:val="none" w:sz="0" w:space="0" w:color="auto"/>
        </w:tblBorders>
        <w:tblLook w:val="04A0" w:firstRow="1" w:lastRow="0" w:firstColumn="1" w:lastColumn="0" w:noHBand="0" w:noVBand="1"/>
      </w:tblPr>
      <w:tblGrid>
        <w:gridCol w:w="9018"/>
        <w:gridCol w:w="558"/>
      </w:tblGrid>
      <w:tr w:rsidR="00D139EC" w:rsidRPr="005633D9" w:rsidTr="00D139EC">
        <w:trPr>
          <w:cnfStyle w:val="100000000000" w:firstRow="1" w:lastRow="0" w:firstColumn="0" w:lastColumn="0" w:oddVBand="0" w:evenVBand="0" w:oddHBand="0" w:evenHBand="0" w:firstRowFirstColumn="0" w:firstRowLastColumn="0" w:lastRowFirstColumn="0" w:lastRowLastColumn="0"/>
        </w:trPr>
        <w:tc>
          <w:tcPr>
            <w:tcW w:w="9018" w:type="dxa"/>
            <w:tcBorders>
              <w:top w:val="none" w:sz="0" w:space="0" w:color="auto"/>
              <w:left w:val="none" w:sz="0" w:space="0" w:color="auto"/>
              <w:bottom w:val="none" w:sz="0" w:space="0" w:color="auto"/>
              <w:right w:val="none" w:sz="0" w:space="0" w:color="auto"/>
            </w:tcBorders>
          </w:tcPr>
          <w:p w:rsidR="00D139EC" w:rsidRPr="005633D9" w:rsidRDefault="00726175" w:rsidP="00367788">
            <w:pPr>
              <w:pStyle w:val="BodyText"/>
            </w:pPr>
            <m:oMathPara>
              <m:oMath>
                <m:sSub>
                  <m:sSubPr>
                    <m:ctrlPr>
                      <w:rPr>
                        <w:rFonts w:ascii="Cambria Math" w:hAnsi="Cambria Math"/>
                        <w:i/>
                      </w:rPr>
                    </m:ctrlPr>
                  </m:sSubPr>
                  <m:e>
                    <m:r>
                      <m:rPr>
                        <m:sty m:val="bi"/>
                      </m:rPr>
                      <w:rPr>
                        <w:rFonts w:ascii="Cambria Math" w:hAnsi="Cambria Math"/>
                      </w:rPr>
                      <m:t>Y</m:t>
                    </m:r>
                  </m:e>
                  <m:sub>
                    <m:r>
                      <m:rPr>
                        <m:sty m:val="bi"/>
                      </m:rPr>
                      <w:rPr>
                        <w:rFonts w:ascii="Cambria Math" w:hAnsi="Cambria Math"/>
                      </w:rPr>
                      <m:t>i</m:t>
                    </m:r>
                  </m:sub>
                </m:sSub>
                <m:r>
                  <m:rPr>
                    <m:sty m:val="bi"/>
                  </m:rPr>
                  <w:rPr>
                    <w:rFonts w:ascii="Cambria Math" w:hAnsi="Cambria Math"/>
                  </w:rPr>
                  <m:t>=</m:t>
                </m:r>
                <m:nary>
                  <m:naryPr>
                    <m:chr m:val="∑"/>
                    <m:limLoc m:val="undOvr"/>
                    <m:ctrlPr>
                      <w:rPr>
                        <w:rFonts w:ascii="Cambria Math" w:hAnsi="Cambria Math"/>
                        <w:i/>
                      </w:rPr>
                    </m:ctrlPr>
                  </m:naryPr>
                  <m:sub>
                    <m:r>
                      <m:rPr>
                        <m:sty m:val="bi"/>
                      </m:rPr>
                      <w:rPr>
                        <w:rFonts w:ascii="Cambria Math" w:hAnsi="Cambria Math"/>
                      </w:rPr>
                      <m:t>q=1</m:t>
                    </m:r>
                  </m:sub>
                  <m:sup>
                    <m:r>
                      <m:rPr>
                        <m:sty m:val="bi"/>
                      </m:rPr>
                      <w:rPr>
                        <w:rFonts w:ascii="Cambria Math" w:hAnsi="Cambria Math"/>
                      </w:rPr>
                      <m:t>Q</m:t>
                    </m:r>
                  </m:sup>
                  <m:e>
                    <m:sSub>
                      <m:sSubPr>
                        <m:ctrlPr>
                          <w:rPr>
                            <w:rFonts w:ascii="Cambria Math" w:hAnsi="Cambria Math"/>
                            <w:i/>
                          </w:rPr>
                        </m:ctrlPr>
                      </m:sSubPr>
                      <m:e>
                        <m:r>
                          <m:rPr>
                            <m:sty m:val="bi"/>
                          </m:rPr>
                          <w:rPr>
                            <w:rFonts w:ascii="Cambria Math" w:hAnsi="Cambria Math"/>
                          </w:rPr>
                          <m:t>τ</m:t>
                        </m:r>
                      </m:e>
                      <m:sub>
                        <m:r>
                          <m:rPr>
                            <m:sty m:val="bi"/>
                          </m:rPr>
                          <w:rPr>
                            <w:rFonts w:ascii="Cambria Math" w:hAnsi="Cambria Math"/>
                          </w:rPr>
                          <m:t>q</m:t>
                        </m:r>
                      </m:sub>
                    </m:sSub>
                    <m:d>
                      <m:dPr>
                        <m:begChr m:val="["/>
                        <m:endChr m:val="]"/>
                        <m:ctrlPr>
                          <w:rPr>
                            <w:rFonts w:ascii="Cambria Math" w:hAnsi="Cambria Math"/>
                            <w:b w:val="0"/>
                            <w:i/>
                          </w:rPr>
                        </m:ctrlPr>
                      </m:dPr>
                      <m:e>
                        <m:sSub>
                          <m:sSubPr>
                            <m:ctrlPr>
                              <w:rPr>
                                <w:rFonts w:ascii="Cambria Math" w:hAnsi="Cambria Math"/>
                                <w:i/>
                              </w:rPr>
                            </m:ctrlPr>
                          </m:sSubPr>
                          <m:e>
                            <m:r>
                              <m:rPr>
                                <m:sty m:val="bi"/>
                              </m:rPr>
                              <w:rPr>
                                <w:rFonts w:ascii="Cambria Math" w:hAnsi="Cambria Math"/>
                              </w:rPr>
                              <m:t>I</m:t>
                            </m:r>
                          </m:e>
                          <m:sub>
                            <m:r>
                              <m:rPr>
                                <m:sty m:val="bi"/>
                              </m:rPr>
                              <w:rPr>
                                <w:rFonts w:ascii="Cambria Math" w:hAnsi="Cambria Math"/>
                              </w:rPr>
                              <m:t>q</m:t>
                            </m:r>
                          </m:sub>
                        </m:sSub>
                      </m:e>
                    </m:d>
                  </m:e>
                </m:nary>
                <m:r>
                  <m:rPr>
                    <m:sty m:val="bi"/>
                  </m:rPr>
                  <w:rPr>
                    <w:rFonts w:ascii="Cambria Math" w:hAnsi="Cambria Math"/>
                  </w:rPr>
                  <m:t>+</m:t>
                </m:r>
                <m:nary>
                  <m:naryPr>
                    <m:chr m:val="∑"/>
                    <m:limLoc m:val="undOvr"/>
                    <m:ctrlPr>
                      <w:rPr>
                        <w:rFonts w:ascii="Cambria Math" w:hAnsi="Cambria Math"/>
                        <w:i/>
                      </w:rPr>
                    </m:ctrlPr>
                  </m:naryPr>
                  <m:sub>
                    <m:r>
                      <m:rPr>
                        <m:sty m:val="bi"/>
                      </m:rPr>
                      <w:rPr>
                        <w:rFonts w:ascii="Cambria Math" w:hAnsi="Cambria Math"/>
                      </w:rPr>
                      <m:t>m=1</m:t>
                    </m:r>
                  </m:sub>
                  <m:sup>
                    <m:r>
                      <m:rPr>
                        <m:sty m:val="bi"/>
                      </m:rPr>
                      <w:rPr>
                        <w:rFonts w:ascii="Cambria Math" w:hAnsi="Cambria Math"/>
                      </w:rPr>
                      <m:t>M</m:t>
                    </m:r>
                  </m:sup>
                  <m:e>
                    <m:sSub>
                      <m:sSubPr>
                        <m:ctrlPr>
                          <w:rPr>
                            <w:rFonts w:ascii="Cambria Math" w:hAnsi="Cambria Math"/>
                            <w:i/>
                          </w:rPr>
                        </m:ctrlPr>
                      </m:sSubPr>
                      <m:e>
                        <m:r>
                          <m:rPr>
                            <m:sty m:val="bi"/>
                          </m:rPr>
                          <w:rPr>
                            <w:rFonts w:ascii="Cambria Math" w:hAnsi="Cambria Math"/>
                          </w:rPr>
                          <m:t>a</m:t>
                        </m:r>
                      </m:e>
                      <m:sub>
                        <m:r>
                          <m:rPr>
                            <m:sty m:val="bi"/>
                          </m:rPr>
                          <w:rPr>
                            <w:rFonts w:ascii="Cambria Math" w:hAnsi="Cambria Math"/>
                          </w:rPr>
                          <m:t>m</m:t>
                        </m:r>
                      </m:sub>
                    </m:sSub>
                    <m:sSub>
                      <m:sSubPr>
                        <m:ctrlPr>
                          <w:rPr>
                            <w:rFonts w:ascii="Cambria Math" w:hAnsi="Cambria Math"/>
                            <w:i/>
                          </w:rPr>
                        </m:ctrlPr>
                      </m:sSubPr>
                      <m:e>
                        <m:r>
                          <m:rPr>
                            <m:sty m:val="bi"/>
                          </m:rPr>
                          <w:rPr>
                            <w:rFonts w:ascii="Cambria Math" w:hAnsi="Cambria Math"/>
                          </w:rPr>
                          <m:t>x</m:t>
                        </m:r>
                      </m:e>
                      <m:sub>
                        <m:r>
                          <m:rPr>
                            <m:sty m:val="bi"/>
                          </m:rPr>
                          <w:rPr>
                            <w:rFonts w:ascii="Cambria Math" w:hAnsi="Cambria Math"/>
                          </w:rPr>
                          <m:t>im</m:t>
                        </m:r>
                      </m:sub>
                    </m:sSub>
                    <m:r>
                      <m:rPr>
                        <m:sty m:val="bi"/>
                      </m:rPr>
                      <w:rPr>
                        <w:rFonts w:ascii="Cambria Math" w:hAnsi="Cambria Math"/>
                      </w:rPr>
                      <m:t>+β</m:t>
                    </m:r>
                    <m:sSub>
                      <m:sSubPr>
                        <m:ctrlPr>
                          <w:rPr>
                            <w:rFonts w:ascii="Cambria Math" w:hAnsi="Cambria Math"/>
                            <w:i/>
                          </w:rPr>
                        </m:ctrlPr>
                      </m:sSubPr>
                      <m:e>
                        <m:r>
                          <m:rPr>
                            <m:sty m:val="bi"/>
                          </m:rPr>
                          <w:rPr>
                            <w:rFonts w:ascii="Cambria Math" w:hAnsi="Cambria Math"/>
                          </w:rPr>
                          <m:t>T</m:t>
                        </m:r>
                      </m:e>
                      <m:sub>
                        <m:r>
                          <m:rPr>
                            <m:sty m:val="bi"/>
                          </m:rPr>
                          <w:rPr>
                            <w:rFonts w:ascii="Cambria Math" w:hAnsi="Cambria Math"/>
                          </w:rPr>
                          <m:t>i</m:t>
                        </m:r>
                      </m:sub>
                    </m:sSub>
                    <m:r>
                      <m:rPr>
                        <m:sty m:val="bi"/>
                      </m:rPr>
                      <w:rPr>
                        <w:rFonts w:ascii="Cambria Math" w:hAnsi="Cambria Math"/>
                      </w:rPr>
                      <m:t>+</m:t>
                    </m:r>
                    <m:sSub>
                      <m:sSubPr>
                        <m:ctrlPr>
                          <w:rPr>
                            <w:rFonts w:ascii="Cambria Math" w:hAnsi="Cambria Math"/>
                            <w:i/>
                          </w:rPr>
                        </m:ctrlPr>
                      </m:sSubPr>
                      <m:e>
                        <m:r>
                          <m:rPr>
                            <m:sty m:val="bi"/>
                          </m:rPr>
                          <w:rPr>
                            <w:rFonts w:ascii="Cambria Math" w:hAnsi="Cambria Math"/>
                          </w:rPr>
                          <m:t>γ</m:t>
                        </m:r>
                      </m:e>
                      <m:sub>
                        <m:r>
                          <m:rPr>
                            <m:sty m:val="bi"/>
                          </m:rPr>
                          <w:rPr>
                            <w:rFonts w:ascii="Cambria Math" w:hAnsi="Cambria Math"/>
                          </w:rPr>
                          <m:t>k</m:t>
                        </m:r>
                      </m:sub>
                    </m:sSub>
                    <m:r>
                      <m:rPr>
                        <m:sty m:val="bi"/>
                      </m:rPr>
                      <w:rPr>
                        <w:rFonts w:ascii="Cambria Math" w:hAnsi="Cambria Math"/>
                      </w:rPr>
                      <m:t>+</m:t>
                    </m:r>
                    <m:sSub>
                      <m:sSubPr>
                        <m:ctrlPr>
                          <w:rPr>
                            <w:rFonts w:ascii="Cambria Math" w:hAnsi="Cambria Math"/>
                            <w:i/>
                          </w:rPr>
                        </m:ctrlPr>
                      </m:sSubPr>
                      <m:e>
                        <m:r>
                          <m:rPr>
                            <m:sty m:val="bi"/>
                          </m:rPr>
                          <w:rPr>
                            <w:rFonts w:ascii="Cambria Math" w:hAnsi="Cambria Math"/>
                          </w:rPr>
                          <m:t>ϵ</m:t>
                        </m:r>
                      </m:e>
                      <m:sub>
                        <m:r>
                          <m:rPr>
                            <m:sty m:val="bi"/>
                          </m:rPr>
                          <w:rPr>
                            <w:rFonts w:ascii="Cambria Math" w:hAnsi="Cambria Math"/>
                          </w:rPr>
                          <m:t>i</m:t>
                        </m:r>
                      </m:sub>
                    </m:sSub>
                  </m:e>
                </m:nary>
              </m:oMath>
            </m:oMathPara>
          </w:p>
        </w:tc>
        <w:tc>
          <w:tcPr>
            <w:tcW w:w="558" w:type="dxa"/>
            <w:tcBorders>
              <w:top w:val="none" w:sz="0" w:space="0" w:color="auto"/>
              <w:left w:val="none" w:sz="0" w:space="0" w:color="auto"/>
              <w:bottom w:val="none" w:sz="0" w:space="0" w:color="auto"/>
              <w:right w:val="none" w:sz="0" w:space="0" w:color="auto"/>
            </w:tcBorders>
          </w:tcPr>
          <w:p w:rsidR="00D139EC" w:rsidRPr="005633D9" w:rsidRDefault="00D139EC" w:rsidP="00D139EC">
            <w:pPr>
              <w:pStyle w:val="BodyText"/>
            </w:pPr>
          </w:p>
          <w:p w:rsidR="00D139EC" w:rsidRPr="005633D9" w:rsidRDefault="00D139EC" w:rsidP="00D139EC">
            <w:pPr>
              <w:pStyle w:val="BodyText"/>
            </w:pPr>
            <w:r w:rsidRPr="005633D9">
              <w:t>[1]</w:t>
            </w:r>
          </w:p>
        </w:tc>
      </w:tr>
    </w:tbl>
    <w:p w:rsidR="00D139EC" w:rsidRPr="005633D9" w:rsidRDefault="00D139EC" w:rsidP="00D139EC">
      <w:pPr>
        <w:pStyle w:val="BodyText"/>
      </w:pPr>
    </w:p>
    <w:p w:rsidR="00D139EC" w:rsidRPr="005633D9" w:rsidRDefault="00D139EC" w:rsidP="00D139EC">
      <w:pPr>
        <w:pStyle w:val="BodyText"/>
      </w:pPr>
      <w:r w:rsidRPr="005633D9">
        <w:t xml:space="preserve">We will estimate this regression model for all outcome measures regardless of the scaling of the measure </w:t>
      </w:r>
      <w:r w:rsidR="0098067E" w:rsidRPr="005633D9">
        <w:t>(</w:t>
      </w:r>
      <w:r w:rsidRPr="005633D9">
        <w:t xml:space="preserve">i.e., we will </w:t>
      </w:r>
      <w:r w:rsidR="0098067E" w:rsidRPr="005633D9">
        <w:t>use</w:t>
      </w:r>
      <w:r w:rsidRPr="005633D9">
        <w:t xml:space="preserve"> </w:t>
      </w:r>
      <w:r w:rsidR="00D638DA" w:rsidRPr="005633D9">
        <w:t>E</w:t>
      </w:r>
      <w:r w:rsidRPr="005633D9">
        <w:t>quation [1] as a linear probability model for the binary outcomes and as a linear regression for continuous outcomes</w:t>
      </w:r>
      <w:r w:rsidR="0098067E" w:rsidRPr="005633D9">
        <w:t>)</w:t>
      </w:r>
      <w:r w:rsidRPr="005633D9">
        <w:t>.</w:t>
      </w:r>
      <w:r w:rsidR="00243735" w:rsidRPr="005633D9">
        <w:t xml:space="preserve"> </w:t>
      </w:r>
    </w:p>
    <w:p w:rsidR="00D139EC" w:rsidRPr="005633D9" w:rsidRDefault="00D638DA" w:rsidP="00D139EC">
      <w:pPr>
        <w:pStyle w:val="BodyText"/>
      </w:pPr>
      <w:r w:rsidRPr="005633D9">
        <w:lastRenderedPageBreak/>
        <w:t xml:space="preserve">For </w:t>
      </w:r>
      <w:r w:rsidR="0098067E" w:rsidRPr="005633D9">
        <w:t xml:space="preserve">evaluation question </w:t>
      </w:r>
      <w:r w:rsidRPr="005633D9">
        <w:t xml:space="preserve">2, we </w:t>
      </w:r>
      <w:r w:rsidR="00D139EC" w:rsidRPr="005633D9">
        <w:t xml:space="preserve">will estimate </w:t>
      </w:r>
      <w:r w:rsidRPr="005633D9">
        <w:t>E</w:t>
      </w:r>
      <w:r w:rsidR="00D139EC" w:rsidRPr="005633D9">
        <w:t xml:space="preserve">quation [1] using a </w:t>
      </w:r>
      <w:r w:rsidR="0089150F" w:rsidRPr="005633D9">
        <w:t xml:space="preserve">linear </w:t>
      </w:r>
      <w:r w:rsidR="00D139EC" w:rsidRPr="005633D9">
        <w:t xml:space="preserve">probability model where the dependent variable is binary equal to one if the smallholder adopts Aflasafe as prescribed by the pilot and zero if the smallholder does not adopt </w:t>
      </w:r>
      <w:r w:rsidR="00BD154F">
        <w:t xml:space="preserve">it </w:t>
      </w:r>
      <w:r w:rsidR="00D139EC" w:rsidRPr="005633D9">
        <w:t xml:space="preserve">or adopts it with inaccuracies. We will work with the </w:t>
      </w:r>
      <w:r w:rsidR="00B748BA">
        <w:t>P</w:t>
      </w:r>
      <w:r w:rsidR="00D139EC" w:rsidRPr="005633D9">
        <w:t xml:space="preserve">ilot </w:t>
      </w:r>
      <w:r w:rsidR="00B748BA">
        <w:t>M</w:t>
      </w:r>
      <w:r w:rsidR="00D139EC" w:rsidRPr="005633D9">
        <w:t>anager and technology experts to determine the minimum application (and timing) of Aflasafe that can be considered as “adopted</w:t>
      </w:r>
      <w:r w:rsidR="004F2CBF" w:rsidRPr="005633D9">
        <w:t>”.</w:t>
      </w:r>
      <w:r w:rsidR="00D139EC" w:rsidRPr="005633D9">
        <w:t xml:space="preserve"> In addition, we will estimate a linear model where the dependent variable is a continuous variable measuring the </w:t>
      </w:r>
      <w:r w:rsidRPr="005633D9">
        <w:t xml:space="preserve">reported </w:t>
      </w:r>
      <w:r w:rsidR="00D139EC" w:rsidRPr="005633D9">
        <w:t>application of Aflasafe per hectare</w:t>
      </w:r>
      <w:r w:rsidRPr="005633D9">
        <w:t>, and the prevalence of Aflasafe in the harvested maize</w:t>
      </w:r>
      <w:r w:rsidR="00D139EC" w:rsidRPr="005633D9">
        <w:t xml:space="preserve">. The coefficient on the treatment dummy, β, above will give us </w:t>
      </w:r>
      <w:r w:rsidR="001F1A4A" w:rsidRPr="005633D9">
        <w:t xml:space="preserve">project </w:t>
      </w:r>
      <w:r w:rsidR="00D139EC" w:rsidRPr="005633D9">
        <w:t>impact on uptake of Aflasafe.</w:t>
      </w:r>
    </w:p>
    <w:p w:rsidR="00D139EC" w:rsidRPr="005633D9" w:rsidRDefault="00D139EC" w:rsidP="00D139EC">
      <w:pPr>
        <w:pStyle w:val="BodyText"/>
      </w:pPr>
      <w:r w:rsidRPr="005633D9">
        <w:t xml:space="preserve">In order to understand the pathway to this final outcome, we will estimate variations of </w:t>
      </w:r>
      <w:r w:rsidR="00882782" w:rsidRPr="005633D9">
        <w:t>E</w:t>
      </w:r>
      <w:r w:rsidRPr="005633D9">
        <w:t>quation [1] where the outcome variable is knowledge about the Aflasafe technology and access to that technology.</w:t>
      </w:r>
      <w:r w:rsidR="009B7358" w:rsidRPr="005633D9">
        <w:rPr>
          <w:rStyle w:val="FootnoteReference"/>
        </w:rPr>
        <w:footnoteReference w:id="9"/>
      </w:r>
      <w:r w:rsidRPr="005633D9">
        <w:t xml:space="preserve"> We will conduct these ancillary regressions particularly if we do not find a </w:t>
      </w:r>
      <w:r w:rsidR="001F1A4A" w:rsidRPr="005633D9">
        <w:t xml:space="preserve">project </w:t>
      </w:r>
      <w:r w:rsidRPr="005633D9">
        <w:t xml:space="preserve">impact on technology adoption. The results of these two estimations will tell us if the </w:t>
      </w:r>
      <w:r w:rsidR="001F1A4A" w:rsidRPr="005633D9">
        <w:t xml:space="preserve">project </w:t>
      </w:r>
      <w:r w:rsidRPr="005633D9">
        <w:t>had an impact on the smallholders’ knowledge about the technology and their access to it.</w:t>
      </w:r>
    </w:p>
    <w:p w:rsidR="004975D5" w:rsidRPr="005633D9" w:rsidRDefault="004975D5" w:rsidP="00D139EC">
      <w:pPr>
        <w:pStyle w:val="BodyText"/>
      </w:pPr>
      <w:r w:rsidRPr="005633D9">
        <w:t xml:space="preserve">As part of the quantitative analysis to assess awareness, we will also assess if </w:t>
      </w:r>
      <w:r w:rsidR="007A2E54" w:rsidRPr="005633D9">
        <w:t>smallholder</w:t>
      </w:r>
      <w:r w:rsidR="0054587A" w:rsidRPr="005633D9">
        <w:t>s</w:t>
      </w:r>
      <w:r w:rsidRPr="005633D9">
        <w:t xml:space="preserve">’ awareness translates to awareness among household members </w:t>
      </w:r>
      <w:r w:rsidR="0054587A" w:rsidRPr="005633D9">
        <w:t>who</w:t>
      </w:r>
      <w:r w:rsidRPr="005633D9">
        <w:t xml:space="preserve"> are responsible for cooking</w:t>
      </w:r>
      <w:r w:rsidR="0054587A" w:rsidRPr="005633D9">
        <w:t xml:space="preserve"> (typically wome</w:t>
      </w:r>
      <w:r w:rsidRPr="005633D9">
        <w:t>n)</w:t>
      </w:r>
      <w:r w:rsidR="00615CE3" w:rsidRPr="005633D9">
        <w:t>.</w:t>
      </w:r>
      <w:r w:rsidR="00243735" w:rsidRPr="005633D9">
        <w:t xml:space="preserve"> </w:t>
      </w:r>
      <w:r w:rsidR="00615CE3" w:rsidRPr="005633D9">
        <w:t xml:space="preserve">We will also assess </w:t>
      </w:r>
      <w:r w:rsidR="0054587A" w:rsidRPr="005633D9">
        <w:t>whether</w:t>
      </w:r>
      <w:r w:rsidR="00615CE3" w:rsidRPr="005633D9">
        <w:t xml:space="preserve"> the translation of awareness to consumption decisions occurs more easily when </w:t>
      </w:r>
      <w:r w:rsidR="007A2E54" w:rsidRPr="005633D9">
        <w:t>smallholder</w:t>
      </w:r>
      <w:r w:rsidR="00615CE3" w:rsidRPr="005633D9">
        <w:t xml:space="preserve">s are women. </w:t>
      </w:r>
    </w:p>
    <w:p w:rsidR="004E32F8" w:rsidRPr="005633D9" w:rsidRDefault="002B2B01" w:rsidP="005A63BB">
      <w:pPr>
        <w:pStyle w:val="Heading5"/>
        <w:rPr>
          <w:lang w:val="en-GB"/>
        </w:rPr>
      </w:pPr>
      <w:r w:rsidRPr="005633D9">
        <w:rPr>
          <w:lang w:val="en-GB"/>
        </w:rPr>
        <w:t xml:space="preserve">Baseline </w:t>
      </w:r>
      <w:r w:rsidR="002222A4" w:rsidRPr="005633D9">
        <w:rPr>
          <w:lang w:val="en-GB"/>
        </w:rPr>
        <w:t>equivalence</w:t>
      </w:r>
    </w:p>
    <w:p w:rsidR="004E32F8" w:rsidRPr="005633D9" w:rsidRDefault="004E32F8" w:rsidP="004E32F8">
      <w:pPr>
        <w:pStyle w:val="BodyText"/>
      </w:pPr>
      <w:r w:rsidRPr="005633D9">
        <w:t xml:space="preserve">We will report the mean and standard deviation of smallholder baseline characteristics in the treatment and comparison group for all of the regression models that we analyse </w:t>
      </w:r>
      <w:r w:rsidR="00B22F13" w:rsidRPr="005633D9">
        <w:t>(</w:t>
      </w:r>
      <w:r w:rsidRPr="005633D9">
        <w:t>i.e., pooled across all aggregators, pooled across the aggregators that use a randomized controlled design, and separately for the aggregators that are not using a randomized controlled design</w:t>
      </w:r>
      <w:r w:rsidR="00B22F13" w:rsidRPr="005633D9">
        <w:t>)</w:t>
      </w:r>
      <w:r w:rsidRPr="005633D9">
        <w:t>.</w:t>
      </w:r>
      <w:r w:rsidR="00243735" w:rsidRPr="005633D9">
        <w:t xml:space="preserve"> </w:t>
      </w:r>
      <w:r w:rsidRPr="005633D9">
        <w:t>This “baseline equivalence” analysis will indicate which baseline characteristics differ between the treatment and control groups at a statistically significant level; we will discuss the implications of any that do.</w:t>
      </w:r>
      <w:r w:rsidR="00243735" w:rsidRPr="005633D9">
        <w:t xml:space="preserve"> </w:t>
      </w:r>
      <w:r w:rsidRPr="005633D9">
        <w:t>We will also include in the impact regression model any baseline variable that differs significantly between the treatment and control group for a given sample, in addition to including the baseline variables we expect to be important determinants of the outcome of interest in their own rights.</w:t>
      </w:r>
    </w:p>
    <w:p w:rsidR="00D139EC" w:rsidRPr="005633D9" w:rsidRDefault="00D139EC" w:rsidP="005A63BB">
      <w:pPr>
        <w:pStyle w:val="Heading5"/>
        <w:rPr>
          <w:lang w:val="en-GB"/>
        </w:rPr>
      </w:pPr>
      <w:r w:rsidRPr="005633D9">
        <w:rPr>
          <w:lang w:val="en-GB"/>
        </w:rPr>
        <w:t xml:space="preserve">Differential </w:t>
      </w:r>
      <w:r w:rsidR="00C774C1" w:rsidRPr="005633D9">
        <w:rPr>
          <w:lang w:val="en-GB"/>
        </w:rPr>
        <w:t>i</w:t>
      </w:r>
      <w:r w:rsidRPr="005633D9">
        <w:rPr>
          <w:lang w:val="en-GB"/>
        </w:rPr>
        <w:t xml:space="preserve">mpact on </w:t>
      </w:r>
      <w:r w:rsidR="00C774C1" w:rsidRPr="005633D9">
        <w:rPr>
          <w:lang w:val="en-GB"/>
        </w:rPr>
        <w:t>s</w:t>
      </w:r>
      <w:r w:rsidRPr="005633D9">
        <w:rPr>
          <w:lang w:val="en-GB"/>
        </w:rPr>
        <w:t xml:space="preserve">ubgroups of </w:t>
      </w:r>
      <w:r w:rsidR="00C774C1" w:rsidRPr="005633D9">
        <w:rPr>
          <w:lang w:val="en-GB"/>
        </w:rPr>
        <w:t>s</w:t>
      </w:r>
      <w:r w:rsidRPr="005633D9">
        <w:rPr>
          <w:lang w:val="en-GB"/>
        </w:rPr>
        <w:t>mallholders</w:t>
      </w:r>
      <w:r w:rsidR="00047214" w:rsidRPr="005633D9">
        <w:rPr>
          <w:lang w:val="en-GB"/>
        </w:rPr>
        <w:t>, including women</w:t>
      </w:r>
    </w:p>
    <w:p w:rsidR="00D139EC" w:rsidRPr="005633D9" w:rsidRDefault="00D139EC" w:rsidP="00D139EC">
      <w:pPr>
        <w:pStyle w:val="BodyText"/>
      </w:pPr>
      <w:r w:rsidRPr="005633D9">
        <w:t xml:space="preserve">In addition to reporting the overall average treatment effects, we propose to estimate the treatment effects for various subgroups of </w:t>
      </w:r>
      <w:r w:rsidR="00445A5D" w:rsidRPr="005633D9">
        <w:t>interest</w:t>
      </w:r>
      <w:r w:rsidRPr="005633D9">
        <w:t>.</w:t>
      </w:r>
      <w:r w:rsidR="00243735" w:rsidRPr="005633D9">
        <w:t xml:space="preserve"> </w:t>
      </w:r>
      <w:r w:rsidRPr="005633D9">
        <w:t xml:space="preserve">The populations of interest include </w:t>
      </w:r>
      <w:r w:rsidR="00047214" w:rsidRPr="005633D9">
        <w:t>women</w:t>
      </w:r>
      <w:r w:rsidR="00FB75AD" w:rsidRPr="005633D9">
        <w:t xml:space="preserve"> </w:t>
      </w:r>
      <w:r w:rsidR="002109F9" w:rsidRPr="005633D9">
        <w:t xml:space="preserve">and </w:t>
      </w:r>
      <w:r w:rsidRPr="005633D9">
        <w:t>smallholders who at baseline are less credit-constrained, have a higher level of education, have a larger pool of potential labo</w:t>
      </w:r>
      <w:r w:rsidR="002B2B01" w:rsidRPr="005633D9">
        <w:t>u</w:t>
      </w:r>
      <w:r w:rsidRPr="005633D9">
        <w:t>rers, or have more (or more advanced) farming inputs.</w:t>
      </w:r>
      <w:r w:rsidR="00243735" w:rsidRPr="005633D9">
        <w:t xml:space="preserve"> </w:t>
      </w:r>
      <w:r w:rsidRPr="005633D9">
        <w:t xml:space="preserve">All of these groups may experience different intervention impacts </w:t>
      </w:r>
      <w:r w:rsidR="00902354">
        <w:t>from</w:t>
      </w:r>
      <w:r w:rsidR="00902354" w:rsidRPr="005633D9">
        <w:t xml:space="preserve"> </w:t>
      </w:r>
      <w:r w:rsidRPr="005633D9">
        <w:t>smallholders not in these categories.</w:t>
      </w:r>
      <w:r w:rsidR="00243735" w:rsidRPr="005633D9">
        <w:t xml:space="preserve"> </w:t>
      </w:r>
      <w:r w:rsidR="002109F9" w:rsidRPr="005633D9">
        <w:t>We have not built t</w:t>
      </w:r>
      <w:r w:rsidRPr="005633D9">
        <w:t>he outcome survey sample at a scale providing for confident analysis of subgroup-specific effects</w:t>
      </w:r>
      <w:r w:rsidR="002109F9" w:rsidRPr="005633D9">
        <w:t>,</w:t>
      </w:r>
      <w:r w:rsidRPr="005633D9">
        <w:t xml:space="preserve"> given that </w:t>
      </w:r>
      <w:r w:rsidR="002109F9" w:rsidRPr="005633D9">
        <w:t xml:space="preserve">we can use </w:t>
      </w:r>
      <w:r w:rsidRPr="005633D9">
        <w:t>only a portion of the data for each examined subgroup.</w:t>
      </w:r>
      <w:r w:rsidR="00243735" w:rsidRPr="005633D9">
        <w:t xml:space="preserve"> </w:t>
      </w:r>
      <w:r w:rsidRPr="005633D9">
        <w:t>But it will be feasible to detect impacts on subgroups of an important magnitude for outcomes concerning Aflasafe technology adoption (the same is not true for impacts on smallholder income or consumption by subgroup</w:t>
      </w:r>
      <w:r w:rsidR="002109F9" w:rsidRPr="005633D9">
        <w:t>)</w:t>
      </w:r>
      <w:r w:rsidRPr="005633D9">
        <w:t xml:space="preserve">: </w:t>
      </w:r>
    </w:p>
    <w:p w:rsidR="004975D5" w:rsidRPr="005633D9" w:rsidRDefault="004975D5" w:rsidP="00D139EC">
      <w:pPr>
        <w:pStyle w:val="Bullets"/>
      </w:pPr>
      <w:r w:rsidRPr="005633D9">
        <w:lastRenderedPageBreak/>
        <w:t xml:space="preserve">Women </w:t>
      </w:r>
      <w:r w:rsidR="007A2E54" w:rsidRPr="005633D9">
        <w:t>smallholder</w:t>
      </w:r>
      <w:r w:rsidRPr="005633D9">
        <w:t>s</w:t>
      </w:r>
    </w:p>
    <w:p w:rsidR="00D139EC" w:rsidRPr="005633D9" w:rsidRDefault="00D139EC" w:rsidP="00D139EC">
      <w:pPr>
        <w:pStyle w:val="Bullets"/>
      </w:pPr>
      <w:r w:rsidRPr="005633D9">
        <w:t>The top 30</w:t>
      </w:r>
      <w:r w:rsidR="007C2141" w:rsidRPr="005633D9">
        <w:t xml:space="preserve"> percent</w:t>
      </w:r>
      <w:r w:rsidRPr="005633D9">
        <w:t xml:space="preserve"> of smallholders in terms of farm area, versus all other smallholders</w:t>
      </w:r>
    </w:p>
    <w:p w:rsidR="00D139EC" w:rsidRPr="005633D9" w:rsidRDefault="00D139EC" w:rsidP="00D139EC">
      <w:pPr>
        <w:pStyle w:val="Bullets"/>
      </w:pPr>
      <w:r w:rsidRPr="005633D9">
        <w:t>The top 30</w:t>
      </w:r>
      <w:r w:rsidR="007C2141" w:rsidRPr="005633D9">
        <w:t xml:space="preserve"> percent</w:t>
      </w:r>
      <w:r w:rsidRPr="005633D9">
        <w:t xml:space="preserve"> of smallholders in terms of baseline ownership</w:t>
      </w:r>
      <w:r w:rsidR="002109F9" w:rsidRPr="005633D9">
        <w:t xml:space="preserve"> of farming equipment</w:t>
      </w:r>
      <w:r w:rsidRPr="005633D9">
        <w:t>, versus all other smallholders</w:t>
      </w:r>
    </w:p>
    <w:p w:rsidR="00D139EC" w:rsidRPr="005633D9" w:rsidRDefault="00D139EC" w:rsidP="00D139EC">
      <w:pPr>
        <w:pStyle w:val="Bullets"/>
      </w:pPr>
      <w:r w:rsidRPr="005633D9">
        <w:t>The top 30</w:t>
      </w:r>
      <w:r w:rsidR="007C2141" w:rsidRPr="005633D9">
        <w:t xml:space="preserve"> percent</w:t>
      </w:r>
      <w:r w:rsidRPr="005633D9">
        <w:t xml:space="preserve"> of smallholders in terms of baseline farming revenue, versus all other smallholders</w:t>
      </w:r>
      <w:r w:rsidR="0089150F" w:rsidRPr="005633D9">
        <w:t>.</w:t>
      </w:r>
    </w:p>
    <w:p w:rsidR="00D139EC" w:rsidRPr="005633D9" w:rsidRDefault="00D139EC" w:rsidP="00CC5F98">
      <w:pPr>
        <w:pStyle w:val="Heading4"/>
        <w:rPr>
          <w:lang w:val="en-GB"/>
        </w:rPr>
      </w:pPr>
      <w:r w:rsidRPr="005633D9">
        <w:rPr>
          <w:lang w:val="en-GB"/>
        </w:rPr>
        <w:t xml:space="preserve">Data </w:t>
      </w:r>
      <w:r w:rsidR="0089150F" w:rsidRPr="005633D9">
        <w:rPr>
          <w:lang w:val="en-GB"/>
        </w:rPr>
        <w:t>s</w:t>
      </w:r>
      <w:r w:rsidRPr="005633D9">
        <w:rPr>
          <w:lang w:val="en-GB"/>
        </w:rPr>
        <w:t>ource</w:t>
      </w:r>
      <w:r w:rsidR="00D4160A" w:rsidRPr="005633D9">
        <w:rPr>
          <w:lang w:val="en-GB"/>
        </w:rPr>
        <w:t>s</w:t>
      </w:r>
      <w:r w:rsidR="0026707D" w:rsidRPr="005633D9">
        <w:rPr>
          <w:lang w:val="en-GB"/>
        </w:rPr>
        <w:t xml:space="preserve"> </w:t>
      </w:r>
    </w:p>
    <w:p w:rsidR="00D139EC" w:rsidRPr="005633D9" w:rsidRDefault="00D139EC" w:rsidP="00D139EC">
      <w:pPr>
        <w:pStyle w:val="BodyText"/>
      </w:pPr>
      <w:r w:rsidRPr="005633D9">
        <w:t>We will answer question 2</w:t>
      </w:r>
      <w:r w:rsidR="0026707D" w:rsidRPr="005633D9">
        <w:t xml:space="preserve"> (and questions</w:t>
      </w:r>
      <w:r w:rsidRPr="005633D9">
        <w:t xml:space="preserve"> 3 and 4</w:t>
      </w:r>
      <w:r w:rsidR="0026707D" w:rsidRPr="005633D9">
        <w:t>)</w:t>
      </w:r>
      <w:r w:rsidRPr="005633D9">
        <w:t xml:space="preserve"> using panel data collected at the </w:t>
      </w:r>
      <w:r w:rsidR="00394974" w:rsidRPr="005633D9">
        <w:t xml:space="preserve">baseline </w:t>
      </w:r>
      <w:r w:rsidRPr="005633D9">
        <w:t xml:space="preserve">and </w:t>
      </w:r>
      <w:r w:rsidR="00394974" w:rsidRPr="005633D9">
        <w:t>endline</w:t>
      </w:r>
      <w:r w:rsidRPr="005633D9">
        <w:t xml:space="preserve"> of the pilot interventions </w:t>
      </w:r>
      <w:r w:rsidR="0089150F" w:rsidRPr="005633D9">
        <w:t xml:space="preserve">using </w:t>
      </w:r>
      <w:r w:rsidRPr="005633D9">
        <w:t xml:space="preserve">surveys of </w:t>
      </w:r>
      <w:r w:rsidR="0089150F" w:rsidRPr="005633D9">
        <w:t xml:space="preserve">samples of </w:t>
      </w:r>
      <w:r w:rsidRPr="005633D9">
        <w:t>smallholder</w:t>
      </w:r>
      <w:r w:rsidR="0089150F" w:rsidRPr="005633D9">
        <w:t>s</w:t>
      </w:r>
      <w:r w:rsidRPr="005633D9">
        <w:t xml:space="preserve"> drawn from the treatment and control group villages. Our survey instrument</w:t>
      </w:r>
      <w:r w:rsidR="00105982" w:rsidRPr="005633D9">
        <w:t xml:space="preserve"> (see Appendix </w:t>
      </w:r>
      <w:r w:rsidR="00D34D9B">
        <w:t>C</w:t>
      </w:r>
      <w:r w:rsidR="00105982" w:rsidRPr="005633D9">
        <w:t>)</w:t>
      </w:r>
      <w:r w:rsidRPr="005633D9">
        <w:t xml:space="preserve"> uses items from proven survey instruments and thereby takes advantage of questions and methods that have already be</w:t>
      </w:r>
      <w:r w:rsidR="00445A5D" w:rsidRPr="005633D9">
        <w:t>en</w:t>
      </w:r>
      <w:r w:rsidRPr="005633D9">
        <w:t xml:space="preserve"> tested and have established test</w:t>
      </w:r>
      <w:r w:rsidR="00394974" w:rsidRPr="005633D9">
        <w:t>–</w:t>
      </w:r>
      <w:r w:rsidRPr="005633D9">
        <w:t>retest reliability such as the World Bank’s LSMS in Nigeria (</w:t>
      </w:r>
      <w:r w:rsidR="00555285" w:rsidRPr="005633D9">
        <w:t>Abt Associates, 2014</w:t>
      </w:r>
      <w:r w:rsidRPr="005633D9">
        <w:t>).</w:t>
      </w:r>
      <w:r w:rsidR="00243735" w:rsidRPr="005633D9">
        <w:t xml:space="preserve"> </w:t>
      </w:r>
      <w:r w:rsidRPr="005633D9">
        <w:t>The survey instrument includes the following modules and key variables:</w:t>
      </w:r>
    </w:p>
    <w:p w:rsidR="00D139EC" w:rsidRPr="005633D9" w:rsidRDefault="00D139EC" w:rsidP="00F653CC">
      <w:pPr>
        <w:pStyle w:val="BulletsLessSpace"/>
      </w:pPr>
      <w:r w:rsidRPr="005633D9">
        <w:t>Module 1: Household Identification, Demographics and Assets</w:t>
      </w:r>
    </w:p>
    <w:p w:rsidR="00D139EC" w:rsidRPr="005633D9" w:rsidRDefault="00D139EC" w:rsidP="002B2B01">
      <w:pPr>
        <w:pStyle w:val="Bullet2"/>
        <w:rPr>
          <w:lang w:val="en-GB"/>
        </w:rPr>
      </w:pPr>
      <w:r w:rsidRPr="005633D9">
        <w:rPr>
          <w:lang w:val="en-GB"/>
        </w:rPr>
        <w:t>Information on household location, members, education and demographics</w:t>
      </w:r>
      <w:r w:rsidR="00394974" w:rsidRPr="005633D9">
        <w:rPr>
          <w:lang w:val="en-GB"/>
        </w:rPr>
        <w:t>,</w:t>
      </w:r>
      <w:r w:rsidRPr="005633D9">
        <w:rPr>
          <w:lang w:val="en-GB"/>
        </w:rPr>
        <w:t xml:space="preserve"> and physical assets</w:t>
      </w:r>
    </w:p>
    <w:p w:rsidR="00D139EC" w:rsidRPr="005633D9" w:rsidRDefault="00D139EC" w:rsidP="00F653CC">
      <w:pPr>
        <w:pStyle w:val="BulletsLessSpace"/>
      </w:pPr>
      <w:r w:rsidRPr="005633D9">
        <w:t>Module 2: Inputs to Production</w:t>
      </w:r>
    </w:p>
    <w:p w:rsidR="00D139EC" w:rsidRPr="005633D9" w:rsidRDefault="00D139EC" w:rsidP="002B2B01">
      <w:pPr>
        <w:pStyle w:val="Bullet2"/>
        <w:rPr>
          <w:lang w:val="en-GB"/>
        </w:rPr>
      </w:pPr>
      <w:r w:rsidRPr="005633D9">
        <w:rPr>
          <w:lang w:val="en-GB"/>
        </w:rPr>
        <w:t>Plot-level information on land usage,</w:t>
      </w:r>
      <w:r w:rsidR="00394974" w:rsidRPr="005633D9">
        <w:rPr>
          <w:lang w:val="en-GB"/>
        </w:rPr>
        <w:t xml:space="preserve"> agricultural inputs, extension</w:t>
      </w:r>
      <w:r w:rsidRPr="005633D9">
        <w:rPr>
          <w:lang w:val="en-GB"/>
        </w:rPr>
        <w:t xml:space="preserve"> services, </w:t>
      </w:r>
      <w:r w:rsidR="00394974" w:rsidRPr="005633D9">
        <w:rPr>
          <w:lang w:val="en-GB"/>
        </w:rPr>
        <w:t>labour,</w:t>
      </w:r>
      <w:r w:rsidRPr="005633D9">
        <w:rPr>
          <w:lang w:val="en-GB"/>
        </w:rPr>
        <w:t xml:space="preserve"> and practices</w:t>
      </w:r>
    </w:p>
    <w:p w:rsidR="00D139EC" w:rsidRPr="005633D9" w:rsidRDefault="00D139EC" w:rsidP="00F653CC">
      <w:pPr>
        <w:pStyle w:val="BulletsLessSpace"/>
      </w:pPr>
      <w:r w:rsidRPr="005633D9">
        <w:t>Module 3: Harvest and Marketing</w:t>
      </w:r>
    </w:p>
    <w:p w:rsidR="00D139EC" w:rsidRPr="005633D9" w:rsidRDefault="00D139EC" w:rsidP="002B2B01">
      <w:pPr>
        <w:pStyle w:val="Bullet2"/>
        <w:rPr>
          <w:lang w:val="en-GB"/>
        </w:rPr>
      </w:pPr>
      <w:r w:rsidRPr="005633D9">
        <w:rPr>
          <w:lang w:val="en-GB"/>
        </w:rPr>
        <w:t>Plot-level information on harvest amounts, storage practices, total costs</w:t>
      </w:r>
      <w:r w:rsidR="00394974" w:rsidRPr="005633D9">
        <w:rPr>
          <w:lang w:val="en-GB"/>
        </w:rPr>
        <w:t>,</w:t>
      </w:r>
      <w:r w:rsidRPr="005633D9">
        <w:rPr>
          <w:lang w:val="en-GB"/>
        </w:rPr>
        <w:t xml:space="preserve"> and revenues</w:t>
      </w:r>
    </w:p>
    <w:p w:rsidR="00D139EC" w:rsidRPr="005633D9" w:rsidRDefault="00D139EC" w:rsidP="00F653CC">
      <w:pPr>
        <w:pStyle w:val="BulletsLessSpace"/>
      </w:pPr>
      <w:r w:rsidRPr="005633D9">
        <w:t>Module 4: Household Finances</w:t>
      </w:r>
    </w:p>
    <w:p w:rsidR="00D139EC" w:rsidRPr="005633D9" w:rsidRDefault="00D139EC" w:rsidP="002B2B01">
      <w:pPr>
        <w:pStyle w:val="Bullet2"/>
        <w:rPr>
          <w:lang w:val="en-GB"/>
        </w:rPr>
      </w:pPr>
      <w:r w:rsidRPr="005633D9">
        <w:rPr>
          <w:lang w:val="en-GB"/>
        </w:rPr>
        <w:t>Information on non-farm incomes, credit</w:t>
      </w:r>
      <w:r w:rsidR="00394974" w:rsidRPr="005633D9">
        <w:rPr>
          <w:lang w:val="en-GB"/>
        </w:rPr>
        <w:t>,</w:t>
      </w:r>
      <w:r w:rsidRPr="005633D9">
        <w:rPr>
          <w:lang w:val="en-GB"/>
        </w:rPr>
        <w:t xml:space="preserve"> and savings habits</w:t>
      </w:r>
    </w:p>
    <w:p w:rsidR="00D139EC" w:rsidRPr="005633D9" w:rsidRDefault="00D139EC" w:rsidP="00F653CC">
      <w:pPr>
        <w:pStyle w:val="BulletsLessSpace"/>
      </w:pPr>
      <w:r w:rsidRPr="005633D9">
        <w:t>Module 5: Aflatoxin Awareness and Maize Consumption</w:t>
      </w:r>
      <w:r w:rsidR="004975D5" w:rsidRPr="005633D9">
        <w:t xml:space="preserve"> (asked of </w:t>
      </w:r>
      <w:r w:rsidR="00617015" w:rsidRPr="005633D9">
        <w:t xml:space="preserve">lead </w:t>
      </w:r>
      <w:r w:rsidR="007A2E54" w:rsidRPr="005633D9">
        <w:t>smallholder</w:t>
      </w:r>
      <w:r w:rsidR="004975D5" w:rsidRPr="005633D9">
        <w:t xml:space="preserve"> and </w:t>
      </w:r>
      <w:r w:rsidR="00617015" w:rsidRPr="005633D9">
        <w:t>primary person involved in preparing food for</w:t>
      </w:r>
      <w:r w:rsidR="004975D5" w:rsidRPr="005633D9">
        <w:t xml:space="preserve"> the household)</w:t>
      </w:r>
    </w:p>
    <w:p w:rsidR="00D139EC" w:rsidRPr="005633D9" w:rsidRDefault="00D139EC" w:rsidP="002B2B01">
      <w:pPr>
        <w:pStyle w:val="Bullet2"/>
        <w:rPr>
          <w:lang w:val="en-GB"/>
        </w:rPr>
      </w:pPr>
      <w:r w:rsidRPr="005633D9">
        <w:rPr>
          <w:lang w:val="en-GB"/>
        </w:rPr>
        <w:t>Information on knowledge and practices regarding aflatoxin</w:t>
      </w:r>
      <w:r w:rsidR="00BD154F">
        <w:rPr>
          <w:lang w:val="en-GB"/>
        </w:rPr>
        <w:t>s</w:t>
      </w:r>
      <w:r w:rsidRPr="005633D9">
        <w:rPr>
          <w:lang w:val="en-GB"/>
        </w:rPr>
        <w:t xml:space="preserve"> and a complete roster of all children living in </w:t>
      </w:r>
      <w:r w:rsidR="00394974" w:rsidRPr="005633D9">
        <w:rPr>
          <w:lang w:val="en-GB"/>
        </w:rPr>
        <w:t xml:space="preserve">the </w:t>
      </w:r>
      <w:r w:rsidRPr="005633D9">
        <w:rPr>
          <w:lang w:val="en-GB"/>
        </w:rPr>
        <w:t>household and their maize consumption in the last 24 hours.</w:t>
      </w:r>
    </w:p>
    <w:p w:rsidR="00C26383" w:rsidRPr="005633D9" w:rsidRDefault="00C26383" w:rsidP="00AC1804">
      <w:pPr>
        <w:pStyle w:val="Bullets"/>
        <w:numPr>
          <w:ilvl w:val="0"/>
          <w:numId w:val="0"/>
        </w:numPr>
      </w:pPr>
      <w:r w:rsidRPr="005633D9">
        <w:t>In addition to the smallholder survey, we will conduct random sampling of smallholders’ harvested maize to measure the prevalence of Aflasafe.</w:t>
      </w:r>
      <w:r w:rsidR="00243735" w:rsidRPr="005633D9">
        <w:t xml:space="preserve"> </w:t>
      </w:r>
      <w:r w:rsidRPr="005633D9">
        <w:t>Although the details have not been worked out, we anticipate that survey takers will collect small-volume samples of the smallholders’ harvested maize for laboratory testing.</w:t>
      </w:r>
      <w:r w:rsidR="00243735" w:rsidRPr="005633D9">
        <w:t xml:space="preserve"> </w:t>
      </w:r>
    </w:p>
    <w:p w:rsidR="004E32F8" w:rsidRPr="005633D9" w:rsidRDefault="004E32F8" w:rsidP="00CC5F98">
      <w:pPr>
        <w:pStyle w:val="Heading4"/>
        <w:rPr>
          <w:lang w:val="en-GB"/>
        </w:rPr>
      </w:pPr>
      <w:bookmarkStart w:id="37" w:name="_Ref379461072"/>
      <w:r w:rsidRPr="005633D9">
        <w:rPr>
          <w:lang w:val="en-GB"/>
        </w:rPr>
        <w:t xml:space="preserve">Sampling </w:t>
      </w:r>
      <w:r w:rsidR="005A63BB" w:rsidRPr="005633D9">
        <w:rPr>
          <w:lang w:val="en-GB"/>
        </w:rPr>
        <w:t xml:space="preserve">plan </w:t>
      </w:r>
    </w:p>
    <w:p w:rsidR="009A036C" w:rsidRPr="005633D9" w:rsidRDefault="009A036C" w:rsidP="00AC1804">
      <w:pPr>
        <w:pStyle w:val="BodyText"/>
      </w:pPr>
      <w:r w:rsidRPr="005633D9">
        <w:t xml:space="preserve">The overall focus of the evaluation is on the impact of the “average” aggregator; thus, the primary estimate of interest will be the average impact of the AgResults </w:t>
      </w:r>
      <w:r w:rsidR="00394974" w:rsidRPr="005633D9">
        <w:t xml:space="preserve">project </w:t>
      </w:r>
      <w:r w:rsidRPr="005633D9">
        <w:t>across all aggregators.</w:t>
      </w:r>
      <w:r w:rsidR="00243735" w:rsidRPr="005633D9">
        <w:t xml:space="preserve"> </w:t>
      </w:r>
      <w:r w:rsidRPr="005633D9">
        <w:t xml:space="preserve">As a result, the sample </w:t>
      </w:r>
      <w:r w:rsidR="004E32F8" w:rsidRPr="005633D9">
        <w:t>is stratified by aggregators</w:t>
      </w:r>
      <w:r w:rsidRPr="005633D9">
        <w:t>.</w:t>
      </w:r>
      <w:r w:rsidR="00243735" w:rsidRPr="005633D9">
        <w:t xml:space="preserve"> </w:t>
      </w:r>
      <w:r w:rsidRPr="005633D9">
        <w:t>V</w:t>
      </w:r>
      <w:r w:rsidR="004E32F8" w:rsidRPr="005633D9">
        <w:t>illages selected by aggregators for the pilot will be the primary sampling unit</w:t>
      </w:r>
      <w:r w:rsidR="00BD154F">
        <w:t>,</w:t>
      </w:r>
      <w:r w:rsidR="004E32F8" w:rsidRPr="005633D9">
        <w:t xml:space="preserve"> and </w:t>
      </w:r>
      <w:r w:rsidR="007A2E54" w:rsidRPr="005633D9">
        <w:t>smallholder</w:t>
      </w:r>
      <w:r w:rsidR="004E32F8" w:rsidRPr="005633D9">
        <w:t>s identified by aggregators within villages will be the secondary sampling unit.</w:t>
      </w:r>
      <w:r w:rsidR="00243735" w:rsidRPr="005633D9">
        <w:t xml:space="preserve"> </w:t>
      </w:r>
      <w:r w:rsidR="004E32F8" w:rsidRPr="005633D9">
        <w:t xml:space="preserve">The sample will be self-weighting because each AgResults village and each AgResults </w:t>
      </w:r>
      <w:r w:rsidR="007A2E54" w:rsidRPr="005633D9">
        <w:t>smallholder</w:t>
      </w:r>
      <w:r w:rsidR="004E32F8" w:rsidRPr="005633D9">
        <w:t xml:space="preserve"> within the AgResults village will have equal probability of selection.</w:t>
      </w:r>
      <w:r w:rsidR="00243735" w:rsidRPr="005633D9">
        <w:t xml:space="preserve"> </w:t>
      </w:r>
    </w:p>
    <w:p w:rsidR="004E32F8" w:rsidRPr="005633D9" w:rsidRDefault="004E32F8" w:rsidP="00AC1804">
      <w:pPr>
        <w:pStyle w:val="BodyText"/>
      </w:pPr>
      <w:r w:rsidRPr="005633D9">
        <w:lastRenderedPageBreak/>
        <w:t xml:space="preserve">All aggregators (except </w:t>
      </w:r>
      <w:r w:rsidR="00F93043">
        <w:t>one</w:t>
      </w:r>
      <w:r w:rsidRPr="005633D9">
        <w:t xml:space="preserve">) have agreed to provide a complete list of AgResults villages they plan to work </w:t>
      </w:r>
      <w:r w:rsidR="00394974" w:rsidRPr="005633D9">
        <w:t xml:space="preserve">with </w:t>
      </w:r>
      <w:r w:rsidRPr="005633D9">
        <w:t xml:space="preserve">over the course of the pilot. This roster of AgResults villages for all six aggregators that agreed to the randomization constitutes the “population” of a given </w:t>
      </w:r>
      <w:r w:rsidR="007A2E54" w:rsidRPr="005633D9">
        <w:t>aggregator</w:t>
      </w:r>
      <w:r w:rsidRPr="005633D9">
        <w:t xml:space="preserve">’s villages, from which we will randomly assign a subset of villages to each cohort. However, the number of villages allocated to each cohort depends on the individual </w:t>
      </w:r>
      <w:r w:rsidR="007A2E54" w:rsidRPr="005633D9">
        <w:t>aggregator</w:t>
      </w:r>
      <w:r w:rsidRPr="005633D9">
        <w:t>’s preference and capacity to engage villages in each cohort</w:t>
      </w:r>
      <w:r w:rsidR="00394974" w:rsidRPr="005633D9">
        <w:t>,</w:t>
      </w:r>
      <w:r w:rsidRPr="005633D9">
        <w:t xml:space="preserve"> which they conveyed to us during </w:t>
      </w:r>
      <w:r w:rsidR="00882782" w:rsidRPr="005633D9">
        <w:t xml:space="preserve">an </w:t>
      </w:r>
      <w:r w:rsidRPr="005633D9">
        <w:t>evaluation design workshop.</w:t>
      </w:r>
      <w:r w:rsidRPr="005633D9">
        <w:rPr>
          <w:rStyle w:val="FootnoteReference"/>
        </w:rPr>
        <w:footnoteReference w:id="10"/>
      </w:r>
      <w:r w:rsidRPr="005633D9">
        <w:t xml:space="preserve"> For each village the aggregators</w:t>
      </w:r>
      <w:r w:rsidR="00394974" w:rsidRPr="005633D9">
        <w:t xml:space="preserve"> will</w:t>
      </w:r>
      <w:r w:rsidRPr="005633D9">
        <w:t xml:space="preserve"> also provide the list of </w:t>
      </w:r>
      <w:r w:rsidR="007A2E54" w:rsidRPr="005633D9">
        <w:t>smallholder</w:t>
      </w:r>
      <w:r w:rsidRPr="005633D9">
        <w:t xml:space="preserve">s they expect to work </w:t>
      </w:r>
      <w:r w:rsidR="00394974" w:rsidRPr="005633D9">
        <w:t xml:space="preserve">with, </w:t>
      </w:r>
      <w:r w:rsidRPr="005633D9">
        <w:t xml:space="preserve">from which </w:t>
      </w:r>
      <w:r w:rsidR="00394974" w:rsidRPr="005633D9">
        <w:t xml:space="preserve">we will randomly select </w:t>
      </w:r>
      <w:r w:rsidR="007A2E54" w:rsidRPr="005633D9">
        <w:t>smallholder</w:t>
      </w:r>
      <w:r w:rsidRPr="005633D9">
        <w:t>s for interview</w:t>
      </w:r>
      <w:r w:rsidR="00394974" w:rsidRPr="005633D9">
        <w:t>s</w:t>
      </w:r>
      <w:r w:rsidRPr="005633D9">
        <w:t>.</w:t>
      </w:r>
    </w:p>
    <w:p w:rsidR="004E32F8" w:rsidRPr="005633D9" w:rsidRDefault="004E32F8" w:rsidP="004E32F8">
      <w:pPr>
        <w:pStyle w:val="Bullets"/>
        <w:numPr>
          <w:ilvl w:val="0"/>
          <w:numId w:val="0"/>
        </w:numPr>
      </w:pPr>
      <w:r w:rsidRPr="005633D9">
        <w:t xml:space="preserve">For </w:t>
      </w:r>
      <w:r w:rsidR="00F93043">
        <w:t>the one exception (QED implementer)</w:t>
      </w:r>
      <w:r w:rsidRPr="005633D9">
        <w:t xml:space="preserve">, we have identified comparison group villages in </w:t>
      </w:r>
      <w:r w:rsidR="00882782" w:rsidRPr="005633D9">
        <w:t xml:space="preserve">the </w:t>
      </w:r>
      <w:r w:rsidRPr="005633D9">
        <w:t>Bakori and Danja</w:t>
      </w:r>
      <w:r w:rsidR="00882782" w:rsidRPr="005633D9">
        <w:t xml:space="preserve"> </w:t>
      </w:r>
      <w:r w:rsidR="000A24A6" w:rsidRPr="005633D9">
        <w:t xml:space="preserve">LGAs </w:t>
      </w:r>
      <w:r w:rsidR="00882782" w:rsidRPr="005633D9">
        <w:t>in</w:t>
      </w:r>
      <w:r w:rsidRPr="005633D9">
        <w:t xml:space="preserve"> Katsina s</w:t>
      </w:r>
      <w:r w:rsidR="00882782" w:rsidRPr="005633D9">
        <w:t>t</w:t>
      </w:r>
      <w:r w:rsidRPr="005633D9">
        <w:t>ate.</w:t>
      </w:r>
      <w:r w:rsidR="00243735" w:rsidRPr="005633D9">
        <w:t xml:space="preserve"> </w:t>
      </w:r>
      <w:r w:rsidRPr="005633D9">
        <w:t>We will randomly select village</w:t>
      </w:r>
      <w:r w:rsidR="00882782" w:rsidRPr="005633D9">
        <w:t>s</w:t>
      </w:r>
      <w:r w:rsidRPr="005633D9">
        <w:t xml:space="preserve"> from these </w:t>
      </w:r>
      <w:r w:rsidR="00523473" w:rsidRPr="005633D9">
        <w:t xml:space="preserve">LGAs </w:t>
      </w:r>
      <w:r w:rsidRPr="005633D9">
        <w:t>and use systematic</w:t>
      </w:r>
      <w:r w:rsidR="009A036C" w:rsidRPr="005633D9">
        <w:t>, random</w:t>
      </w:r>
      <w:r w:rsidRPr="005633D9">
        <w:t xml:space="preserve"> sampling to select </w:t>
      </w:r>
      <w:r w:rsidR="007A2E54" w:rsidRPr="005633D9">
        <w:t>smallholder</w:t>
      </w:r>
      <w:r w:rsidRPr="005633D9">
        <w:t xml:space="preserve">s within the LGA that meet the </w:t>
      </w:r>
      <w:r w:rsidR="00BD154F">
        <w:t xml:space="preserve">selection </w:t>
      </w:r>
      <w:r w:rsidRPr="005633D9">
        <w:t xml:space="preserve">criteria used by </w:t>
      </w:r>
      <w:r w:rsidR="00F93043">
        <w:t>the QED implementer</w:t>
      </w:r>
      <w:r w:rsidR="009A036C" w:rsidRPr="005633D9">
        <w:t>.</w:t>
      </w:r>
      <w:r w:rsidR="00243735" w:rsidRPr="005633D9">
        <w:t xml:space="preserve"> </w:t>
      </w:r>
    </w:p>
    <w:p w:rsidR="004E32F8" w:rsidRPr="005633D9" w:rsidRDefault="004E32F8" w:rsidP="004E32F8">
      <w:pPr>
        <w:pStyle w:val="BodyText"/>
      </w:pPr>
      <w:r w:rsidRPr="005633D9">
        <w:t>Stratified sampling improves the chances of detect</w:t>
      </w:r>
      <w:r w:rsidR="007359AB" w:rsidRPr="005633D9">
        <w:t>ing aggregator-specific impacts.</w:t>
      </w:r>
      <w:r w:rsidRPr="005633D9">
        <w:t xml:space="preserve"> </w:t>
      </w:r>
      <w:r w:rsidR="007359AB" w:rsidRPr="005633D9">
        <w:t>H</w:t>
      </w:r>
      <w:r w:rsidR="009A036C" w:rsidRPr="005633D9">
        <w:t xml:space="preserve">owever, </w:t>
      </w:r>
      <w:r w:rsidRPr="005633D9">
        <w:t>the chance of detecting aggregato</w:t>
      </w:r>
      <w:r w:rsidR="007359AB" w:rsidRPr="005633D9">
        <w:t>r-specific impacts is still low</w:t>
      </w:r>
      <w:r w:rsidRPr="005633D9">
        <w:t xml:space="preserve"> </w:t>
      </w:r>
      <w:r w:rsidR="007359AB" w:rsidRPr="005633D9">
        <w:t>(</w:t>
      </w:r>
      <w:r w:rsidR="00A04A54" w:rsidRPr="005633D9">
        <w:t xml:space="preserve">i.e., </w:t>
      </w:r>
      <w:r w:rsidRPr="005633D9">
        <w:t>the sample size is unlikely to be adequate to test for statistically significant differences in aggregator-specific impact estimates</w:t>
      </w:r>
      <w:r w:rsidR="007359AB" w:rsidRPr="005633D9">
        <w:t>). The exception is</w:t>
      </w:r>
      <w:r w:rsidR="00AC1804" w:rsidRPr="005633D9">
        <w:t xml:space="preserve"> </w:t>
      </w:r>
      <w:r w:rsidR="00F93043">
        <w:t>the QED implementer</w:t>
      </w:r>
      <w:r w:rsidR="007359AB" w:rsidRPr="005633D9">
        <w:t>,</w:t>
      </w:r>
      <w:r w:rsidR="00AC1804" w:rsidRPr="005633D9">
        <w:t xml:space="preserve"> for which we have sampled adequately to detect aggregator-specific impacts. This is because </w:t>
      </w:r>
      <w:r w:rsidR="00F93043">
        <w:t>the QED implementer</w:t>
      </w:r>
      <w:r w:rsidR="00F93043" w:rsidRPr="005633D9">
        <w:t xml:space="preserve"> </w:t>
      </w:r>
      <w:r w:rsidR="00AC1804" w:rsidRPr="005633D9">
        <w:t>has a very unique model, is expected to work with the largest number of smallholders</w:t>
      </w:r>
      <w:r w:rsidR="00A2401E" w:rsidRPr="005633D9">
        <w:t>,</w:t>
      </w:r>
      <w:r w:rsidR="00AC1804" w:rsidRPr="005633D9">
        <w:t xml:space="preserve"> and may have the biggest impact</w:t>
      </w:r>
      <w:r w:rsidR="00A2401E" w:rsidRPr="005633D9">
        <w:t>.</w:t>
      </w:r>
    </w:p>
    <w:p w:rsidR="004E32F8" w:rsidRPr="005633D9" w:rsidRDefault="004E32F8" w:rsidP="004E32F8">
      <w:pPr>
        <w:pStyle w:val="Bullets"/>
        <w:numPr>
          <w:ilvl w:val="0"/>
          <w:numId w:val="0"/>
        </w:numPr>
      </w:pPr>
      <w:r w:rsidRPr="005633D9">
        <w:t xml:space="preserve">In terms of geography, the study sample will be representative of the type of </w:t>
      </w:r>
      <w:r w:rsidR="007A2E54" w:rsidRPr="005633D9">
        <w:t>smallholder</w:t>
      </w:r>
      <w:r w:rsidRPr="005633D9">
        <w:t xml:space="preserve">s that typical aggregators may engage in contractual arrangements for maize procurement in the </w:t>
      </w:r>
      <w:r w:rsidR="007359AB" w:rsidRPr="005633D9">
        <w:t xml:space="preserve">northern </w:t>
      </w:r>
      <w:r w:rsidRPr="005633D9">
        <w:t xml:space="preserve">states of Nigeria </w:t>
      </w:r>
      <w:r w:rsidR="007359AB" w:rsidRPr="005633D9">
        <w:t>because</w:t>
      </w:r>
      <w:r w:rsidRPr="005633D9">
        <w:t xml:space="preserve"> the study sample will cover the key states in the North: </w:t>
      </w:r>
      <w:r w:rsidR="00347BED" w:rsidRPr="005633D9">
        <w:t>Kaduna, Kano</w:t>
      </w:r>
      <w:r w:rsidR="007359AB" w:rsidRPr="005633D9">
        <w:t>,</w:t>
      </w:r>
      <w:r w:rsidR="00347BED" w:rsidRPr="005633D9">
        <w:t xml:space="preserve"> and Katsina</w:t>
      </w:r>
      <w:r w:rsidRPr="005633D9">
        <w:t xml:space="preserve">. Since the </w:t>
      </w:r>
      <w:r w:rsidR="007359AB" w:rsidRPr="005633D9">
        <w:t xml:space="preserve">northern </w:t>
      </w:r>
      <w:r w:rsidRPr="005633D9">
        <w:t>states of Nigeria are the p</w:t>
      </w:r>
      <w:r w:rsidR="007359AB" w:rsidRPr="005633D9">
        <w:t>rimary maize-</w:t>
      </w:r>
      <w:r w:rsidRPr="005633D9">
        <w:t>growing belt</w:t>
      </w:r>
      <w:r w:rsidR="007359AB" w:rsidRPr="005633D9">
        <w:t>,</w:t>
      </w:r>
      <w:r w:rsidRPr="005633D9">
        <w:t xml:space="preserve"> the results of the evaluation will provide generalizable results for this area. If we are able to include new aggregators from the South, the study results will have broader applicability. Our qualitative investigation that articulates the maize value chain in the North and the South will help us elaborate the potential conditions of success of the pilot, which are typically characteristics that are homogenous within the study sample. </w:t>
      </w:r>
    </w:p>
    <w:p w:rsidR="00D139EC" w:rsidRPr="005633D9" w:rsidRDefault="00D139EC" w:rsidP="00CC5F98">
      <w:pPr>
        <w:pStyle w:val="Heading4"/>
        <w:rPr>
          <w:lang w:val="en-GB"/>
        </w:rPr>
      </w:pPr>
      <w:r w:rsidRPr="005633D9">
        <w:rPr>
          <w:lang w:val="en-GB"/>
        </w:rPr>
        <w:t xml:space="preserve">Power </w:t>
      </w:r>
      <w:r w:rsidR="0089150F" w:rsidRPr="005633D9">
        <w:rPr>
          <w:lang w:val="en-GB"/>
        </w:rPr>
        <w:t>a</w:t>
      </w:r>
      <w:r w:rsidRPr="005633D9">
        <w:rPr>
          <w:lang w:val="en-GB"/>
        </w:rPr>
        <w:t>nalysis</w:t>
      </w:r>
      <w:bookmarkEnd w:id="37"/>
    </w:p>
    <w:p w:rsidR="006566B7" w:rsidRPr="005633D9" w:rsidRDefault="00555285" w:rsidP="006566B7">
      <w:pPr>
        <w:rPr>
          <w:lang w:val="en-GB"/>
        </w:rPr>
      </w:pPr>
      <w:r w:rsidRPr="005633D9">
        <w:rPr>
          <w:lang w:val="en-GB"/>
        </w:rPr>
        <w:t>We will administer t</w:t>
      </w:r>
      <w:r w:rsidR="00F8528F" w:rsidRPr="005633D9">
        <w:rPr>
          <w:lang w:val="en-GB"/>
        </w:rPr>
        <w:t>he surveys to the smallest number of smallholders that will allow for detecting expected impacts with statistical confidence.</w:t>
      </w:r>
      <w:r w:rsidR="00243735" w:rsidRPr="005633D9">
        <w:rPr>
          <w:lang w:val="en-GB"/>
        </w:rPr>
        <w:t xml:space="preserve"> </w:t>
      </w:r>
      <w:r w:rsidR="006566B7" w:rsidRPr="005633D9">
        <w:rPr>
          <w:lang w:val="en-GB"/>
        </w:rPr>
        <w:t>Our power analysis focuses on the minimal detectable impact (MDI), where the MDI is the smallest impact that can be expected to be detected.</w:t>
      </w:r>
      <w:r w:rsidR="00243735" w:rsidRPr="005633D9">
        <w:rPr>
          <w:lang w:val="en-GB"/>
        </w:rPr>
        <w:t xml:space="preserve"> </w:t>
      </w:r>
      <w:r w:rsidR="006566B7" w:rsidRPr="005633D9">
        <w:rPr>
          <w:lang w:val="en-GB"/>
        </w:rPr>
        <w:t xml:space="preserve">We </w:t>
      </w:r>
      <w:r w:rsidRPr="005633D9">
        <w:rPr>
          <w:lang w:val="en-GB"/>
        </w:rPr>
        <w:t>employ typical power parameters</w:t>
      </w:r>
      <w:r w:rsidR="006566B7" w:rsidRPr="005633D9">
        <w:rPr>
          <w:lang w:val="en-GB"/>
        </w:rPr>
        <w:t xml:space="preserve"> </w:t>
      </w:r>
      <w:r w:rsidRPr="005633D9">
        <w:rPr>
          <w:lang w:val="en-GB"/>
        </w:rPr>
        <w:t>(</w:t>
      </w:r>
      <w:r w:rsidR="00A04A54" w:rsidRPr="005633D9">
        <w:rPr>
          <w:lang w:val="en-GB"/>
        </w:rPr>
        <w:t xml:space="preserve">i.e., </w:t>
      </w:r>
      <w:r w:rsidR="006566B7" w:rsidRPr="005633D9">
        <w:rPr>
          <w:lang w:val="en-GB"/>
        </w:rPr>
        <w:t>an 80</w:t>
      </w:r>
      <w:r w:rsidR="007C2141" w:rsidRPr="005633D9">
        <w:rPr>
          <w:lang w:val="en-GB"/>
        </w:rPr>
        <w:t xml:space="preserve"> percent</w:t>
      </w:r>
      <w:r w:rsidR="006566B7" w:rsidRPr="005633D9">
        <w:rPr>
          <w:lang w:val="en-GB"/>
        </w:rPr>
        <w:t xml:space="preserve"> chance that the evaluation will detect the MDI if the impact is as large as the MDI, a 5</w:t>
      </w:r>
      <w:r w:rsidR="007C2141" w:rsidRPr="005633D9">
        <w:rPr>
          <w:lang w:val="en-GB"/>
        </w:rPr>
        <w:t xml:space="preserve"> percent</w:t>
      </w:r>
      <w:r w:rsidR="006566B7" w:rsidRPr="005633D9">
        <w:rPr>
          <w:lang w:val="en-GB"/>
        </w:rPr>
        <w:t xml:space="preserve"> chance that the evaluation will identify a statistically significant effect even if there is no true impact, and the plausibility that the impact may be positive or negative</w:t>
      </w:r>
      <w:r w:rsidRPr="005633D9">
        <w:rPr>
          <w:lang w:val="en-GB"/>
        </w:rPr>
        <w:t>)</w:t>
      </w:r>
      <w:r w:rsidR="006566B7" w:rsidRPr="005633D9">
        <w:rPr>
          <w:lang w:val="en-GB"/>
        </w:rPr>
        <w:t>.</w:t>
      </w:r>
      <w:r w:rsidR="002B2B01" w:rsidRPr="005633D9">
        <w:rPr>
          <w:lang w:val="en-GB"/>
        </w:rPr>
        <w:t xml:space="preserve"> </w:t>
      </w:r>
      <w:r w:rsidR="006566B7" w:rsidRPr="005633D9">
        <w:rPr>
          <w:lang w:val="en-GB"/>
        </w:rPr>
        <w:t>Our calculations follow Schochet (2005) for a cluster-randomized experiment.</w:t>
      </w:r>
      <w:r w:rsidR="00243735" w:rsidRPr="005633D9">
        <w:rPr>
          <w:lang w:val="en-GB"/>
        </w:rPr>
        <w:t xml:space="preserve"> </w:t>
      </w:r>
      <w:r w:rsidR="006566B7" w:rsidRPr="005633D9">
        <w:rPr>
          <w:lang w:val="en-GB"/>
        </w:rPr>
        <w:t xml:space="preserve">Additional assumptions are detailed in Appendix </w:t>
      </w:r>
      <w:r w:rsidRPr="005633D9">
        <w:rPr>
          <w:lang w:val="en-GB"/>
        </w:rPr>
        <w:t>D</w:t>
      </w:r>
      <w:r w:rsidR="006566B7" w:rsidRPr="005633D9">
        <w:rPr>
          <w:lang w:val="en-GB"/>
        </w:rPr>
        <w:t>.</w:t>
      </w:r>
      <w:r w:rsidR="00243735" w:rsidRPr="005633D9">
        <w:rPr>
          <w:lang w:val="en-GB"/>
        </w:rPr>
        <w:t xml:space="preserve"> </w:t>
      </w:r>
    </w:p>
    <w:p w:rsidR="006566B7" w:rsidRPr="005633D9" w:rsidRDefault="006566B7" w:rsidP="00546949">
      <w:pPr>
        <w:rPr>
          <w:lang w:val="en-GB"/>
        </w:rPr>
      </w:pPr>
      <w:r w:rsidRPr="005633D9">
        <w:rPr>
          <w:lang w:val="en-GB"/>
        </w:rPr>
        <w:t xml:space="preserve">To determine the MDI, we took into account the pilot’s business plan and the data we received from the 2013 pre-pilot implementation on expected impacts. In addition, when developing our </w:t>
      </w:r>
      <w:r w:rsidRPr="005633D9">
        <w:rPr>
          <w:lang w:val="en-GB"/>
        </w:rPr>
        <w:lastRenderedPageBreak/>
        <w:t xml:space="preserve">samples we took into account our expectations about adherence to randomization by aggregators so that we account for likely contingencies for compliance and non-compliance </w:t>
      </w:r>
      <w:r w:rsidR="00600FB4" w:rsidRPr="005633D9">
        <w:rPr>
          <w:lang w:val="en-GB"/>
        </w:rPr>
        <w:t>and ensure adequate study power in all scenarios</w:t>
      </w:r>
      <w:r w:rsidRPr="005633D9">
        <w:rPr>
          <w:lang w:val="en-GB"/>
        </w:rPr>
        <w:t>.</w:t>
      </w:r>
      <w:r w:rsidR="00243735" w:rsidRPr="005633D9">
        <w:rPr>
          <w:lang w:val="en-GB"/>
        </w:rPr>
        <w:t xml:space="preserve"> </w:t>
      </w:r>
    </w:p>
    <w:p w:rsidR="00546949" w:rsidRPr="005633D9" w:rsidRDefault="00AD049F" w:rsidP="00A2401E">
      <w:pPr>
        <w:keepNext/>
        <w:rPr>
          <w:lang w:val="en-GB"/>
        </w:rPr>
      </w:pPr>
      <w:r w:rsidRPr="005633D9">
        <w:rPr>
          <w:lang w:val="en-GB"/>
        </w:rPr>
        <w:t>The pre-pilot implementation year</w:t>
      </w:r>
      <w:r w:rsidR="00600FB4" w:rsidRPr="005633D9">
        <w:rPr>
          <w:lang w:val="en-GB"/>
        </w:rPr>
        <w:t>,</w:t>
      </w:r>
      <w:r w:rsidRPr="005633D9">
        <w:rPr>
          <w:lang w:val="en-GB"/>
        </w:rPr>
        <w:t xml:space="preserve"> </w:t>
      </w:r>
      <w:r w:rsidR="00600FB4" w:rsidRPr="005633D9">
        <w:rPr>
          <w:lang w:val="en-GB"/>
        </w:rPr>
        <w:t>as reported by Deloitte, is believed to have achieved the following results</w:t>
      </w:r>
      <w:r w:rsidR="00F81E8B" w:rsidRPr="005633D9">
        <w:rPr>
          <w:lang w:val="en-GB"/>
        </w:rPr>
        <w:t xml:space="preserve"> </w:t>
      </w:r>
      <w:r w:rsidR="00BA4CFE" w:rsidRPr="005633D9">
        <w:rPr>
          <w:lang w:val="en-GB"/>
        </w:rPr>
        <w:t>in one year</w:t>
      </w:r>
      <w:r w:rsidR="006566B7" w:rsidRPr="005633D9">
        <w:rPr>
          <w:lang w:val="en-GB"/>
        </w:rPr>
        <w:t>:</w:t>
      </w:r>
    </w:p>
    <w:p w:rsidR="00546949" w:rsidRPr="005633D9" w:rsidRDefault="00546949" w:rsidP="00F653CC">
      <w:pPr>
        <w:pStyle w:val="Bullets"/>
      </w:pPr>
      <w:r w:rsidRPr="005633D9">
        <w:t xml:space="preserve">An increase of at least </w:t>
      </w:r>
      <w:r w:rsidR="00FE2208" w:rsidRPr="005633D9">
        <w:t xml:space="preserve">43 </w:t>
      </w:r>
      <w:r w:rsidRPr="005633D9">
        <w:t xml:space="preserve">percentage points in the proportion </w:t>
      </w:r>
      <w:r w:rsidR="00FC070C" w:rsidRPr="005633D9">
        <w:t xml:space="preserve">of </w:t>
      </w:r>
      <w:r w:rsidRPr="005633D9">
        <w:t>maize harvest treated with Aflasafe</w:t>
      </w:r>
      <w:r w:rsidR="00CA735A" w:rsidRPr="005633D9">
        <w:t xml:space="preserve"> above the incentive threshold (&gt;70</w:t>
      </w:r>
      <w:r w:rsidR="007C2141" w:rsidRPr="005633D9">
        <w:t xml:space="preserve"> percent</w:t>
      </w:r>
      <w:r w:rsidR="00CA735A" w:rsidRPr="005633D9">
        <w:t xml:space="preserve"> Aflasafe)</w:t>
      </w:r>
      <w:r w:rsidR="00A41298" w:rsidRPr="005633D9">
        <w:rPr>
          <w:rStyle w:val="FootnoteReference"/>
        </w:rPr>
        <w:footnoteReference w:id="11"/>
      </w:r>
    </w:p>
    <w:p w:rsidR="00546949" w:rsidRPr="005633D9" w:rsidRDefault="00546949" w:rsidP="00F653CC">
      <w:pPr>
        <w:pStyle w:val="Bullets"/>
      </w:pPr>
      <w:r w:rsidRPr="005633D9">
        <w:t xml:space="preserve">An increase in net annual </w:t>
      </w:r>
      <w:r w:rsidR="005902D6" w:rsidRPr="005633D9">
        <w:t xml:space="preserve">revenue </w:t>
      </w:r>
      <w:r w:rsidRPr="005633D9">
        <w:t>according to the Aflasafe business plan—</w:t>
      </w:r>
      <w:r w:rsidR="00A04A54" w:rsidRPr="005633D9">
        <w:t xml:space="preserve">i.e., </w:t>
      </w:r>
      <w:r w:rsidRPr="005633D9">
        <w:t>of smallholder income—of $</w:t>
      </w:r>
      <w:r w:rsidR="00AD049F" w:rsidRPr="005633D9">
        <w:t>130</w:t>
      </w:r>
      <w:r w:rsidRPr="005633D9">
        <w:t xml:space="preserve"> per </w:t>
      </w:r>
      <w:r w:rsidR="00AD049F" w:rsidRPr="005633D9">
        <w:t>acre</w:t>
      </w:r>
      <w:r w:rsidRPr="005633D9">
        <w:t>.</w:t>
      </w:r>
      <w:r w:rsidR="00CA735A" w:rsidRPr="005633D9">
        <w:rPr>
          <w:rStyle w:val="FootnoteReference"/>
        </w:rPr>
        <w:footnoteReference w:id="12"/>
      </w:r>
      <w:r w:rsidR="00243735" w:rsidRPr="005633D9">
        <w:t xml:space="preserve"> </w:t>
      </w:r>
    </w:p>
    <w:p w:rsidR="00517966" w:rsidRPr="005633D9" w:rsidRDefault="00517966" w:rsidP="00AC1804">
      <w:pPr>
        <w:pStyle w:val="Heading4"/>
        <w:rPr>
          <w:lang w:val="en-GB"/>
        </w:rPr>
      </w:pPr>
      <w:r w:rsidRPr="005633D9">
        <w:rPr>
          <w:lang w:val="en-GB"/>
        </w:rPr>
        <w:t>Proposed MDI</w:t>
      </w:r>
      <w:r w:rsidR="00342EA4" w:rsidRPr="005633D9">
        <w:rPr>
          <w:lang w:val="en-GB"/>
        </w:rPr>
        <w:t xml:space="preserve"> </w:t>
      </w:r>
    </w:p>
    <w:p w:rsidR="00DF417E" w:rsidRPr="005633D9" w:rsidRDefault="00AC423A" w:rsidP="00546949">
      <w:pPr>
        <w:rPr>
          <w:lang w:val="en-GB"/>
        </w:rPr>
      </w:pPr>
      <w:r w:rsidRPr="005633D9">
        <w:rPr>
          <w:lang w:val="en-GB"/>
        </w:rPr>
        <w:t xml:space="preserve">Recognizing that unforeseen challenges may arise, we adopt a conservative approach of designing a sample with </w:t>
      </w:r>
      <w:r w:rsidR="006566B7" w:rsidRPr="005633D9">
        <w:rPr>
          <w:lang w:val="en-GB"/>
        </w:rPr>
        <w:t>MDIs</w:t>
      </w:r>
      <w:r w:rsidRPr="005633D9">
        <w:rPr>
          <w:lang w:val="en-GB"/>
        </w:rPr>
        <w:t xml:space="preserve"> of 12 percentage points in the proportion of maize treated with Aflasafe</w:t>
      </w:r>
      <w:r w:rsidR="005902D6" w:rsidRPr="005633D9">
        <w:rPr>
          <w:lang w:val="en-GB"/>
        </w:rPr>
        <w:t xml:space="preserve">, and </w:t>
      </w:r>
      <w:r w:rsidRPr="005633D9">
        <w:rPr>
          <w:lang w:val="en-GB"/>
        </w:rPr>
        <w:t xml:space="preserve">$65 in net revenue per acre among targeted </w:t>
      </w:r>
      <w:r w:rsidR="007A2E54" w:rsidRPr="005633D9">
        <w:rPr>
          <w:lang w:val="en-GB"/>
        </w:rPr>
        <w:t>smallholder</w:t>
      </w:r>
      <w:r w:rsidRPr="005633D9">
        <w:rPr>
          <w:lang w:val="en-GB"/>
        </w:rPr>
        <w:t>s</w:t>
      </w:r>
      <w:r w:rsidR="00600FB4" w:rsidRPr="005633D9">
        <w:rPr>
          <w:lang w:val="en-GB"/>
        </w:rPr>
        <w:t xml:space="preserve">. The latter would be achieved if a </w:t>
      </w:r>
      <w:r w:rsidR="005902D6" w:rsidRPr="005633D9">
        <w:rPr>
          <w:lang w:val="en-GB"/>
        </w:rPr>
        <w:t xml:space="preserve">$130 revenue increase </w:t>
      </w:r>
      <w:r w:rsidR="00600FB4" w:rsidRPr="005633D9">
        <w:rPr>
          <w:lang w:val="en-GB"/>
        </w:rPr>
        <w:t xml:space="preserve">occurs </w:t>
      </w:r>
      <w:r w:rsidR="005902D6" w:rsidRPr="005633D9">
        <w:rPr>
          <w:lang w:val="en-GB"/>
        </w:rPr>
        <w:t xml:space="preserve">among targeted </w:t>
      </w:r>
      <w:r w:rsidR="007A2E54" w:rsidRPr="005633D9">
        <w:rPr>
          <w:lang w:val="en-GB"/>
        </w:rPr>
        <w:t>smallholder</w:t>
      </w:r>
      <w:r w:rsidR="005902D6" w:rsidRPr="005633D9">
        <w:rPr>
          <w:lang w:val="en-GB"/>
        </w:rPr>
        <w:t xml:space="preserve">s </w:t>
      </w:r>
      <w:r w:rsidR="00600FB4" w:rsidRPr="005633D9">
        <w:rPr>
          <w:lang w:val="en-GB"/>
        </w:rPr>
        <w:t>even if only 50 percent</w:t>
      </w:r>
      <w:r w:rsidR="005902D6" w:rsidRPr="005633D9">
        <w:rPr>
          <w:lang w:val="en-GB"/>
        </w:rPr>
        <w:t xml:space="preserve"> participate</w:t>
      </w:r>
      <w:r w:rsidRPr="005633D9">
        <w:rPr>
          <w:lang w:val="en-GB"/>
        </w:rPr>
        <w:t xml:space="preserve">. </w:t>
      </w:r>
      <w:r w:rsidR="00546949" w:rsidRPr="005633D9">
        <w:rPr>
          <w:lang w:val="en-GB"/>
        </w:rPr>
        <w:t xml:space="preserve">Since expected impacts are greater than </w:t>
      </w:r>
      <w:r w:rsidR="00600FB4" w:rsidRPr="005633D9">
        <w:rPr>
          <w:lang w:val="en-GB"/>
        </w:rPr>
        <w:t>these</w:t>
      </w:r>
      <w:r w:rsidR="001F34B4">
        <w:rPr>
          <w:lang w:val="en-GB"/>
        </w:rPr>
        <w:t xml:space="preserve"> </w:t>
      </w:r>
      <w:r w:rsidR="00342EA4" w:rsidRPr="005633D9">
        <w:rPr>
          <w:lang w:val="en-GB"/>
        </w:rPr>
        <w:t>MDI</w:t>
      </w:r>
      <w:r w:rsidR="00600FB4" w:rsidRPr="005633D9">
        <w:rPr>
          <w:lang w:val="en-GB"/>
        </w:rPr>
        <w:t>s</w:t>
      </w:r>
      <w:r w:rsidR="00546949" w:rsidRPr="005633D9">
        <w:rPr>
          <w:lang w:val="en-GB"/>
        </w:rPr>
        <w:t xml:space="preserve">, we believe that the evaluation is well powered to detect </w:t>
      </w:r>
      <w:r w:rsidR="007E6A18" w:rsidRPr="005633D9">
        <w:rPr>
          <w:lang w:val="en-GB"/>
        </w:rPr>
        <w:t xml:space="preserve">success from </w:t>
      </w:r>
      <w:r w:rsidRPr="005633D9">
        <w:rPr>
          <w:lang w:val="en-GB"/>
        </w:rPr>
        <w:t>the Aflasafe pilot</w:t>
      </w:r>
      <w:r w:rsidR="007E6A18" w:rsidRPr="005633D9">
        <w:rPr>
          <w:lang w:val="en-GB"/>
        </w:rPr>
        <w:t xml:space="preserve"> should it occur</w:t>
      </w:r>
      <w:r w:rsidRPr="005633D9">
        <w:rPr>
          <w:lang w:val="en-GB"/>
        </w:rPr>
        <w:t>.</w:t>
      </w:r>
      <w:r w:rsidR="00243735" w:rsidRPr="005633D9">
        <w:rPr>
          <w:lang w:val="en-GB"/>
        </w:rPr>
        <w:t xml:space="preserve"> </w:t>
      </w:r>
    </w:p>
    <w:p w:rsidR="00517966" w:rsidRPr="005633D9" w:rsidRDefault="00342EA4" w:rsidP="00AC1804">
      <w:pPr>
        <w:pStyle w:val="Heading4"/>
        <w:rPr>
          <w:lang w:val="en-GB"/>
        </w:rPr>
      </w:pPr>
      <w:r w:rsidRPr="005633D9">
        <w:rPr>
          <w:lang w:val="en-GB"/>
        </w:rPr>
        <w:t xml:space="preserve">Proposed </w:t>
      </w:r>
      <w:r w:rsidR="005A63BB" w:rsidRPr="005633D9">
        <w:rPr>
          <w:lang w:val="en-GB"/>
        </w:rPr>
        <w:t>sample size</w:t>
      </w:r>
    </w:p>
    <w:p w:rsidR="00342EA4" w:rsidRPr="005633D9" w:rsidRDefault="006566B7" w:rsidP="00905EB9">
      <w:pPr>
        <w:rPr>
          <w:lang w:val="en-GB"/>
        </w:rPr>
      </w:pPr>
      <w:r w:rsidRPr="005633D9">
        <w:rPr>
          <w:lang w:val="en-GB"/>
        </w:rPr>
        <w:t xml:space="preserve">Given our </w:t>
      </w:r>
      <w:r w:rsidR="00EB3D8F" w:rsidRPr="005633D9">
        <w:rPr>
          <w:lang w:val="en-GB"/>
        </w:rPr>
        <w:t xml:space="preserve">target </w:t>
      </w:r>
      <w:r w:rsidRPr="005633D9">
        <w:rPr>
          <w:lang w:val="en-GB"/>
        </w:rPr>
        <w:t>MDI and power calculations, t</w:t>
      </w:r>
      <w:r w:rsidR="007F1503" w:rsidRPr="005633D9">
        <w:rPr>
          <w:lang w:val="en-GB"/>
        </w:rPr>
        <w:t>he planned baseline survey in early 2015 will include 1</w:t>
      </w:r>
      <w:r w:rsidR="00645FC6" w:rsidRPr="005633D9">
        <w:rPr>
          <w:lang w:val="en-GB"/>
        </w:rPr>
        <w:t>70</w:t>
      </w:r>
      <w:r w:rsidR="007F1503" w:rsidRPr="005633D9">
        <w:rPr>
          <w:lang w:val="en-GB"/>
        </w:rPr>
        <w:t xml:space="preserve">0 </w:t>
      </w:r>
      <w:r w:rsidR="007E6A18" w:rsidRPr="005633D9">
        <w:rPr>
          <w:lang w:val="en-GB"/>
        </w:rPr>
        <w:t xml:space="preserve">completed interviews with </w:t>
      </w:r>
      <w:r w:rsidR="007A2E54" w:rsidRPr="005633D9">
        <w:rPr>
          <w:lang w:val="en-GB"/>
        </w:rPr>
        <w:t>smallholder</w:t>
      </w:r>
      <w:r w:rsidR="007F1503" w:rsidRPr="005633D9">
        <w:rPr>
          <w:lang w:val="en-GB"/>
        </w:rPr>
        <w:t>s.</w:t>
      </w:r>
      <w:r w:rsidR="00243735" w:rsidRPr="005633D9">
        <w:rPr>
          <w:lang w:val="en-GB"/>
        </w:rPr>
        <w:t xml:space="preserve"> </w:t>
      </w:r>
      <w:r w:rsidR="00905EB9" w:rsidRPr="005633D9">
        <w:rPr>
          <w:lang w:val="en-GB"/>
        </w:rPr>
        <w:t>To arrive at this total, we consider</w:t>
      </w:r>
      <w:r w:rsidR="007E6A18" w:rsidRPr="005633D9">
        <w:rPr>
          <w:lang w:val="en-GB"/>
        </w:rPr>
        <w:t>ed</w:t>
      </w:r>
      <w:r w:rsidR="00905EB9" w:rsidRPr="005633D9">
        <w:rPr>
          <w:lang w:val="en-GB"/>
        </w:rPr>
        <w:t xml:space="preserve"> first the number of </w:t>
      </w:r>
      <w:r w:rsidR="00654E76" w:rsidRPr="005633D9">
        <w:rPr>
          <w:lang w:val="en-GB"/>
        </w:rPr>
        <w:t>endline</w:t>
      </w:r>
      <w:r w:rsidR="00905EB9" w:rsidRPr="005633D9">
        <w:rPr>
          <w:lang w:val="en-GB"/>
        </w:rPr>
        <w:t xml:space="preserve"> survey respondents needed to detect with confidence an average impact on net revenue per acre of $65 among targeted </w:t>
      </w:r>
      <w:r w:rsidR="007A2E54" w:rsidRPr="005633D9">
        <w:rPr>
          <w:lang w:val="en-GB"/>
        </w:rPr>
        <w:t>smallholder</w:t>
      </w:r>
      <w:r w:rsidR="00905EB9" w:rsidRPr="005633D9">
        <w:rPr>
          <w:lang w:val="en-GB"/>
        </w:rPr>
        <w:t>s.</w:t>
      </w:r>
      <w:r w:rsidR="00243735" w:rsidRPr="005633D9">
        <w:rPr>
          <w:lang w:val="en-GB"/>
        </w:rPr>
        <w:t xml:space="preserve"> </w:t>
      </w:r>
      <w:r w:rsidR="00DF417E" w:rsidRPr="005633D9">
        <w:rPr>
          <w:lang w:val="en-GB"/>
        </w:rPr>
        <w:t>Sample sizes</w:t>
      </w:r>
      <w:r w:rsidR="007E6A18" w:rsidRPr="005633D9">
        <w:rPr>
          <w:lang w:val="en-GB"/>
        </w:rPr>
        <w:t xml:space="preserve"> needed</w:t>
      </w:r>
      <w:r w:rsidR="00DF417E" w:rsidRPr="005633D9">
        <w:rPr>
          <w:lang w:val="en-GB"/>
        </w:rPr>
        <w:t xml:space="preserve"> to detect the expected changes in net revenue are higher than those to detect change in proportion of maize treated with Aflasafe; thus, the power analysis and the following discussion focuses solely on net revenue outcomes.</w:t>
      </w:r>
      <w:r w:rsidR="00243735" w:rsidRPr="005633D9">
        <w:rPr>
          <w:lang w:val="en-GB"/>
        </w:rPr>
        <w:t xml:space="preserve"> </w:t>
      </w:r>
    </w:p>
    <w:p w:rsidR="00A44914" w:rsidRPr="005633D9" w:rsidRDefault="00342EA4" w:rsidP="00905EB9">
      <w:pPr>
        <w:rPr>
          <w:lang w:val="en-GB"/>
        </w:rPr>
      </w:pPr>
      <w:r w:rsidRPr="005633D9">
        <w:rPr>
          <w:lang w:val="en-GB"/>
        </w:rPr>
        <w:t>To account for</w:t>
      </w:r>
      <w:r w:rsidR="009A036C" w:rsidRPr="005633D9">
        <w:rPr>
          <w:lang w:val="en-GB"/>
        </w:rPr>
        <w:t xml:space="preserve"> </w:t>
      </w:r>
      <w:r w:rsidR="00905EB9" w:rsidRPr="005633D9">
        <w:rPr>
          <w:lang w:val="en-GB"/>
        </w:rPr>
        <w:t>imperfect adherence to random assignment of villages to implementation cohorts</w:t>
      </w:r>
      <w:r w:rsidR="00D50938" w:rsidRPr="005633D9">
        <w:rPr>
          <w:lang w:val="en-GB"/>
        </w:rPr>
        <w:t>,</w:t>
      </w:r>
      <w:r w:rsidRPr="005633D9">
        <w:rPr>
          <w:lang w:val="en-GB"/>
        </w:rPr>
        <w:t xml:space="preserve"> we have planned a baseline survey that fits all likely contingencies for compliance and non-</w:t>
      </w:r>
      <w:r w:rsidRPr="005633D9">
        <w:rPr>
          <w:lang w:val="en-GB"/>
        </w:rPr>
        <w:lastRenderedPageBreak/>
        <w:t>compliance over the course of the pilot.</w:t>
      </w:r>
      <w:r w:rsidR="002B2B01" w:rsidRPr="005633D9">
        <w:rPr>
          <w:lang w:val="en-GB"/>
        </w:rPr>
        <w:t xml:space="preserve"> </w:t>
      </w:r>
      <w:r w:rsidRPr="005633D9">
        <w:rPr>
          <w:lang w:val="en-GB"/>
        </w:rPr>
        <w:t xml:space="preserve">This is important because we </w:t>
      </w:r>
      <w:r w:rsidR="00905EB9" w:rsidRPr="005633D9">
        <w:rPr>
          <w:lang w:val="en-GB"/>
        </w:rPr>
        <w:t xml:space="preserve">cannot know ahead of time how all members of the </w:t>
      </w:r>
      <w:r w:rsidR="00654E76" w:rsidRPr="005633D9">
        <w:rPr>
          <w:lang w:val="en-GB"/>
        </w:rPr>
        <w:t>endline</w:t>
      </w:r>
      <w:r w:rsidR="00905EB9" w:rsidRPr="005633D9">
        <w:rPr>
          <w:lang w:val="en-GB"/>
        </w:rPr>
        <w:t xml:space="preserve"> survey sample will be used in the impact analysis.</w:t>
      </w:r>
      <w:r w:rsidR="00243735" w:rsidRPr="005633D9">
        <w:rPr>
          <w:lang w:val="en-GB"/>
        </w:rPr>
        <w:t xml:space="preserve"> </w:t>
      </w:r>
      <w:r w:rsidRPr="005633D9">
        <w:rPr>
          <w:lang w:val="en-GB"/>
        </w:rPr>
        <w:t>Therefore, t</w:t>
      </w:r>
      <w:r w:rsidR="00905EB9" w:rsidRPr="005633D9">
        <w:rPr>
          <w:lang w:val="en-GB"/>
        </w:rPr>
        <w:t xml:space="preserve">he necessary size for the </w:t>
      </w:r>
      <w:r w:rsidR="00654E76" w:rsidRPr="005633D9">
        <w:rPr>
          <w:lang w:val="en-GB"/>
        </w:rPr>
        <w:t>endline</w:t>
      </w:r>
      <w:r w:rsidR="00905EB9" w:rsidRPr="005633D9">
        <w:rPr>
          <w:lang w:val="en-GB"/>
        </w:rPr>
        <w:t xml:space="preserve"> survey will depend on the distribution of a total sample size across </w:t>
      </w:r>
      <w:r w:rsidR="007A2E54" w:rsidRPr="005633D9">
        <w:rPr>
          <w:lang w:val="en-GB"/>
        </w:rPr>
        <w:t>aggregator</w:t>
      </w:r>
      <w:r w:rsidR="00905EB9" w:rsidRPr="005633D9">
        <w:rPr>
          <w:lang w:val="en-GB"/>
        </w:rPr>
        <w:t xml:space="preserve">s that </w:t>
      </w:r>
    </w:p>
    <w:p w:rsidR="00A44914" w:rsidRPr="005633D9" w:rsidRDefault="00A2401E" w:rsidP="00AC1804">
      <w:pPr>
        <w:pStyle w:val="Bullets"/>
      </w:pPr>
      <w:r w:rsidRPr="005633D9">
        <w:t>A</w:t>
      </w:r>
      <w:r w:rsidR="00905EB9" w:rsidRPr="005633D9">
        <w:t>dopt an experimental desi</w:t>
      </w:r>
      <w:r w:rsidRPr="005633D9">
        <w:t>gn and implement it faithfully</w:t>
      </w:r>
    </w:p>
    <w:p w:rsidR="00A44914" w:rsidRPr="005633D9" w:rsidRDefault="00A2401E" w:rsidP="00AC1804">
      <w:pPr>
        <w:pStyle w:val="Bullets"/>
      </w:pPr>
      <w:r w:rsidRPr="005633D9">
        <w:t>Adopt an experimental design and achieve only partial adherence</w:t>
      </w:r>
    </w:p>
    <w:p w:rsidR="00A44914" w:rsidRPr="005633D9" w:rsidRDefault="00A2401E" w:rsidP="00AC1804">
      <w:pPr>
        <w:pStyle w:val="Bullets"/>
      </w:pPr>
      <w:r w:rsidRPr="005633D9">
        <w:t xml:space="preserve">Do not </w:t>
      </w:r>
      <w:r w:rsidR="00237279" w:rsidRPr="005633D9">
        <w:t>adopt an experimental design.</w:t>
      </w:r>
    </w:p>
    <w:p w:rsidR="00905EB9" w:rsidRPr="005633D9" w:rsidRDefault="00905EB9" w:rsidP="00A44914">
      <w:pPr>
        <w:rPr>
          <w:lang w:val="en-GB"/>
        </w:rPr>
      </w:pPr>
      <w:r w:rsidRPr="005633D9">
        <w:rPr>
          <w:lang w:val="en-GB"/>
        </w:rPr>
        <w:t xml:space="preserve">We know one </w:t>
      </w:r>
      <w:r w:rsidR="007A2E54" w:rsidRPr="005633D9">
        <w:rPr>
          <w:lang w:val="en-GB"/>
        </w:rPr>
        <w:t>aggregator</w:t>
      </w:r>
      <w:r w:rsidRPr="005633D9">
        <w:rPr>
          <w:lang w:val="en-GB"/>
        </w:rPr>
        <w:t xml:space="preserve"> in this last category with certainty: </w:t>
      </w:r>
      <w:r w:rsidR="00F93043">
        <w:t>the QED implementer</w:t>
      </w:r>
      <w:r w:rsidRPr="005633D9">
        <w:rPr>
          <w:lang w:val="en-GB"/>
        </w:rPr>
        <w:t>.</w:t>
      </w:r>
      <w:r w:rsidR="00243735" w:rsidRPr="005633D9">
        <w:rPr>
          <w:lang w:val="en-GB"/>
        </w:rPr>
        <w:t xml:space="preserve"> </w:t>
      </w:r>
      <w:r w:rsidRPr="005633D9">
        <w:rPr>
          <w:lang w:val="en-GB"/>
        </w:rPr>
        <w:t xml:space="preserve">We also know with certainty the combined group of </w:t>
      </w:r>
      <w:r w:rsidR="007A2E54" w:rsidRPr="005633D9">
        <w:rPr>
          <w:lang w:val="en-GB"/>
        </w:rPr>
        <w:t>aggregator</w:t>
      </w:r>
      <w:r w:rsidRPr="005633D9">
        <w:rPr>
          <w:lang w:val="en-GB"/>
        </w:rPr>
        <w:t>s that will fall into the first two categories.</w:t>
      </w:r>
      <w:r w:rsidR="00243735" w:rsidRPr="005633D9">
        <w:rPr>
          <w:lang w:val="en-GB"/>
        </w:rPr>
        <w:t xml:space="preserve"> </w:t>
      </w:r>
      <w:r w:rsidRPr="005633D9">
        <w:rPr>
          <w:lang w:val="en-GB"/>
        </w:rPr>
        <w:t xml:space="preserve">What we do not know, and cannot know in time for baseline survey administration, is how the six experimental </w:t>
      </w:r>
      <w:r w:rsidR="007A2E54" w:rsidRPr="005633D9">
        <w:rPr>
          <w:lang w:val="en-GB"/>
        </w:rPr>
        <w:t>aggregator</w:t>
      </w:r>
      <w:r w:rsidRPr="005633D9">
        <w:rPr>
          <w:lang w:val="en-GB"/>
        </w:rPr>
        <w:t>s will divide into the adherent and non-adherent sets.</w:t>
      </w:r>
      <w:r w:rsidR="00243735" w:rsidRPr="005633D9">
        <w:rPr>
          <w:lang w:val="en-GB"/>
        </w:rPr>
        <w:t xml:space="preserve"> </w:t>
      </w:r>
      <w:r w:rsidRPr="005633D9">
        <w:rPr>
          <w:lang w:val="en-GB"/>
        </w:rPr>
        <w:t xml:space="preserve">We know neither the number of the six </w:t>
      </w:r>
      <w:r w:rsidR="007A2E54" w:rsidRPr="005633D9">
        <w:rPr>
          <w:lang w:val="en-GB"/>
        </w:rPr>
        <w:t>aggregator</w:t>
      </w:r>
      <w:r w:rsidRPr="005633D9">
        <w:rPr>
          <w:lang w:val="en-GB"/>
        </w:rPr>
        <w:t xml:space="preserve">s that will adhere to the new Cohort B and C randomization nor the number among four </w:t>
      </w:r>
      <w:r w:rsidR="007A2E54" w:rsidRPr="005633D9">
        <w:rPr>
          <w:lang w:val="en-GB"/>
        </w:rPr>
        <w:t>aggregator</w:t>
      </w:r>
      <w:r w:rsidRPr="005633D9">
        <w:rPr>
          <w:lang w:val="en-GB"/>
        </w:rPr>
        <w:t>s currently adhering to the original Cohort A and C randomization that will maintain that randomization for another year.</w:t>
      </w:r>
      <w:r w:rsidR="00A44914" w:rsidRPr="005633D9">
        <w:rPr>
          <w:rStyle w:val="FootnoteReference"/>
          <w:lang w:val="en-GB"/>
        </w:rPr>
        <w:footnoteReference w:id="13"/>
      </w:r>
      <w:r w:rsidR="002B2B01" w:rsidRPr="005633D9">
        <w:rPr>
          <w:lang w:val="en-GB"/>
        </w:rPr>
        <w:t xml:space="preserve"> </w:t>
      </w:r>
    </w:p>
    <w:p w:rsidR="00517966" w:rsidRPr="005633D9" w:rsidRDefault="00A2401E" w:rsidP="00905EB9">
      <w:pPr>
        <w:rPr>
          <w:lang w:val="en-GB"/>
        </w:rPr>
      </w:pPr>
      <w:r w:rsidRPr="005633D9">
        <w:rPr>
          <w:lang w:val="en-GB"/>
        </w:rPr>
        <w:fldChar w:fldCharType="begin"/>
      </w:r>
      <w:r w:rsidRPr="005633D9">
        <w:rPr>
          <w:lang w:val="en-GB"/>
        </w:rPr>
        <w:instrText xml:space="preserve"> REF _Ref403423645 \h </w:instrText>
      </w:r>
      <w:r w:rsidRPr="005633D9">
        <w:rPr>
          <w:lang w:val="en-GB"/>
        </w:rPr>
      </w:r>
      <w:r w:rsidRPr="005633D9">
        <w:rPr>
          <w:lang w:val="en-GB"/>
        </w:rPr>
        <w:fldChar w:fldCharType="separate"/>
      </w:r>
      <w:r w:rsidR="00F33102" w:rsidRPr="005633D9">
        <w:rPr>
          <w:lang w:val="en-GB"/>
        </w:rPr>
        <w:t xml:space="preserve">Table </w:t>
      </w:r>
      <w:r w:rsidR="00F33102">
        <w:rPr>
          <w:noProof/>
          <w:lang w:val="en-GB"/>
        </w:rPr>
        <w:t>3</w:t>
      </w:r>
      <w:r w:rsidR="00F33102" w:rsidRPr="005633D9">
        <w:rPr>
          <w:lang w:val="en-GB"/>
        </w:rPr>
        <w:noBreakHyphen/>
      </w:r>
      <w:r w:rsidR="00F33102">
        <w:rPr>
          <w:noProof/>
          <w:lang w:val="en-GB"/>
        </w:rPr>
        <w:t>3</w:t>
      </w:r>
      <w:r w:rsidRPr="005633D9">
        <w:rPr>
          <w:lang w:val="en-GB"/>
        </w:rPr>
        <w:fldChar w:fldCharType="end"/>
      </w:r>
      <w:r w:rsidR="00905EB9" w:rsidRPr="005633D9">
        <w:rPr>
          <w:lang w:val="en-GB"/>
        </w:rPr>
        <w:t xml:space="preserve"> lists the needed </w:t>
      </w:r>
      <w:r w:rsidR="00654E76" w:rsidRPr="005633D9">
        <w:rPr>
          <w:lang w:val="en-GB"/>
        </w:rPr>
        <w:t>endline</w:t>
      </w:r>
      <w:r w:rsidR="00905EB9" w:rsidRPr="005633D9">
        <w:rPr>
          <w:lang w:val="en-GB"/>
        </w:rPr>
        <w:t xml:space="preserve"> sample sizes of completed </w:t>
      </w:r>
      <w:r w:rsidR="007A2E54" w:rsidRPr="005633D9">
        <w:rPr>
          <w:lang w:val="en-GB"/>
        </w:rPr>
        <w:t>smallholder</w:t>
      </w:r>
      <w:r w:rsidR="00905EB9" w:rsidRPr="005633D9">
        <w:rPr>
          <w:lang w:val="en-GB"/>
        </w:rPr>
        <w:t xml:space="preserve"> interviews to obtain the desired statistical precision under different adherence scenarios.</w:t>
      </w:r>
      <w:r w:rsidR="002B2B01" w:rsidRPr="005633D9">
        <w:rPr>
          <w:lang w:val="en-GB"/>
        </w:rPr>
        <w:t xml:space="preserve"> </w:t>
      </w:r>
      <w:r w:rsidR="00905EB9" w:rsidRPr="005633D9">
        <w:rPr>
          <w:lang w:val="en-GB"/>
        </w:rPr>
        <w:t>The four main panel</w:t>
      </w:r>
      <w:r w:rsidR="00A44914" w:rsidRPr="005633D9">
        <w:rPr>
          <w:lang w:val="en-GB"/>
        </w:rPr>
        <w:t xml:space="preserve"> rows</w:t>
      </w:r>
      <w:r w:rsidR="00905EB9" w:rsidRPr="005633D9">
        <w:rPr>
          <w:lang w:val="en-GB"/>
        </w:rPr>
        <w:t xml:space="preserve"> of the table depict four adherence scenarios for the newly</w:t>
      </w:r>
      <w:r w:rsidR="001D6246">
        <w:rPr>
          <w:lang w:val="en-GB"/>
        </w:rPr>
        <w:t xml:space="preserve"> </w:t>
      </w:r>
      <w:r w:rsidR="00905EB9" w:rsidRPr="005633D9">
        <w:rPr>
          <w:lang w:val="en-GB"/>
        </w:rPr>
        <w:t>created Cohort B versus Cohort C experimental comparison.</w:t>
      </w:r>
      <w:r w:rsidR="00243735" w:rsidRPr="005633D9">
        <w:rPr>
          <w:lang w:val="en-GB"/>
        </w:rPr>
        <w:t xml:space="preserve"> </w:t>
      </w:r>
      <w:r w:rsidR="00905EB9" w:rsidRPr="005633D9">
        <w:rPr>
          <w:lang w:val="en-GB"/>
        </w:rPr>
        <w:t xml:space="preserve">Within each panel appear different adherence scenarios for the existing set of intact experiments constituting the Cohort A versus Cohort C experimental comparison. </w:t>
      </w:r>
      <w:r w:rsidR="00BA4CFE" w:rsidRPr="005633D9">
        <w:rPr>
          <w:lang w:val="en-GB"/>
        </w:rPr>
        <w:t xml:space="preserve">For each of these scenarios, </w:t>
      </w:r>
      <w:r w:rsidR="00372211">
        <w:rPr>
          <w:lang w:val="en-GB"/>
        </w:rPr>
        <w:t xml:space="preserve">columns </w:t>
      </w:r>
      <w:r w:rsidR="00A31A17">
        <w:rPr>
          <w:lang w:val="en-GB"/>
        </w:rPr>
        <w:t>2</w:t>
      </w:r>
      <w:r w:rsidR="00372211">
        <w:rPr>
          <w:lang w:val="en-GB"/>
        </w:rPr>
        <w:t xml:space="preserve"> and </w:t>
      </w:r>
      <w:r w:rsidR="00A31A17">
        <w:rPr>
          <w:lang w:val="en-GB"/>
        </w:rPr>
        <w:t>3</w:t>
      </w:r>
      <w:r w:rsidR="00372211">
        <w:rPr>
          <w:lang w:val="en-GB"/>
        </w:rPr>
        <w:t xml:space="preserve"> </w:t>
      </w:r>
      <w:r w:rsidR="00BA4CFE" w:rsidRPr="005633D9">
        <w:rPr>
          <w:lang w:val="en-GB"/>
        </w:rPr>
        <w:t>give the count of Cohort B plus Cohort C interviews.</w:t>
      </w:r>
      <w:r w:rsidR="00243735" w:rsidRPr="005633D9">
        <w:rPr>
          <w:lang w:val="en-GB"/>
        </w:rPr>
        <w:t xml:space="preserve"> </w:t>
      </w:r>
      <w:r w:rsidR="00372211">
        <w:rPr>
          <w:lang w:val="en-GB"/>
        </w:rPr>
        <w:t>C</w:t>
      </w:r>
      <w:r w:rsidR="00CC40AB" w:rsidRPr="005633D9">
        <w:rPr>
          <w:lang w:val="en-GB"/>
        </w:rPr>
        <w:t>olumn</w:t>
      </w:r>
      <w:r w:rsidR="00BA4CFE" w:rsidRPr="005633D9">
        <w:rPr>
          <w:lang w:val="en-GB"/>
        </w:rPr>
        <w:t xml:space="preserve"> </w:t>
      </w:r>
      <w:r w:rsidR="00A31A17">
        <w:rPr>
          <w:lang w:val="en-GB"/>
        </w:rPr>
        <w:t>4</w:t>
      </w:r>
      <w:r w:rsidR="00372211">
        <w:rPr>
          <w:lang w:val="en-GB"/>
        </w:rPr>
        <w:t xml:space="preserve"> </w:t>
      </w:r>
      <w:r w:rsidR="00BA4CFE" w:rsidRPr="005633D9">
        <w:rPr>
          <w:lang w:val="en-GB"/>
        </w:rPr>
        <w:t xml:space="preserve">gives the number of needed interviews for </w:t>
      </w:r>
      <w:r w:rsidR="00F93043">
        <w:t>the QED implementer</w:t>
      </w:r>
      <w:r w:rsidR="00F93043" w:rsidRPr="005633D9">
        <w:rPr>
          <w:lang w:val="en-GB"/>
        </w:rPr>
        <w:t xml:space="preserve"> </w:t>
      </w:r>
      <w:r w:rsidR="00BA4CFE" w:rsidRPr="005633D9">
        <w:rPr>
          <w:lang w:val="en-GB"/>
        </w:rPr>
        <w:t xml:space="preserve">quasi-experimental impact comparison that is also powered to estimate </w:t>
      </w:r>
      <w:r w:rsidR="00F93043">
        <w:t>the QED implementer</w:t>
      </w:r>
      <w:r w:rsidR="00F93043" w:rsidRPr="005633D9">
        <w:rPr>
          <w:lang w:val="en-GB"/>
        </w:rPr>
        <w:t xml:space="preserve"> </w:t>
      </w:r>
      <w:r w:rsidR="00BA4CFE" w:rsidRPr="005633D9">
        <w:rPr>
          <w:lang w:val="en-GB"/>
        </w:rPr>
        <w:t xml:space="preserve">level impacts with </w:t>
      </w:r>
      <w:r w:rsidR="001D6246">
        <w:rPr>
          <w:lang w:val="en-GB"/>
        </w:rPr>
        <w:t xml:space="preserve">an </w:t>
      </w:r>
      <w:r w:rsidR="00BA4CFE" w:rsidRPr="005633D9">
        <w:rPr>
          <w:lang w:val="en-GB"/>
        </w:rPr>
        <w:t xml:space="preserve">MDI of </w:t>
      </w:r>
      <w:r w:rsidR="00B602B3" w:rsidRPr="005633D9">
        <w:rPr>
          <w:lang w:val="en-GB"/>
        </w:rPr>
        <w:t>$104</w:t>
      </w:r>
      <w:r w:rsidR="00BA4CFE" w:rsidRPr="005633D9">
        <w:rPr>
          <w:lang w:val="en-GB"/>
        </w:rPr>
        <w:t>.</w:t>
      </w:r>
      <w:r w:rsidR="00BA4CFE" w:rsidRPr="005633D9">
        <w:rPr>
          <w:rStyle w:val="FootnoteReference"/>
          <w:lang w:val="en-GB"/>
        </w:rPr>
        <w:footnoteReference w:id="14"/>
      </w:r>
      <w:r w:rsidR="00243735" w:rsidRPr="005633D9">
        <w:rPr>
          <w:lang w:val="en-GB"/>
        </w:rPr>
        <w:t xml:space="preserve"> </w:t>
      </w:r>
      <w:r w:rsidR="00905EB9" w:rsidRPr="005633D9">
        <w:rPr>
          <w:lang w:val="en-GB"/>
        </w:rPr>
        <w:t xml:space="preserve">For example, as displayed in the first panel of the table, if only three of the six experimental </w:t>
      </w:r>
      <w:r w:rsidR="007A2E54" w:rsidRPr="005633D9">
        <w:rPr>
          <w:lang w:val="en-GB"/>
        </w:rPr>
        <w:t>aggregator</w:t>
      </w:r>
      <w:r w:rsidR="00905EB9" w:rsidRPr="005633D9">
        <w:rPr>
          <w:lang w:val="en-GB"/>
        </w:rPr>
        <w:t>s adhere to their randomization protocols that divided Cohorts B and C</w:t>
      </w:r>
      <w:r w:rsidR="00AA5AD0" w:rsidRPr="005633D9">
        <w:rPr>
          <w:lang w:val="en-GB"/>
        </w:rPr>
        <w:t>,</w:t>
      </w:r>
      <w:r w:rsidR="00905EB9" w:rsidRPr="005633D9">
        <w:rPr>
          <w:lang w:val="en-GB"/>
        </w:rPr>
        <w:t xml:space="preserve"> then we will need to obtain 441 completed </w:t>
      </w:r>
      <w:r w:rsidR="00654E76" w:rsidRPr="005633D9">
        <w:rPr>
          <w:lang w:val="en-GB"/>
        </w:rPr>
        <w:t>endline</w:t>
      </w:r>
      <w:r w:rsidR="00905EB9" w:rsidRPr="005633D9">
        <w:rPr>
          <w:lang w:val="en-GB"/>
        </w:rPr>
        <w:t xml:space="preserve"> interviews from </w:t>
      </w:r>
      <w:r w:rsidR="007A2E54" w:rsidRPr="005633D9">
        <w:rPr>
          <w:lang w:val="en-GB"/>
        </w:rPr>
        <w:t>smallholder</w:t>
      </w:r>
      <w:r w:rsidR="00905EB9" w:rsidRPr="005633D9">
        <w:rPr>
          <w:lang w:val="en-GB"/>
        </w:rPr>
        <w:t xml:space="preserve">s associated with those three </w:t>
      </w:r>
      <w:r w:rsidR="007A2E54" w:rsidRPr="005633D9">
        <w:rPr>
          <w:lang w:val="en-GB"/>
        </w:rPr>
        <w:t>aggregator</w:t>
      </w:r>
      <w:r w:rsidR="00905EB9" w:rsidRPr="005633D9">
        <w:rPr>
          <w:lang w:val="en-GB"/>
        </w:rPr>
        <w:t xml:space="preserve">s and 252 completed </w:t>
      </w:r>
      <w:r w:rsidR="00654E76" w:rsidRPr="005633D9">
        <w:rPr>
          <w:lang w:val="en-GB"/>
        </w:rPr>
        <w:t>endline</w:t>
      </w:r>
      <w:r w:rsidR="00905EB9" w:rsidRPr="005633D9">
        <w:rPr>
          <w:lang w:val="en-GB"/>
        </w:rPr>
        <w:t xml:space="preserve"> interviews from </w:t>
      </w:r>
      <w:r w:rsidR="007A2E54" w:rsidRPr="005633D9">
        <w:rPr>
          <w:lang w:val="en-GB"/>
        </w:rPr>
        <w:t>smallholder</w:t>
      </w:r>
      <w:r w:rsidR="00905EB9" w:rsidRPr="005633D9">
        <w:rPr>
          <w:lang w:val="en-GB"/>
        </w:rPr>
        <w:t xml:space="preserve">s associated with the three </w:t>
      </w:r>
      <w:r w:rsidR="007A2E54" w:rsidRPr="005633D9">
        <w:rPr>
          <w:lang w:val="en-GB"/>
        </w:rPr>
        <w:t>aggregator</w:t>
      </w:r>
      <w:r w:rsidR="00905EB9" w:rsidRPr="005633D9">
        <w:rPr>
          <w:lang w:val="en-GB"/>
        </w:rPr>
        <w:t xml:space="preserve">s </w:t>
      </w:r>
      <w:r w:rsidR="00AA5AD0" w:rsidRPr="005633D9">
        <w:rPr>
          <w:lang w:val="en-GB"/>
        </w:rPr>
        <w:t>that</w:t>
      </w:r>
      <w:r w:rsidR="00905EB9" w:rsidRPr="005633D9">
        <w:rPr>
          <w:lang w:val="en-GB"/>
        </w:rPr>
        <w:t xml:space="preserve"> do not adhere to randomization.</w:t>
      </w:r>
      <w:r w:rsidR="00243735" w:rsidRPr="005633D9">
        <w:rPr>
          <w:lang w:val="en-GB"/>
        </w:rPr>
        <w:t xml:space="preserve"> </w:t>
      </w:r>
    </w:p>
    <w:p w:rsidR="007F1503" w:rsidRPr="005633D9" w:rsidRDefault="00A2401E" w:rsidP="00A2401E">
      <w:pPr>
        <w:pStyle w:val="Caption"/>
        <w:rPr>
          <w:lang w:val="en-GB"/>
        </w:rPr>
      </w:pPr>
      <w:bookmarkStart w:id="38" w:name="_Ref403423645"/>
      <w:bookmarkStart w:id="39" w:name="_Toc407700435"/>
      <w:r w:rsidRPr="005633D9">
        <w:rPr>
          <w:lang w:val="en-GB"/>
        </w:rPr>
        <w:lastRenderedPageBreak/>
        <w:t xml:space="preserve">Table </w:t>
      </w:r>
      <w:r w:rsidR="002222A4" w:rsidRPr="005633D9">
        <w:rPr>
          <w:lang w:val="en-GB"/>
        </w:rPr>
        <w:fldChar w:fldCharType="begin"/>
      </w:r>
      <w:r w:rsidR="002222A4" w:rsidRPr="005633D9">
        <w:rPr>
          <w:lang w:val="en-GB"/>
        </w:rPr>
        <w:instrText xml:space="preserve"> STYLEREF 1 \s </w:instrText>
      </w:r>
      <w:r w:rsidR="002222A4" w:rsidRPr="005633D9">
        <w:rPr>
          <w:lang w:val="en-GB"/>
        </w:rPr>
        <w:fldChar w:fldCharType="separate"/>
      </w:r>
      <w:r w:rsidR="00F33102">
        <w:rPr>
          <w:noProof/>
          <w:lang w:val="en-GB"/>
        </w:rPr>
        <w:t>3</w:t>
      </w:r>
      <w:r w:rsidR="002222A4" w:rsidRPr="005633D9">
        <w:rPr>
          <w:lang w:val="en-GB"/>
        </w:rPr>
        <w:fldChar w:fldCharType="end"/>
      </w:r>
      <w:r w:rsidR="00E42393" w:rsidRPr="005633D9">
        <w:rPr>
          <w:lang w:val="en-GB"/>
        </w:rPr>
        <w:noBreakHyphen/>
      </w:r>
      <w:r w:rsidR="002222A4" w:rsidRPr="005633D9">
        <w:rPr>
          <w:lang w:val="en-GB"/>
        </w:rPr>
        <w:fldChar w:fldCharType="begin"/>
      </w:r>
      <w:r w:rsidR="002222A4" w:rsidRPr="005633D9">
        <w:rPr>
          <w:lang w:val="en-GB"/>
        </w:rPr>
        <w:instrText xml:space="preserve"> SEQ Table \* ARABIC \s 1 </w:instrText>
      </w:r>
      <w:r w:rsidR="002222A4" w:rsidRPr="005633D9">
        <w:rPr>
          <w:lang w:val="en-GB"/>
        </w:rPr>
        <w:fldChar w:fldCharType="separate"/>
      </w:r>
      <w:r w:rsidR="00F33102">
        <w:rPr>
          <w:noProof/>
          <w:lang w:val="en-GB"/>
        </w:rPr>
        <w:t>3</w:t>
      </w:r>
      <w:r w:rsidR="002222A4" w:rsidRPr="005633D9">
        <w:rPr>
          <w:lang w:val="en-GB"/>
        </w:rPr>
        <w:fldChar w:fldCharType="end"/>
      </w:r>
      <w:bookmarkEnd w:id="38"/>
      <w:r w:rsidR="00237279" w:rsidRPr="005633D9">
        <w:rPr>
          <w:lang w:val="en-GB"/>
        </w:rPr>
        <w:t>.</w:t>
      </w:r>
      <w:r w:rsidRPr="005633D9">
        <w:rPr>
          <w:lang w:val="en-GB"/>
        </w:rPr>
        <w:tab/>
      </w:r>
      <w:r w:rsidR="007F1503" w:rsidRPr="005633D9">
        <w:rPr>
          <w:lang w:val="en-GB"/>
        </w:rPr>
        <w:t xml:space="preserve">Endline </w:t>
      </w:r>
      <w:r w:rsidR="00575C0C" w:rsidRPr="005633D9">
        <w:rPr>
          <w:lang w:val="en-GB"/>
        </w:rPr>
        <w:t>sample size requirements (successful interviews) for adequate statistical precision</w:t>
      </w:r>
      <w:bookmarkEnd w:id="39"/>
    </w:p>
    <w:tbl>
      <w:tblPr>
        <w:tblW w:w="9540" w:type="dxa"/>
        <w:tblInd w:w="108" w:type="dxa"/>
        <w:tblLayout w:type="fixed"/>
        <w:tblLook w:val="04A0" w:firstRow="1" w:lastRow="0" w:firstColumn="1" w:lastColumn="0" w:noHBand="0" w:noVBand="1"/>
      </w:tblPr>
      <w:tblGrid>
        <w:gridCol w:w="2250"/>
        <w:gridCol w:w="1080"/>
        <w:gridCol w:w="1170"/>
        <w:gridCol w:w="1080"/>
        <w:gridCol w:w="1350"/>
        <w:gridCol w:w="1170"/>
        <w:gridCol w:w="720"/>
        <w:gridCol w:w="720"/>
      </w:tblGrid>
      <w:tr w:rsidR="00F33102" w:rsidRPr="005633D9" w:rsidTr="005622E9">
        <w:trPr>
          <w:tblHeader/>
        </w:trPr>
        <w:tc>
          <w:tcPr>
            <w:tcW w:w="2250" w:type="dxa"/>
            <w:vMerge w:val="restart"/>
            <w:tcBorders>
              <w:top w:val="single" w:sz="8" w:space="0" w:color="auto"/>
              <w:left w:val="single" w:sz="8" w:space="0" w:color="auto"/>
              <w:right w:val="single" w:sz="8" w:space="0" w:color="auto"/>
            </w:tcBorders>
            <w:shd w:val="clear" w:color="auto" w:fill="C3C6A8" w:themeFill="accent4"/>
            <w:noWrap/>
            <w:vAlign w:val="bottom"/>
          </w:tcPr>
          <w:p w:rsidR="00F33102" w:rsidRPr="005633D9" w:rsidRDefault="00F33102" w:rsidP="006F7FC9">
            <w:pPr>
              <w:pStyle w:val="ExhibitColumnHead"/>
              <w:rPr>
                <w:lang w:val="en-GB"/>
              </w:rPr>
            </w:pPr>
            <w:r w:rsidRPr="005633D9">
              <w:rPr>
                <w:lang w:val="en-GB"/>
              </w:rPr>
              <w:t xml:space="preserve">Adherence </w:t>
            </w:r>
            <w:r w:rsidR="00D0789F" w:rsidRPr="005633D9">
              <w:rPr>
                <w:lang w:val="en-GB"/>
              </w:rPr>
              <w:t>to random assignment scenarios</w:t>
            </w:r>
          </w:p>
        </w:tc>
        <w:tc>
          <w:tcPr>
            <w:tcW w:w="3330" w:type="dxa"/>
            <w:gridSpan w:val="3"/>
            <w:tcBorders>
              <w:top w:val="single" w:sz="8" w:space="0" w:color="auto"/>
              <w:left w:val="single" w:sz="8" w:space="0" w:color="auto"/>
              <w:bottom w:val="nil"/>
              <w:right w:val="single" w:sz="8" w:space="0" w:color="auto"/>
            </w:tcBorders>
            <w:shd w:val="clear" w:color="auto" w:fill="C3C6A8" w:themeFill="accent4"/>
            <w:vAlign w:val="bottom"/>
          </w:tcPr>
          <w:p w:rsidR="00F33102" w:rsidRPr="005633D9" w:rsidRDefault="00F33102" w:rsidP="006F7FC9">
            <w:pPr>
              <w:pStyle w:val="ExhibitColumnHead"/>
              <w:rPr>
                <w:lang w:val="en-GB"/>
              </w:rPr>
            </w:pPr>
            <w:r w:rsidRPr="005633D9">
              <w:rPr>
                <w:lang w:val="en-GB"/>
              </w:rPr>
              <w:t>Number of Cohort B and C interviews</w:t>
            </w:r>
          </w:p>
        </w:tc>
        <w:tc>
          <w:tcPr>
            <w:tcW w:w="3240" w:type="dxa"/>
            <w:gridSpan w:val="3"/>
            <w:tcBorders>
              <w:top w:val="single" w:sz="8" w:space="0" w:color="auto"/>
              <w:left w:val="single" w:sz="8" w:space="0" w:color="auto"/>
              <w:bottom w:val="nil"/>
              <w:right w:val="single" w:sz="8" w:space="0" w:color="auto"/>
            </w:tcBorders>
            <w:shd w:val="clear" w:color="auto" w:fill="C3C6A8" w:themeFill="accent4"/>
            <w:vAlign w:val="bottom"/>
          </w:tcPr>
          <w:p w:rsidR="00F33102" w:rsidRPr="005633D9" w:rsidRDefault="00F33102" w:rsidP="006F7FC9">
            <w:pPr>
              <w:pStyle w:val="ExhibitColumnHead"/>
              <w:rPr>
                <w:lang w:val="en-GB"/>
              </w:rPr>
            </w:pPr>
            <w:r w:rsidRPr="005633D9">
              <w:rPr>
                <w:lang w:val="en-GB"/>
              </w:rPr>
              <w:t xml:space="preserve">Number of </w:t>
            </w:r>
            <w:r w:rsidRPr="005633D9">
              <w:rPr>
                <w:i/>
                <w:lang w:val="en-GB"/>
              </w:rPr>
              <w:t xml:space="preserve">additional </w:t>
            </w:r>
            <w:r w:rsidRPr="005633D9">
              <w:rPr>
                <w:lang w:val="en-GB"/>
              </w:rPr>
              <w:t>Cohort A interviews</w:t>
            </w:r>
          </w:p>
        </w:tc>
        <w:tc>
          <w:tcPr>
            <w:tcW w:w="720" w:type="dxa"/>
            <w:tcBorders>
              <w:top w:val="single" w:sz="8" w:space="0" w:color="auto"/>
              <w:left w:val="single" w:sz="8" w:space="0" w:color="auto"/>
              <w:right w:val="single" w:sz="8" w:space="0" w:color="auto"/>
            </w:tcBorders>
            <w:shd w:val="clear" w:color="auto" w:fill="C3C6A8" w:themeFill="accent4"/>
            <w:vAlign w:val="bottom"/>
          </w:tcPr>
          <w:p w:rsidR="00F33102" w:rsidRPr="005633D9" w:rsidRDefault="00F33102" w:rsidP="006F7FC9">
            <w:pPr>
              <w:pStyle w:val="ExhibitColumnHead"/>
              <w:rPr>
                <w:lang w:val="en-GB"/>
              </w:rPr>
            </w:pPr>
            <w:r w:rsidRPr="005633D9">
              <w:rPr>
                <w:lang w:val="en-GB"/>
              </w:rPr>
              <w:t>Total</w:t>
            </w:r>
          </w:p>
        </w:tc>
      </w:tr>
      <w:tr w:rsidR="005622E9" w:rsidRPr="005633D9" w:rsidTr="00BF788C">
        <w:trPr>
          <w:trHeight w:val="1787"/>
          <w:tblHeader/>
        </w:trPr>
        <w:tc>
          <w:tcPr>
            <w:tcW w:w="2250" w:type="dxa"/>
            <w:vMerge/>
            <w:tcBorders>
              <w:left w:val="single" w:sz="8" w:space="0" w:color="auto"/>
              <w:right w:val="single" w:sz="8" w:space="0" w:color="auto"/>
            </w:tcBorders>
            <w:shd w:val="clear" w:color="auto" w:fill="C3C6A8" w:themeFill="accent4"/>
            <w:noWrap/>
            <w:vAlign w:val="bottom"/>
            <w:hideMark/>
          </w:tcPr>
          <w:p w:rsidR="005622E9" w:rsidRPr="005633D9" w:rsidRDefault="005622E9" w:rsidP="006F7FC9">
            <w:pPr>
              <w:pStyle w:val="ExhibitColumnHead"/>
              <w:rPr>
                <w:lang w:val="en-GB"/>
              </w:rPr>
            </w:pPr>
          </w:p>
        </w:tc>
        <w:tc>
          <w:tcPr>
            <w:tcW w:w="1080" w:type="dxa"/>
            <w:tcBorders>
              <w:top w:val="single" w:sz="8" w:space="0" w:color="auto"/>
              <w:left w:val="single" w:sz="8" w:space="0" w:color="auto"/>
              <w:right w:val="single" w:sz="8" w:space="0" w:color="auto"/>
            </w:tcBorders>
            <w:shd w:val="clear" w:color="auto" w:fill="C3C6A8" w:themeFill="accent4"/>
            <w:vAlign w:val="bottom"/>
            <w:hideMark/>
          </w:tcPr>
          <w:p w:rsidR="005622E9" w:rsidRPr="005633D9" w:rsidRDefault="005622E9" w:rsidP="006F7FC9">
            <w:pPr>
              <w:pStyle w:val="ExhibitColumnHead"/>
              <w:rPr>
                <w:lang w:val="en-GB"/>
              </w:rPr>
            </w:pPr>
            <w:r w:rsidRPr="005633D9">
              <w:rPr>
                <w:lang w:val="en-GB"/>
              </w:rPr>
              <w:t>Cohort B &amp; C RCT sample</w:t>
            </w:r>
          </w:p>
        </w:tc>
        <w:tc>
          <w:tcPr>
            <w:tcW w:w="1170" w:type="dxa"/>
            <w:tcBorders>
              <w:top w:val="single" w:sz="8" w:space="0" w:color="auto"/>
              <w:left w:val="single" w:sz="8" w:space="0" w:color="auto"/>
              <w:right w:val="single" w:sz="8" w:space="0" w:color="auto"/>
            </w:tcBorders>
            <w:shd w:val="clear" w:color="auto" w:fill="C3C6A8" w:themeFill="accent4"/>
            <w:vAlign w:val="bottom"/>
            <w:hideMark/>
          </w:tcPr>
          <w:p w:rsidR="005622E9" w:rsidRPr="005633D9" w:rsidRDefault="005622E9" w:rsidP="006F7FC9">
            <w:pPr>
              <w:pStyle w:val="ExhibitColumnHead"/>
              <w:rPr>
                <w:lang w:val="en-GB"/>
              </w:rPr>
            </w:pPr>
            <w:r w:rsidRPr="005633D9">
              <w:rPr>
                <w:lang w:val="en-GB"/>
              </w:rPr>
              <w:t>Corrupted Cohort B &amp; C sample</w:t>
            </w:r>
          </w:p>
        </w:tc>
        <w:tc>
          <w:tcPr>
            <w:tcW w:w="1080" w:type="dxa"/>
            <w:tcBorders>
              <w:top w:val="single" w:sz="8" w:space="0" w:color="auto"/>
              <w:left w:val="single" w:sz="8" w:space="0" w:color="auto"/>
              <w:right w:val="single" w:sz="8" w:space="0" w:color="auto"/>
            </w:tcBorders>
            <w:shd w:val="clear" w:color="auto" w:fill="C3C6A8" w:themeFill="accent4"/>
            <w:vAlign w:val="bottom"/>
            <w:hideMark/>
          </w:tcPr>
          <w:p w:rsidR="005622E9" w:rsidRPr="005633D9" w:rsidRDefault="005622E9" w:rsidP="00F93043">
            <w:pPr>
              <w:pStyle w:val="ExhibitColumnHead"/>
              <w:rPr>
                <w:lang w:val="en-GB"/>
              </w:rPr>
            </w:pPr>
            <w:r w:rsidRPr="005633D9">
              <w:rPr>
                <w:lang w:val="en-GB"/>
              </w:rPr>
              <w:t xml:space="preserve">Cohort B  </w:t>
            </w:r>
            <w:r>
              <w:rPr>
                <w:lang w:val="en-GB"/>
              </w:rPr>
              <w:t xml:space="preserve">+ </w:t>
            </w:r>
            <w:r w:rsidR="00D0789F">
              <w:rPr>
                <w:lang w:val="en-GB"/>
              </w:rPr>
              <w:t>c</w:t>
            </w:r>
            <w:r>
              <w:rPr>
                <w:lang w:val="en-GB"/>
              </w:rPr>
              <w:t>ompari</w:t>
            </w:r>
            <w:r>
              <w:rPr>
                <w:lang w:val="en-GB"/>
              </w:rPr>
              <w:softHyphen/>
              <w:t xml:space="preserve">son </w:t>
            </w:r>
            <w:r w:rsidRPr="005633D9">
              <w:rPr>
                <w:lang w:val="en-GB"/>
              </w:rPr>
              <w:t>sample</w:t>
            </w:r>
          </w:p>
        </w:tc>
        <w:tc>
          <w:tcPr>
            <w:tcW w:w="1350" w:type="dxa"/>
            <w:tcBorders>
              <w:top w:val="single" w:sz="8" w:space="0" w:color="auto"/>
              <w:left w:val="single" w:sz="8" w:space="0" w:color="auto"/>
              <w:bottom w:val="single" w:sz="8" w:space="0" w:color="auto"/>
              <w:right w:val="single" w:sz="8" w:space="0" w:color="auto"/>
            </w:tcBorders>
            <w:shd w:val="clear" w:color="auto" w:fill="C3C6A8" w:themeFill="accent4"/>
            <w:vAlign w:val="bottom"/>
            <w:hideMark/>
          </w:tcPr>
          <w:p w:rsidR="005622E9" w:rsidRPr="005633D9" w:rsidRDefault="005622E9" w:rsidP="006F7FC9">
            <w:pPr>
              <w:pStyle w:val="ExhibitColumnHead"/>
              <w:rPr>
                <w:lang w:val="en-GB"/>
              </w:rPr>
            </w:pPr>
            <w:r w:rsidRPr="005633D9">
              <w:rPr>
                <w:lang w:val="en-GB"/>
              </w:rPr>
              <w:t>Cohort A RCT sample</w:t>
            </w:r>
          </w:p>
        </w:tc>
        <w:tc>
          <w:tcPr>
            <w:tcW w:w="1170" w:type="dxa"/>
            <w:tcBorders>
              <w:top w:val="single" w:sz="8" w:space="0" w:color="auto"/>
              <w:left w:val="single" w:sz="8" w:space="0" w:color="auto"/>
              <w:bottom w:val="single" w:sz="8" w:space="0" w:color="auto"/>
              <w:right w:val="single" w:sz="8" w:space="0" w:color="auto"/>
            </w:tcBorders>
            <w:shd w:val="clear" w:color="auto" w:fill="C3C6A8" w:themeFill="accent4"/>
            <w:vAlign w:val="bottom"/>
            <w:hideMark/>
          </w:tcPr>
          <w:p w:rsidR="005622E9" w:rsidRPr="005633D9" w:rsidRDefault="005622E9" w:rsidP="006F7FC9">
            <w:pPr>
              <w:pStyle w:val="ExhibitColumnHead"/>
              <w:rPr>
                <w:lang w:val="en-GB"/>
              </w:rPr>
            </w:pPr>
            <w:r w:rsidRPr="005633D9">
              <w:rPr>
                <w:lang w:val="en-GB"/>
              </w:rPr>
              <w:t>Corrupted Cohort A sample</w:t>
            </w:r>
          </w:p>
        </w:tc>
        <w:tc>
          <w:tcPr>
            <w:tcW w:w="720" w:type="dxa"/>
            <w:tcBorders>
              <w:top w:val="single" w:sz="4" w:space="0" w:color="auto"/>
              <w:left w:val="single" w:sz="8" w:space="0" w:color="auto"/>
              <w:bottom w:val="single" w:sz="8" w:space="0" w:color="auto"/>
              <w:right w:val="single" w:sz="8" w:space="0" w:color="auto"/>
            </w:tcBorders>
            <w:shd w:val="clear" w:color="auto" w:fill="C3C6A8" w:themeFill="accent4"/>
          </w:tcPr>
          <w:p w:rsidR="005622E9" w:rsidRPr="005633D9" w:rsidRDefault="005622E9" w:rsidP="00F93043">
            <w:pPr>
              <w:pStyle w:val="ExhibitColumnHead"/>
              <w:rPr>
                <w:lang w:val="en-GB"/>
              </w:rPr>
            </w:pPr>
            <w:r>
              <w:rPr>
                <w:lang w:val="en-GB"/>
              </w:rPr>
              <w:t>Co</w:t>
            </w:r>
            <w:r>
              <w:rPr>
                <w:lang w:val="en-GB"/>
              </w:rPr>
              <w:softHyphen/>
              <w:t xml:space="preserve">hort A </w:t>
            </w:r>
          </w:p>
        </w:tc>
        <w:tc>
          <w:tcPr>
            <w:tcW w:w="720" w:type="dxa"/>
            <w:tcBorders>
              <w:left w:val="single" w:sz="8" w:space="0" w:color="auto"/>
              <w:bottom w:val="single" w:sz="8" w:space="0" w:color="auto"/>
              <w:right w:val="single" w:sz="8" w:space="0" w:color="auto"/>
            </w:tcBorders>
            <w:shd w:val="clear" w:color="auto" w:fill="C3C6A8" w:themeFill="accent4"/>
            <w:vAlign w:val="bottom"/>
            <w:hideMark/>
          </w:tcPr>
          <w:p w:rsidR="005622E9" w:rsidRPr="005633D9" w:rsidRDefault="005622E9" w:rsidP="006F7FC9">
            <w:pPr>
              <w:pStyle w:val="ExhibitColumnHead"/>
              <w:rPr>
                <w:lang w:val="en-GB"/>
              </w:rPr>
            </w:pPr>
          </w:p>
        </w:tc>
      </w:tr>
      <w:tr w:rsidR="00A31A17" w:rsidRPr="005633D9" w:rsidTr="00BF788C">
        <w:trPr>
          <w:trHeight w:val="288"/>
        </w:trPr>
        <w:tc>
          <w:tcPr>
            <w:tcW w:w="2250" w:type="dxa"/>
            <w:tcBorders>
              <w:top w:val="single" w:sz="8" w:space="0" w:color="auto"/>
              <w:left w:val="single" w:sz="8" w:space="0" w:color="auto"/>
              <w:bottom w:val="single" w:sz="8" w:space="0" w:color="auto"/>
              <w:right w:val="single" w:sz="8" w:space="0" w:color="auto"/>
            </w:tcBorders>
            <w:shd w:val="clear" w:color="auto" w:fill="E7E8E8" w:themeFill="accent2" w:themeFillTint="33"/>
            <w:noWrap/>
            <w:vAlign w:val="center"/>
          </w:tcPr>
          <w:p w:rsidR="00A31A17" w:rsidRPr="005633D9" w:rsidRDefault="00A31A17" w:rsidP="00A31A17">
            <w:pPr>
              <w:pStyle w:val="ExhibitText"/>
              <w:keepNext/>
              <w:jc w:val="center"/>
              <w:rPr>
                <w:lang w:val="en-GB"/>
              </w:rPr>
            </w:pPr>
            <w:r>
              <w:rPr>
                <w:lang w:val="en-GB"/>
              </w:rPr>
              <w:t>(1)</w:t>
            </w:r>
          </w:p>
        </w:tc>
        <w:tc>
          <w:tcPr>
            <w:tcW w:w="1080" w:type="dxa"/>
            <w:tcBorders>
              <w:top w:val="single" w:sz="8" w:space="0" w:color="auto"/>
              <w:left w:val="single" w:sz="8" w:space="0" w:color="auto"/>
              <w:bottom w:val="single" w:sz="8" w:space="0" w:color="auto"/>
              <w:right w:val="single" w:sz="8" w:space="0" w:color="auto"/>
            </w:tcBorders>
            <w:shd w:val="clear" w:color="auto" w:fill="E7E8E8" w:themeFill="accent2" w:themeFillTint="33"/>
            <w:noWrap/>
            <w:vAlign w:val="center"/>
          </w:tcPr>
          <w:p w:rsidR="00A31A17" w:rsidRPr="005633D9" w:rsidRDefault="00A31A17" w:rsidP="005C1CE5">
            <w:pPr>
              <w:pStyle w:val="ExhibitText"/>
              <w:keepNext/>
              <w:jc w:val="center"/>
              <w:rPr>
                <w:lang w:val="en-GB"/>
              </w:rPr>
            </w:pPr>
            <w:r>
              <w:rPr>
                <w:lang w:val="en-GB"/>
              </w:rPr>
              <w:t>(2)</w:t>
            </w:r>
          </w:p>
        </w:tc>
        <w:tc>
          <w:tcPr>
            <w:tcW w:w="1170" w:type="dxa"/>
            <w:tcBorders>
              <w:top w:val="single" w:sz="8" w:space="0" w:color="auto"/>
              <w:left w:val="single" w:sz="8" w:space="0" w:color="auto"/>
              <w:bottom w:val="single" w:sz="8" w:space="0" w:color="auto"/>
              <w:right w:val="single" w:sz="8" w:space="0" w:color="auto"/>
            </w:tcBorders>
            <w:shd w:val="clear" w:color="auto" w:fill="E7E8E8" w:themeFill="accent2" w:themeFillTint="33"/>
            <w:noWrap/>
            <w:vAlign w:val="center"/>
          </w:tcPr>
          <w:p w:rsidR="00A31A17" w:rsidRPr="005633D9" w:rsidRDefault="00A31A17" w:rsidP="005C1CE5">
            <w:pPr>
              <w:pStyle w:val="ExhibitText"/>
              <w:keepNext/>
              <w:jc w:val="center"/>
              <w:rPr>
                <w:lang w:val="en-GB"/>
              </w:rPr>
            </w:pPr>
            <w:r>
              <w:rPr>
                <w:lang w:val="en-GB"/>
              </w:rPr>
              <w:t>(3)</w:t>
            </w:r>
          </w:p>
        </w:tc>
        <w:tc>
          <w:tcPr>
            <w:tcW w:w="1080" w:type="dxa"/>
            <w:tcBorders>
              <w:top w:val="single" w:sz="8" w:space="0" w:color="auto"/>
              <w:left w:val="single" w:sz="8" w:space="0" w:color="auto"/>
              <w:bottom w:val="single" w:sz="8" w:space="0" w:color="auto"/>
              <w:right w:val="single" w:sz="8" w:space="0" w:color="auto"/>
            </w:tcBorders>
            <w:shd w:val="clear" w:color="auto" w:fill="E7E8E8" w:themeFill="accent2" w:themeFillTint="33"/>
            <w:noWrap/>
            <w:vAlign w:val="center"/>
          </w:tcPr>
          <w:p w:rsidR="00A31A17" w:rsidRPr="005633D9" w:rsidRDefault="00A31A17" w:rsidP="005C1CE5">
            <w:pPr>
              <w:pStyle w:val="ExhibitText"/>
              <w:keepNext/>
              <w:jc w:val="center"/>
              <w:rPr>
                <w:lang w:val="en-GB"/>
              </w:rPr>
            </w:pPr>
            <w:r>
              <w:rPr>
                <w:lang w:val="en-GB"/>
              </w:rPr>
              <w:t>(4)</w:t>
            </w:r>
          </w:p>
        </w:tc>
        <w:tc>
          <w:tcPr>
            <w:tcW w:w="1350" w:type="dxa"/>
            <w:tcBorders>
              <w:top w:val="single" w:sz="8" w:space="0" w:color="auto"/>
              <w:left w:val="single" w:sz="8" w:space="0" w:color="auto"/>
              <w:bottom w:val="single" w:sz="8" w:space="0" w:color="auto"/>
              <w:right w:val="single" w:sz="8" w:space="0" w:color="auto"/>
            </w:tcBorders>
            <w:shd w:val="clear" w:color="auto" w:fill="E7E8E8" w:themeFill="accent2" w:themeFillTint="33"/>
            <w:noWrap/>
            <w:vAlign w:val="center"/>
          </w:tcPr>
          <w:p w:rsidR="00A31A17" w:rsidRPr="005633D9" w:rsidRDefault="00A31A17" w:rsidP="00A31A17">
            <w:pPr>
              <w:pStyle w:val="ExhibitText"/>
              <w:jc w:val="center"/>
              <w:rPr>
                <w:lang w:val="en-GB"/>
              </w:rPr>
            </w:pPr>
            <w:r>
              <w:rPr>
                <w:lang w:val="en-GB"/>
              </w:rPr>
              <w:t>(5)</w:t>
            </w:r>
          </w:p>
        </w:tc>
        <w:tc>
          <w:tcPr>
            <w:tcW w:w="1170" w:type="dxa"/>
            <w:tcBorders>
              <w:top w:val="single" w:sz="8" w:space="0" w:color="auto"/>
              <w:left w:val="single" w:sz="8" w:space="0" w:color="auto"/>
              <w:bottom w:val="single" w:sz="8" w:space="0" w:color="auto"/>
              <w:right w:val="single" w:sz="8" w:space="0" w:color="auto"/>
            </w:tcBorders>
            <w:shd w:val="clear" w:color="auto" w:fill="E7E8E8" w:themeFill="accent2" w:themeFillTint="33"/>
            <w:noWrap/>
            <w:vAlign w:val="center"/>
          </w:tcPr>
          <w:p w:rsidR="00A31A17" w:rsidRPr="005633D9" w:rsidRDefault="00A31A17" w:rsidP="00A31A17">
            <w:pPr>
              <w:pStyle w:val="ExhibitText"/>
              <w:jc w:val="center"/>
              <w:rPr>
                <w:lang w:val="en-GB"/>
              </w:rPr>
            </w:pPr>
            <w:r>
              <w:rPr>
                <w:lang w:val="en-GB"/>
              </w:rPr>
              <w:t>(6)</w:t>
            </w:r>
          </w:p>
        </w:tc>
        <w:tc>
          <w:tcPr>
            <w:tcW w:w="720" w:type="dxa"/>
            <w:tcBorders>
              <w:top w:val="single" w:sz="8" w:space="0" w:color="auto"/>
              <w:left w:val="single" w:sz="8" w:space="0" w:color="auto"/>
              <w:bottom w:val="single" w:sz="8" w:space="0" w:color="auto"/>
              <w:right w:val="single" w:sz="8" w:space="0" w:color="auto"/>
            </w:tcBorders>
            <w:shd w:val="clear" w:color="auto" w:fill="E7E8E8" w:themeFill="accent2" w:themeFillTint="33"/>
            <w:vAlign w:val="center"/>
          </w:tcPr>
          <w:p w:rsidR="00A31A17" w:rsidRPr="005633D9" w:rsidRDefault="00A31A17" w:rsidP="00A31A17">
            <w:pPr>
              <w:pStyle w:val="ExhibitText"/>
              <w:jc w:val="center"/>
              <w:rPr>
                <w:lang w:val="en-GB"/>
              </w:rPr>
            </w:pPr>
            <w:r>
              <w:rPr>
                <w:lang w:val="en-GB"/>
              </w:rPr>
              <w:t>(7)</w:t>
            </w:r>
          </w:p>
        </w:tc>
        <w:tc>
          <w:tcPr>
            <w:tcW w:w="720" w:type="dxa"/>
            <w:tcBorders>
              <w:top w:val="single" w:sz="8" w:space="0" w:color="auto"/>
              <w:left w:val="single" w:sz="8" w:space="0" w:color="auto"/>
              <w:bottom w:val="single" w:sz="8" w:space="0" w:color="auto"/>
              <w:right w:val="single" w:sz="8" w:space="0" w:color="auto"/>
            </w:tcBorders>
            <w:shd w:val="clear" w:color="auto" w:fill="E7E8E8" w:themeFill="accent2" w:themeFillTint="33"/>
            <w:noWrap/>
            <w:vAlign w:val="center"/>
          </w:tcPr>
          <w:p w:rsidR="00A31A17" w:rsidRPr="005633D9" w:rsidRDefault="00A31A17" w:rsidP="00A31A17">
            <w:pPr>
              <w:pStyle w:val="ExhibitText"/>
              <w:jc w:val="center"/>
              <w:rPr>
                <w:lang w:val="en-GB"/>
              </w:rPr>
            </w:pPr>
            <w:r>
              <w:rPr>
                <w:lang w:val="en-GB"/>
              </w:rPr>
              <w:t>(8)</w:t>
            </w:r>
          </w:p>
        </w:tc>
      </w:tr>
      <w:tr w:rsidR="00DE1F5B" w:rsidRPr="005633D9" w:rsidTr="00BF788C">
        <w:trPr>
          <w:trHeight w:val="288"/>
        </w:trPr>
        <w:tc>
          <w:tcPr>
            <w:tcW w:w="2250" w:type="dxa"/>
            <w:tcBorders>
              <w:top w:val="single" w:sz="8" w:space="0" w:color="auto"/>
              <w:left w:val="single" w:sz="8" w:space="0" w:color="auto"/>
              <w:bottom w:val="single" w:sz="8" w:space="0" w:color="auto"/>
              <w:right w:val="single" w:sz="8" w:space="0" w:color="auto"/>
            </w:tcBorders>
            <w:shd w:val="clear" w:color="auto" w:fill="E7E8E8" w:themeFill="accent2" w:themeFillTint="33"/>
            <w:noWrap/>
            <w:vAlign w:val="center"/>
            <w:hideMark/>
          </w:tcPr>
          <w:p w:rsidR="00DE1F5B" w:rsidRPr="005633D9" w:rsidRDefault="00DE1F5B" w:rsidP="00E86A86">
            <w:pPr>
              <w:pStyle w:val="ExhibitText"/>
              <w:keepNext/>
              <w:rPr>
                <w:lang w:val="en-GB"/>
              </w:rPr>
            </w:pPr>
            <w:r w:rsidRPr="005633D9">
              <w:rPr>
                <w:lang w:val="en-GB"/>
              </w:rPr>
              <w:t>B vs C</w:t>
            </w:r>
            <w:r>
              <w:rPr>
                <w:lang w:val="en-GB"/>
              </w:rPr>
              <w:t xml:space="preserve">: </w:t>
            </w:r>
            <w:r w:rsidRPr="005633D9">
              <w:rPr>
                <w:lang w:val="en-GB"/>
              </w:rPr>
              <w:t xml:space="preserve">3 of 6 adhere </w:t>
            </w:r>
          </w:p>
        </w:tc>
        <w:tc>
          <w:tcPr>
            <w:tcW w:w="1080" w:type="dxa"/>
            <w:tcBorders>
              <w:top w:val="single" w:sz="8" w:space="0" w:color="auto"/>
              <w:left w:val="single" w:sz="8" w:space="0" w:color="auto"/>
              <w:bottom w:val="single" w:sz="8" w:space="0" w:color="auto"/>
              <w:right w:val="single" w:sz="8" w:space="0" w:color="auto"/>
            </w:tcBorders>
            <w:shd w:val="clear" w:color="auto" w:fill="E7E8E8" w:themeFill="accent2" w:themeFillTint="33"/>
            <w:noWrap/>
            <w:vAlign w:val="center"/>
            <w:hideMark/>
          </w:tcPr>
          <w:p w:rsidR="00DE1F5B" w:rsidRPr="005633D9" w:rsidRDefault="00DE1F5B" w:rsidP="00AF52BB">
            <w:pPr>
              <w:pStyle w:val="ExhibitText"/>
              <w:keepNext/>
              <w:jc w:val="right"/>
              <w:rPr>
                <w:lang w:val="en-GB"/>
              </w:rPr>
            </w:pPr>
            <w:r w:rsidRPr="005633D9">
              <w:rPr>
                <w:lang w:val="en-GB"/>
              </w:rPr>
              <w:t>441</w:t>
            </w:r>
          </w:p>
        </w:tc>
        <w:tc>
          <w:tcPr>
            <w:tcW w:w="1170" w:type="dxa"/>
            <w:tcBorders>
              <w:top w:val="single" w:sz="8" w:space="0" w:color="auto"/>
              <w:left w:val="single" w:sz="8" w:space="0" w:color="auto"/>
              <w:bottom w:val="single" w:sz="8" w:space="0" w:color="auto"/>
              <w:right w:val="single" w:sz="8" w:space="0" w:color="auto"/>
            </w:tcBorders>
            <w:shd w:val="clear" w:color="auto" w:fill="E7E8E8" w:themeFill="accent2" w:themeFillTint="33"/>
            <w:noWrap/>
            <w:vAlign w:val="center"/>
            <w:hideMark/>
          </w:tcPr>
          <w:p w:rsidR="00DE1F5B" w:rsidRPr="005633D9" w:rsidRDefault="00DE1F5B" w:rsidP="00AF52BB">
            <w:pPr>
              <w:pStyle w:val="ExhibitText"/>
              <w:keepNext/>
              <w:jc w:val="right"/>
              <w:rPr>
                <w:lang w:val="en-GB"/>
              </w:rPr>
            </w:pPr>
            <w:r w:rsidRPr="005633D9">
              <w:rPr>
                <w:lang w:val="en-GB"/>
              </w:rPr>
              <w:t>252</w:t>
            </w:r>
          </w:p>
        </w:tc>
        <w:tc>
          <w:tcPr>
            <w:tcW w:w="1080" w:type="dxa"/>
            <w:tcBorders>
              <w:top w:val="single" w:sz="8" w:space="0" w:color="auto"/>
              <w:left w:val="single" w:sz="8" w:space="0" w:color="auto"/>
              <w:bottom w:val="single" w:sz="8" w:space="0" w:color="auto"/>
              <w:right w:val="single" w:sz="8" w:space="0" w:color="auto"/>
            </w:tcBorders>
            <w:shd w:val="clear" w:color="auto" w:fill="E7E8E8" w:themeFill="accent2" w:themeFillTint="33"/>
            <w:noWrap/>
            <w:vAlign w:val="center"/>
            <w:hideMark/>
          </w:tcPr>
          <w:p w:rsidR="00DE1F5B" w:rsidRPr="005633D9" w:rsidRDefault="00DE1F5B" w:rsidP="00AF52BB">
            <w:pPr>
              <w:pStyle w:val="ExhibitText"/>
              <w:keepNext/>
              <w:jc w:val="right"/>
              <w:rPr>
                <w:lang w:val="en-GB"/>
              </w:rPr>
            </w:pPr>
            <w:r>
              <w:rPr>
                <w:lang w:val="en-GB"/>
              </w:rPr>
              <w:t>160</w:t>
            </w:r>
          </w:p>
        </w:tc>
        <w:tc>
          <w:tcPr>
            <w:tcW w:w="1350" w:type="dxa"/>
            <w:tcBorders>
              <w:top w:val="single" w:sz="8" w:space="0" w:color="auto"/>
              <w:left w:val="single" w:sz="8" w:space="0" w:color="auto"/>
              <w:bottom w:val="single" w:sz="8" w:space="0" w:color="auto"/>
              <w:right w:val="single" w:sz="8" w:space="0" w:color="auto"/>
            </w:tcBorders>
            <w:shd w:val="clear" w:color="auto" w:fill="000000" w:themeFill="text1"/>
            <w:noWrap/>
            <w:vAlign w:val="bottom"/>
            <w:hideMark/>
          </w:tcPr>
          <w:p w:rsidR="00DE1F5B" w:rsidRPr="005633D9" w:rsidRDefault="00DE1F5B" w:rsidP="00AC1804">
            <w:pPr>
              <w:pStyle w:val="ExhibitText"/>
              <w:rPr>
                <w:lang w:val="en-GB"/>
              </w:rPr>
            </w:pPr>
            <w:r w:rsidRPr="005633D9">
              <w:rPr>
                <w:lang w:val="en-GB"/>
              </w:rPr>
              <w:t> </w:t>
            </w:r>
          </w:p>
        </w:tc>
        <w:tc>
          <w:tcPr>
            <w:tcW w:w="1170" w:type="dxa"/>
            <w:tcBorders>
              <w:top w:val="single" w:sz="8" w:space="0" w:color="auto"/>
              <w:left w:val="single" w:sz="8" w:space="0" w:color="auto"/>
              <w:bottom w:val="single" w:sz="8" w:space="0" w:color="auto"/>
              <w:right w:val="single" w:sz="8" w:space="0" w:color="auto"/>
            </w:tcBorders>
            <w:shd w:val="clear" w:color="auto" w:fill="000000" w:themeFill="text1"/>
            <w:noWrap/>
            <w:vAlign w:val="bottom"/>
            <w:hideMark/>
          </w:tcPr>
          <w:p w:rsidR="00DE1F5B" w:rsidRPr="005633D9" w:rsidRDefault="00DE1F5B" w:rsidP="00AC1804">
            <w:pPr>
              <w:pStyle w:val="ExhibitText"/>
              <w:rPr>
                <w:lang w:val="en-GB"/>
              </w:rPr>
            </w:pPr>
            <w:r w:rsidRPr="005633D9">
              <w:rPr>
                <w:lang w:val="en-GB"/>
              </w:rPr>
              <w:t> </w:t>
            </w:r>
          </w:p>
        </w:tc>
        <w:tc>
          <w:tcPr>
            <w:tcW w:w="720" w:type="dxa"/>
            <w:tcBorders>
              <w:top w:val="single" w:sz="8" w:space="0" w:color="auto"/>
              <w:left w:val="single" w:sz="8" w:space="0" w:color="auto"/>
              <w:bottom w:val="single" w:sz="8" w:space="0" w:color="auto"/>
              <w:right w:val="single" w:sz="8" w:space="0" w:color="auto"/>
            </w:tcBorders>
            <w:shd w:val="clear" w:color="auto" w:fill="000000" w:themeFill="text1"/>
          </w:tcPr>
          <w:p w:rsidR="00DE1F5B" w:rsidRPr="005633D9" w:rsidRDefault="00DE1F5B" w:rsidP="00AC1804">
            <w:pPr>
              <w:pStyle w:val="ExhibitText"/>
              <w:rPr>
                <w:lang w:val="en-GB"/>
              </w:rPr>
            </w:pPr>
          </w:p>
        </w:tc>
        <w:tc>
          <w:tcPr>
            <w:tcW w:w="720" w:type="dxa"/>
            <w:tcBorders>
              <w:top w:val="single" w:sz="8" w:space="0" w:color="auto"/>
              <w:left w:val="single" w:sz="8" w:space="0" w:color="auto"/>
              <w:bottom w:val="single" w:sz="8" w:space="0" w:color="auto"/>
              <w:right w:val="single" w:sz="8" w:space="0" w:color="auto"/>
            </w:tcBorders>
            <w:shd w:val="clear" w:color="auto" w:fill="000000" w:themeFill="text1"/>
            <w:noWrap/>
            <w:vAlign w:val="bottom"/>
            <w:hideMark/>
          </w:tcPr>
          <w:p w:rsidR="00DE1F5B" w:rsidRPr="005633D9" w:rsidRDefault="00DE1F5B" w:rsidP="00AC1804">
            <w:pPr>
              <w:pStyle w:val="ExhibitText"/>
              <w:rPr>
                <w:lang w:val="en-GB"/>
              </w:rPr>
            </w:pPr>
            <w:r w:rsidRPr="005633D9">
              <w:rPr>
                <w:lang w:val="en-GB"/>
              </w:rPr>
              <w:t> </w:t>
            </w:r>
          </w:p>
        </w:tc>
      </w:tr>
      <w:tr w:rsidR="00DE1F5B" w:rsidRPr="005633D9" w:rsidTr="00BF788C">
        <w:trPr>
          <w:trHeight w:val="288"/>
        </w:trPr>
        <w:tc>
          <w:tcPr>
            <w:tcW w:w="2250" w:type="dxa"/>
            <w:tcBorders>
              <w:top w:val="single" w:sz="8" w:space="0" w:color="auto"/>
              <w:left w:val="single" w:sz="8" w:space="0" w:color="auto"/>
              <w:bottom w:val="nil"/>
              <w:right w:val="single" w:sz="8" w:space="0" w:color="auto"/>
            </w:tcBorders>
            <w:shd w:val="clear" w:color="auto" w:fill="auto"/>
            <w:noWrap/>
            <w:vAlign w:val="center"/>
            <w:hideMark/>
          </w:tcPr>
          <w:p w:rsidR="00DE1F5B" w:rsidRPr="005633D9" w:rsidRDefault="00DE1F5B" w:rsidP="00DE1F5B">
            <w:pPr>
              <w:pStyle w:val="ExhibitText"/>
              <w:jc w:val="right"/>
              <w:rPr>
                <w:lang w:val="en-GB"/>
              </w:rPr>
            </w:pPr>
            <w:r w:rsidRPr="005633D9">
              <w:rPr>
                <w:lang w:val="en-GB"/>
              </w:rPr>
              <w:t>A vs C</w:t>
            </w:r>
            <w:r>
              <w:rPr>
                <w:lang w:val="en-GB"/>
              </w:rPr>
              <w:t xml:space="preserve">: </w:t>
            </w:r>
            <w:r w:rsidRPr="005633D9">
              <w:rPr>
                <w:lang w:val="en-GB"/>
              </w:rPr>
              <w:t xml:space="preserve">2 of 4 adhere </w:t>
            </w:r>
          </w:p>
        </w:tc>
        <w:tc>
          <w:tcPr>
            <w:tcW w:w="1080" w:type="dxa"/>
            <w:tcBorders>
              <w:top w:val="single" w:sz="8" w:space="0" w:color="auto"/>
              <w:left w:val="single" w:sz="8" w:space="0" w:color="auto"/>
            </w:tcBorders>
            <w:shd w:val="clear" w:color="auto" w:fill="auto"/>
            <w:vAlign w:val="center"/>
            <w:hideMark/>
          </w:tcPr>
          <w:p w:rsidR="00DE1F5B" w:rsidRPr="005633D9" w:rsidRDefault="00DE1F5B" w:rsidP="00AF52BB">
            <w:pPr>
              <w:pStyle w:val="ExhibitText"/>
              <w:jc w:val="right"/>
              <w:rPr>
                <w:lang w:val="en-GB"/>
              </w:rPr>
            </w:pPr>
          </w:p>
        </w:tc>
        <w:tc>
          <w:tcPr>
            <w:tcW w:w="1170" w:type="dxa"/>
            <w:tcBorders>
              <w:top w:val="single" w:sz="8" w:space="0" w:color="auto"/>
            </w:tcBorders>
            <w:shd w:val="clear" w:color="auto" w:fill="auto"/>
            <w:vAlign w:val="center"/>
            <w:hideMark/>
          </w:tcPr>
          <w:p w:rsidR="00DE1F5B" w:rsidRPr="005633D9" w:rsidRDefault="00DE1F5B" w:rsidP="00AF52BB">
            <w:pPr>
              <w:pStyle w:val="ExhibitText"/>
              <w:jc w:val="right"/>
              <w:rPr>
                <w:lang w:val="en-GB"/>
              </w:rPr>
            </w:pPr>
          </w:p>
        </w:tc>
        <w:tc>
          <w:tcPr>
            <w:tcW w:w="1080" w:type="dxa"/>
            <w:tcBorders>
              <w:top w:val="single" w:sz="8" w:space="0" w:color="auto"/>
              <w:right w:val="single" w:sz="8" w:space="0" w:color="auto"/>
            </w:tcBorders>
            <w:shd w:val="clear" w:color="auto" w:fill="auto"/>
            <w:vAlign w:val="center"/>
            <w:hideMark/>
          </w:tcPr>
          <w:p w:rsidR="00DE1F5B" w:rsidRPr="005633D9" w:rsidRDefault="00DE1F5B" w:rsidP="00AF52BB">
            <w:pPr>
              <w:pStyle w:val="ExhibitText"/>
              <w:jc w:val="right"/>
              <w:rPr>
                <w:lang w:val="en-GB"/>
              </w:rPr>
            </w:pPr>
          </w:p>
        </w:tc>
        <w:tc>
          <w:tcPr>
            <w:tcW w:w="1350" w:type="dxa"/>
            <w:tcBorders>
              <w:top w:val="single" w:sz="8" w:space="0" w:color="auto"/>
              <w:left w:val="nil"/>
              <w:bottom w:val="nil"/>
              <w:right w:val="single" w:sz="8" w:space="0" w:color="auto"/>
            </w:tcBorders>
            <w:shd w:val="clear" w:color="auto" w:fill="auto"/>
            <w:noWrap/>
            <w:vAlign w:val="center"/>
            <w:hideMark/>
          </w:tcPr>
          <w:p w:rsidR="00DE1F5B" w:rsidRPr="005633D9" w:rsidRDefault="00DE1F5B" w:rsidP="00AF52BB">
            <w:pPr>
              <w:pStyle w:val="ExhibitText"/>
              <w:jc w:val="right"/>
              <w:rPr>
                <w:lang w:val="en-GB"/>
              </w:rPr>
            </w:pPr>
            <w:r w:rsidRPr="005633D9">
              <w:rPr>
                <w:lang w:val="en-GB"/>
              </w:rPr>
              <w:t>189</w:t>
            </w:r>
          </w:p>
        </w:tc>
        <w:tc>
          <w:tcPr>
            <w:tcW w:w="1170" w:type="dxa"/>
            <w:tcBorders>
              <w:top w:val="single" w:sz="8" w:space="0" w:color="auto"/>
              <w:left w:val="nil"/>
              <w:bottom w:val="nil"/>
              <w:right w:val="single" w:sz="8" w:space="0" w:color="auto"/>
            </w:tcBorders>
            <w:shd w:val="clear" w:color="auto" w:fill="auto"/>
            <w:noWrap/>
            <w:vAlign w:val="center"/>
            <w:hideMark/>
          </w:tcPr>
          <w:p w:rsidR="00DE1F5B" w:rsidRPr="005633D9" w:rsidRDefault="00DE1F5B" w:rsidP="00AF52BB">
            <w:pPr>
              <w:pStyle w:val="ExhibitText"/>
              <w:jc w:val="right"/>
              <w:rPr>
                <w:lang w:val="en-GB"/>
              </w:rPr>
            </w:pPr>
            <w:r w:rsidRPr="005633D9">
              <w:rPr>
                <w:lang w:val="en-GB"/>
              </w:rPr>
              <w:t>135</w:t>
            </w:r>
          </w:p>
        </w:tc>
        <w:tc>
          <w:tcPr>
            <w:tcW w:w="720" w:type="dxa"/>
            <w:tcBorders>
              <w:top w:val="single" w:sz="8" w:space="0" w:color="auto"/>
              <w:left w:val="nil"/>
              <w:right w:val="single" w:sz="8" w:space="0" w:color="auto"/>
            </w:tcBorders>
          </w:tcPr>
          <w:p w:rsidR="00DE1F5B" w:rsidRPr="005633D9" w:rsidRDefault="00DE1F5B" w:rsidP="00AF52BB">
            <w:pPr>
              <w:pStyle w:val="ExhibitText"/>
              <w:jc w:val="right"/>
              <w:rPr>
                <w:lang w:val="en-GB"/>
              </w:rPr>
            </w:pPr>
          </w:p>
        </w:tc>
        <w:tc>
          <w:tcPr>
            <w:tcW w:w="720" w:type="dxa"/>
            <w:tcBorders>
              <w:top w:val="single" w:sz="8" w:space="0" w:color="auto"/>
              <w:left w:val="single" w:sz="8" w:space="0" w:color="auto"/>
              <w:right w:val="single" w:sz="8" w:space="0" w:color="auto"/>
            </w:tcBorders>
            <w:shd w:val="clear" w:color="auto" w:fill="auto"/>
            <w:noWrap/>
            <w:vAlign w:val="center"/>
            <w:hideMark/>
          </w:tcPr>
          <w:p w:rsidR="00DE1F5B" w:rsidRPr="005633D9" w:rsidRDefault="00DE1F5B" w:rsidP="00AF52BB">
            <w:pPr>
              <w:pStyle w:val="ExhibitText"/>
              <w:jc w:val="right"/>
              <w:rPr>
                <w:lang w:val="en-GB"/>
              </w:rPr>
            </w:pPr>
            <w:r>
              <w:rPr>
                <w:lang w:val="en-GB"/>
              </w:rPr>
              <w:t>1277</w:t>
            </w:r>
          </w:p>
        </w:tc>
      </w:tr>
      <w:tr w:rsidR="00DE1F5B" w:rsidRPr="005633D9" w:rsidTr="00BF788C">
        <w:trPr>
          <w:trHeight w:val="288"/>
        </w:trPr>
        <w:tc>
          <w:tcPr>
            <w:tcW w:w="2250" w:type="dxa"/>
            <w:tcBorders>
              <w:top w:val="nil"/>
              <w:left w:val="single" w:sz="8" w:space="0" w:color="auto"/>
              <w:right w:val="single" w:sz="8" w:space="0" w:color="auto"/>
            </w:tcBorders>
            <w:shd w:val="clear" w:color="auto" w:fill="auto"/>
            <w:noWrap/>
            <w:vAlign w:val="center"/>
          </w:tcPr>
          <w:p w:rsidR="00DE1F5B" w:rsidRPr="005633D9" w:rsidRDefault="00DE1F5B" w:rsidP="00DE1F5B">
            <w:pPr>
              <w:pStyle w:val="ExhibitText"/>
              <w:jc w:val="right"/>
              <w:rPr>
                <w:lang w:val="en-GB"/>
              </w:rPr>
            </w:pPr>
            <w:r>
              <w:rPr>
                <w:lang w:val="en-GB"/>
              </w:rPr>
              <w:t xml:space="preserve">A vs C: </w:t>
            </w:r>
            <w:r w:rsidRPr="005633D9">
              <w:rPr>
                <w:lang w:val="en-GB"/>
              </w:rPr>
              <w:t xml:space="preserve">3 of 4 adhere </w:t>
            </w:r>
          </w:p>
        </w:tc>
        <w:tc>
          <w:tcPr>
            <w:tcW w:w="1080" w:type="dxa"/>
            <w:tcBorders>
              <w:left w:val="single" w:sz="8" w:space="0" w:color="auto"/>
            </w:tcBorders>
            <w:shd w:val="clear" w:color="auto" w:fill="auto"/>
            <w:vAlign w:val="center"/>
            <w:hideMark/>
          </w:tcPr>
          <w:p w:rsidR="00DE1F5B" w:rsidRPr="005633D9" w:rsidRDefault="00DE1F5B" w:rsidP="00AF52BB">
            <w:pPr>
              <w:pStyle w:val="ExhibitText"/>
              <w:jc w:val="right"/>
              <w:rPr>
                <w:lang w:val="en-GB"/>
              </w:rPr>
            </w:pPr>
          </w:p>
        </w:tc>
        <w:tc>
          <w:tcPr>
            <w:tcW w:w="1170" w:type="dxa"/>
            <w:shd w:val="clear" w:color="auto" w:fill="auto"/>
            <w:vAlign w:val="center"/>
            <w:hideMark/>
          </w:tcPr>
          <w:p w:rsidR="00DE1F5B" w:rsidRPr="005633D9" w:rsidRDefault="00DE1F5B" w:rsidP="00AF52BB">
            <w:pPr>
              <w:pStyle w:val="ExhibitText"/>
              <w:jc w:val="right"/>
              <w:rPr>
                <w:lang w:val="en-GB"/>
              </w:rPr>
            </w:pPr>
          </w:p>
        </w:tc>
        <w:tc>
          <w:tcPr>
            <w:tcW w:w="1080" w:type="dxa"/>
            <w:tcBorders>
              <w:right w:val="single" w:sz="8" w:space="0" w:color="auto"/>
            </w:tcBorders>
            <w:shd w:val="clear" w:color="auto" w:fill="auto"/>
            <w:vAlign w:val="center"/>
            <w:hideMark/>
          </w:tcPr>
          <w:p w:rsidR="00DE1F5B" w:rsidRPr="005633D9" w:rsidRDefault="00DE1F5B" w:rsidP="00AF52BB">
            <w:pPr>
              <w:pStyle w:val="ExhibitText"/>
              <w:jc w:val="right"/>
              <w:rPr>
                <w:lang w:val="en-GB"/>
              </w:rPr>
            </w:pPr>
          </w:p>
        </w:tc>
        <w:tc>
          <w:tcPr>
            <w:tcW w:w="1350" w:type="dxa"/>
            <w:tcBorders>
              <w:top w:val="nil"/>
              <w:left w:val="nil"/>
              <w:bottom w:val="nil"/>
              <w:right w:val="single" w:sz="8" w:space="0" w:color="auto"/>
            </w:tcBorders>
            <w:shd w:val="clear" w:color="auto" w:fill="auto"/>
            <w:noWrap/>
            <w:vAlign w:val="center"/>
            <w:hideMark/>
          </w:tcPr>
          <w:p w:rsidR="00DE1F5B" w:rsidRPr="005633D9" w:rsidRDefault="00DE1F5B" w:rsidP="00AF52BB">
            <w:pPr>
              <w:pStyle w:val="ExhibitText"/>
              <w:jc w:val="right"/>
              <w:rPr>
                <w:lang w:val="en-GB"/>
              </w:rPr>
            </w:pPr>
            <w:r w:rsidRPr="005633D9">
              <w:rPr>
                <w:lang w:val="en-GB"/>
              </w:rPr>
              <w:t>284</w:t>
            </w:r>
          </w:p>
        </w:tc>
        <w:tc>
          <w:tcPr>
            <w:tcW w:w="1170" w:type="dxa"/>
            <w:tcBorders>
              <w:top w:val="nil"/>
              <w:left w:val="nil"/>
              <w:bottom w:val="nil"/>
              <w:right w:val="single" w:sz="8" w:space="0" w:color="auto"/>
            </w:tcBorders>
            <w:shd w:val="clear" w:color="auto" w:fill="auto"/>
            <w:noWrap/>
            <w:vAlign w:val="center"/>
            <w:hideMark/>
          </w:tcPr>
          <w:p w:rsidR="00DE1F5B" w:rsidRPr="005633D9" w:rsidRDefault="00DE1F5B" w:rsidP="00AF52BB">
            <w:pPr>
              <w:pStyle w:val="ExhibitText"/>
              <w:jc w:val="right"/>
              <w:rPr>
                <w:lang w:val="en-GB"/>
              </w:rPr>
            </w:pPr>
            <w:r w:rsidRPr="005633D9">
              <w:rPr>
                <w:lang w:val="en-GB"/>
              </w:rPr>
              <w:t>103</w:t>
            </w:r>
          </w:p>
        </w:tc>
        <w:tc>
          <w:tcPr>
            <w:tcW w:w="720" w:type="dxa"/>
            <w:tcBorders>
              <w:top w:val="nil"/>
              <w:left w:val="nil"/>
              <w:bottom w:val="nil"/>
              <w:right w:val="single" w:sz="8" w:space="0" w:color="auto"/>
            </w:tcBorders>
          </w:tcPr>
          <w:p w:rsidR="00DE1F5B" w:rsidRPr="005633D9" w:rsidRDefault="00DE1F5B" w:rsidP="00AF52BB">
            <w:pPr>
              <w:pStyle w:val="ExhibitText"/>
              <w:jc w:val="right"/>
              <w:rPr>
                <w:lang w:val="en-GB"/>
              </w:rPr>
            </w:pPr>
            <w:r>
              <w:rPr>
                <w:lang w:val="en-GB"/>
              </w:rPr>
              <w:t>100</w:t>
            </w:r>
          </w:p>
        </w:tc>
        <w:tc>
          <w:tcPr>
            <w:tcW w:w="720" w:type="dxa"/>
            <w:tcBorders>
              <w:top w:val="nil"/>
              <w:left w:val="single" w:sz="8" w:space="0" w:color="auto"/>
              <w:bottom w:val="nil"/>
              <w:right w:val="single" w:sz="8" w:space="0" w:color="auto"/>
            </w:tcBorders>
            <w:shd w:val="clear" w:color="auto" w:fill="auto"/>
            <w:noWrap/>
            <w:vAlign w:val="center"/>
            <w:hideMark/>
          </w:tcPr>
          <w:p w:rsidR="00DE1F5B" w:rsidRPr="005633D9" w:rsidRDefault="00DE1F5B" w:rsidP="00AF52BB">
            <w:pPr>
              <w:pStyle w:val="ExhibitText"/>
              <w:jc w:val="right"/>
              <w:rPr>
                <w:lang w:val="en-GB"/>
              </w:rPr>
            </w:pPr>
            <w:r>
              <w:rPr>
                <w:lang w:val="en-GB"/>
              </w:rPr>
              <w:t>1339</w:t>
            </w:r>
          </w:p>
        </w:tc>
      </w:tr>
      <w:tr w:rsidR="00DE1F5B" w:rsidRPr="005633D9" w:rsidTr="00BF788C">
        <w:trPr>
          <w:trHeight w:val="300"/>
        </w:trPr>
        <w:tc>
          <w:tcPr>
            <w:tcW w:w="2250" w:type="dxa"/>
            <w:tcBorders>
              <w:top w:val="nil"/>
              <w:left w:val="single" w:sz="8" w:space="0" w:color="auto"/>
              <w:bottom w:val="single" w:sz="8" w:space="0" w:color="auto"/>
              <w:right w:val="single" w:sz="8" w:space="0" w:color="auto"/>
            </w:tcBorders>
            <w:shd w:val="clear" w:color="auto" w:fill="auto"/>
            <w:noWrap/>
            <w:vAlign w:val="bottom"/>
          </w:tcPr>
          <w:p w:rsidR="00DE1F5B" w:rsidRPr="005633D9" w:rsidRDefault="00DE1F5B" w:rsidP="00DE1F5B">
            <w:pPr>
              <w:pStyle w:val="ExhibitText"/>
              <w:jc w:val="right"/>
              <w:rPr>
                <w:lang w:val="en-GB"/>
              </w:rPr>
            </w:pPr>
            <w:r>
              <w:rPr>
                <w:lang w:val="en-GB"/>
              </w:rPr>
              <w:t xml:space="preserve">A vs. C: </w:t>
            </w:r>
            <w:r w:rsidRPr="005633D9">
              <w:rPr>
                <w:lang w:val="en-GB"/>
              </w:rPr>
              <w:t xml:space="preserve">4 of 4 adhere </w:t>
            </w:r>
          </w:p>
        </w:tc>
        <w:tc>
          <w:tcPr>
            <w:tcW w:w="1080" w:type="dxa"/>
            <w:tcBorders>
              <w:left w:val="single" w:sz="8" w:space="0" w:color="auto"/>
              <w:bottom w:val="single" w:sz="8" w:space="0" w:color="auto"/>
            </w:tcBorders>
            <w:shd w:val="clear" w:color="auto" w:fill="auto"/>
            <w:vAlign w:val="center"/>
            <w:hideMark/>
          </w:tcPr>
          <w:p w:rsidR="00DE1F5B" w:rsidRPr="005633D9" w:rsidRDefault="00DE1F5B" w:rsidP="00AF52BB">
            <w:pPr>
              <w:pStyle w:val="ExhibitText"/>
              <w:jc w:val="right"/>
              <w:rPr>
                <w:lang w:val="en-GB"/>
              </w:rPr>
            </w:pPr>
          </w:p>
        </w:tc>
        <w:tc>
          <w:tcPr>
            <w:tcW w:w="1170" w:type="dxa"/>
            <w:tcBorders>
              <w:bottom w:val="single" w:sz="8" w:space="0" w:color="auto"/>
            </w:tcBorders>
            <w:shd w:val="clear" w:color="auto" w:fill="auto"/>
            <w:vAlign w:val="center"/>
            <w:hideMark/>
          </w:tcPr>
          <w:p w:rsidR="00DE1F5B" w:rsidRPr="005633D9" w:rsidRDefault="00DE1F5B" w:rsidP="00AF52BB">
            <w:pPr>
              <w:pStyle w:val="ExhibitText"/>
              <w:jc w:val="right"/>
              <w:rPr>
                <w:lang w:val="en-GB"/>
              </w:rPr>
            </w:pPr>
          </w:p>
        </w:tc>
        <w:tc>
          <w:tcPr>
            <w:tcW w:w="1080" w:type="dxa"/>
            <w:tcBorders>
              <w:bottom w:val="single" w:sz="8" w:space="0" w:color="auto"/>
              <w:right w:val="single" w:sz="8" w:space="0" w:color="auto"/>
            </w:tcBorders>
            <w:shd w:val="clear" w:color="auto" w:fill="auto"/>
            <w:vAlign w:val="center"/>
            <w:hideMark/>
          </w:tcPr>
          <w:p w:rsidR="00DE1F5B" w:rsidRPr="005633D9" w:rsidRDefault="00DE1F5B" w:rsidP="00AF52BB">
            <w:pPr>
              <w:pStyle w:val="ExhibitText"/>
              <w:jc w:val="right"/>
              <w:rPr>
                <w:lang w:val="en-GB"/>
              </w:rPr>
            </w:pPr>
          </w:p>
        </w:tc>
        <w:tc>
          <w:tcPr>
            <w:tcW w:w="1350" w:type="dxa"/>
            <w:tcBorders>
              <w:top w:val="nil"/>
              <w:left w:val="nil"/>
              <w:bottom w:val="single" w:sz="8" w:space="0" w:color="auto"/>
              <w:right w:val="single" w:sz="8" w:space="0" w:color="auto"/>
            </w:tcBorders>
            <w:shd w:val="clear" w:color="auto" w:fill="auto"/>
            <w:noWrap/>
            <w:vAlign w:val="center"/>
            <w:hideMark/>
          </w:tcPr>
          <w:p w:rsidR="00DE1F5B" w:rsidRPr="005633D9" w:rsidRDefault="00DE1F5B" w:rsidP="00AF52BB">
            <w:pPr>
              <w:pStyle w:val="ExhibitText"/>
              <w:jc w:val="right"/>
              <w:rPr>
                <w:lang w:val="en-GB"/>
              </w:rPr>
            </w:pPr>
            <w:r w:rsidRPr="005633D9">
              <w:rPr>
                <w:lang w:val="en-GB"/>
              </w:rPr>
              <w:t>378</w:t>
            </w:r>
          </w:p>
        </w:tc>
        <w:tc>
          <w:tcPr>
            <w:tcW w:w="1170" w:type="dxa"/>
            <w:tcBorders>
              <w:top w:val="nil"/>
              <w:left w:val="nil"/>
              <w:bottom w:val="single" w:sz="8" w:space="0" w:color="auto"/>
              <w:right w:val="single" w:sz="8" w:space="0" w:color="auto"/>
            </w:tcBorders>
            <w:shd w:val="clear" w:color="auto" w:fill="auto"/>
            <w:noWrap/>
            <w:vAlign w:val="center"/>
            <w:hideMark/>
          </w:tcPr>
          <w:p w:rsidR="00DE1F5B" w:rsidRPr="005633D9" w:rsidRDefault="00DE1F5B" w:rsidP="00AF52BB">
            <w:pPr>
              <w:pStyle w:val="ExhibitText"/>
              <w:jc w:val="right"/>
              <w:rPr>
                <w:lang w:val="en-GB"/>
              </w:rPr>
            </w:pPr>
            <w:r w:rsidRPr="005633D9">
              <w:rPr>
                <w:lang w:val="en-GB"/>
              </w:rPr>
              <w:t>70</w:t>
            </w:r>
          </w:p>
        </w:tc>
        <w:tc>
          <w:tcPr>
            <w:tcW w:w="720" w:type="dxa"/>
            <w:tcBorders>
              <w:top w:val="nil"/>
              <w:left w:val="nil"/>
              <w:bottom w:val="single" w:sz="8" w:space="0" w:color="auto"/>
              <w:right w:val="single" w:sz="8" w:space="0" w:color="auto"/>
            </w:tcBorders>
          </w:tcPr>
          <w:p w:rsidR="00DE1F5B" w:rsidRPr="005633D9" w:rsidRDefault="00DE1F5B" w:rsidP="00AF52BB">
            <w:pPr>
              <w:pStyle w:val="ExhibitText"/>
              <w:jc w:val="right"/>
              <w:rPr>
                <w:lang w:val="en-GB"/>
              </w:rPr>
            </w:pPr>
          </w:p>
        </w:tc>
        <w:tc>
          <w:tcPr>
            <w:tcW w:w="720" w:type="dxa"/>
            <w:tcBorders>
              <w:top w:val="nil"/>
              <w:left w:val="single" w:sz="8" w:space="0" w:color="auto"/>
              <w:bottom w:val="single" w:sz="8" w:space="0" w:color="auto"/>
              <w:right w:val="single" w:sz="8" w:space="0" w:color="auto"/>
            </w:tcBorders>
            <w:shd w:val="clear" w:color="auto" w:fill="auto"/>
            <w:noWrap/>
            <w:vAlign w:val="center"/>
            <w:hideMark/>
          </w:tcPr>
          <w:p w:rsidR="00DE1F5B" w:rsidRPr="005633D9" w:rsidRDefault="00DE1F5B" w:rsidP="00AF52BB">
            <w:pPr>
              <w:pStyle w:val="ExhibitText"/>
              <w:jc w:val="right"/>
              <w:rPr>
                <w:lang w:val="en-GB"/>
              </w:rPr>
            </w:pPr>
            <w:r>
              <w:rPr>
                <w:lang w:val="en-GB"/>
              </w:rPr>
              <w:t>1401</w:t>
            </w:r>
          </w:p>
        </w:tc>
      </w:tr>
      <w:tr w:rsidR="00372211" w:rsidRPr="005633D9" w:rsidTr="00BF788C">
        <w:trPr>
          <w:trHeight w:val="288"/>
        </w:trPr>
        <w:tc>
          <w:tcPr>
            <w:tcW w:w="2250" w:type="dxa"/>
            <w:tcBorders>
              <w:top w:val="single" w:sz="8" w:space="0" w:color="auto"/>
              <w:left w:val="single" w:sz="8" w:space="0" w:color="auto"/>
              <w:bottom w:val="single" w:sz="8" w:space="0" w:color="auto"/>
              <w:right w:val="single" w:sz="8" w:space="0" w:color="auto"/>
            </w:tcBorders>
            <w:shd w:val="clear" w:color="auto" w:fill="E7E8E8" w:themeFill="accent2" w:themeFillTint="33"/>
            <w:noWrap/>
            <w:vAlign w:val="center"/>
            <w:hideMark/>
          </w:tcPr>
          <w:p w:rsidR="00372211" w:rsidRPr="005633D9" w:rsidRDefault="00372211" w:rsidP="00AC1804">
            <w:pPr>
              <w:pStyle w:val="ExhibitText"/>
              <w:rPr>
                <w:lang w:val="en-GB"/>
              </w:rPr>
            </w:pPr>
            <w:r w:rsidRPr="005633D9">
              <w:rPr>
                <w:lang w:val="en-GB"/>
              </w:rPr>
              <w:t>B vs C</w:t>
            </w:r>
            <w:r>
              <w:rPr>
                <w:lang w:val="en-GB"/>
              </w:rPr>
              <w:t xml:space="preserve">: </w:t>
            </w:r>
            <w:r w:rsidRPr="005633D9">
              <w:rPr>
                <w:lang w:val="en-GB"/>
              </w:rPr>
              <w:t xml:space="preserve">4 of 6 adhere </w:t>
            </w:r>
          </w:p>
        </w:tc>
        <w:tc>
          <w:tcPr>
            <w:tcW w:w="1080" w:type="dxa"/>
            <w:tcBorders>
              <w:top w:val="single" w:sz="8" w:space="0" w:color="auto"/>
              <w:left w:val="single" w:sz="8" w:space="0" w:color="auto"/>
              <w:bottom w:val="single" w:sz="8" w:space="0" w:color="auto"/>
              <w:right w:val="single" w:sz="8" w:space="0" w:color="auto"/>
            </w:tcBorders>
            <w:shd w:val="clear" w:color="auto" w:fill="E7E8E8" w:themeFill="accent2" w:themeFillTint="33"/>
            <w:noWrap/>
            <w:vAlign w:val="center"/>
            <w:hideMark/>
          </w:tcPr>
          <w:p w:rsidR="00372211" w:rsidRPr="005633D9" w:rsidRDefault="00372211" w:rsidP="00AF52BB">
            <w:pPr>
              <w:pStyle w:val="ExhibitText"/>
              <w:jc w:val="right"/>
              <w:rPr>
                <w:lang w:val="en-GB"/>
              </w:rPr>
            </w:pPr>
            <w:r w:rsidRPr="005633D9">
              <w:rPr>
                <w:lang w:val="en-GB"/>
              </w:rPr>
              <w:t>588</w:t>
            </w:r>
          </w:p>
        </w:tc>
        <w:tc>
          <w:tcPr>
            <w:tcW w:w="1170" w:type="dxa"/>
            <w:tcBorders>
              <w:top w:val="single" w:sz="8" w:space="0" w:color="auto"/>
              <w:left w:val="single" w:sz="8" w:space="0" w:color="auto"/>
              <w:bottom w:val="single" w:sz="8" w:space="0" w:color="auto"/>
              <w:right w:val="single" w:sz="8" w:space="0" w:color="auto"/>
            </w:tcBorders>
            <w:shd w:val="clear" w:color="auto" w:fill="E7E8E8" w:themeFill="accent2" w:themeFillTint="33"/>
            <w:noWrap/>
            <w:vAlign w:val="center"/>
            <w:hideMark/>
          </w:tcPr>
          <w:p w:rsidR="00372211" w:rsidRPr="005633D9" w:rsidRDefault="00372211" w:rsidP="00AF52BB">
            <w:pPr>
              <w:pStyle w:val="ExhibitText"/>
              <w:jc w:val="right"/>
              <w:rPr>
                <w:lang w:val="en-GB"/>
              </w:rPr>
            </w:pPr>
            <w:r w:rsidRPr="005633D9">
              <w:rPr>
                <w:lang w:val="en-GB"/>
              </w:rPr>
              <w:t>168</w:t>
            </w:r>
          </w:p>
        </w:tc>
        <w:tc>
          <w:tcPr>
            <w:tcW w:w="1080" w:type="dxa"/>
            <w:tcBorders>
              <w:top w:val="single" w:sz="8" w:space="0" w:color="auto"/>
              <w:left w:val="single" w:sz="8" w:space="0" w:color="auto"/>
              <w:bottom w:val="single" w:sz="8" w:space="0" w:color="auto"/>
              <w:right w:val="single" w:sz="8" w:space="0" w:color="auto"/>
            </w:tcBorders>
            <w:shd w:val="clear" w:color="auto" w:fill="E7E8E8" w:themeFill="accent2" w:themeFillTint="33"/>
            <w:noWrap/>
            <w:vAlign w:val="center"/>
            <w:hideMark/>
          </w:tcPr>
          <w:p w:rsidR="00372211" w:rsidRPr="005633D9" w:rsidRDefault="00372211" w:rsidP="00AF52BB">
            <w:pPr>
              <w:pStyle w:val="ExhibitText"/>
              <w:jc w:val="right"/>
              <w:rPr>
                <w:lang w:val="en-GB"/>
              </w:rPr>
            </w:pPr>
            <w:r w:rsidRPr="005633D9">
              <w:rPr>
                <w:lang w:val="en-GB"/>
              </w:rPr>
              <w:t>1</w:t>
            </w:r>
            <w:r>
              <w:rPr>
                <w:lang w:val="en-GB"/>
              </w:rPr>
              <w:t>60</w:t>
            </w:r>
          </w:p>
        </w:tc>
        <w:tc>
          <w:tcPr>
            <w:tcW w:w="1350" w:type="dxa"/>
            <w:tcBorders>
              <w:top w:val="single" w:sz="8" w:space="0" w:color="auto"/>
              <w:left w:val="nil"/>
              <w:bottom w:val="nil"/>
              <w:right w:val="single" w:sz="8" w:space="0" w:color="auto"/>
            </w:tcBorders>
            <w:shd w:val="clear" w:color="auto" w:fill="000000" w:themeFill="text1"/>
            <w:noWrap/>
            <w:vAlign w:val="center"/>
            <w:hideMark/>
          </w:tcPr>
          <w:p w:rsidR="00372211" w:rsidRPr="005633D9" w:rsidRDefault="00372211" w:rsidP="00AC1804">
            <w:pPr>
              <w:pStyle w:val="ExhibitText"/>
              <w:rPr>
                <w:lang w:val="en-GB"/>
              </w:rPr>
            </w:pPr>
            <w:r w:rsidRPr="005633D9">
              <w:rPr>
                <w:lang w:val="en-GB"/>
              </w:rPr>
              <w:t> </w:t>
            </w:r>
          </w:p>
        </w:tc>
        <w:tc>
          <w:tcPr>
            <w:tcW w:w="1170" w:type="dxa"/>
            <w:tcBorders>
              <w:top w:val="single" w:sz="8" w:space="0" w:color="auto"/>
              <w:left w:val="nil"/>
              <w:bottom w:val="nil"/>
              <w:right w:val="single" w:sz="8" w:space="0" w:color="auto"/>
            </w:tcBorders>
            <w:shd w:val="clear" w:color="auto" w:fill="000000" w:themeFill="text1"/>
            <w:noWrap/>
            <w:vAlign w:val="center"/>
            <w:hideMark/>
          </w:tcPr>
          <w:p w:rsidR="00372211" w:rsidRPr="005633D9" w:rsidRDefault="00372211" w:rsidP="00AC1804">
            <w:pPr>
              <w:pStyle w:val="ExhibitText"/>
              <w:rPr>
                <w:lang w:val="en-GB"/>
              </w:rPr>
            </w:pPr>
            <w:r w:rsidRPr="005633D9">
              <w:rPr>
                <w:lang w:val="en-GB"/>
              </w:rPr>
              <w:t> </w:t>
            </w:r>
          </w:p>
        </w:tc>
        <w:tc>
          <w:tcPr>
            <w:tcW w:w="720" w:type="dxa"/>
            <w:tcBorders>
              <w:top w:val="single" w:sz="8" w:space="0" w:color="auto"/>
              <w:left w:val="nil"/>
              <w:right w:val="nil"/>
            </w:tcBorders>
            <w:shd w:val="clear" w:color="auto" w:fill="000000" w:themeFill="text1"/>
          </w:tcPr>
          <w:p w:rsidR="00372211" w:rsidRPr="005633D9" w:rsidRDefault="00372211" w:rsidP="00AC1804">
            <w:pPr>
              <w:pStyle w:val="ExhibitText"/>
              <w:rPr>
                <w:lang w:val="en-GB"/>
              </w:rPr>
            </w:pPr>
          </w:p>
        </w:tc>
        <w:tc>
          <w:tcPr>
            <w:tcW w:w="720" w:type="dxa"/>
            <w:tcBorders>
              <w:top w:val="single" w:sz="8" w:space="0" w:color="auto"/>
              <w:left w:val="nil"/>
              <w:right w:val="single" w:sz="8" w:space="0" w:color="auto"/>
            </w:tcBorders>
            <w:shd w:val="clear" w:color="auto" w:fill="000000" w:themeFill="text1"/>
            <w:noWrap/>
            <w:vAlign w:val="center"/>
            <w:hideMark/>
          </w:tcPr>
          <w:p w:rsidR="00372211" w:rsidRPr="005633D9" w:rsidRDefault="00372211" w:rsidP="00AC1804">
            <w:pPr>
              <w:pStyle w:val="ExhibitText"/>
              <w:rPr>
                <w:lang w:val="en-GB"/>
              </w:rPr>
            </w:pPr>
            <w:r w:rsidRPr="005633D9">
              <w:rPr>
                <w:lang w:val="en-GB"/>
              </w:rPr>
              <w:t> </w:t>
            </w:r>
          </w:p>
        </w:tc>
      </w:tr>
      <w:tr w:rsidR="00AF52BB" w:rsidRPr="005633D9" w:rsidTr="00BF788C">
        <w:trPr>
          <w:trHeight w:val="288"/>
        </w:trPr>
        <w:tc>
          <w:tcPr>
            <w:tcW w:w="2250" w:type="dxa"/>
            <w:tcBorders>
              <w:top w:val="single" w:sz="8" w:space="0" w:color="auto"/>
              <w:left w:val="single" w:sz="8" w:space="0" w:color="auto"/>
              <w:bottom w:val="nil"/>
              <w:right w:val="single" w:sz="8" w:space="0" w:color="auto"/>
            </w:tcBorders>
            <w:shd w:val="clear" w:color="auto" w:fill="auto"/>
            <w:noWrap/>
            <w:vAlign w:val="center"/>
            <w:hideMark/>
          </w:tcPr>
          <w:p w:rsidR="00AF52BB" w:rsidRPr="005633D9" w:rsidRDefault="00AF52BB" w:rsidP="00AF52BB">
            <w:pPr>
              <w:pStyle w:val="ExhibitText"/>
              <w:jc w:val="right"/>
              <w:rPr>
                <w:lang w:val="en-GB"/>
              </w:rPr>
            </w:pPr>
            <w:r w:rsidRPr="005633D9">
              <w:rPr>
                <w:lang w:val="en-GB"/>
              </w:rPr>
              <w:t>A vs C</w:t>
            </w:r>
            <w:r>
              <w:rPr>
                <w:lang w:val="en-GB"/>
              </w:rPr>
              <w:t xml:space="preserve">: </w:t>
            </w:r>
            <w:r w:rsidRPr="005633D9">
              <w:rPr>
                <w:lang w:val="en-GB"/>
              </w:rPr>
              <w:t xml:space="preserve">2 of 4 adhere </w:t>
            </w:r>
          </w:p>
        </w:tc>
        <w:tc>
          <w:tcPr>
            <w:tcW w:w="1080" w:type="dxa"/>
            <w:tcBorders>
              <w:top w:val="single" w:sz="8" w:space="0" w:color="auto"/>
              <w:left w:val="single" w:sz="8" w:space="0" w:color="auto"/>
            </w:tcBorders>
            <w:shd w:val="clear" w:color="auto" w:fill="auto"/>
            <w:vAlign w:val="center"/>
            <w:hideMark/>
          </w:tcPr>
          <w:p w:rsidR="00AF52BB" w:rsidRPr="005633D9" w:rsidRDefault="00AF52BB" w:rsidP="00AF52BB">
            <w:pPr>
              <w:pStyle w:val="ExhibitText"/>
              <w:jc w:val="right"/>
              <w:rPr>
                <w:lang w:val="en-GB"/>
              </w:rPr>
            </w:pPr>
          </w:p>
        </w:tc>
        <w:tc>
          <w:tcPr>
            <w:tcW w:w="1170" w:type="dxa"/>
            <w:tcBorders>
              <w:top w:val="single" w:sz="8" w:space="0" w:color="auto"/>
            </w:tcBorders>
            <w:shd w:val="clear" w:color="auto" w:fill="auto"/>
            <w:vAlign w:val="center"/>
            <w:hideMark/>
          </w:tcPr>
          <w:p w:rsidR="00AF52BB" w:rsidRPr="005633D9" w:rsidRDefault="00AF52BB" w:rsidP="00AF52BB">
            <w:pPr>
              <w:pStyle w:val="ExhibitText"/>
              <w:jc w:val="right"/>
              <w:rPr>
                <w:lang w:val="en-GB"/>
              </w:rPr>
            </w:pPr>
          </w:p>
        </w:tc>
        <w:tc>
          <w:tcPr>
            <w:tcW w:w="1080" w:type="dxa"/>
            <w:tcBorders>
              <w:top w:val="single" w:sz="8" w:space="0" w:color="auto"/>
              <w:right w:val="single" w:sz="8" w:space="0" w:color="auto"/>
            </w:tcBorders>
            <w:shd w:val="clear" w:color="auto" w:fill="auto"/>
            <w:vAlign w:val="center"/>
            <w:hideMark/>
          </w:tcPr>
          <w:p w:rsidR="00AF52BB" w:rsidRPr="005633D9" w:rsidRDefault="00AF52BB" w:rsidP="00AF52BB">
            <w:pPr>
              <w:pStyle w:val="ExhibitText"/>
              <w:jc w:val="right"/>
              <w:rPr>
                <w:lang w:val="en-GB"/>
              </w:rPr>
            </w:pPr>
          </w:p>
        </w:tc>
        <w:tc>
          <w:tcPr>
            <w:tcW w:w="1350" w:type="dxa"/>
            <w:tcBorders>
              <w:top w:val="nil"/>
              <w:left w:val="nil"/>
              <w:bottom w:val="nil"/>
              <w:right w:val="single" w:sz="8" w:space="0" w:color="auto"/>
            </w:tcBorders>
            <w:shd w:val="clear" w:color="auto" w:fill="auto"/>
            <w:noWrap/>
            <w:vAlign w:val="center"/>
            <w:hideMark/>
          </w:tcPr>
          <w:p w:rsidR="00AF52BB" w:rsidRPr="005633D9" w:rsidRDefault="00AF52BB" w:rsidP="00AF52BB">
            <w:pPr>
              <w:pStyle w:val="ExhibitText"/>
              <w:jc w:val="right"/>
              <w:rPr>
                <w:lang w:val="en-GB"/>
              </w:rPr>
            </w:pPr>
            <w:r w:rsidRPr="005633D9">
              <w:rPr>
                <w:lang w:val="en-GB"/>
              </w:rPr>
              <w:t>189</w:t>
            </w:r>
          </w:p>
        </w:tc>
        <w:tc>
          <w:tcPr>
            <w:tcW w:w="1170" w:type="dxa"/>
            <w:tcBorders>
              <w:top w:val="nil"/>
              <w:left w:val="nil"/>
              <w:bottom w:val="nil"/>
              <w:right w:val="single" w:sz="8" w:space="0" w:color="auto"/>
            </w:tcBorders>
            <w:shd w:val="clear" w:color="auto" w:fill="auto"/>
            <w:noWrap/>
            <w:vAlign w:val="center"/>
            <w:hideMark/>
          </w:tcPr>
          <w:p w:rsidR="00AF52BB" w:rsidRPr="005633D9" w:rsidRDefault="00AF52BB" w:rsidP="00AF52BB">
            <w:pPr>
              <w:pStyle w:val="ExhibitText"/>
              <w:jc w:val="right"/>
              <w:rPr>
                <w:lang w:val="en-GB"/>
              </w:rPr>
            </w:pPr>
            <w:r w:rsidRPr="005633D9">
              <w:rPr>
                <w:lang w:val="en-GB"/>
              </w:rPr>
              <w:t>135</w:t>
            </w:r>
          </w:p>
        </w:tc>
        <w:tc>
          <w:tcPr>
            <w:tcW w:w="720" w:type="dxa"/>
            <w:tcBorders>
              <w:top w:val="nil"/>
              <w:left w:val="nil"/>
              <w:bottom w:val="nil"/>
              <w:right w:val="single" w:sz="8" w:space="0" w:color="auto"/>
            </w:tcBorders>
          </w:tcPr>
          <w:p w:rsidR="00AF52BB" w:rsidRPr="005633D9" w:rsidRDefault="00AF52BB" w:rsidP="00AF52BB">
            <w:pPr>
              <w:pStyle w:val="ExhibitText"/>
              <w:jc w:val="right"/>
              <w:rPr>
                <w:lang w:val="en-GB"/>
              </w:rPr>
            </w:pPr>
          </w:p>
        </w:tc>
        <w:tc>
          <w:tcPr>
            <w:tcW w:w="720" w:type="dxa"/>
            <w:tcBorders>
              <w:top w:val="nil"/>
              <w:left w:val="single" w:sz="8" w:space="0" w:color="auto"/>
              <w:bottom w:val="nil"/>
              <w:right w:val="single" w:sz="8" w:space="0" w:color="auto"/>
            </w:tcBorders>
            <w:shd w:val="clear" w:color="auto" w:fill="auto"/>
            <w:noWrap/>
            <w:vAlign w:val="center"/>
            <w:hideMark/>
          </w:tcPr>
          <w:p w:rsidR="00AF52BB" w:rsidRPr="005633D9" w:rsidRDefault="00AF52BB" w:rsidP="00AF52BB">
            <w:pPr>
              <w:pStyle w:val="ExhibitText"/>
              <w:jc w:val="right"/>
              <w:rPr>
                <w:lang w:val="en-GB"/>
              </w:rPr>
            </w:pPr>
            <w:r>
              <w:rPr>
                <w:lang w:val="en-GB"/>
              </w:rPr>
              <w:t>1340</w:t>
            </w:r>
          </w:p>
        </w:tc>
      </w:tr>
      <w:tr w:rsidR="00AF52BB" w:rsidRPr="005633D9" w:rsidTr="00BF788C">
        <w:trPr>
          <w:trHeight w:val="288"/>
        </w:trPr>
        <w:tc>
          <w:tcPr>
            <w:tcW w:w="2250" w:type="dxa"/>
            <w:tcBorders>
              <w:top w:val="nil"/>
              <w:left w:val="single" w:sz="8" w:space="0" w:color="auto"/>
              <w:bottom w:val="nil"/>
              <w:right w:val="single" w:sz="8" w:space="0" w:color="auto"/>
            </w:tcBorders>
            <w:shd w:val="clear" w:color="auto" w:fill="auto"/>
            <w:noWrap/>
            <w:vAlign w:val="center"/>
            <w:hideMark/>
          </w:tcPr>
          <w:p w:rsidR="00AF52BB" w:rsidRPr="005633D9" w:rsidRDefault="00AF52BB" w:rsidP="00AF52BB">
            <w:pPr>
              <w:pStyle w:val="ExhibitText"/>
              <w:jc w:val="right"/>
              <w:rPr>
                <w:lang w:val="en-GB"/>
              </w:rPr>
            </w:pPr>
            <w:r w:rsidRPr="005633D9">
              <w:rPr>
                <w:lang w:val="en-GB"/>
              </w:rPr>
              <w:t>A vs C</w:t>
            </w:r>
            <w:r>
              <w:rPr>
                <w:lang w:val="en-GB"/>
              </w:rPr>
              <w:t xml:space="preserve">: </w:t>
            </w:r>
            <w:r w:rsidRPr="005633D9">
              <w:rPr>
                <w:lang w:val="en-GB"/>
              </w:rPr>
              <w:t xml:space="preserve">3 of 4 adhere </w:t>
            </w:r>
          </w:p>
        </w:tc>
        <w:tc>
          <w:tcPr>
            <w:tcW w:w="1080" w:type="dxa"/>
            <w:tcBorders>
              <w:top w:val="nil"/>
              <w:left w:val="single" w:sz="8" w:space="0" w:color="auto"/>
            </w:tcBorders>
            <w:shd w:val="clear" w:color="auto" w:fill="auto"/>
            <w:vAlign w:val="center"/>
            <w:hideMark/>
          </w:tcPr>
          <w:p w:rsidR="00AF52BB" w:rsidRPr="005633D9" w:rsidRDefault="00AF52BB" w:rsidP="00AF52BB">
            <w:pPr>
              <w:pStyle w:val="ExhibitText"/>
              <w:jc w:val="right"/>
              <w:rPr>
                <w:lang w:val="en-GB"/>
              </w:rPr>
            </w:pPr>
          </w:p>
        </w:tc>
        <w:tc>
          <w:tcPr>
            <w:tcW w:w="1170" w:type="dxa"/>
            <w:tcBorders>
              <w:top w:val="nil"/>
            </w:tcBorders>
            <w:shd w:val="clear" w:color="auto" w:fill="auto"/>
            <w:vAlign w:val="center"/>
            <w:hideMark/>
          </w:tcPr>
          <w:p w:rsidR="00AF52BB" w:rsidRPr="005633D9" w:rsidRDefault="00AF52BB" w:rsidP="00AF52BB">
            <w:pPr>
              <w:pStyle w:val="ExhibitText"/>
              <w:jc w:val="right"/>
              <w:rPr>
                <w:lang w:val="en-GB"/>
              </w:rPr>
            </w:pPr>
          </w:p>
        </w:tc>
        <w:tc>
          <w:tcPr>
            <w:tcW w:w="1080" w:type="dxa"/>
            <w:tcBorders>
              <w:top w:val="nil"/>
              <w:right w:val="single" w:sz="8" w:space="0" w:color="auto"/>
            </w:tcBorders>
            <w:shd w:val="clear" w:color="auto" w:fill="auto"/>
            <w:vAlign w:val="center"/>
            <w:hideMark/>
          </w:tcPr>
          <w:p w:rsidR="00AF52BB" w:rsidRPr="005633D9" w:rsidRDefault="00AF52BB" w:rsidP="00AF52BB">
            <w:pPr>
              <w:pStyle w:val="ExhibitText"/>
              <w:jc w:val="right"/>
              <w:rPr>
                <w:lang w:val="en-GB"/>
              </w:rPr>
            </w:pPr>
          </w:p>
        </w:tc>
        <w:tc>
          <w:tcPr>
            <w:tcW w:w="1350" w:type="dxa"/>
            <w:tcBorders>
              <w:top w:val="nil"/>
              <w:left w:val="nil"/>
              <w:bottom w:val="nil"/>
              <w:right w:val="single" w:sz="8" w:space="0" w:color="auto"/>
            </w:tcBorders>
            <w:shd w:val="clear" w:color="auto" w:fill="auto"/>
            <w:noWrap/>
            <w:vAlign w:val="center"/>
            <w:hideMark/>
          </w:tcPr>
          <w:p w:rsidR="00AF52BB" w:rsidRPr="005633D9" w:rsidRDefault="00AF52BB" w:rsidP="00AF52BB">
            <w:pPr>
              <w:pStyle w:val="ExhibitText"/>
              <w:jc w:val="right"/>
              <w:rPr>
                <w:lang w:val="en-GB"/>
              </w:rPr>
            </w:pPr>
            <w:r w:rsidRPr="005633D9">
              <w:rPr>
                <w:lang w:val="en-GB"/>
              </w:rPr>
              <w:t>284</w:t>
            </w:r>
          </w:p>
        </w:tc>
        <w:tc>
          <w:tcPr>
            <w:tcW w:w="1170" w:type="dxa"/>
            <w:tcBorders>
              <w:top w:val="nil"/>
              <w:left w:val="nil"/>
              <w:bottom w:val="nil"/>
              <w:right w:val="single" w:sz="8" w:space="0" w:color="auto"/>
            </w:tcBorders>
            <w:shd w:val="clear" w:color="auto" w:fill="auto"/>
            <w:noWrap/>
            <w:vAlign w:val="center"/>
            <w:hideMark/>
          </w:tcPr>
          <w:p w:rsidR="00AF52BB" w:rsidRPr="005633D9" w:rsidRDefault="00AF52BB" w:rsidP="00AF52BB">
            <w:pPr>
              <w:pStyle w:val="ExhibitText"/>
              <w:jc w:val="right"/>
              <w:rPr>
                <w:lang w:val="en-GB"/>
              </w:rPr>
            </w:pPr>
            <w:r w:rsidRPr="005633D9">
              <w:rPr>
                <w:lang w:val="en-GB"/>
              </w:rPr>
              <w:t>103</w:t>
            </w:r>
          </w:p>
        </w:tc>
        <w:tc>
          <w:tcPr>
            <w:tcW w:w="720" w:type="dxa"/>
            <w:tcBorders>
              <w:top w:val="nil"/>
              <w:left w:val="nil"/>
              <w:bottom w:val="nil"/>
              <w:right w:val="single" w:sz="8" w:space="0" w:color="auto"/>
            </w:tcBorders>
          </w:tcPr>
          <w:p w:rsidR="00AF52BB" w:rsidRPr="005633D9" w:rsidRDefault="00AF52BB" w:rsidP="00AF52BB">
            <w:pPr>
              <w:pStyle w:val="ExhibitText"/>
              <w:jc w:val="right"/>
              <w:rPr>
                <w:lang w:val="en-GB"/>
              </w:rPr>
            </w:pPr>
            <w:r>
              <w:rPr>
                <w:lang w:val="en-GB"/>
              </w:rPr>
              <w:t>100</w:t>
            </w:r>
          </w:p>
        </w:tc>
        <w:tc>
          <w:tcPr>
            <w:tcW w:w="720" w:type="dxa"/>
            <w:tcBorders>
              <w:top w:val="nil"/>
              <w:left w:val="single" w:sz="8" w:space="0" w:color="auto"/>
              <w:bottom w:val="nil"/>
              <w:right w:val="single" w:sz="8" w:space="0" w:color="auto"/>
            </w:tcBorders>
            <w:shd w:val="clear" w:color="auto" w:fill="auto"/>
            <w:noWrap/>
            <w:vAlign w:val="center"/>
            <w:hideMark/>
          </w:tcPr>
          <w:p w:rsidR="00AF52BB" w:rsidRPr="005633D9" w:rsidRDefault="00AF52BB" w:rsidP="00AF52BB">
            <w:pPr>
              <w:pStyle w:val="ExhibitText"/>
              <w:jc w:val="right"/>
              <w:rPr>
                <w:lang w:val="en-GB"/>
              </w:rPr>
            </w:pPr>
            <w:r>
              <w:rPr>
                <w:lang w:val="en-GB"/>
              </w:rPr>
              <w:t>1402</w:t>
            </w:r>
          </w:p>
        </w:tc>
      </w:tr>
      <w:tr w:rsidR="00AF52BB" w:rsidRPr="005633D9" w:rsidTr="00BF788C">
        <w:trPr>
          <w:trHeight w:val="300"/>
        </w:trPr>
        <w:tc>
          <w:tcPr>
            <w:tcW w:w="2250" w:type="dxa"/>
            <w:tcBorders>
              <w:top w:val="nil"/>
              <w:left w:val="single" w:sz="8" w:space="0" w:color="auto"/>
              <w:bottom w:val="single" w:sz="8" w:space="0" w:color="auto"/>
              <w:right w:val="single" w:sz="8" w:space="0" w:color="auto"/>
            </w:tcBorders>
            <w:shd w:val="clear" w:color="auto" w:fill="auto"/>
            <w:noWrap/>
            <w:vAlign w:val="bottom"/>
            <w:hideMark/>
          </w:tcPr>
          <w:p w:rsidR="00AF52BB" w:rsidRPr="005633D9" w:rsidRDefault="00AF52BB" w:rsidP="00AF52BB">
            <w:pPr>
              <w:pStyle w:val="ExhibitText"/>
              <w:jc w:val="right"/>
              <w:rPr>
                <w:lang w:val="en-GB"/>
              </w:rPr>
            </w:pPr>
            <w:r w:rsidRPr="005633D9">
              <w:rPr>
                <w:lang w:val="en-GB"/>
              </w:rPr>
              <w:t>A vs C</w:t>
            </w:r>
            <w:r>
              <w:rPr>
                <w:lang w:val="en-GB"/>
              </w:rPr>
              <w:t xml:space="preserve">: </w:t>
            </w:r>
            <w:r w:rsidRPr="005633D9">
              <w:rPr>
                <w:lang w:val="en-GB"/>
              </w:rPr>
              <w:t xml:space="preserve">4 of 4 adhere </w:t>
            </w:r>
          </w:p>
        </w:tc>
        <w:tc>
          <w:tcPr>
            <w:tcW w:w="1080" w:type="dxa"/>
            <w:tcBorders>
              <w:top w:val="nil"/>
              <w:left w:val="single" w:sz="8" w:space="0" w:color="auto"/>
              <w:bottom w:val="single" w:sz="8" w:space="0" w:color="auto"/>
            </w:tcBorders>
            <w:shd w:val="clear" w:color="auto" w:fill="auto"/>
            <w:vAlign w:val="center"/>
            <w:hideMark/>
          </w:tcPr>
          <w:p w:rsidR="00AF52BB" w:rsidRPr="005633D9" w:rsidRDefault="00AF52BB" w:rsidP="00AF52BB">
            <w:pPr>
              <w:pStyle w:val="ExhibitText"/>
              <w:jc w:val="right"/>
              <w:rPr>
                <w:lang w:val="en-GB"/>
              </w:rPr>
            </w:pPr>
          </w:p>
        </w:tc>
        <w:tc>
          <w:tcPr>
            <w:tcW w:w="1170" w:type="dxa"/>
            <w:tcBorders>
              <w:top w:val="nil"/>
              <w:bottom w:val="single" w:sz="8" w:space="0" w:color="auto"/>
            </w:tcBorders>
            <w:shd w:val="clear" w:color="auto" w:fill="auto"/>
            <w:vAlign w:val="center"/>
            <w:hideMark/>
          </w:tcPr>
          <w:p w:rsidR="00AF52BB" w:rsidRPr="005633D9" w:rsidRDefault="00AF52BB" w:rsidP="00AF52BB">
            <w:pPr>
              <w:pStyle w:val="ExhibitText"/>
              <w:jc w:val="right"/>
              <w:rPr>
                <w:lang w:val="en-GB"/>
              </w:rPr>
            </w:pPr>
          </w:p>
        </w:tc>
        <w:tc>
          <w:tcPr>
            <w:tcW w:w="1080" w:type="dxa"/>
            <w:tcBorders>
              <w:top w:val="nil"/>
              <w:bottom w:val="single" w:sz="8" w:space="0" w:color="auto"/>
              <w:right w:val="single" w:sz="8" w:space="0" w:color="auto"/>
            </w:tcBorders>
            <w:shd w:val="clear" w:color="auto" w:fill="auto"/>
            <w:vAlign w:val="center"/>
            <w:hideMark/>
          </w:tcPr>
          <w:p w:rsidR="00AF52BB" w:rsidRPr="005633D9" w:rsidRDefault="00AF52BB" w:rsidP="00AF52BB">
            <w:pPr>
              <w:pStyle w:val="ExhibitText"/>
              <w:jc w:val="right"/>
              <w:rPr>
                <w:lang w:val="en-GB"/>
              </w:rPr>
            </w:pPr>
          </w:p>
        </w:tc>
        <w:tc>
          <w:tcPr>
            <w:tcW w:w="1350" w:type="dxa"/>
            <w:tcBorders>
              <w:top w:val="nil"/>
              <w:left w:val="nil"/>
              <w:bottom w:val="single" w:sz="8" w:space="0" w:color="auto"/>
              <w:right w:val="single" w:sz="8" w:space="0" w:color="auto"/>
            </w:tcBorders>
            <w:shd w:val="clear" w:color="auto" w:fill="auto"/>
            <w:noWrap/>
            <w:vAlign w:val="center"/>
            <w:hideMark/>
          </w:tcPr>
          <w:p w:rsidR="00AF52BB" w:rsidRPr="005633D9" w:rsidRDefault="00AF52BB" w:rsidP="00AF52BB">
            <w:pPr>
              <w:pStyle w:val="ExhibitText"/>
              <w:jc w:val="right"/>
              <w:rPr>
                <w:lang w:val="en-GB"/>
              </w:rPr>
            </w:pPr>
            <w:r w:rsidRPr="005633D9">
              <w:rPr>
                <w:lang w:val="en-GB"/>
              </w:rPr>
              <w:t>378</w:t>
            </w:r>
          </w:p>
        </w:tc>
        <w:tc>
          <w:tcPr>
            <w:tcW w:w="1170" w:type="dxa"/>
            <w:tcBorders>
              <w:top w:val="nil"/>
              <w:left w:val="nil"/>
              <w:bottom w:val="single" w:sz="8" w:space="0" w:color="auto"/>
              <w:right w:val="single" w:sz="8" w:space="0" w:color="auto"/>
            </w:tcBorders>
            <w:shd w:val="clear" w:color="auto" w:fill="auto"/>
            <w:noWrap/>
            <w:vAlign w:val="center"/>
            <w:hideMark/>
          </w:tcPr>
          <w:p w:rsidR="00AF52BB" w:rsidRPr="005633D9" w:rsidRDefault="00AF52BB" w:rsidP="00AF52BB">
            <w:pPr>
              <w:pStyle w:val="ExhibitText"/>
              <w:jc w:val="right"/>
              <w:rPr>
                <w:lang w:val="en-GB"/>
              </w:rPr>
            </w:pPr>
            <w:r w:rsidRPr="005633D9">
              <w:rPr>
                <w:lang w:val="en-GB"/>
              </w:rPr>
              <w:t>70</w:t>
            </w:r>
          </w:p>
        </w:tc>
        <w:tc>
          <w:tcPr>
            <w:tcW w:w="720" w:type="dxa"/>
            <w:tcBorders>
              <w:top w:val="nil"/>
              <w:left w:val="nil"/>
              <w:bottom w:val="single" w:sz="8" w:space="0" w:color="auto"/>
              <w:right w:val="single" w:sz="8" w:space="0" w:color="auto"/>
            </w:tcBorders>
          </w:tcPr>
          <w:p w:rsidR="00AF52BB" w:rsidRPr="005633D9" w:rsidRDefault="00AF52BB" w:rsidP="00AF52BB">
            <w:pPr>
              <w:pStyle w:val="ExhibitText"/>
              <w:jc w:val="right"/>
              <w:rPr>
                <w:lang w:val="en-GB"/>
              </w:rPr>
            </w:pPr>
          </w:p>
        </w:tc>
        <w:tc>
          <w:tcPr>
            <w:tcW w:w="720" w:type="dxa"/>
            <w:tcBorders>
              <w:top w:val="nil"/>
              <w:left w:val="single" w:sz="8" w:space="0" w:color="auto"/>
              <w:bottom w:val="single" w:sz="8" w:space="0" w:color="auto"/>
              <w:right w:val="single" w:sz="8" w:space="0" w:color="auto"/>
            </w:tcBorders>
            <w:shd w:val="clear" w:color="auto" w:fill="auto"/>
            <w:noWrap/>
            <w:vAlign w:val="center"/>
            <w:hideMark/>
          </w:tcPr>
          <w:p w:rsidR="00AF52BB" w:rsidRPr="005633D9" w:rsidRDefault="00AF52BB" w:rsidP="00AF52BB">
            <w:pPr>
              <w:pStyle w:val="ExhibitText"/>
              <w:jc w:val="right"/>
              <w:rPr>
                <w:lang w:val="en-GB"/>
              </w:rPr>
            </w:pPr>
            <w:r>
              <w:rPr>
                <w:lang w:val="en-GB"/>
              </w:rPr>
              <w:t>1464</w:t>
            </w:r>
          </w:p>
        </w:tc>
      </w:tr>
      <w:tr w:rsidR="00372211" w:rsidRPr="005633D9" w:rsidTr="00BF788C">
        <w:trPr>
          <w:trHeight w:val="250"/>
        </w:trPr>
        <w:tc>
          <w:tcPr>
            <w:tcW w:w="2250" w:type="dxa"/>
            <w:tcBorders>
              <w:top w:val="single" w:sz="8" w:space="0" w:color="auto"/>
              <w:left w:val="single" w:sz="8" w:space="0" w:color="auto"/>
              <w:bottom w:val="single" w:sz="8" w:space="0" w:color="auto"/>
              <w:right w:val="single" w:sz="8" w:space="0" w:color="auto"/>
            </w:tcBorders>
            <w:shd w:val="clear" w:color="auto" w:fill="E7E8E8" w:themeFill="accent2" w:themeFillTint="33"/>
            <w:noWrap/>
            <w:vAlign w:val="center"/>
            <w:hideMark/>
          </w:tcPr>
          <w:p w:rsidR="00372211" w:rsidRPr="005633D9" w:rsidRDefault="00372211" w:rsidP="005622E9">
            <w:pPr>
              <w:pStyle w:val="ExhibitText"/>
              <w:keepNext/>
              <w:rPr>
                <w:lang w:val="en-GB"/>
              </w:rPr>
            </w:pPr>
            <w:r w:rsidRPr="005633D9">
              <w:rPr>
                <w:lang w:val="en-GB"/>
              </w:rPr>
              <w:t>B vs C</w:t>
            </w:r>
            <w:r>
              <w:rPr>
                <w:lang w:val="en-GB"/>
              </w:rPr>
              <w:t xml:space="preserve">: </w:t>
            </w:r>
            <w:r w:rsidRPr="005633D9">
              <w:rPr>
                <w:lang w:val="en-GB"/>
              </w:rPr>
              <w:t>5 of 6 adhere</w:t>
            </w:r>
          </w:p>
        </w:tc>
        <w:tc>
          <w:tcPr>
            <w:tcW w:w="1080" w:type="dxa"/>
            <w:tcBorders>
              <w:top w:val="single" w:sz="8" w:space="0" w:color="auto"/>
              <w:left w:val="single" w:sz="8" w:space="0" w:color="auto"/>
              <w:bottom w:val="single" w:sz="8" w:space="0" w:color="auto"/>
              <w:right w:val="single" w:sz="8" w:space="0" w:color="auto"/>
            </w:tcBorders>
            <w:shd w:val="clear" w:color="auto" w:fill="E7E8E8" w:themeFill="accent2" w:themeFillTint="33"/>
            <w:noWrap/>
            <w:vAlign w:val="center"/>
            <w:hideMark/>
          </w:tcPr>
          <w:p w:rsidR="00372211" w:rsidRPr="005633D9" w:rsidRDefault="00372211" w:rsidP="005622E9">
            <w:pPr>
              <w:pStyle w:val="ExhibitText"/>
              <w:keepNext/>
              <w:jc w:val="right"/>
              <w:rPr>
                <w:lang w:val="en-GB"/>
              </w:rPr>
            </w:pPr>
            <w:r w:rsidRPr="005633D9">
              <w:rPr>
                <w:lang w:val="en-GB"/>
              </w:rPr>
              <w:t>630</w:t>
            </w:r>
          </w:p>
        </w:tc>
        <w:tc>
          <w:tcPr>
            <w:tcW w:w="1170" w:type="dxa"/>
            <w:tcBorders>
              <w:top w:val="single" w:sz="8" w:space="0" w:color="auto"/>
              <w:left w:val="single" w:sz="8" w:space="0" w:color="auto"/>
              <w:bottom w:val="single" w:sz="8" w:space="0" w:color="auto"/>
              <w:right w:val="single" w:sz="8" w:space="0" w:color="auto"/>
            </w:tcBorders>
            <w:shd w:val="clear" w:color="auto" w:fill="E7E8E8" w:themeFill="accent2" w:themeFillTint="33"/>
            <w:noWrap/>
            <w:vAlign w:val="center"/>
            <w:hideMark/>
          </w:tcPr>
          <w:p w:rsidR="00372211" w:rsidRPr="005633D9" w:rsidRDefault="00372211" w:rsidP="005622E9">
            <w:pPr>
              <w:pStyle w:val="ExhibitText"/>
              <w:keepNext/>
              <w:jc w:val="right"/>
              <w:rPr>
                <w:lang w:val="en-GB"/>
              </w:rPr>
            </w:pPr>
            <w:r w:rsidRPr="005633D9">
              <w:rPr>
                <w:lang w:val="en-GB"/>
              </w:rPr>
              <w:t>84</w:t>
            </w:r>
          </w:p>
        </w:tc>
        <w:tc>
          <w:tcPr>
            <w:tcW w:w="1080" w:type="dxa"/>
            <w:tcBorders>
              <w:top w:val="single" w:sz="8" w:space="0" w:color="auto"/>
              <w:left w:val="single" w:sz="8" w:space="0" w:color="auto"/>
              <w:bottom w:val="single" w:sz="8" w:space="0" w:color="auto"/>
              <w:right w:val="single" w:sz="8" w:space="0" w:color="auto"/>
            </w:tcBorders>
            <w:shd w:val="clear" w:color="auto" w:fill="E7E8E8" w:themeFill="accent2" w:themeFillTint="33"/>
            <w:noWrap/>
            <w:vAlign w:val="center"/>
            <w:hideMark/>
          </w:tcPr>
          <w:p w:rsidR="00372211" w:rsidRPr="005633D9" w:rsidRDefault="00372211" w:rsidP="005622E9">
            <w:pPr>
              <w:pStyle w:val="ExhibitText"/>
              <w:keepNext/>
              <w:jc w:val="right"/>
              <w:rPr>
                <w:lang w:val="en-GB"/>
              </w:rPr>
            </w:pPr>
            <w:r>
              <w:rPr>
                <w:lang w:val="en-GB"/>
              </w:rPr>
              <w:t>160</w:t>
            </w:r>
          </w:p>
        </w:tc>
        <w:tc>
          <w:tcPr>
            <w:tcW w:w="1350" w:type="dxa"/>
            <w:tcBorders>
              <w:top w:val="single" w:sz="8" w:space="0" w:color="auto"/>
              <w:left w:val="nil"/>
              <w:bottom w:val="single" w:sz="8" w:space="0" w:color="auto"/>
              <w:right w:val="single" w:sz="8" w:space="0" w:color="auto"/>
            </w:tcBorders>
            <w:shd w:val="clear" w:color="auto" w:fill="000000" w:themeFill="text1"/>
            <w:noWrap/>
            <w:vAlign w:val="center"/>
            <w:hideMark/>
          </w:tcPr>
          <w:p w:rsidR="00372211" w:rsidRPr="005633D9" w:rsidRDefault="00372211" w:rsidP="005622E9">
            <w:pPr>
              <w:pStyle w:val="ExhibitText"/>
              <w:keepNext/>
              <w:rPr>
                <w:lang w:val="en-GB"/>
              </w:rPr>
            </w:pPr>
            <w:r w:rsidRPr="005633D9">
              <w:rPr>
                <w:lang w:val="en-GB"/>
              </w:rPr>
              <w:t> </w:t>
            </w:r>
          </w:p>
        </w:tc>
        <w:tc>
          <w:tcPr>
            <w:tcW w:w="1170" w:type="dxa"/>
            <w:tcBorders>
              <w:top w:val="single" w:sz="8" w:space="0" w:color="auto"/>
              <w:left w:val="nil"/>
              <w:bottom w:val="single" w:sz="8" w:space="0" w:color="auto"/>
              <w:right w:val="single" w:sz="8" w:space="0" w:color="auto"/>
            </w:tcBorders>
            <w:shd w:val="clear" w:color="auto" w:fill="000000" w:themeFill="text1"/>
            <w:noWrap/>
            <w:vAlign w:val="center"/>
            <w:hideMark/>
          </w:tcPr>
          <w:p w:rsidR="00372211" w:rsidRPr="005633D9" w:rsidRDefault="00372211" w:rsidP="005622E9">
            <w:pPr>
              <w:pStyle w:val="ExhibitText"/>
              <w:keepNext/>
              <w:rPr>
                <w:lang w:val="en-GB"/>
              </w:rPr>
            </w:pPr>
            <w:r w:rsidRPr="005633D9">
              <w:rPr>
                <w:lang w:val="en-GB"/>
              </w:rPr>
              <w:t> </w:t>
            </w:r>
          </w:p>
        </w:tc>
        <w:tc>
          <w:tcPr>
            <w:tcW w:w="720" w:type="dxa"/>
            <w:tcBorders>
              <w:top w:val="single" w:sz="8" w:space="0" w:color="auto"/>
              <w:left w:val="nil"/>
              <w:bottom w:val="single" w:sz="8" w:space="0" w:color="auto"/>
              <w:right w:val="nil"/>
            </w:tcBorders>
            <w:shd w:val="clear" w:color="auto" w:fill="000000" w:themeFill="text1"/>
          </w:tcPr>
          <w:p w:rsidR="00372211" w:rsidRPr="005633D9" w:rsidRDefault="00372211" w:rsidP="005622E9">
            <w:pPr>
              <w:pStyle w:val="ExhibitText"/>
              <w:keepNext/>
              <w:rPr>
                <w:lang w:val="en-GB"/>
              </w:rPr>
            </w:pPr>
          </w:p>
        </w:tc>
        <w:tc>
          <w:tcPr>
            <w:tcW w:w="720" w:type="dxa"/>
            <w:tcBorders>
              <w:top w:val="single" w:sz="8" w:space="0" w:color="auto"/>
              <w:left w:val="nil"/>
              <w:bottom w:val="single" w:sz="8" w:space="0" w:color="auto"/>
              <w:right w:val="single" w:sz="8" w:space="0" w:color="auto"/>
            </w:tcBorders>
            <w:shd w:val="clear" w:color="auto" w:fill="000000" w:themeFill="text1"/>
            <w:noWrap/>
            <w:vAlign w:val="center"/>
            <w:hideMark/>
          </w:tcPr>
          <w:p w:rsidR="00372211" w:rsidRPr="005633D9" w:rsidRDefault="00372211" w:rsidP="005622E9">
            <w:pPr>
              <w:pStyle w:val="ExhibitText"/>
              <w:keepNext/>
              <w:rPr>
                <w:lang w:val="en-GB"/>
              </w:rPr>
            </w:pPr>
            <w:r w:rsidRPr="005633D9">
              <w:rPr>
                <w:lang w:val="en-GB"/>
              </w:rPr>
              <w:t> </w:t>
            </w:r>
          </w:p>
        </w:tc>
      </w:tr>
      <w:tr w:rsidR="005622E9" w:rsidRPr="005633D9" w:rsidTr="00BF788C">
        <w:trPr>
          <w:trHeight w:val="288"/>
        </w:trPr>
        <w:tc>
          <w:tcPr>
            <w:tcW w:w="2250" w:type="dxa"/>
            <w:tcBorders>
              <w:top w:val="single" w:sz="8" w:space="0" w:color="auto"/>
              <w:left w:val="single" w:sz="8" w:space="0" w:color="auto"/>
              <w:bottom w:val="nil"/>
              <w:right w:val="single" w:sz="8" w:space="0" w:color="auto"/>
            </w:tcBorders>
            <w:shd w:val="clear" w:color="auto" w:fill="auto"/>
            <w:noWrap/>
            <w:vAlign w:val="center"/>
            <w:hideMark/>
          </w:tcPr>
          <w:p w:rsidR="005622E9" w:rsidRPr="005633D9" w:rsidRDefault="005622E9" w:rsidP="005622E9">
            <w:pPr>
              <w:pStyle w:val="ExhibitText"/>
              <w:jc w:val="right"/>
              <w:rPr>
                <w:lang w:val="en-GB"/>
              </w:rPr>
            </w:pPr>
            <w:r w:rsidRPr="005633D9">
              <w:rPr>
                <w:lang w:val="en-GB"/>
              </w:rPr>
              <w:t>A vs C</w:t>
            </w:r>
            <w:r>
              <w:rPr>
                <w:lang w:val="en-GB"/>
              </w:rPr>
              <w:t xml:space="preserve">: </w:t>
            </w:r>
            <w:r w:rsidRPr="005633D9">
              <w:rPr>
                <w:lang w:val="en-GB"/>
              </w:rPr>
              <w:t xml:space="preserve">2 of 4 adhere </w:t>
            </w:r>
          </w:p>
        </w:tc>
        <w:tc>
          <w:tcPr>
            <w:tcW w:w="1080" w:type="dxa"/>
            <w:tcBorders>
              <w:top w:val="single" w:sz="8" w:space="0" w:color="auto"/>
              <w:left w:val="single" w:sz="8" w:space="0" w:color="auto"/>
              <w:bottom w:val="nil"/>
            </w:tcBorders>
            <w:shd w:val="clear" w:color="auto" w:fill="auto"/>
            <w:vAlign w:val="center"/>
            <w:hideMark/>
          </w:tcPr>
          <w:p w:rsidR="005622E9" w:rsidRPr="005633D9" w:rsidRDefault="005622E9" w:rsidP="00AC1804">
            <w:pPr>
              <w:pStyle w:val="ExhibitText"/>
              <w:rPr>
                <w:lang w:val="en-GB"/>
              </w:rPr>
            </w:pPr>
          </w:p>
        </w:tc>
        <w:tc>
          <w:tcPr>
            <w:tcW w:w="1170" w:type="dxa"/>
            <w:tcBorders>
              <w:top w:val="single" w:sz="8" w:space="0" w:color="auto"/>
              <w:bottom w:val="nil"/>
            </w:tcBorders>
            <w:shd w:val="clear" w:color="auto" w:fill="auto"/>
            <w:vAlign w:val="center"/>
            <w:hideMark/>
          </w:tcPr>
          <w:p w:rsidR="005622E9" w:rsidRPr="005633D9" w:rsidRDefault="005622E9" w:rsidP="00AC1804">
            <w:pPr>
              <w:pStyle w:val="ExhibitText"/>
              <w:rPr>
                <w:lang w:val="en-GB"/>
              </w:rPr>
            </w:pPr>
          </w:p>
        </w:tc>
        <w:tc>
          <w:tcPr>
            <w:tcW w:w="1080" w:type="dxa"/>
            <w:tcBorders>
              <w:top w:val="single" w:sz="8" w:space="0" w:color="auto"/>
              <w:bottom w:val="nil"/>
              <w:right w:val="single" w:sz="8" w:space="0" w:color="auto"/>
            </w:tcBorders>
            <w:shd w:val="clear" w:color="auto" w:fill="auto"/>
            <w:vAlign w:val="center"/>
            <w:hideMark/>
          </w:tcPr>
          <w:p w:rsidR="005622E9" w:rsidRPr="005633D9" w:rsidRDefault="005622E9" w:rsidP="00AC1804">
            <w:pPr>
              <w:pStyle w:val="ExhibitText"/>
              <w:rPr>
                <w:lang w:val="en-GB"/>
              </w:rPr>
            </w:pPr>
          </w:p>
        </w:tc>
        <w:tc>
          <w:tcPr>
            <w:tcW w:w="1350" w:type="dxa"/>
            <w:tcBorders>
              <w:top w:val="single" w:sz="8" w:space="0" w:color="auto"/>
              <w:left w:val="nil"/>
              <w:bottom w:val="nil"/>
              <w:right w:val="single" w:sz="8" w:space="0" w:color="auto"/>
            </w:tcBorders>
            <w:shd w:val="clear" w:color="auto" w:fill="auto"/>
            <w:noWrap/>
            <w:vAlign w:val="center"/>
            <w:hideMark/>
          </w:tcPr>
          <w:p w:rsidR="005622E9" w:rsidRPr="005633D9" w:rsidRDefault="005622E9" w:rsidP="00AF52BB">
            <w:pPr>
              <w:pStyle w:val="ExhibitText"/>
              <w:jc w:val="right"/>
              <w:rPr>
                <w:lang w:val="en-GB"/>
              </w:rPr>
            </w:pPr>
            <w:r w:rsidRPr="005633D9">
              <w:rPr>
                <w:lang w:val="en-GB"/>
              </w:rPr>
              <w:t>203</w:t>
            </w:r>
          </w:p>
        </w:tc>
        <w:tc>
          <w:tcPr>
            <w:tcW w:w="1170" w:type="dxa"/>
            <w:tcBorders>
              <w:top w:val="single" w:sz="8" w:space="0" w:color="auto"/>
              <w:left w:val="nil"/>
              <w:bottom w:val="nil"/>
              <w:right w:val="single" w:sz="8" w:space="0" w:color="auto"/>
            </w:tcBorders>
            <w:shd w:val="clear" w:color="auto" w:fill="auto"/>
            <w:noWrap/>
            <w:vAlign w:val="center"/>
            <w:hideMark/>
          </w:tcPr>
          <w:p w:rsidR="005622E9" w:rsidRPr="005633D9" w:rsidRDefault="005622E9" w:rsidP="00AF52BB">
            <w:pPr>
              <w:pStyle w:val="ExhibitText"/>
              <w:jc w:val="right"/>
              <w:rPr>
                <w:lang w:val="en-GB"/>
              </w:rPr>
            </w:pPr>
            <w:r w:rsidRPr="005633D9">
              <w:rPr>
                <w:lang w:val="en-GB"/>
              </w:rPr>
              <w:t>135</w:t>
            </w:r>
          </w:p>
        </w:tc>
        <w:tc>
          <w:tcPr>
            <w:tcW w:w="720" w:type="dxa"/>
            <w:tcBorders>
              <w:top w:val="single" w:sz="8" w:space="0" w:color="auto"/>
              <w:left w:val="nil"/>
              <w:bottom w:val="nil"/>
              <w:right w:val="single" w:sz="8" w:space="0" w:color="auto"/>
            </w:tcBorders>
          </w:tcPr>
          <w:p w:rsidR="005622E9" w:rsidRPr="005633D9" w:rsidRDefault="005622E9" w:rsidP="00AF52BB">
            <w:pPr>
              <w:pStyle w:val="ExhibitText"/>
              <w:jc w:val="right"/>
              <w:rPr>
                <w:lang w:val="en-GB"/>
              </w:rPr>
            </w:pPr>
          </w:p>
        </w:tc>
        <w:tc>
          <w:tcPr>
            <w:tcW w:w="720" w:type="dxa"/>
            <w:tcBorders>
              <w:top w:val="single" w:sz="8" w:space="0" w:color="auto"/>
              <w:left w:val="single" w:sz="8" w:space="0" w:color="auto"/>
              <w:bottom w:val="nil"/>
              <w:right w:val="single" w:sz="8" w:space="0" w:color="auto"/>
            </w:tcBorders>
            <w:shd w:val="clear" w:color="auto" w:fill="auto"/>
            <w:noWrap/>
            <w:vAlign w:val="center"/>
            <w:hideMark/>
          </w:tcPr>
          <w:p w:rsidR="005622E9" w:rsidRPr="005633D9" w:rsidRDefault="005622E9" w:rsidP="00AF52BB">
            <w:pPr>
              <w:pStyle w:val="ExhibitText"/>
              <w:jc w:val="right"/>
              <w:rPr>
                <w:lang w:val="en-GB"/>
              </w:rPr>
            </w:pPr>
            <w:r>
              <w:rPr>
                <w:lang w:val="en-GB"/>
              </w:rPr>
              <w:t>1312</w:t>
            </w:r>
          </w:p>
        </w:tc>
      </w:tr>
      <w:tr w:rsidR="005622E9" w:rsidRPr="005633D9" w:rsidTr="00BF788C">
        <w:trPr>
          <w:trHeight w:val="288"/>
        </w:trPr>
        <w:tc>
          <w:tcPr>
            <w:tcW w:w="2250" w:type="dxa"/>
            <w:tcBorders>
              <w:top w:val="nil"/>
              <w:left w:val="single" w:sz="8" w:space="0" w:color="auto"/>
              <w:bottom w:val="nil"/>
              <w:right w:val="single" w:sz="8" w:space="0" w:color="auto"/>
            </w:tcBorders>
            <w:shd w:val="clear" w:color="auto" w:fill="auto"/>
            <w:noWrap/>
            <w:vAlign w:val="center"/>
            <w:hideMark/>
          </w:tcPr>
          <w:p w:rsidR="005622E9" w:rsidRPr="005633D9" w:rsidRDefault="005622E9" w:rsidP="005622E9">
            <w:pPr>
              <w:pStyle w:val="ExhibitText"/>
              <w:jc w:val="right"/>
              <w:rPr>
                <w:lang w:val="en-GB"/>
              </w:rPr>
            </w:pPr>
            <w:r w:rsidRPr="005633D9">
              <w:rPr>
                <w:lang w:val="en-GB"/>
              </w:rPr>
              <w:t>A vs C</w:t>
            </w:r>
            <w:r>
              <w:rPr>
                <w:lang w:val="en-GB"/>
              </w:rPr>
              <w:t xml:space="preserve">: </w:t>
            </w:r>
            <w:r w:rsidRPr="005633D9">
              <w:rPr>
                <w:lang w:val="en-GB"/>
              </w:rPr>
              <w:t xml:space="preserve">3 of 4 adhere </w:t>
            </w:r>
          </w:p>
        </w:tc>
        <w:tc>
          <w:tcPr>
            <w:tcW w:w="1080" w:type="dxa"/>
            <w:tcBorders>
              <w:top w:val="nil"/>
              <w:left w:val="single" w:sz="8" w:space="0" w:color="auto"/>
              <w:bottom w:val="nil"/>
            </w:tcBorders>
            <w:shd w:val="clear" w:color="auto" w:fill="auto"/>
            <w:vAlign w:val="center"/>
            <w:hideMark/>
          </w:tcPr>
          <w:p w:rsidR="005622E9" w:rsidRPr="005633D9" w:rsidRDefault="005622E9" w:rsidP="00AC1804">
            <w:pPr>
              <w:pStyle w:val="ExhibitText"/>
              <w:rPr>
                <w:lang w:val="en-GB"/>
              </w:rPr>
            </w:pPr>
          </w:p>
        </w:tc>
        <w:tc>
          <w:tcPr>
            <w:tcW w:w="1170" w:type="dxa"/>
            <w:tcBorders>
              <w:top w:val="nil"/>
              <w:bottom w:val="nil"/>
            </w:tcBorders>
            <w:shd w:val="clear" w:color="auto" w:fill="auto"/>
            <w:vAlign w:val="center"/>
            <w:hideMark/>
          </w:tcPr>
          <w:p w:rsidR="005622E9" w:rsidRPr="005633D9" w:rsidRDefault="005622E9" w:rsidP="00AC1804">
            <w:pPr>
              <w:pStyle w:val="ExhibitText"/>
              <w:rPr>
                <w:lang w:val="en-GB"/>
              </w:rPr>
            </w:pPr>
          </w:p>
        </w:tc>
        <w:tc>
          <w:tcPr>
            <w:tcW w:w="1080" w:type="dxa"/>
            <w:tcBorders>
              <w:top w:val="nil"/>
              <w:bottom w:val="nil"/>
              <w:right w:val="single" w:sz="8" w:space="0" w:color="auto"/>
            </w:tcBorders>
            <w:shd w:val="clear" w:color="auto" w:fill="auto"/>
            <w:vAlign w:val="center"/>
            <w:hideMark/>
          </w:tcPr>
          <w:p w:rsidR="005622E9" w:rsidRPr="005633D9" w:rsidRDefault="005622E9" w:rsidP="00AC1804">
            <w:pPr>
              <w:pStyle w:val="ExhibitText"/>
              <w:rPr>
                <w:lang w:val="en-GB"/>
              </w:rPr>
            </w:pPr>
          </w:p>
        </w:tc>
        <w:tc>
          <w:tcPr>
            <w:tcW w:w="1350" w:type="dxa"/>
            <w:tcBorders>
              <w:top w:val="nil"/>
              <w:left w:val="nil"/>
              <w:bottom w:val="nil"/>
              <w:right w:val="single" w:sz="8" w:space="0" w:color="auto"/>
            </w:tcBorders>
            <w:shd w:val="clear" w:color="auto" w:fill="auto"/>
            <w:noWrap/>
            <w:vAlign w:val="center"/>
            <w:hideMark/>
          </w:tcPr>
          <w:p w:rsidR="005622E9" w:rsidRPr="005633D9" w:rsidRDefault="005622E9" w:rsidP="00AF52BB">
            <w:pPr>
              <w:pStyle w:val="ExhibitText"/>
              <w:jc w:val="right"/>
              <w:rPr>
                <w:lang w:val="en-GB"/>
              </w:rPr>
            </w:pPr>
            <w:r w:rsidRPr="005633D9">
              <w:rPr>
                <w:lang w:val="en-GB"/>
              </w:rPr>
              <w:t>297</w:t>
            </w:r>
          </w:p>
        </w:tc>
        <w:tc>
          <w:tcPr>
            <w:tcW w:w="1170" w:type="dxa"/>
            <w:tcBorders>
              <w:top w:val="nil"/>
              <w:left w:val="nil"/>
              <w:bottom w:val="nil"/>
              <w:right w:val="single" w:sz="8" w:space="0" w:color="auto"/>
            </w:tcBorders>
            <w:shd w:val="clear" w:color="auto" w:fill="auto"/>
            <w:noWrap/>
            <w:vAlign w:val="center"/>
            <w:hideMark/>
          </w:tcPr>
          <w:p w:rsidR="005622E9" w:rsidRPr="005633D9" w:rsidRDefault="005622E9" w:rsidP="00AF52BB">
            <w:pPr>
              <w:pStyle w:val="ExhibitText"/>
              <w:jc w:val="right"/>
              <w:rPr>
                <w:lang w:val="en-GB"/>
              </w:rPr>
            </w:pPr>
            <w:r w:rsidRPr="005633D9">
              <w:rPr>
                <w:lang w:val="en-GB"/>
              </w:rPr>
              <w:t>103</w:t>
            </w:r>
          </w:p>
        </w:tc>
        <w:tc>
          <w:tcPr>
            <w:tcW w:w="720" w:type="dxa"/>
            <w:tcBorders>
              <w:top w:val="nil"/>
              <w:left w:val="nil"/>
              <w:bottom w:val="nil"/>
              <w:right w:val="single" w:sz="8" w:space="0" w:color="auto"/>
            </w:tcBorders>
          </w:tcPr>
          <w:p w:rsidR="005622E9" w:rsidRPr="005633D9" w:rsidRDefault="005622E9" w:rsidP="00AF52BB">
            <w:pPr>
              <w:pStyle w:val="ExhibitText"/>
              <w:jc w:val="right"/>
              <w:rPr>
                <w:lang w:val="en-GB"/>
              </w:rPr>
            </w:pPr>
            <w:r>
              <w:rPr>
                <w:lang w:val="en-GB"/>
              </w:rPr>
              <w:t>100</w:t>
            </w:r>
          </w:p>
        </w:tc>
        <w:tc>
          <w:tcPr>
            <w:tcW w:w="720" w:type="dxa"/>
            <w:tcBorders>
              <w:top w:val="nil"/>
              <w:left w:val="single" w:sz="8" w:space="0" w:color="auto"/>
              <w:bottom w:val="nil"/>
              <w:right w:val="single" w:sz="8" w:space="0" w:color="auto"/>
            </w:tcBorders>
            <w:shd w:val="clear" w:color="auto" w:fill="auto"/>
            <w:noWrap/>
            <w:vAlign w:val="center"/>
            <w:hideMark/>
          </w:tcPr>
          <w:p w:rsidR="005622E9" w:rsidRPr="005633D9" w:rsidRDefault="005622E9" w:rsidP="00AF52BB">
            <w:pPr>
              <w:pStyle w:val="ExhibitText"/>
              <w:jc w:val="right"/>
              <w:rPr>
                <w:lang w:val="en-GB"/>
              </w:rPr>
            </w:pPr>
            <w:r>
              <w:rPr>
                <w:lang w:val="en-GB"/>
              </w:rPr>
              <w:t>1374</w:t>
            </w:r>
          </w:p>
        </w:tc>
      </w:tr>
      <w:tr w:rsidR="005622E9" w:rsidRPr="005633D9" w:rsidTr="00BF788C">
        <w:trPr>
          <w:trHeight w:val="300"/>
        </w:trPr>
        <w:tc>
          <w:tcPr>
            <w:tcW w:w="2250" w:type="dxa"/>
            <w:tcBorders>
              <w:top w:val="nil"/>
              <w:left w:val="single" w:sz="8" w:space="0" w:color="auto"/>
              <w:bottom w:val="single" w:sz="8" w:space="0" w:color="auto"/>
              <w:right w:val="single" w:sz="8" w:space="0" w:color="auto"/>
            </w:tcBorders>
            <w:shd w:val="clear" w:color="auto" w:fill="auto"/>
            <w:noWrap/>
            <w:vAlign w:val="bottom"/>
            <w:hideMark/>
          </w:tcPr>
          <w:p w:rsidR="005622E9" w:rsidRPr="005633D9" w:rsidRDefault="005622E9" w:rsidP="005622E9">
            <w:pPr>
              <w:pStyle w:val="ExhibitText"/>
              <w:jc w:val="right"/>
              <w:rPr>
                <w:lang w:val="en-GB"/>
              </w:rPr>
            </w:pPr>
            <w:r w:rsidRPr="005633D9">
              <w:rPr>
                <w:lang w:val="en-GB"/>
              </w:rPr>
              <w:t>A vs C</w:t>
            </w:r>
            <w:r>
              <w:rPr>
                <w:lang w:val="en-GB"/>
              </w:rPr>
              <w:t xml:space="preserve">: </w:t>
            </w:r>
            <w:r w:rsidRPr="005633D9">
              <w:rPr>
                <w:lang w:val="en-GB"/>
              </w:rPr>
              <w:t xml:space="preserve">4 of 4 adhere </w:t>
            </w:r>
          </w:p>
        </w:tc>
        <w:tc>
          <w:tcPr>
            <w:tcW w:w="1080" w:type="dxa"/>
            <w:tcBorders>
              <w:top w:val="nil"/>
              <w:left w:val="single" w:sz="8" w:space="0" w:color="auto"/>
              <w:bottom w:val="single" w:sz="8" w:space="0" w:color="auto"/>
            </w:tcBorders>
            <w:shd w:val="clear" w:color="auto" w:fill="auto"/>
            <w:vAlign w:val="center"/>
            <w:hideMark/>
          </w:tcPr>
          <w:p w:rsidR="005622E9" w:rsidRPr="005633D9" w:rsidRDefault="005622E9" w:rsidP="00AC1804">
            <w:pPr>
              <w:pStyle w:val="ExhibitText"/>
              <w:rPr>
                <w:lang w:val="en-GB"/>
              </w:rPr>
            </w:pPr>
          </w:p>
        </w:tc>
        <w:tc>
          <w:tcPr>
            <w:tcW w:w="1170" w:type="dxa"/>
            <w:tcBorders>
              <w:top w:val="nil"/>
              <w:bottom w:val="single" w:sz="8" w:space="0" w:color="auto"/>
            </w:tcBorders>
            <w:shd w:val="clear" w:color="auto" w:fill="auto"/>
            <w:vAlign w:val="center"/>
            <w:hideMark/>
          </w:tcPr>
          <w:p w:rsidR="005622E9" w:rsidRPr="005633D9" w:rsidRDefault="005622E9" w:rsidP="00AC1804">
            <w:pPr>
              <w:pStyle w:val="ExhibitText"/>
              <w:rPr>
                <w:lang w:val="en-GB"/>
              </w:rPr>
            </w:pPr>
          </w:p>
        </w:tc>
        <w:tc>
          <w:tcPr>
            <w:tcW w:w="1080" w:type="dxa"/>
            <w:tcBorders>
              <w:top w:val="nil"/>
              <w:bottom w:val="single" w:sz="8" w:space="0" w:color="auto"/>
              <w:right w:val="single" w:sz="8" w:space="0" w:color="auto"/>
            </w:tcBorders>
            <w:shd w:val="clear" w:color="auto" w:fill="auto"/>
            <w:vAlign w:val="center"/>
            <w:hideMark/>
          </w:tcPr>
          <w:p w:rsidR="005622E9" w:rsidRPr="005633D9" w:rsidRDefault="005622E9" w:rsidP="00AC1804">
            <w:pPr>
              <w:pStyle w:val="ExhibitText"/>
              <w:rPr>
                <w:lang w:val="en-GB"/>
              </w:rPr>
            </w:pPr>
          </w:p>
        </w:tc>
        <w:tc>
          <w:tcPr>
            <w:tcW w:w="1350" w:type="dxa"/>
            <w:tcBorders>
              <w:top w:val="nil"/>
              <w:left w:val="nil"/>
              <w:bottom w:val="single" w:sz="8" w:space="0" w:color="auto"/>
              <w:right w:val="single" w:sz="8" w:space="0" w:color="auto"/>
            </w:tcBorders>
            <w:shd w:val="clear" w:color="auto" w:fill="auto"/>
            <w:noWrap/>
            <w:vAlign w:val="center"/>
            <w:hideMark/>
          </w:tcPr>
          <w:p w:rsidR="005622E9" w:rsidRPr="005633D9" w:rsidRDefault="005622E9" w:rsidP="00AF52BB">
            <w:pPr>
              <w:pStyle w:val="ExhibitText"/>
              <w:jc w:val="right"/>
              <w:rPr>
                <w:lang w:val="en-GB"/>
              </w:rPr>
            </w:pPr>
            <w:r w:rsidRPr="005633D9">
              <w:rPr>
                <w:lang w:val="en-GB"/>
              </w:rPr>
              <w:t>392</w:t>
            </w:r>
          </w:p>
        </w:tc>
        <w:tc>
          <w:tcPr>
            <w:tcW w:w="1170" w:type="dxa"/>
            <w:tcBorders>
              <w:top w:val="nil"/>
              <w:left w:val="nil"/>
              <w:bottom w:val="single" w:sz="8" w:space="0" w:color="auto"/>
              <w:right w:val="single" w:sz="8" w:space="0" w:color="auto"/>
            </w:tcBorders>
            <w:shd w:val="clear" w:color="auto" w:fill="auto"/>
            <w:noWrap/>
            <w:vAlign w:val="center"/>
            <w:hideMark/>
          </w:tcPr>
          <w:p w:rsidR="005622E9" w:rsidRPr="005633D9" w:rsidRDefault="005622E9" w:rsidP="00AF52BB">
            <w:pPr>
              <w:pStyle w:val="ExhibitText"/>
              <w:jc w:val="right"/>
              <w:rPr>
                <w:lang w:val="en-GB"/>
              </w:rPr>
            </w:pPr>
            <w:r w:rsidRPr="005633D9">
              <w:rPr>
                <w:lang w:val="en-GB"/>
              </w:rPr>
              <w:t>70</w:t>
            </w:r>
          </w:p>
        </w:tc>
        <w:tc>
          <w:tcPr>
            <w:tcW w:w="720" w:type="dxa"/>
            <w:tcBorders>
              <w:top w:val="nil"/>
              <w:left w:val="nil"/>
              <w:bottom w:val="single" w:sz="8" w:space="0" w:color="auto"/>
              <w:right w:val="single" w:sz="8" w:space="0" w:color="auto"/>
            </w:tcBorders>
          </w:tcPr>
          <w:p w:rsidR="005622E9" w:rsidRPr="005633D9" w:rsidRDefault="005622E9" w:rsidP="00AF52BB">
            <w:pPr>
              <w:pStyle w:val="ExhibitText"/>
              <w:jc w:val="right"/>
              <w:rPr>
                <w:lang w:val="en-GB"/>
              </w:rPr>
            </w:pPr>
          </w:p>
        </w:tc>
        <w:tc>
          <w:tcPr>
            <w:tcW w:w="720" w:type="dxa"/>
            <w:tcBorders>
              <w:top w:val="nil"/>
              <w:left w:val="single" w:sz="8" w:space="0" w:color="auto"/>
              <w:bottom w:val="single" w:sz="8" w:space="0" w:color="auto"/>
              <w:right w:val="single" w:sz="8" w:space="0" w:color="auto"/>
            </w:tcBorders>
            <w:shd w:val="clear" w:color="auto" w:fill="auto"/>
            <w:noWrap/>
            <w:vAlign w:val="center"/>
            <w:hideMark/>
          </w:tcPr>
          <w:p w:rsidR="005622E9" w:rsidRPr="005633D9" w:rsidRDefault="005622E9" w:rsidP="00AF52BB">
            <w:pPr>
              <w:pStyle w:val="ExhibitText"/>
              <w:jc w:val="right"/>
              <w:rPr>
                <w:lang w:val="en-GB"/>
              </w:rPr>
            </w:pPr>
            <w:r>
              <w:rPr>
                <w:lang w:val="en-GB"/>
              </w:rPr>
              <w:t>1436</w:t>
            </w:r>
          </w:p>
        </w:tc>
      </w:tr>
      <w:tr w:rsidR="00372211" w:rsidRPr="005633D9" w:rsidTr="00BF788C">
        <w:trPr>
          <w:trHeight w:val="288"/>
        </w:trPr>
        <w:tc>
          <w:tcPr>
            <w:tcW w:w="2250" w:type="dxa"/>
            <w:tcBorders>
              <w:top w:val="single" w:sz="8" w:space="0" w:color="auto"/>
              <w:left w:val="single" w:sz="8" w:space="0" w:color="auto"/>
              <w:bottom w:val="single" w:sz="8" w:space="0" w:color="auto"/>
              <w:right w:val="single" w:sz="8" w:space="0" w:color="auto"/>
            </w:tcBorders>
            <w:shd w:val="clear" w:color="auto" w:fill="E7E8E8" w:themeFill="accent2" w:themeFillTint="33"/>
            <w:noWrap/>
            <w:vAlign w:val="center"/>
            <w:hideMark/>
          </w:tcPr>
          <w:p w:rsidR="00372211" w:rsidRPr="005633D9" w:rsidRDefault="00372211" w:rsidP="00AC1804">
            <w:pPr>
              <w:pStyle w:val="ExhibitText"/>
              <w:rPr>
                <w:lang w:val="en-GB"/>
              </w:rPr>
            </w:pPr>
            <w:r w:rsidRPr="005633D9">
              <w:rPr>
                <w:lang w:val="en-GB"/>
              </w:rPr>
              <w:t>B vs C</w:t>
            </w:r>
            <w:r>
              <w:rPr>
                <w:lang w:val="en-GB"/>
              </w:rPr>
              <w:t xml:space="preserve">: </w:t>
            </w:r>
            <w:r w:rsidRPr="005633D9">
              <w:rPr>
                <w:lang w:val="en-GB"/>
              </w:rPr>
              <w:t>6 of 6 adhere</w:t>
            </w:r>
          </w:p>
        </w:tc>
        <w:tc>
          <w:tcPr>
            <w:tcW w:w="1080" w:type="dxa"/>
            <w:tcBorders>
              <w:top w:val="single" w:sz="8" w:space="0" w:color="auto"/>
              <w:left w:val="single" w:sz="8" w:space="0" w:color="auto"/>
              <w:bottom w:val="single" w:sz="8" w:space="0" w:color="auto"/>
              <w:right w:val="single" w:sz="8" w:space="0" w:color="auto"/>
            </w:tcBorders>
            <w:shd w:val="clear" w:color="auto" w:fill="E7E8E8" w:themeFill="accent2" w:themeFillTint="33"/>
            <w:noWrap/>
            <w:vAlign w:val="center"/>
            <w:hideMark/>
          </w:tcPr>
          <w:p w:rsidR="00372211" w:rsidRPr="005633D9" w:rsidRDefault="00372211" w:rsidP="00AF52BB">
            <w:pPr>
              <w:pStyle w:val="ExhibitText"/>
              <w:jc w:val="right"/>
              <w:rPr>
                <w:lang w:val="en-GB"/>
              </w:rPr>
            </w:pPr>
            <w:r w:rsidRPr="005633D9">
              <w:rPr>
                <w:lang w:val="en-GB"/>
              </w:rPr>
              <w:t>630</w:t>
            </w:r>
          </w:p>
        </w:tc>
        <w:tc>
          <w:tcPr>
            <w:tcW w:w="1170" w:type="dxa"/>
            <w:tcBorders>
              <w:top w:val="single" w:sz="8" w:space="0" w:color="auto"/>
              <w:left w:val="single" w:sz="8" w:space="0" w:color="auto"/>
              <w:bottom w:val="single" w:sz="8" w:space="0" w:color="auto"/>
              <w:right w:val="single" w:sz="8" w:space="0" w:color="auto"/>
            </w:tcBorders>
            <w:shd w:val="clear" w:color="auto" w:fill="E7E8E8" w:themeFill="accent2" w:themeFillTint="33"/>
            <w:noWrap/>
            <w:vAlign w:val="center"/>
            <w:hideMark/>
          </w:tcPr>
          <w:p w:rsidR="00372211" w:rsidRPr="005633D9" w:rsidRDefault="00372211" w:rsidP="00AF52BB">
            <w:pPr>
              <w:pStyle w:val="ExhibitText"/>
              <w:jc w:val="right"/>
              <w:rPr>
                <w:lang w:val="en-GB"/>
              </w:rPr>
            </w:pPr>
            <w:r w:rsidRPr="005633D9">
              <w:rPr>
                <w:lang w:val="en-GB"/>
              </w:rPr>
              <w:t>0</w:t>
            </w:r>
          </w:p>
        </w:tc>
        <w:tc>
          <w:tcPr>
            <w:tcW w:w="1080" w:type="dxa"/>
            <w:tcBorders>
              <w:top w:val="single" w:sz="8" w:space="0" w:color="auto"/>
              <w:left w:val="single" w:sz="8" w:space="0" w:color="auto"/>
              <w:bottom w:val="single" w:sz="8" w:space="0" w:color="auto"/>
              <w:right w:val="single" w:sz="8" w:space="0" w:color="auto"/>
            </w:tcBorders>
            <w:shd w:val="clear" w:color="auto" w:fill="E7E8E8" w:themeFill="accent2" w:themeFillTint="33"/>
            <w:noWrap/>
            <w:vAlign w:val="center"/>
            <w:hideMark/>
          </w:tcPr>
          <w:p w:rsidR="00372211" w:rsidRPr="005633D9" w:rsidRDefault="00372211" w:rsidP="00AF52BB">
            <w:pPr>
              <w:pStyle w:val="ExhibitText"/>
              <w:jc w:val="right"/>
              <w:rPr>
                <w:lang w:val="en-GB"/>
              </w:rPr>
            </w:pPr>
            <w:r>
              <w:rPr>
                <w:lang w:val="en-GB"/>
              </w:rPr>
              <w:t>160</w:t>
            </w:r>
          </w:p>
        </w:tc>
        <w:tc>
          <w:tcPr>
            <w:tcW w:w="1350" w:type="dxa"/>
            <w:tcBorders>
              <w:top w:val="single" w:sz="8" w:space="0" w:color="auto"/>
              <w:left w:val="nil"/>
              <w:bottom w:val="single" w:sz="8" w:space="0" w:color="auto"/>
              <w:right w:val="single" w:sz="8" w:space="0" w:color="auto"/>
            </w:tcBorders>
            <w:shd w:val="clear" w:color="auto" w:fill="000000" w:themeFill="text1"/>
            <w:noWrap/>
            <w:vAlign w:val="center"/>
            <w:hideMark/>
          </w:tcPr>
          <w:p w:rsidR="00372211" w:rsidRPr="005633D9" w:rsidRDefault="00372211" w:rsidP="00AC1804">
            <w:pPr>
              <w:pStyle w:val="ExhibitText"/>
              <w:rPr>
                <w:lang w:val="en-GB"/>
              </w:rPr>
            </w:pPr>
            <w:r w:rsidRPr="005633D9">
              <w:rPr>
                <w:lang w:val="en-GB"/>
              </w:rPr>
              <w:t> </w:t>
            </w:r>
          </w:p>
        </w:tc>
        <w:tc>
          <w:tcPr>
            <w:tcW w:w="1170" w:type="dxa"/>
            <w:tcBorders>
              <w:top w:val="single" w:sz="8" w:space="0" w:color="auto"/>
              <w:left w:val="nil"/>
              <w:bottom w:val="single" w:sz="8" w:space="0" w:color="auto"/>
              <w:right w:val="single" w:sz="8" w:space="0" w:color="auto"/>
            </w:tcBorders>
            <w:shd w:val="clear" w:color="auto" w:fill="000000" w:themeFill="text1"/>
            <w:noWrap/>
            <w:vAlign w:val="center"/>
            <w:hideMark/>
          </w:tcPr>
          <w:p w:rsidR="00372211" w:rsidRPr="005633D9" w:rsidRDefault="00372211" w:rsidP="00AC1804">
            <w:pPr>
              <w:pStyle w:val="ExhibitText"/>
              <w:rPr>
                <w:lang w:val="en-GB"/>
              </w:rPr>
            </w:pPr>
            <w:r w:rsidRPr="005633D9">
              <w:rPr>
                <w:lang w:val="en-GB"/>
              </w:rPr>
              <w:t> </w:t>
            </w:r>
          </w:p>
        </w:tc>
        <w:tc>
          <w:tcPr>
            <w:tcW w:w="720" w:type="dxa"/>
            <w:tcBorders>
              <w:top w:val="single" w:sz="8" w:space="0" w:color="auto"/>
              <w:left w:val="nil"/>
              <w:bottom w:val="single" w:sz="8" w:space="0" w:color="auto"/>
              <w:right w:val="nil"/>
            </w:tcBorders>
            <w:shd w:val="clear" w:color="auto" w:fill="000000" w:themeFill="text1"/>
          </w:tcPr>
          <w:p w:rsidR="00372211" w:rsidRPr="005633D9" w:rsidRDefault="00372211" w:rsidP="00AC1804">
            <w:pPr>
              <w:pStyle w:val="ExhibitText"/>
              <w:rPr>
                <w:lang w:val="en-GB"/>
              </w:rPr>
            </w:pPr>
          </w:p>
        </w:tc>
        <w:tc>
          <w:tcPr>
            <w:tcW w:w="720" w:type="dxa"/>
            <w:tcBorders>
              <w:top w:val="single" w:sz="8" w:space="0" w:color="auto"/>
              <w:left w:val="nil"/>
              <w:bottom w:val="single" w:sz="8" w:space="0" w:color="auto"/>
              <w:right w:val="single" w:sz="8" w:space="0" w:color="auto"/>
            </w:tcBorders>
            <w:shd w:val="clear" w:color="auto" w:fill="000000" w:themeFill="text1"/>
            <w:noWrap/>
            <w:vAlign w:val="center"/>
            <w:hideMark/>
          </w:tcPr>
          <w:p w:rsidR="00372211" w:rsidRPr="005633D9" w:rsidRDefault="00372211" w:rsidP="00AC1804">
            <w:pPr>
              <w:pStyle w:val="ExhibitText"/>
              <w:rPr>
                <w:lang w:val="en-GB"/>
              </w:rPr>
            </w:pPr>
            <w:r w:rsidRPr="005633D9">
              <w:rPr>
                <w:lang w:val="en-GB"/>
              </w:rPr>
              <w:t> </w:t>
            </w:r>
          </w:p>
        </w:tc>
      </w:tr>
      <w:tr w:rsidR="005622E9" w:rsidRPr="005633D9" w:rsidTr="00BF788C">
        <w:trPr>
          <w:trHeight w:val="288"/>
        </w:trPr>
        <w:tc>
          <w:tcPr>
            <w:tcW w:w="2250" w:type="dxa"/>
            <w:tcBorders>
              <w:top w:val="single" w:sz="8" w:space="0" w:color="auto"/>
              <w:left w:val="single" w:sz="8" w:space="0" w:color="auto"/>
              <w:bottom w:val="nil"/>
              <w:right w:val="single" w:sz="8" w:space="0" w:color="auto"/>
            </w:tcBorders>
            <w:shd w:val="clear" w:color="auto" w:fill="auto"/>
            <w:noWrap/>
            <w:vAlign w:val="center"/>
            <w:hideMark/>
          </w:tcPr>
          <w:p w:rsidR="005622E9" w:rsidRPr="005633D9" w:rsidRDefault="005622E9" w:rsidP="005622E9">
            <w:pPr>
              <w:pStyle w:val="ExhibitText"/>
              <w:jc w:val="right"/>
              <w:rPr>
                <w:lang w:val="en-GB"/>
              </w:rPr>
            </w:pPr>
            <w:r w:rsidRPr="005633D9">
              <w:rPr>
                <w:lang w:val="en-GB"/>
              </w:rPr>
              <w:t>A vs C</w:t>
            </w:r>
            <w:r>
              <w:rPr>
                <w:lang w:val="en-GB"/>
              </w:rPr>
              <w:t xml:space="preserve">: </w:t>
            </w:r>
            <w:r w:rsidRPr="005633D9">
              <w:rPr>
                <w:lang w:val="en-GB"/>
              </w:rPr>
              <w:t xml:space="preserve">2 of 4 adhere </w:t>
            </w:r>
          </w:p>
        </w:tc>
        <w:tc>
          <w:tcPr>
            <w:tcW w:w="1080" w:type="dxa"/>
            <w:tcBorders>
              <w:top w:val="single" w:sz="8" w:space="0" w:color="auto"/>
              <w:left w:val="single" w:sz="8" w:space="0" w:color="auto"/>
            </w:tcBorders>
            <w:shd w:val="clear" w:color="auto" w:fill="auto"/>
            <w:vAlign w:val="center"/>
            <w:hideMark/>
          </w:tcPr>
          <w:p w:rsidR="005622E9" w:rsidRPr="005633D9" w:rsidRDefault="005622E9" w:rsidP="00AC1804">
            <w:pPr>
              <w:pStyle w:val="ExhibitText"/>
              <w:rPr>
                <w:lang w:val="en-GB"/>
              </w:rPr>
            </w:pPr>
          </w:p>
        </w:tc>
        <w:tc>
          <w:tcPr>
            <w:tcW w:w="1170" w:type="dxa"/>
            <w:tcBorders>
              <w:top w:val="single" w:sz="8" w:space="0" w:color="auto"/>
            </w:tcBorders>
            <w:shd w:val="clear" w:color="auto" w:fill="auto"/>
            <w:vAlign w:val="center"/>
            <w:hideMark/>
          </w:tcPr>
          <w:p w:rsidR="005622E9" w:rsidRPr="005633D9" w:rsidRDefault="005622E9" w:rsidP="00AC1804">
            <w:pPr>
              <w:pStyle w:val="ExhibitText"/>
              <w:rPr>
                <w:lang w:val="en-GB"/>
              </w:rPr>
            </w:pPr>
          </w:p>
        </w:tc>
        <w:tc>
          <w:tcPr>
            <w:tcW w:w="1080" w:type="dxa"/>
            <w:tcBorders>
              <w:top w:val="single" w:sz="8" w:space="0" w:color="auto"/>
              <w:right w:val="single" w:sz="8" w:space="0" w:color="auto"/>
            </w:tcBorders>
            <w:shd w:val="clear" w:color="auto" w:fill="auto"/>
            <w:vAlign w:val="center"/>
            <w:hideMark/>
          </w:tcPr>
          <w:p w:rsidR="005622E9" w:rsidRPr="005633D9" w:rsidRDefault="005622E9" w:rsidP="00AC1804">
            <w:pPr>
              <w:pStyle w:val="ExhibitText"/>
              <w:rPr>
                <w:lang w:val="en-GB"/>
              </w:rPr>
            </w:pPr>
          </w:p>
        </w:tc>
        <w:tc>
          <w:tcPr>
            <w:tcW w:w="1350" w:type="dxa"/>
            <w:tcBorders>
              <w:top w:val="single" w:sz="8" w:space="0" w:color="auto"/>
              <w:left w:val="nil"/>
              <w:bottom w:val="nil"/>
              <w:right w:val="single" w:sz="8" w:space="0" w:color="auto"/>
            </w:tcBorders>
            <w:shd w:val="clear" w:color="auto" w:fill="auto"/>
            <w:noWrap/>
            <w:vAlign w:val="center"/>
            <w:hideMark/>
          </w:tcPr>
          <w:p w:rsidR="005622E9" w:rsidRPr="005633D9" w:rsidRDefault="005622E9" w:rsidP="00AF52BB">
            <w:pPr>
              <w:pStyle w:val="ExhibitText"/>
              <w:jc w:val="right"/>
              <w:rPr>
                <w:lang w:val="en-GB"/>
              </w:rPr>
            </w:pPr>
            <w:r w:rsidRPr="005633D9">
              <w:rPr>
                <w:lang w:val="en-GB"/>
              </w:rPr>
              <w:t>216</w:t>
            </w:r>
          </w:p>
        </w:tc>
        <w:tc>
          <w:tcPr>
            <w:tcW w:w="1170" w:type="dxa"/>
            <w:tcBorders>
              <w:top w:val="single" w:sz="8" w:space="0" w:color="auto"/>
              <w:left w:val="nil"/>
              <w:bottom w:val="nil"/>
              <w:right w:val="single" w:sz="8" w:space="0" w:color="auto"/>
            </w:tcBorders>
            <w:shd w:val="clear" w:color="auto" w:fill="auto"/>
            <w:noWrap/>
            <w:vAlign w:val="center"/>
            <w:hideMark/>
          </w:tcPr>
          <w:p w:rsidR="005622E9" w:rsidRPr="005633D9" w:rsidRDefault="005622E9" w:rsidP="00AF52BB">
            <w:pPr>
              <w:pStyle w:val="ExhibitText"/>
              <w:jc w:val="right"/>
              <w:rPr>
                <w:lang w:val="en-GB"/>
              </w:rPr>
            </w:pPr>
            <w:r w:rsidRPr="005633D9">
              <w:rPr>
                <w:lang w:val="en-GB"/>
              </w:rPr>
              <w:t>135</w:t>
            </w:r>
          </w:p>
        </w:tc>
        <w:tc>
          <w:tcPr>
            <w:tcW w:w="720" w:type="dxa"/>
            <w:tcBorders>
              <w:top w:val="single" w:sz="8" w:space="0" w:color="auto"/>
              <w:left w:val="nil"/>
              <w:right w:val="single" w:sz="8" w:space="0" w:color="auto"/>
            </w:tcBorders>
          </w:tcPr>
          <w:p w:rsidR="005622E9" w:rsidRPr="005633D9" w:rsidRDefault="005622E9" w:rsidP="00AF52BB">
            <w:pPr>
              <w:pStyle w:val="ExhibitText"/>
              <w:jc w:val="right"/>
              <w:rPr>
                <w:lang w:val="en-GB"/>
              </w:rPr>
            </w:pPr>
          </w:p>
        </w:tc>
        <w:tc>
          <w:tcPr>
            <w:tcW w:w="720" w:type="dxa"/>
            <w:tcBorders>
              <w:top w:val="single" w:sz="8" w:space="0" w:color="auto"/>
              <w:left w:val="single" w:sz="8" w:space="0" w:color="auto"/>
              <w:right w:val="single" w:sz="8" w:space="0" w:color="auto"/>
            </w:tcBorders>
            <w:shd w:val="clear" w:color="auto" w:fill="auto"/>
            <w:noWrap/>
            <w:vAlign w:val="center"/>
            <w:hideMark/>
          </w:tcPr>
          <w:p w:rsidR="005622E9" w:rsidRPr="005633D9" w:rsidRDefault="005622E9" w:rsidP="00AF52BB">
            <w:pPr>
              <w:pStyle w:val="ExhibitText"/>
              <w:jc w:val="right"/>
              <w:rPr>
                <w:lang w:val="en-GB"/>
              </w:rPr>
            </w:pPr>
            <w:r>
              <w:rPr>
                <w:lang w:val="en-GB"/>
              </w:rPr>
              <w:t>1241</w:t>
            </w:r>
          </w:p>
        </w:tc>
      </w:tr>
      <w:tr w:rsidR="005622E9" w:rsidRPr="005633D9" w:rsidTr="00BF788C">
        <w:trPr>
          <w:trHeight w:val="288"/>
        </w:trPr>
        <w:tc>
          <w:tcPr>
            <w:tcW w:w="2250" w:type="dxa"/>
            <w:tcBorders>
              <w:top w:val="nil"/>
              <w:left w:val="single" w:sz="8" w:space="0" w:color="auto"/>
              <w:bottom w:val="nil"/>
              <w:right w:val="single" w:sz="8" w:space="0" w:color="auto"/>
            </w:tcBorders>
            <w:shd w:val="clear" w:color="auto" w:fill="auto"/>
            <w:noWrap/>
            <w:vAlign w:val="center"/>
            <w:hideMark/>
          </w:tcPr>
          <w:p w:rsidR="005622E9" w:rsidRPr="005633D9" w:rsidRDefault="005622E9" w:rsidP="005622E9">
            <w:pPr>
              <w:pStyle w:val="ExhibitText"/>
              <w:jc w:val="right"/>
              <w:rPr>
                <w:lang w:val="en-GB"/>
              </w:rPr>
            </w:pPr>
            <w:r w:rsidRPr="005633D9">
              <w:rPr>
                <w:lang w:val="en-GB"/>
              </w:rPr>
              <w:t>A vs C</w:t>
            </w:r>
            <w:r>
              <w:rPr>
                <w:lang w:val="en-GB"/>
              </w:rPr>
              <w:t xml:space="preserve">: </w:t>
            </w:r>
            <w:r w:rsidRPr="005633D9">
              <w:rPr>
                <w:lang w:val="en-GB"/>
              </w:rPr>
              <w:t xml:space="preserve">3 of 4 adhere </w:t>
            </w:r>
          </w:p>
        </w:tc>
        <w:tc>
          <w:tcPr>
            <w:tcW w:w="1080" w:type="dxa"/>
            <w:tcBorders>
              <w:left w:val="single" w:sz="8" w:space="0" w:color="auto"/>
            </w:tcBorders>
            <w:shd w:val="clear" w:color="auto" w:fill="auto"/>
            <w:vAlign w:val="center"/>
            <w:hideMark/>
          </w:tcPr>
          <w:p w:rsidR="005622E9" w:rsidRPr="005633D9" w:rsidRDefault="005622E9" w:rsidP="00AC1804">
            <w:pPr>
              <w:pStyle w:val="ExhibitText"/>
              <w:rPr>
                <w:lang w:val="en-GB"/>
              </w:rPr>
            </w:pPr>
          </w:p>
        </w:tc>
        <w:tc>
          <w:tcPr>
            <w:tcW w:w="1170" w:type="dxa"/>
            <w:shd w:val="clear" w:color="auto" w:fill="auto"/>
            <w:vAlign w:val="center"/>
            <w:hideMark/>
          </w:tcPr>
          <w:p w:rsidR="005622E9" w:rsidRPr="005633D9" w:rsidRDefault="005622E9" w:rsidP="00AC1804">
            <w:pPr>
              <w:pStyle w:val="ExhibitText"/>
              <w:rPr>
                <w:lang w:val="en-GB"/>
              </w:rPr>
            </w:pPr>
          </w:p>
        </w:tc>
        <w:tc>
          <w:tcPr>
            <w:tcW w:w="1080" w:type="dxa"/>
            <w:tcBorders>
              <w:right w:val="single" w:sz="8" w:space="0" w:color="auto"/>
            </w:tcBorders>
            <w:shd w:val="clear" w:color="auto" w:fill="auto"/>
            <w:vAlign w:val="center"/>
            <w:hideMark/>
          </w:tcPr>
          <w:p w:rsidR="005622E9" w:rsidRPr="005633D9" w:rsidRDefault="005622E9" w:rsidP="00AC1804">
            <w:pPr>
              <w:pStyle w:val="ExhibitText"/>
              <w:rPr>
                <w:lang w:val="en-GB"/>
              </w:rPr>
            </w:pPr>
          </w:p>
        </w:tc>
        <w:tc>
          <w:tcPr>
            <w:tcW w:w="1350" w:type="dxa"/>
            <w:tcBorders>
              <w:top w:val="nil"/>
              <w:left w:val="nil"/>
              <w:bottom w:val="nil"/>
              <w:right w:val="single" w:sz="8" w:space="0" w:color="auto"/>
            </w:tcBorders>
            <w:shd w:val="clear" w:color="auto" w:fill="auto"/>
            <w:noWrap/>
            <w:vAlign w:val="center"/>
            <w:hideMark/>
          </w:tcPr>
          <w:p w:rsidR="005622E9" w:rsidRPr="005633D9" w:rsidRDefault="005622E9" w:rsidP="00AF52BB">
            <w:pPr>
              <w:pStyle w:val="ExhibitText"/>
              <w:jc w:val="right"/>
              <w:rPr>
                <w:lang w:val="en-GB"/>
              </w:rPr>
            </w:pPr>
            <w:r w:rsidRPr="005633D9">
              <w:rPr>
                <w:lang w:val="en-GB"/>
              </w:rPr>
              <w:t>311</w:t>
            </w:r>
          </w:p>
        </w:tc>
        <w:tc>
          <w:tcPr>
            <w:tcW w:w="1170" w:type="dxa"/>
            <w:tcBorders>
              <w:top w:val="nil"/>
              <w:left w:val="nil"/>
              <w:bottom w:val="nil"/>
              <w:right w:val="single" w:sz="8" w:space="0" w:color="auto"/>
            </w:tcBorders>
            <w:shd w:val="clear" w:color="auto" w:fill="auto"/>
            <w:noWrap/>
            <w:vAlign w:val="center"/>
            <w:hideMark/>
          </w:tcPr>
          <w:p w:rsidR="005622E9" w:rsidRPr="005633D9" w:rsidRDefault="005622E9" w:rsidP="00AF52BB">
            <w:pPr>
              <w:pStyle w:val="ExhibitText"/>
              <w:jc w:val="right"/>
              <w:rPr>
                <w:lang w:val="en-GB"/>
              </w:rPr>
            </w:pPr>
            <w:r w:rsidRPr="005633D9">
              <w:rPr>
                <w:lang w:val="en-GB"/>
              </w:rPr>
              <w:t>103</w:t>
            </w:r>
          </w:p>
        </w:tc>
        <w:tc>
          <w:tcPr>
            <w:tcW w:w="720" w:type="dxa"/>
            <w:tcBorders>
              <w:top w:val="nil"/>
              <w:left w:val="nil"/>
              <w:bottom w:val="nil"/>
              <w:right w:val="single" w:sz="8" w:space="0" w:color="auto"/>
            </w:tcBorders>
          </w:tcPr>
          <w:p w:rsidR="005622E9" w:rsidRPr="005633D9" w:rsidRDefault="005622E9" w:rsidP="00AF52BB">
            <w:pPr>
              <w:pStyle w:val="ExhibitText"/>
              <w:jc w:val="right"/>
              <w:rPr>
                <w:lang w:val="en-GB"/>
              </w:rPr>
            </w:pPr>
            <w:r>
              <w:rPr>
                <w:lang w:val="en-GB"/>
              </w:rPr>
              <w:t>100</w:t>
            </w:r>
          </w:p>
        </w:tc>
        <w:tc>
          <w:tcPr>
            <w:tcW w:w="720" w:type="dxa"/>
            <w:tcBorders>
              <w:top w:val="nil"/>
              <w:left w:val="single" w:sz="8" w:space="0" w:color="auto"/>
              <w:bottom w:val="nil"/>
              <w:right w:val="single" w:sz="8" w:space="0" w:color="auto"/>
            </w:tcBorders>
            <w:shd w:val="clear" w:color="auto" w:fill="auto"/>
            <w:noWrap/>
            <w:vAlign w:val="center"/>
            <w:hideMark/>
          </w:tcPr>
          <w:p w:rsidR="005622E9" w:rsidRPr="005633D9" w:rsidRDefault="005622E9" w:rsidP="00AF52BB">
            <w:pPr>
              <w:pStyle w:val="ExhibitText"/>
              <w:jc w:val="right"/>
              <w:rPr>
                <w:lang w:val="en-GB"/>
              </w:rPr>
            </w:pPr>
            <w:r>
              <w:rPr>
                <w:lang w:val="en-GB"/>
              </w:rPr>
              <w:t>1303</w:t>
            </w:r>
          </w:p>
        </w:tc>
      </w:tr>
      <w:tr w:rsidR="005622E9" w:rsidRPr="005633D9" w:rsidTr="00BF788C">
        <w:trPr>
          <w:trHeight w:val="300"/>
        </w:trPr>
        <w:tc>
          <w:tcPr>
            <w:tcW w:w="2250" w:type="dxa"/>
            <w:tcBorders>
              <w:top w:val="nil"/>
              <w:left w:val="single" w:sz="8" w:space="0" w:color="auto"/>
              <w:bottom w:val="single" w:sz="8" w:space="0" w:color="auto"/>
              <w:right w:val="single" w:sz="8" w:space="0" w:color="auto"/>
            </w:tcBorders>
            <w:shd w:val="clear" w:color="auto" w:fill="auto"/>
            <w:noWrap/>
            <w:vAlign w:val="bottom"/>
            <w:hideMark/>
          </w:tcPr>
          <w:p w:rsidR="005622E9" w:rsidRPr="005633D9" w:rsidRDefault="005622E9" w:rsidP="005622E9">
            <w:pPr>
              <w:pStyle w:val="ExhibitText"/>
              <w:jc w:val="right"/>
              <w:rPr>
                <w:lang w:val="en-GB"/>
              </w:rPr>
            </w:pPr>
            <w:r w:rsidRPr="005633D9">
              <w:rPr>
                <w:lang w:val="en-GB"/>
              </w:rPr>
              <w:t>A vs C</w:t>
            </w:r>
            <w:r>
              <w:rPr>
                <w:lang w:val="en-GB"/>
              </w:rPr>
              <w:t xml:space="preserve">: </w:t>
            </w:r>
            <w:r w:rsidRPr="005633D9">
              <w:rPr>
                <w:lang w:val="en-GB"/>
              </w:rPr>
              <w:t xml:space="preserve">4 of 4 adhere </w:t>
            </w:r>
          </w:p>
        </w:tc>
        <w:tc>
          <w:tcPr>
            <w:tcW w:w="1080" w:type="dxa"/>
            <w:tcBorders>
              <w:left w:val="single" w:sz="8" w:space="0" w:color="auto"/>
              <w:bottom w:val="single" w:sz="8" w:space="0" w:color="auto"/>
            </w:tcBorders>
            <w:shd w:val="clear" w:color="auto" w:fill="auto"/>
            <w:vAlign w:val="center"/>
            <w:hideMark/>
          </w:tcPr>
          <w:p w:rsidR="005622E9" w:rsidRPr="005633D9" w:rsidRDefault="005622E9" w:rsidP="00AC1804">
            <w:pPr>
              <w:pStyle w:val="ExhibitText"/>
              <w:rPr>
                <w:lang w:val="en-GB"/>
              </w:rPr>
            </w:pPr>
          </w:p>
        </w:tc>
        <w:tc>
          <w:tcPr>
            <w:tcW w:w="1170" w:type="dxa"/>
            <w:tcBorders>
              <w:bottom w:val="single" w:sz="8" w:space="0" w:color="auto"/>
            </w:tcBorders>
            <w:shd w:val="clear" w:color="auto" w:fill="auto"/>
            <w:vAlign w:val="center"/>
            <w:hideMark/>
          </w:tcPr>
          <w:p w:rsidR="005622E9" w:rsidRPr="005633D9" w:rsidRDefault="005622E9" w:rsidP="00AC1804">
            <w:pPr>
              <w:pStyle w:val="ExhibitText"/>
              <w:rPr>
                <w:lang w:val="en-GB"/>
              </w:rPr>
            </w:pPr>
          </w:p>
        </w:tc>
        <w:tc>
          <w:tcPr>
            <w:tcW w:w="1080" w:type="dxa"/>
            <w:tcBorders>
              <w:bottom w:val="single" w:sz="8" w:space="0" w:color="auto"/>
              <w:right w:val="single" w:sz="8" w:space="0" w:color="auto"/>
            </w:tcBorders>
            <w:shd w:val="clear" w:color="auto" w:fill="auto"/>
            <w:vAlign w:val="center"/>
            <w:hideMark/>
          </w:tcPr>
          <w:p w:rsidR="005622E9" w:rsidRPr="005633D9" w:rsidRDefault="005622E9" w:rsidP="00AC1804">
            <w:pPr>
              <w:pStyle w:val="ExhibitText"/>
              <w:rPr>
                <w:lang w:val="en-GB"/>
              </w:rPr>
            </w:pPr>
          </w:p>
        </w:tc>
        <w:tc>
          <w:tcPr>
            <w:tcW w:w="1350" w:type="dxa"/>
            <w:tcBorders>
              <w:top w:val="nil"/>
              <w:left w:val="nil"/>
              <w:bottom w:val="single" w:sz="8" w:space="0" w:color="auto"/>
              <w:right w:val="single" w:sz="8" w:space="0" w:color="auto"/>
            </w:tcBorders>
            <w:shd w:val="clear" w:color="auto" w:fill="auto"/>
            <w:noWrap/>
            <w:vAlign w:val="center"/>
            <w:hideMark/>
          </w:tcPr>
          <w:p w:rsidR="005622E9" w:rsidRPr="005633D9" w:rsidRDefault="005622E9" w:rsidP="00AF52BB">
            <w:pPr>
              <w:pStyle w:val="ExhibitText"/>
              <w:jc w:val="right"/>
              <w:rPr>
                <w:lang w:val="en-GB"/>
              </w:rPr>
            </w:pPr>
            <w:r w:rsidRPr="005633D9">
              <w:rPr>
                <w:lang w:val="en-GB"/>
              </w:rPr>
              <w:t>405</w:t>
            </w:r>
          </w:p>
        </w:tc>
        <w:tc>
          <w:tcPr>
            <w:tcW w:w="1170" w:type="dxa"/>
            <w:tcBorders>
              <w:top w:val="nil"/>
              <w:left w:val="nil"/>
              <w:bottom w:val="single" w:sz="8" w:space="0" w:color="auto"/>
              <w:right w:val="single" w:sz="8" w:space="0" w:color="auto"/>
            </w:tcBorders>
            <w:shd w:val="clear" w:color="auto" w:fill="auto"/>
            <w:noWrap/>
            <w:vAlign w:val="center"/>
            <w:hideMark/>
          </w:tcPr>
          <w:p w:rsidR="005622E9" w:rsidRPr="005633D9" w:rsidRDefault="005622E9" w:rsidP="00AF52BB">
            <w:pPr>
              <w:pStyle w:val="ExhibitText"/>
              <w:jc w:val="right"/>
              <w:rPr>
                <w:lang w:val="en-GB"/>
              </w:rPr>
            </w:pPr>
            <w:r w:rsidRPr="005633D9">
              <w:rPr>
                <w:lang w:val="en-GB"/>
              </w:rPr>
              <w:t>70</w:t>
            </w:r>
          </w:p>
        </w:tc>
        <w:tc>
          <w:tcPr>
            <w:tcW w:w="720" w:type="dxa"/>
            <w:tcBorders>
              <w:top w:val="nil"/>
              <w:left w:val="nil"/>
              <w:bottom w:val="single" w:sz="8" w:space="0" w:color="auto"/>
              <w:right w:val="single" w:sz="8" w:space="0" w:color="auto"/>
            </w:tcBorders>
          </w:tcPr>
          <w:p w:rsidR="005622E9" w:rsidRPr="005633D9" w:rsidRDefault="005622E9" w:rsidP="00AF52BB">
            <w:pPr>
              <w:pStyle w:val="ExhibitText"/>
              <w:jc w:val="right"/>
              <w:rPr>
                <w:lang w:val="en-GB"/>
              </w:rPr>
            </w:pPr>
          </w:p>
        </w:tc>
        <w:tc>
          <w:tcPr>
            <w:tcW w:w="720" w:type="dxa"/>
            <w:tcBorders>
              <w:top w:val="nil"/>
              <w:left w:val="single" w:sz="8" w:space="0" w:color="auto"/>
              <w:bottom w:val="single" w:sz="8" w:space="0" w:color="auto"/>
              <w:right w:val="single" w:sz="8" w:space="0" w:color="auto"/>
            </w:tcBorders>
            <w:shd w:val="clear" w:color="auto" w:fill="auto"/>
            <w:noWrap/>
            <w:vAlign w:val="center"/>
            <w:hideMark/>
          </w:tcPr>
          <w:p w:rsidR="005622E9" w:rsidRPr="005633D9" w:rsidRDefault="005622E9" w:rsidP="00AF52BB">
            <w:pPr>
              <w:pStyle w:val="ExhibitText"/>
              <w:jc w:val="right"/>
              <w:rPr>
                <w:lang w:val="en-GB"/>
              </w:rPr>
            </w:pPr>
            <w:r>
              <w:rPr>
                <w:lang w:val="en-GB"/>
              </w:rPr>
              <w:t>1365</w:t>
            </w:r>
          </w:p>
        </w:tc>
      </w:tr>
    </w:tbl>
    <w:p w:rsidR="007F1503" w:rsidRPr="005633D9" w:rsidRDefault="007F1503" w:rsidP="00237279">
      <w:pPr>
        <w:rPr>
          <w:lang w:val="en-GB"/>
        </w:rPr>
      </w:pPr>
    </w:p>
    <w:p w:rsidR="00BC4FAA" w:rsidRPr="005633D9" w:rsidRDefault="00BC4FAA" w:rsidP="00BC4FAA">
      <w:pPr>
        <w:rPr>
          <w:lang w:val="en-GB"/>
        </w:rPr>
      </w:pPr>
      <w:r w:rsidRPr="005633D9">
        <w:rPr>
          <w:lang w:val="en-GB"/>
        </w:rPr>
        <w:t>We also distinguish within a given panel of the table three adherence scenarios for the Cohort A versus Cohort C comparison</w:t>
      </w:r>
      <w:r w:rsidR="00372211">
        <w:rPr>
          <w:lang w:val="en-GB"/>
        </w:rPr>
        <w:t xml:space="preserve"> (column </w:t>
      </w:r>
      <w:r w:rsidR="00A31A17">
        <w:rPr>
          <w:lang w:val="en-GB"/>
        </w:rPr>
        <w:t>1</w:t>
      </w:r>
      <w:r w:rsidR="00372211">
        <w:rPr>
          <w:lang w:val="en-GB"/>
        </w:rPr>
        <w:t>)</w:t>
      </w:r>
      <w:r w:rsidRPr="005633D9">
        <w:rPr>
          <w:lang w:val="en-GB"/>
        </w:rPr>
        <w:t xml:space="preserve">. For each of these scenarios, the table conveys in </w:t>
      </w:r>
      <w:r w:rsidR="00372211">
        <w:rPr>
          <w:lang w:val="en-GB"/>
        </w:rPr>
        <w:t>columns 5 and 6</w:t>
      </w:r>
      <w:r w:rsidRPr="005633D9">
        <w:rPr>
          <w:lang w:val="en-GB"/>
        </w:rPr>
        <w:t xml:space="preserve"> the number of Cohort A interviews that will need to be added to the Cohort B plus C total in earlier columns to accomplish impact analyses involving Cohorts A and C. This depends on the extent of continued adherence to the original A-versus-C experiment. For example, as displayed in the last row of the first panel, if all four of the currently adherent Cohort A and C aggregators continue to adhere to their randomization protocols for the remainder of the study, we will need to add interviews with 378 Cohort A smallholders associated with those aggregators and 70 Cohort A smallholders associated with the two aggregators who never adhered to the randomized design. These Cohort A smallholders will be compared to the same Cohort C smallholders that are part of the Cohor</w:t>
      </w:r>
      <w:r w:rsidR="00E86A86">
        <w:rPr>
          <w:lang w:val="en-GB"/>
        </w:rPr>
        <w:t>t B versus Cohort C comparison.</w:t>
      </w:r>
      <w:r w:rsidR="00372211">
        <w:rPr>
          <w:lang w:val="en-GB"/>
        </w:rPr>
        <w:t xml:space="preserve"> Similarly, the </w:t>
      </w:r>
      <w:r w:rsidR="00F93043">
        <w:t>the QED implementer</w:t>
      </w:r>
      <w:r w:rsidR="00F93043">
        <w:rPr>
          <w:lang w:val="en-GB"/>
        </w:rPr>
        <w:t xml:space="preserve"> </w:t>
      </w:r>
      <w:r w:rsidR="00372211">
        <w:rPr>
          <w:lang w:val="en-GB"/>
        </w:rPr>
        <w:t xml:space="preserve">Cohort A smallholders (column </w:t>
      </w:r>
      <w:r w:rsidR="00A230BE">
        <w:rPr>
          <w:lang w:val="en-GB"/>
        </w:rPr>
        <w:t>7</w:t>
      </w:r>
      <w:r w:rsidR="00372211">
        <w:rPr>
          <w:lang w:val="en-GB"/>
        </w:rPr>
        <w:t xml:space="preserve">) will be compared to the same comparison group used to study impacts on the </w:t>
      </w:r>
      <w:r w:rsidR="00F93043">
        <w:t>the QED implementer</w:t>
      </w:r>
      <w:r w:rsidR="00F93043">
        <w:rPr>
          <w:lang w:val="en-GB"/>
        </w:rPr>
        <w:t xml:space="preserve"> </w:t>
      </w:r>
      <w:r w:rsidR="00372211">
        <w:rPr>
          <w:lang w:val="en-GB"/>
        </w:rPr>
        <w:t xml:space="preserve">Cohort B smallholders. </w:t>
      </w:r>
      <w:r w:rsidR="00372211">
        <w:rPr>
          <w:lang w:val="en-GB"/>
        </w:rPr>
        <w:lastRenderedPageBreak/>
        <w:t>The</w:t>
      </w:r>
      <w:r w:rsidR="00372211" w:rsidRPr="005633D9">
        <w:rPr>
          <w:lang w:val="en-GB"/>
        </w:rPr>
        <w:t xml:space="preserve"> </w:t>
      </w:r>
      <w:r w:rsidRPr="005633D9">
        <w:rPr>
          <w:lang w:val="en-GB"/>
        </w:rPr>
        <w:t xml:space="preserve">final column of the table shows the total number of </w:t>
      </w:r>
      <w:r w:rsidR="00372211">
        <w:rPr>
          <w:lang w:val="en-GB"/>
        </w:rPr>
        <w:t xml:space="preserve">successful, </w:t>
      </w:r>
      <w:r w:rsidRPr="005633D9">
        <w:rPr>
          <w:lang w:val="en-GB"/>
        </w:rPr>
        <w:t>completed endline interviews from all three cohorts and all seven aggregators, adding across the preceding columns for any given scenario.</w:t>
      </w:r>
    </w:p>
    <w:p w:rsidR="00546949" w:rsidRPr="005633D9" w:rsidRDefault="00546949" w:rsidP="00546949">
      <w:pPr>
        <w:rPr>
          <w:lang w:val="en-GB"/>
        </w:rPr>
      </w:pPr>
      <w:r w:rsidRPr="005633D9">
        <w:rPr>
          <w:lang w:val="en-GB"/>
        </w:rPr>
        <w:t>The text below describes the origins of these numbers.</w:t>
      </w:r>
      <w:r w:rsidR="00243735" w:rsidRPr="005633D9">
        <w:rPr>
          <w:lang w:val="en-GB"/>
        </w:rPr>
        <w:t xml:space="preserve"> </w:t>
      </w:r>
      <w:r w:rsidRPr="005633D9">
        <w:rPr>
          <w:lang w:val="en-GB"/>
        </w:rPr>
        <w:t>For each of the scenarios above, the tables below also present the smallest true impact that we can expect to detect with an 80 percent probability from each of the cross-cohort comparisons—the minimum detectable impacts of the study.</w:t>
      </w:r>
      <w:r w:rsidR="00243735" w:rsidRPr="005633D9">
        <w:rPr>
          <w:lang w:val="en-GB"/>
        </w:rPr>
        <w:t xml:space="preserve"> </w:t>
      </w:r>
      <w:r w:rsidRPr="005633D9">
        <w:rPr>
          <w:lang w:val="en-GB"/>
        </w:rPr>
        <w:t xml:space="preserve">The actual sample design for the </w:t>
      </w:r>
      <w:r w:rsidR="00791459" w:rsidRPr="005633D9">
        <w:rPr>
          <w:lang w:val="en-GB"/>
        </w:rPr>
        <w:t xml:space="preserve">endline </w:t>
      </w:r>
      <w:r w:rsidRPr="005633D9">
        <w:rPr>
          <w:lang w:val="en-GB"/>
        </w:rPr>
        <w:t xml:space="preserve">survey may vary slightly from what we describe here due to the potential inclusion of additional </w:t>
      </w:r>
      <w:r w:rsidR="007A2E54" w:rsidRPr="005633D9">
        <w:rPr>
          <w:lang w:val="en-GB"/>
        </w:rPr>
        <w:t>aggregator</w:t>
      </w:r>
      <w:r w:rsidRPr="005633D9">
        <w:rPr>
          <w:lang w:val="en-GB"/>
        </w:rPr>
        <w:t>s and consideration of Year 4 activities.</w:t>
      </w:r>
      <w:r w:rsidR="00243735" w:rsidRPr="005633D9">
        <w:rPr>
          <w:lang w:val="en-GB"/>
        </w:rPr>
        <w:t xml:space="preserve"> </w:t>
      </w:r>
      <w:r w:rsidRPr="005633D9">
        <w:rPr>
          <w:lang w:val="en-GB"/>
        </w:rPr>
        <w:t>While details may change pending this information, we will target the s</w:t>
      </w:r>
      <w:r w:rsidR="00237279" w:rsidRPr="005633D9">
        <w:rPr>
          <w:lang w:val="en-GB"/>
        </w:rPr>
        <w:t>ame MDIs under any scenario.</w:t>
      </w:r>
    </w:p>
    <w:p w:rsidR="00517966" w:rsidRPr="005633D9" w:rsidRDefault="00546949" w:rsidP="00FB75AD">
      <w:pPr>
        <w:pStyle w:val="Heading4"/>
        <w:rPr>
          <w:lang w:val="en-GB"/>
        </w:rPr>
      </w:pPr>
      <w:r w:rsidRPr="005633D9">
        <w:rPr>
          <w:rStyle w:val="Heading4Char"/>
          <w:lang w:val="en-GB"/>
        </w:rPr>
        <w:t xml:space="preserve">Adherence to </w:t>
      </w:r>
      <w:r w:rsidR="005A63BB" w:rsidRPr="005633D9">
        <w:rPr>
          <w:rStyle w:val="Heading4Char"/>
          <w:lang w:val="en-GB"/>
        </w:rPr>
        <w:t xml:space="preserve">random assignment in the second round, for measurement </w:t>
      </w:r>
      <w:r w:rsidRPr="005633D9">
        <w:rPr>
          <w:rStyle w:val="Heading4Char"/>
          <w:lang w:val="en-GB"/>
        </w:rPr>
        <w:t xml:space="preserve">of </w:t>
      </w:r>
      <w:r w:rsidR="008B6348" w:rsidRPr="005633D9">
        <w:rPr>
          <w:rStyle w:val="Heading4Char"/>
          <w:lang w:val="en-GB"/>
        </w:rPr>
        <w:t xml:space="preserve">Cohort B </w:t>
      </w:r>
      <w:r w:rsidR="00FB75AD" w:rsidRPr="005633D9">
        <w:rPr>
          <w:rStyle w:val="Heading4Char"/>
          <w:lang w:val="en-GB"/>
        </w:rPr>
        <w:t>V</w:t>
      </w:r>
      <w:r w:rsidR="008B6348" w:rsidRPr="005633D9">
        <w:rPr>
          <w:rStyle w:val="Heading4Char"/>
          <w:lang w:val="en-GB"/>
        </w:rPr>
        <w:t xml:space="preserve">ersus C </w:t>
      </w:r>
      <w:r w:rsidR="005A63BB" w:rsidRPr="005633D9">
        <w:rPr>
          <w:rStyle w:val="Heading4Char"/>
          <w:lang w:val="en-GB"/>
        </w:rPr>
        <w:t>comparison</w:t>
      </w:r>
    </w:p>
    <w:p w:rsidR="003C3D01" w:rsidRDefault="003C3D01" w:rsidP="00546949">
      <w:pPr>
        <w:rPr>
          <w:lang w:val="en-GB"/>
        </w:rPr>
      </w:pPr>
      <w:r w:rsidRPr="005633D9">
        <w:rPr>
          <w:lang w:val="en-GB"/>
        </w:rPr>
        <w:fldChar w:fldCharType="begin"/>
      </w:r>
      <w:r w:rsidRPr="005633D9">
        <w:rPr>
          <w:lang w:val="en-GB"/>
        </w:rPr>
        <w:instrText xml:space="preserve"> REF _Ref403423699 \h </w:instrText>
      </w:r>
      <w:r w:rsidRPr="005633D9">
        <w:rPr>
          <w:lang w:val="en-GB"/>
        </w:rPr>
      </w:r>
      <w:r w:rsidRPr="005633D9">
        <w:rPr>
          <w:lang w:val="en-GB"/>
        </w:rPr>
        <w:fldChar w:fldCharType="separate"/>
      </w:r>
      <w:r w:rsidRPr="005633D9">
        <w:rPr>
          <w:lang w:val="en-GB"/>
        </w:rPr>
        <w:t xml:space="preserve">Table </w:t>
      </w:r>
      <w:r>
        <w:rPr>
          <w:noProof/>
          <w:lang w:val="en-GB"/>
        </w:rPr>
        <w:t>3</w:t>
      </w:r>
      <w:r w:rsidRPr="005633D9">
        <w:rPr>
          <w:lang w:val="en-GB"/>
        </w:rPr>
        <w:noBreakHyphen/>
      </w:r>
      <w:r>
        <w:rPr>
          <w:noProof/>
          <w:lang w:val="en-GB"/>
        </w:rPr>
        <w:t>4</w:t>
      </w:r>
      <w:r w:rsidRPr="005633D9">
        <w:rPr>
          <w:lang w:val="en-GB"/>
        </w:rPr>
        <w:fldChar w:fldCharType="end"/>
      </w:r>
      <w:r>
        <w:rPr>
          <w:lang w:val="en-GB"/>
        </w:rPr>
        <w:t xml:space="preserve"> lists the MDIs for each adherence sce</w:t>
      </w:r>
      <w:r w:rsidR="00E86A86">
        <w:rPr>
          <w:lang w:val="en-GB"/>
        </w:rPr>
        <w:t xml:space="preserve">nario that we have considered. </w:t>
      </w:r>
      <w:r>
        <w:rPr>
          <w:lang w:val="en-GB"/>
        </w:rPr>
        <w:t xml:space="preserve">An MDI of $65 in net revenue per acre is not constant across all scenarios; some scenarios have higher MDIs because those scenarios are more constrained in the maximum possible sample sizing </w:t>
      </w:r>
      <w:r w:rsidR="00A230BE">
        <w:rPr>
          <w:lang w:val="en-GB"/>
        </w:rPr>
        <w:t xml:space="preserve">owing </w:t>
      </w:r>
      <w:r>
        <w:rPr>
          <w:lang w:val="en-GB"/>
        </w:rPr>
        <w:t>to smaller numbers of villages/smallholders participating in the corresponding sample frame. We arrived at our sample sizes by identifying combinations of villages and smallholders that would achieve an MDI</w:t>
      </w:r>
      <w:r w:rsidR="00E4447F">
        <w:rPr>
          <w:lang w:val="en-GB"/>
        </w:rPr>
        <w:t xml:space="preserve"> as</w:t>
      </w:r>
      <w:r>
        <w:rPr>
          <w:lang w:val="en-GB"/>
        </w:rPr>
        <w:t xml:space="preserve"> close to $65</w:t>
      </w:r>
      <w:r w:rsidR="00E4447F">
        <w:rPr>
          <w:lang w:val="en-GB"/>
        </w:rPr>
        <w:t xml:space="preserve"> as possible</w:t>
      </w:r>
      <w:r>
        <w:rPr>
          <w:lang w:val="en-GB"/>
        </w:rPr>
        <w:t xml:space="preserve"> while still being both possible within the constraints of the scenario’s sample frame, and reasonable in terms of the limited marginal benefit of incrementall</w:t>
      </w:r>
      <w:r w:rsidR="00E86A86">
        <w:rPr>
          <w:lang w:val="en-GB"/>
        </w:rPr>
        <w:t>y increasing the sample size.</w:t>
      </w:r>
    </w:p>
    <w:p w:rsidR="00546949" w:rsidRPr="005633D9" w:rsidRDefault="00FB75AD" w:rsidP="00546949">
      <w:pPr>
        <w:rPr>
          <w:lang w:val="en-GB"/>
        </w:rPr>
      </w:pPr>
      <w:r w:rsidRPr="005633D9">
        <w:rPr>
          <w:lang w:val="en-GB"/>
        </w:rPr>
        <w:t>W</w:t>
      </w:r>
      <w:r w:rsidR="00546949" w:rsidRPr="005633D9">
        <w:rPr>
          <w:lang w:val="en-GB"/>
        </w:rPr>
        <w:t xml:space="preserve">e </w:t>
      </w:r>
      <w:r w:rsidR="008B6348" w:rsidRPr="005633D9">
        <w:rPr>
          <w:lang w:val="en-GB"/>
        </w:rPr>
        <w:t>propose a</w:t>
      </w:r>
      <w:r w:rsidR="00546949" w:rsidRPr="005633D9">
        <w:rPr>
          <w:lang w:val="en-GB"/>
        </w:rPr>
        <w:t xml:space="preserve"> sample size </w:t>
      </w:r>
      <w:r w:rsidR="008B6348" w:rsidRPr="005633D9">
        <w:rPr>
          <w:lang w:val="en-GB"/>
        </w:rPr>
        <w:t xml:space="preserve">that will </w:t>
      </w:r>
      <w:r w:rsidR="00546949" w:rsidRPr="005633D9">
        <w:rPr>
          <w:lang w:val="en-GB"/>
        </w:rPr>
        <w:t xml:space="preserve">allow us to detect rigorous (RCT-based) impacts on half of the </w:t>
      </w:r>
      <w:r w:rsidR="007A2E54" w:rsidRPr="005633D9">
        <w:rPr>
          <w:lang w:val="en-GB"/>
        </w:rPr>
        <w:t>aggregator</w:t>
      </w:r>
      <w:r w:rsidR="00546949" w:rsidRPr="005633D9">
        <w:rPr>
          <w:lang w:val="en-GB"/>
        </w:rPr>
        <w:t xml:space="preserve">s </w:t>
      </w:r>
      <w:r w:rsidRPr="005633D9">
        <w:rPr>
          <w:lang w:val="en-GB"/>
        </w:rPr>
        <w:t>that</w:t>
      </w:r>
      <w:r w:rsidR="00546949" w:rsidRPr="005633D9">
        <w:rPr>
          <w:lang w:val="en-GB"/>
        </w:rPr>
        <w:t xml:space="preserve"> are currently agreeing to random assignment for Cohorts B and C</w:t>
      </w:r>
      <w:r w:rsidRPr="005633D9">
        <w:rPr>
          <w:lang w:val="en-GB"/>
        </w:rPr>
        <w:t xml:space="preserve">. We do this </w:t>
      </w:r>
      <w:r w:rsidR="00546949" w:rsidRPr="005633D9">
        <w:rPr>
          <w:lang w:val="en-GB"/>
        </w:rPr>
        <w:t xml:space="preserve">instead of assuming that all six </w:t>
      </w:r>
      <w:r w:rsidR="007A2E54" w:rsidRPr="005633D9">
        <w:rPr>
          <w:lang w:val="en-GB"/>
        </w:rPr>
        <w:t>aggregator</w:t>
      </w:r>
      <w:r w:rsidR="00546949" w:rsidRPr="005633D9">
        <w:rPr>
          <w:lang w:val="en-GB"/>
        </w:rPr>
        <w:t>s in that group will remain true to the design</w:t>
      </w:r>
      <w:r w:rsidRPr="005633D9">
        <w:rPr>
          <w:lang w:val="en-GB"/>
        </w:rPr>
        <w:t xml:space="preserve"> due to the possibility that some portion of the new randomization of villages into Cohorts B and C may be compromised in the future</w:t>
      </w:r>
      <w:r w:rsidR="00546949" w:rsidRPr="005633D9">
        <w:rPr>
          <w:lang w:val="en-GB"/>
        </w:rPr>
        <w:t>.</w:t>
      </w:r>
      <w:r w:rsidR="00243735" w:rsidRPr="005633D9">
        <w:rPr>
          <w:lang w:val="en-GB"/>
        </w:rPr>
        <w:t xml:space="preserve"> </w:t>
      </w:r>
      <w:r w:rsidR="00546949" w:rsidRPr="005633D9">
        <w:rPr>
          <w:lang w:val="en-GB"/>
        </w:rPr>
        <w:t xml:space="preserve">This </w:t>
      </w:r>
      <w:r w:rsidRPr="005633D9">
        <w:rPr>
          <w:lang w:val="en-GB"/>
        </w:rPr>
        <w:t xml:space="preserve">approach </w:t>
      </w:r>
      <w:r w:rsidR="00546949" w:rsidRPr="005633D9">
        <w:rPr>
          <w:lang w:val="en-GB"/>
        </w:rPr>
        <w:t xml:space="preserve">is conservative: for the study of Cohort A versus C, the random assignment design held up for more than half of the </w:t>
      </w:r>
      <w:r w:rsidR="007A2E54" w:rsidRPr="005633D9">
        <w:rPr>
          <w:lang w:val="en-GB"/>
        </w:rPr>
        <w:t>aggregator</w:t>
      </w:r>
      <w:r w:rsidR="00546949" w:rsidRPr="005633D9">
        <w:rPr>
          <w:lang w:val="en-GB"/>
        </w:rPr>
        <w:t xml:space="preserve">s in the first year, and we expect for a number of reasons </w:t>
      </w:r>
      <w:r w:rsidRPr="005633D9">
        <w:rPr>
          <w:lang w:val="en-GB"/>
        </w:rPr>
        <w:t xml:space="preserve">that </w:t>
      </w:r>
      <w:r w:rsidR="00546949" w:rsidRPr="005633D9">
        <w:rPr>
          <w:lang w:val="en-GB"/>
        </w:rPr>
        <w:t>the odds of adherence have improved in the latest cycle.</w:t>
      </w:r>
      <w:r w:rsidR="00243735" w:rsidRPr="005633D9">
        <w:rPr>
          <w:lang w:val="en-GB"/>
        </w:rPr>
        <w:t xml:space="preserve"> </w:t>
      </w:r>
    </w:p>
    <w:p w:rsidR="00645FC6" w:rsidRPr="005633D9" w:rsidRDefault="00546949" w:rsidP="00546949">
      <w:pPr>
        <w:rPr>
          <w:lang w:val="en-GB"/>
        </w:rPr>
      </w:pPr>
      <w:r w:rsidRPr="005633D9">
        <w:rPr>
          <w:lang w:val="en-GB"/>
        </w:rPr>
        <w:t xml:space="preserve">As protection against the loss of one or more </w:t>
      </w:r>
      <w:r w:rsidR="007A2E54" w:rsidRPr="005633D9">
        <w:rPr>
          <w:lang w:val="en-GB"/>
        </w:rPr>
        <w:t>aggregator</w:t>
      </w:r>
      <w:r w:rsidRPr="005633D9">
        <w:rPr>
          <w:lang w:val="en-GB"/>
        </w:rPr>
        <w:t>s from the intended random assignment design for the Cohort B versus Cohort C comparison, we will expand the number of villages included in the baseline survey for these cohorts.</w:t>
      </w:r>
      <w:r w:rsidRPr="005633D9">
        <w:rPr>
          <w:rStyle w:val="FootnoteReference"/>
          <w:lang w:val="en-GB"/>
        </w:rPr>
        <w:footnoteReference w:id="15"/>
      </w:r>
      <w:r w:rsidR="00FB75AD" w:rsidRPr="005633D9">
        <w:rPr>
          <w:lang w:val="en-GB"/>
        </w:rPr>
        <w:t xml:space="preserve"> At baseline, we will survey seven</w:t>
      </w:r>
      <w:r w:rsidRPr="005633D9">
        <w:rPr>
          <w:lang w:val="en-GB"/>
        </w:rPr>
        <w:t xml:space="preserve"> villages in the </w:t>
      </w:r>
      <w:r w:rsidR="00FB75AD" w:rsidRPr="005633D9">
        <w:rPr>
          <w:lang w:val="en-GB"/>
        </w:rPr>
        <w:t>two</w:t>
      </w:r>
      <w:r w:rsidRPr="005633D9">
        <w:rPr>
          <w:lang w:val="en-GB"/>
        </w:rPr>
        <w:t xml:space="preserve"> cohorts for each of </w:t>
      </w:r>
      <w:r w:rsidR="00FB75AD" w:rsidRPr="005633D9">
        <w:rPr>
          <w:lang w:val="en-GB"/>
        </w:rPr>
        <w:t>six</w:t>
      </w:r>
      <w:r w:rsidRPr="005633D9">
        <w:rPr>
          <w:lang w:val="en-GB"/>
        </w:rPr>
        <w:t xml:space="preserve"> experimental </w:t>
      </w:r>
      <w:r w:rsidR="007A2E54" w:rsidRPr="005633D9">
        <w:rPr>
          <w:lang w:val="en-GB"/>
        </w:rPr>
        <w:t>aggregator</w:t>
      </w:r>
      <w:r w:rsidRPr="005633D9">
        <w:rPr>
          <w:lang w:val="en-GB"/>
        </w:rPr>
        <w:t xml:space="preserve">s, completing interviews with 15 </w:t>
      </w:r>
      <w:r w:rsidR="007A2E54" w:rsidRPr="005633D9">
        <w:rPr>
          <w:lang w:val="en-GB"/>
        </w:rPr>
        <w:t>smallholder</w:t>
      </w:r>
      <w:r w:rsidRPr="005633D9">
        <w:rPr>
          <w:lang w:val="en-GB"/>
        </w:rPr>
        <w:t>s per village.</w:t>
      </w:r>
      <w:r w:rsidR="00243735" w:rsidRPr="005633D9">
        <w:rPr>
          <w:lang w:val="en-GB"/>
        </w:rPr>
        <w:t xml:space="preserve"> </w:t>
      </w:r>
      <w:r w:rsidRPr="005633D9">
        <w:rPr>
          <w:lang w:val="en-GB"/>
        </w:rPr>
        <w:t>This is a total of 84 villages a</w:t>
      </w:r>
      <w:r w:rsidR="00C84236" w:rsidRPr="005633D9">
        <w:rPr>
          <w:lang w:val="en-GB"/>
        </w:rPr>
        <w:t xml:space="preserve">nd 1260 completed interviews. </w:t>
      </w:r>
    </w:p>
    <w:p w:rsidR="00645FC6" w:rsidRPr="005633D9" w:rsidRDefault="00645FC6" w:rsidP="00645FC6">
      <w:pPr>
        <w:rPr>
          <w:lang w:val="en-GB"/>
        </w:rPr>
      </w:pPr>
      <w:r w:rsidRPr="005633D9">
        <w:rPr>
          <w:lang w:val="en-GB"/>
        </w:rPr>
        <w:t xml:space="preserve">In addition, we will interview 440 </w:t>
      </w:r>
      <w:r w:rsidR="0073754F">
        <w:rPr>
          <w:lang w:val="en-GB"/>
        </w:rPr>
        <w:t xml:space="preserve">smallholders </w:t>
      </w:r>
      <w:r w:rsidRPr="005633D9">
        <w:rPr>
          <w:lang w:val="en-GB"/>
        </w:rPr>
        <w:t xml:space="preserve">(with 308 successful interviews) from </w:t>
      </w:r>
      <w:r w:rsidR="00F93043">
        <w:t>the QED implementer</w:t>
      </w:r>
      <w:r w:rsidR="00F93043" w:rsidRPr="005633D9">
        <w:rPr>
          <w:lang w:val="en-GB"/>
        </w:rPr>
        <w:t xml:space="preserve"> </w:t>
      </w:r>
      <w:r w:rsidRPr="005633D9">
        <w:rPr>
          <w:lang w:val="en-GB"/>
        </w:rPr>
        <w:t>for the quasi-experimenta</w:t>
      </w:r>
      <w:r w:rsidR="00FB75AD" w:rsidRPr="005633D9">
        <w:rPr>
          <w:lang w:val="en-GB"/>
        </w:rPr>
        <w:t>l analysis of Cohorts B and C. </w:t>
      </w:r>
      <w:r w:rsidRPr="005633D9">
        <w:rPr>
          <w:lang w:val="en-GB"/>
        </w:rPr>
        <w:t xml:space="preserve">Although this number of </w:t>
      </w:r>
      <w:r w:rsidR="00F93043">
        <w:t>the QED implementer</w:t>
      </w:r>
      <w:r w:rsidR="00F93043" w:rsidRPr="005633D9">
        <w:rPr>
          <w:lang w:val="en-GB"/>
        </w:rPr>
        <w:t xml:space="preserve"> </w:t>
      </w:r>
      <w:r w:rsidRPr="005633D9">
        <w:rPr>
          <w:lang w:val="en-GB"/>
        </w:rPr>
        <w:t xml:space="preserve">smallholder interviews is not strictly needed in order to obtain a reasonable overall MDI, this large sample size allows us to estimate </w:t>
      </w:r>
      <w:r w:rsidR="00FB75AD" w:rsidRPr="005633D9">
        <w:rPr>
          <w:lang w:val="en-GB"/>
        </w:rPr>
        <w:t xml:space="preserve">impacts specific to </w:t>
      </w:r>
      <w:r w:rsidR="00F93043">
        <w:t>the QED implementer</w:t>
      </w:r>
      <w:r w:rsidRPr="005633D9">
        <w:rPr>
          <w:lang w:val="en-GB"/>
        </w:rPr>
        <w:t xml:space="preserve">. Of 308 successful interviews, 160 interviews in 28 villages will serve as the sample to identify </w:t>
      </w:r>
      <w:r w:rsidR="00F93043">
        <w:t>the QED implementer</w:t>
      </w:r>
      <w:r w:rsidR="00F93043" w:rsidRPr="005633D9">
        <w:rPr>
          <w:lang w:val="en-GB"/>
        </w:rPr>
        <w:t xml:space="preserve"> </w:t>
      </w:r>
      <w:r w:rsidRPr="005633D9">
        <w:rPr>
          <w:lang w:val="en-GB"/>
        </w:rPr>
        <w:t>impacts with</w:t>
      </w:r>
      <w:r w:rsidR="00FB75AD" w:rsidRPr="005633D9">
        <w:rPr>
          <w:lang w:val="en-GB"/>
        </w:rPr>
        <w:t xml:space="preserve"> an</w:t>
      </w:r>
      <w:r w:rsidRPr="005633D9">
        <w:rPr>
          <w:lang w:val="en-GB"/>
        </w:rPr>
        <w:t xml:space="preserve"> MDI of $100. The 148 other successful </w:t>
      </w:r>
      <w:r w:rsidRPr="005633D9">
        <w:rPr>
          <w:lang w:val="en-GB"/>
        </w:rPr>
        <w:lastRenderedPageBreak/>
        <w:t xml:space="preserve">smallholder interviews across 14 additional comparison villages will serve as “backup” in the event that aggregators do not adhere to the village random assignments and conduct their implementation </w:t>
      </w:r>
      <w:r w:rsidR="00FB75AD" w:rsidRPr="005633D9">
        <w:rPr>
          <w:lang w:val="en-GB"/>
        </w:rPr>
        <w:t xml:space="preserve">in </w:t>
      </w:r>
      <w:r w:rsidRPr="005633D9">
        <w:rPr>
          <w:lang w:val="en-GB"/>
        </w:rPr>
        <w:t xml:space="preserve">all of their treatment and comparison villages. This expanded sample provides us the flexibility to rely on a subset of </w:t>
      </w:r>
      <w:r w:rsidR="00F93043">
        <w:t>the QED implementer</w:t>
      </w:r>
      <w:r w:rsidR="00F93043" w:rsidRPr="005633D9">
        <w:rPr>
          <w:lang w:val="en-GB"/>
        </w:rPr>
        <w:t xml:space="preserve"> </w:t>
      </w:r>
      <w:r w:rsidR="00F93043">
        <w:rPr>
          <w:lang w:val="en-GB"/>
        </w:rPr>
        <w:t xml:space="preserve">‘s </w:t>
      </w:r>
      <w:r w:rsidRPr="005633D9">
        <w:rPr>
          <w:lang w:val="en-GB"/>
        </w:rPr>
        <w:t>comparison group o</w:t>
      </w:r>
      <w:r w:rsidR="00FB75AD" w:rsidRPr="005633D9">
        <w:rPr>
          <w:lang w:val="en-GB"/>
        </w:rPr>
        <w:t xml:space="preserve">f villages </w:t>
      </w:r>
      <w:r w:rsidR="00372211">
        <w:rPr>
          <w:lang w:val="en-GB"/>
        </w:rPr>
        <w:t xml:space="preserve">as comparison groups for the aggregators originally planning to adhere to random assignment, </w:t>
      </w:r>
      <w:r w:rsidR="00FB75AD" w:rsidRPr="005633D9">
        <w:rPr>
          <w:lang w:val="en-GB"/>
        </w:rPr>
        <w:t>in the worst-</w:t>
      </w:r>
      <w:r w:rsidRPr="005633D9">
        <w:rPr>
          <w:lang w:val="en-GB"/>
        </w:rPr>
        <w:t xml:space="preserve">case scenario that the aggregators </w:t>
      </w:r>
      <w:r w:rsidR="00FB75AD" w:rsidRPr="005633D9">
        <w:rPr>
          <w:lang w:val="en-GB"/>
        </w:rPr>
        <w:t>that</w:t>
      </w:r>
      <w:r w:rsidRPr="005633D9">
        <w:rPr>
          <w:lang w:val="en-GB"/>
        </w:rPr>
        <w:t xml:space="preserve"> do not adhere to their randomization protocol </w:t>
      </w:r>
      <w:r w:rsidR="0073754F">
        <w:rPr>
          <w:lang w:val="en-GB"/>
        </w:rPr>
        <w:t xml:space="preserve">and instead </w:t>
      </w:r>
      <w:r w:rsidRPr="005633D9">
        <w:rPr>
          <w:lang w:val="en-GB"/>
        </w:rPr>
        <w:t>conduct their implementation in all of their treatment and comparison villages.</w:t>
      </w:r>
    </w:p>
    <w:p w:rsidR="00546949" w:rsidRPr="005633D9" w:rsidRDefault="00546949" w:rsidP="00546949">
      <w:pPr>
        <w:rPr>
          <w:lang w:val="en-GB"/>
        </w:rPr>
      </w:pPr>
      <w:r w:rsidRPr="005633D9">
        <w:rPr>
          <w:lang w:val="en-GB"/>
        </w:rPr>
        <w:t xml:space="preserve">From this starting point, we will survey the number of villages and </w:t>
      </w:r>
      <w:r w:rsidR="007A2E54" w:rsidRPr="005633D9">
        <w:rPr>
          <w:lang w:val="en-GB"/>
        </w:rPr>
        <w:t>smallholder</w:t>
      </w:r>
      <w:r w:rsidRPr="005633D9">
        <w:rPr>
          <w:lang w:val="en-GB"/>
        </w:rPr>
        <w:t xml:space="preserve">s at </w:t>
      </w:r>
      <w:r w:rsidR="00654E76" w:rsidRPr="005633D9">
        <w:rPr>
          <w:lang w:val="en-GB"/>
        </w:rPr>
        <w:t>endline</w:t>
      </w:r>
      <w:r w:rsidRPr="005633D9">
        <w:rPr>
          <w:lang w:val="en-GB"/>
        </w:rPr>
        <w:t xml:space="preserve"> necessary to ac</w:t>
      </w:r>
      <w:r w:rsidR="00DF417E" w:rsidRPr="005633D9">
        <w:rPr>
          <w:lang w:val="en-GB"/>
        </w:rPr>
        <w:t xml:space="preserve">hieve the MDIs listed in </w:t>
      </w:r>
      <w:r w:rsidR="00A2401E" w:rsidRPr="005633D9">
        <w:rPr>
          <w:lang w:val="en-GB"/>
        </w:rPr>
        <w:fldChar w:fldCharType="begin"/>
      </w:r>
      <w:r w:rsidR="00A2401E" w:rsidRPr="005633D9">
        <w:rPr>
          <w:lang w:val="en-GB"/>
        </w:rPr>
        <w:instrText xml:space="preserve"> REF _Ref403423699 \h </w:instrText>
      </w:r>
      <w:r w:rsidR="00A2401E" w:rsidRPr="005633D9">
        <w:rPr>
          <w:lang w:val="en-GB"/>
        </w:rPr>
      </w:r>
      <w:r w:rsidR="00A2401E" w:rsidRPr="005633D9">
        <w:rPr>
          <w:lang w:val="en-GB"/>
        </w:rPr>
        <w:fldChar w:fldCharType="separate"/>
      </w:r>
      <w:r w:rsidR="00F33102" w:rsidRPr="005633D9">
        <w:rPr>
          <w:lang w:val="en-GB"/>
        </w:rPr>
        <w:t xml:space="preserve">Table </w:t>
      </w:r>
      <w:r w:rsidR="00F33102">
        <w:rPr>
          <w:noProof/>
          <w:lang w:val="en-GB"/>
        </w:rPr>
        <w:t>3</w:t>
      </w:r>
      <w:r w:rsidR="00F33102" w:rsidRPr="005633D9">
        <w:rPr>
          <w:lang w:val="en-GB"/>
        </w:rPr>
        <w:noBreakHyphen/>
      </w:r>
      <w:r w:rsidR="00F33102">
        <w:rPr>
          <w:noProof/>
          <w:lang w:val="en-GB"/>
        </w:rPr>
        <w:t>4</w:t>
      </w:r>
      <w:r w:rsidR="00A2401E" w:rsidRPr="005633D9">
        <w:rPr>
          <w:lang w:val="en-GB"/>
        </w:rPr>
        <w:fldChar w:fldCharType="end"/>
      </w:r>
      <w:r w:rsidRPr="005633D9">
        <w:rPr>
          <w:lang w:val="en-GB"/>
        </w:rPr>
        <w:t xml:space="preserve">, depending on the status of </w:t>
      </w:r>
      <w:r w:rsidR="007A2E54" w:rsidRPr="005633D9">
        <w:rPr>
          <w:lang w:val="en-GB"/>
        </w:rPr>
        <w:t>aggregator</w:t>
      </w:r>
      <w:r w:rsidRPr="005633D9">
        <w:rPr>
          <w:lang w:val="en-GB"/>
        </w:rPr>
        <w:t>s’ adherence to the randomization protocol.</w:t>
      </w:r>
      <w:r w:rsidR="00243735" w:rsidRPr="005633D9">
        <w:rPr>
          <w:lang w:val="en-GB"/>
        </w:rPr>
        <w:t xml:space="preserve"> </w:t>
      </w:r>
      <w:r w:rsidRPr="005633D9">
        <w:rPr>
          <w:lang w:val="en-GB"/>
        </w:rPr>
        <w:t xml:space="preserve">All of the sample size numbers in this table are achievable using as the </w:t>
      </w:r>
      <w:r w:rsidR="00654E76" w:rsidRPr="005633D9">
        <w:rPr>
          <w:lang w:val="en-GB"/>
        </w:rPr>
        <w:t>endline</w:t>
      </w:r>
      <w:r w:rsidRPr="005633D9">
        <w:rPr>
          <w:lang w:val="en-GB"/>
        </w:rPr>
        <w:t xml:space="preserve"> sampling frame the </w:t>
      </w:r>
      <w:r w:rsidR="007A2E54" w:rsidRPr="005633D9">
        <w:rPr>
          <w:lang w:val="en-GB"/>
        </w:rPr>
        <w:t>smallholder</w:t>
      </w:r>
      <w:r w:rsidRPr="005633D9">
        <w:rPr>
          <w:lang w:val="en-GB"/>
        </w:rPr>
        <w:t>s who completed baseline interviews under the design above.</w:t>
      </w:r>
      <w:r w:rsidR="00243735" w:rsidRPr="005633D9">
        <w:rPr>
          <w:lang w:val="en-GB"/>
        </w:rPr>
        <w:t xml:space="preserve"> </w:t>
      </w:r>
      <w:r w:rsidRPr="005633D9">
        <w:rPr>
          <w:lang w:val="en-GB"/>
        </w:rPr>
        <w:t xml:space="preserve">For example, if five </w:t>
      </w:r>
      <w:r w:rsidR="007A2E54" w:rsidRPr="005633D9">
        <w:rPr>
          <w:lang w:val="en-GB"/>
        </w:rPr>
        <w:t>aggregator</w:t>
      </w:r>
      <w:r w:rsidRPr="005633D9">
        <w:rPr>
          <w:lang w:val="en-GB"/>
        </w:rPr>
        <w:t xml:space="preserve">s adhere to the randomization protocol for Cohorts B and C, we will conduct an </w:t>
      </w:r>
      <w:r w:rsidR="00654E76" w:rsidRPr="005633D9">
        <w:rPr>
          <w:lang w:val="en-GB"/>
        </w:rPr>
        <w:t>endline</w:t>
      </w:r>
      <w:r w:rsidRPr="005633D9">
        <w:rPr>
          <w:lang w:val="en-GB"/>
        </w:rPr>
        <w:t xml:space="preserve"> survey for these five </w:t>
      </w:r>
      <w:r w:rsidR="007A2E54" w:rsidRPr="005633D9">
        <w:rPr>
          <w:lang w:val="en-GB"/>
        </w:rPr>
        <w:t>aggregator</w:t>
      </w:r>
      <w:r w:rsidRPr="005633D9">
        <w:rPr>
          <w:lang w:val="en-GB"/>
        </w:rPr>
        <w:t xml:space="preserve">s in </w:t>
      </w:r>
      <w:r w:rsidR="008F1B4E" w:rsidRPr="005633D9">
        <w:rPr>
          <w:lang w:val="en-GB"/>
        </w:rPr>
        <w:t>six</w:t>
      </w:r>
      <w:r w:rsidRPr="005633D9">
        <w:rPr>
          <w:lang w:val="en-GB"/>
        </w:rPr>
        <w:t xml:space="preserve"> villages per </w:t>
      </w:r>
      <w:r w:rsidR="007A2E54" w:rsidRPr="005633D9">
        <w:rPr>
          <w:lang w:val="en-GB"/>
        </w:rPr>
        <w:t>aggregator</w:t>
      </w:r>
      <w:r w:rsidRPr="005633D9">
        <w:rPr>
          <w:lang w:val="en-GB"/>
        </w:rPr>
        <w:t xml:space="preserve"> per coho</w:t>
      </w:r>
      <w:r w:rsidR="00DF417E" w:rsidRPr="005633D9">
        <w:rPr>
          <w:lang w:val="en-GB"/>
        </w:rPr>
        <w:t xml:space="preserve">rt (see row “RCT (5)” in </w:t>
      </w:r>
      <w:r w:rsidR="008F1B4E" w:rsidRPr="005633D9">
        <w:rPr>
          <w:lang w:val="en-GB"/>
        </w:rPr>
        <w:fldChar w:fldCharType="begin"/>
      </w:r>
      <w:r w:rsidR="008F1B4E" w:rsidRPr="005633D9">
        <w:rPr>
          <w:lang w:val="en-GB"/>
        </w:rPr>
        <w:instrText xml:space="preserve"> REF _Ref403423699 \h </w:instrText>
      </w:r>
      <w:r w:rsidR="008F1B4E" w:rsidRPr="005633D9">
        <w:rPr>
          <w:lang w:val="en-GB"/>
        </w:rPr>
      </w:r>
      <w:r w:rsidR="008F1B4E" w:rsidRPr="005633D9">
        <w:rPr>
          <w:lang w:val="en-GB"/>
        </w:rPr>
        <w:fldChar w:fldCharType="separate"/>
      </w:r>
      <w:r w:rsidR="00F33102" w:rsidRPr="005633D9">
        <w:rPr>
          <w:lang w:val="en-GB"/>
        </w:rPr>
        <w:t xml:space="preserve">Table </w:t>
      </w:r>
      <w:r w:rsidR="00F33102">
        <w:rPr>
          <w:noProof/>
          <w:lang w:val="en-GB"/>
        </w:rPr>
        <w:t>3</w:t>
      </w:r>
      <w:r w:rsidR="00F33102" w:rsidRPr="005633D9">
        <w:rPr>
          <w:lang w:val="en-GB"/>
        </w:rPr>
        <w:noBreakHyphen/>
      </w:r>
      <w:r w:rsidR="00F33102">
        <w:rPr>
          <w:noProof/>
          <w:lang w:val="en-GB"/>
        </w:rPr>
        <w:t>4</w:t>
      </w:r>
      <w:r w:rsidR="008F1B4E" w:rsidRPr="005633D9">
        <w:rPr>
          <w:lang w:val="en-GB"/>
        </w:rPr>
        <w:fldChar w:fldCharType="end"/>
      </w:r>
      <w:r w:rsidRPr="005633D9">
        <w:rPr>
          <w:lang w:val="en-GB"/>
        </w:rPr>
        <w:t>).</w:t>
      </w:r>
      <w:r w:rsidR="00243735" w:rsidRPr="005633D9">
        <w:rPr>
          <w:lang w:val="en-GB"/>
        </w:rPr>
        <w:t xml:space="preserve"> </w:t>
      </w:r>
      <w:r w:rsidRPr="005633D9">
        <w:rPr>
          <w:lang w:val="en-GB"/>
        </w:rPr>
        <w:t xml:space="preserve">This means </w:t>
      </w:r>
      <w:r w:rsidR="008F1B4E" w:rsidRPr="005633D9">
        <w:rPr>
          <w:lang w:val="en-GB"/>
        </w:rPr>
        <w:t xml:space="preserve">that we will attempt </w:t>
      </w:r>
      <w:r w:rsidRPr="005633D9">
        <w:rPr>
          <w:lang w:val="en-GB"/>
        </w:rPr>
        <w:t xml:space="preserve">900 </w:t>
      </w:r>
      <w:r w:rsidR="00654E76" w:rsidRPr="005633D9">
        <w:rPr>
          <w:lang w:val="en-GB"/>
        </w:rPr>
        <w:t>endline</w:t>
      </w:r>
      <w:r w:rsidRPr="005633D9">
        <w:rPr>
          <w:lang w:val="en-GB"/>
        </w:rPr>
        <w:t xml:space="preserve"> interviews</w:t>
      </w:r>
      <w:r w:rsidR="008F1B4E" w:rsidRPr="005633D9">
        <w:rPr>
          <w:lang w:val="en-GB"/>
        </w:rPr>
        <w:t>,</w:t>
      </w:r>
      <w:r w:rsidRPr="005633D9">
        <w:rPr>
          <w:lang w:val="en-GB"/>
        </w:rPr>
        <w:t xml:space="preserve"> and—given the expected 70 percent attrition rate—</w:t>
      </w:r>
      <w:r w:rsidR="008F1B4E" w:rsidRPr="005633D9">
        <w:rPr>
          <w:lang w:val="en-GB"/>
        </w:rPr>
        <w:t xml:space="preserve">we will achieve </w:t>
      </w:r>
      <w:r w:rsidRPr="005633D9">
        <w:rPr>
          <w:lang w:val="en-GB"/>
        </w:rPr>
        <w:t>630 completed interviews.</w:t>
      </w:r>
      <w:r w:rsidR="002B2B01" w:rsidRPr="005633D9">
        <w:rPr>
          <w:lang w:val="en-GB"/>
        </w:rPr>
        <w:t xml:space="preserve"> </w:t>
      </w:r>
      <w:r w:rsidRPr="005633D9">
        <w:rPr>
          <w:lang w:val="en-GB"/>
        </w:rPr>
        <w:t xml:space="preserve">As shown in the </w:t>
      </w:r>
      <w:r w:rsidR="008F1B4E" w:rsidRPr="005633D9">
        <w:rPr>
          <w:lang w:val="en-GB"/>
        </w:rPr>
        <w:t xml:space="preserve">right-hand </w:t>
      </w:r>
      <w:r w:rsidRPr="005633D9">
        <w:rPr>
          <w:lang w:val="en-GB"/>
        </w:rPr>
        <w:t xml:space="preserve">half of the table, this sample size is sufficient to detect an impact of $65 on net revenue per acre in the purely experimental analysis of baseline plus </w:t>
      </w:r>
      <w:r w:rsidR="00654E76" w:rsidRPr="005633D9">
        <w:rPr>
          <w:lang w:val="en-GB"/>
        </w:rPr>
        <w:t>endline</w:t>
      </w:r>
      <w:r w:rsidRPr="005633D9">
        <w:rPr>
          <w:lang w:val="en-GB"/>
        </w:rPr>
        <w:t xml:space="preserve"> data for those 630 </w:t>
      </w:r>
      <w:r w:rsidR="007A2E54" w:rsidRPr="005633D9">
        <w:rPr>
          <w:lang w:val="en-GB"/>
        </w:rPr>
        <w:t>smallholder</w:t>
      </w:r>
      <w:r w:rsidRPr="005633D9">
        <w:rPr>
          <w:lang w:val="en-GB"/>
        </w:rPr>
        <w:t>s.</w:t>
      </w:r>
      <w:r w:rsidR="00243735" w:rsidRPr="005633D9">
        <w:rPr>
          <w:lang w:val="en-GB"/>
        </w:rPr>
        <w:t xml:space="preserve"> </w:t>
      </w:r>
      <w:r w:rsidRPr="005633D9">
        <w:rPr>
          <w:lang w:val="en-GB"/>
        </w:rPr>
        <w:t xml:space="preserve">Other scenarios, with </w:t>
      </w:r>
      <w:r w:rsidR="008F1B4E" w:rsidRPr="005633D9">
        <w:rPr>
          <w:lang w:val="en-GB"/>
        </w:rPr>
        <w:t>three</w:t>
      </w:r>
      <w:r w:rsidRPr="005633D9">
        <w:rPr>
          <w:lang w:val="en-GB"/>
        </w:rPr>
        <w:t xml:space="preserve"> or </w:t>
      </w:r>
      <w:r w:rsidR="008F1B4E" w:rsidRPr="005633D9">
        <w:rPr>
          <w:lang w:val="en-GB"/>
        </w:rPr>
        <w:t>four</w:t>
      </w:r>
      <w:r w:rsidRPr="005633D9">
        <w:rPr>
          <w:lang w:val="en-GB"/>
        </w:rPr>
        <w:t xml:space="preserve"> of the experimental </w:t>
      </w:r>
      <w:r w:rsidR="007A2E54" w:rsidRPr="005633D9">
        <w:rPr>
          <w:lang w:val="en-GB"/>
        </w:rPr>
        <w:t>aggregator</w:t>
      </w:r>
      <w:r w:rsidRPr="005633D9">
        <w:rPr>
          <w:lang w:val="en-GB"/>
        </w:rPr>
        <w:t>s adhering to the Cohort B versus Cohort C randomization protocol, are shown in t</w:t>
      </w:r>
      <w:r w:rsidR="0082377A" w:rsidRPr="005633D9">
        <w:rPr>
          <w:lang w:val="en-GB"/>
        </w:rPr>
        <w:t>he first two rows of the table.</w:t>
      </w:r>
    </w:p>
    <w:p w:rsidR="00BA60EF" w:rsidRPr="005633D9" w:rsidRDefault="00BA60EF" w:rsidP="00BA60EF">
      <w:pPr>
        <w:pStyle w:val="Caption"/>
        <w:rPr>
          <w:lang w:val="en-GB"/>
        </w:rPr>
      </w:pPr>
      <w:bookmarkStart w:id="40" w:name="_Ref403423699"/>
      <w:bookmarkStart w:id="41" w:name="_Toc407700436"/>
      <w:r w:rsidRPr="005633D9">
        <w:rPr>
          <w:lang w:val="en-GB"/>
        </w:rPr>
        <w:t xml:space="preserve">Table </w:t>
      </w:r>
      <w:r w:rsidRPr="005633D9">
        <w:rPr>
          <w:lang w:val="en-GB"/>
        </w:rPr>
        <w:fldChar w:fldCharType="begin"/>
      </w:r>
      <w:r w:rsidRPr="005633D9">
        <w:rPr>
          <w:lang w:val="en-GB"/>
        </w:rPr>
        <w:instrText xml:space="preserve"> STYLEREF 1 \s </w:instrText>
      </w:r>
      <w:r w:rsidRPr="005633D9">
        <w:rPr>
          <w:lang w:val="en-GB"/>
        </w:rPr>
        <w:fldChar w:fldCharType="separate"/>
      </w:r>
      <w:r w:rsidR="00F33102">
        <w:rPr>
          <w:noProof/>
          <w:lang w:val="en-GB"/>
        </w:rPr>
        <w:t>3</w:t>
      </w:r>
      <w:r w:rsidRPr="005633D9">
        <w:rPr>
          <w:lang w:val="en-GB"/>
        </w:rPr>
        <w:fldChar w:fldCharType="end"/>
      </w:r>
      <w:r w:rsidRPr="005633D9">
        <w:rPr>
          <w:lang w:val="en-GB"/>
        </w:rPr>
        <w:noBreakHyphen/>
      </w:r>
      <w:r w:rsidRPr="005633D9">
        <w:rPr>
          <w:lang w:val="en-GB"/>
        </w:rPr>
        <w:fldChar w:fldCharType="begin"/>
      </w:r>
      <w:r w:rsidRPr="005633D9">
        <w:rPr>
          <w:lang w:val="en-GB"/>
        </w:rPr>
        <w:instrText xml:space="preserve"> SEQ Table \* ARABIC \s 1 </w:instrText>
      </w:r>
      <w:r w:rsidRPr="005633D9">
        <w:rPr>
          <w:lang w:val="en-GB"/>
        </w:rPr>
        <w:fldChar w:fldCharType="separate"/>
      </w:r>
      <w:r w:rsidR="00F33102">
        <w:rPr>
          <w:noProof/>
          <w:lang w:val="en-GB"/>
        </w:rPr>
        <w:t>4</w:t>
      </w:r>
      <w:r w:rsidRPr="005633D9">
        <w:rPr>
          <w:lang w:val="en-GB"/>
        </w:rPr>
        <w:fldChar w:fldCharType="end"/>
      </w:r>
      <w:bookmarkEnd w:id="40"/>
      <w:r w:rsidRPr="005633D9">
        <w:rPr>
          <w:lang w:val="en-GB"/>
        </w:rPr>
        <w:t xml:space="preserve">. </w:t>
      </w:r>
      <w:r w:rsidRPr="005633D9">
        <w:rPr>
          <w:lang w:val="en-GB"/>
        </w:rPr>
        <w:tab/>
        <w:t>Endline survey sample sizes and MDIs for one-year impact analysis (Cohort B versus Cohort C)</w:t>
      </w:r>
      <w:bookmarkEnd w:id="41"/>
    </w:p>
    <w:tbl>
      <w:tblPr>
        <w:tblStyle w:val="AbtFinal"/>
        <w:tblW w:w="4975" w:type="pct"/>
        <w:tblLayout w:type="fixed"/>
        <w:tblLook w:val="04A0" w:firstRow="1" w:lastRow="0" w:firstColumn="1" w:lastColumn="0" w:noHBand="0" w:noVBand="1"/>
      </w:tblPr>
      <w:tblGrid>
        <w:gridCol w:w="1458"/>
        <w:gridCol w:w="1260"/>
        <w:gridCol w:w="1350"/>
        <w:gridCol w:w="720"/>
        <w:gridCol w:w="1170"/>
        <w:gridCol w:w="1170"/>
        <w:gridCol w:w="1170"/>
        <w:gridCol w:w="1230"/>
      </w:tblGrid>
      <w:tr w:rsidR="00BF788C" w:rsidRPr="005633D9" w:rsidTr="00C26677">
        <w:trPr>
          <w:cnfStyle w:val="100000000000" w:firstRow="1" w:lastRow="0" w:firstColumn="0" w:lastColumn="0" w:oddVBand="0" w:evenVBand="0" w:oddHBand="0" w:evenHBand="0" w:firstRowFirstColumn="0" w:firstRowLastColumn="0" w:lastRowFirstColumn="0" w:lastRowLastColumn="0"/>
          <w:trHeight w:val="288"/>
        </w:trPr>
        <w:tc>
          <w:tcPr>
            <w:tcW w:w="4068" w:type="dxa"/>
            <w:gridSpan w:val="3"/>
            <w:tcBorders>
              <w:bottom w:val="single" w:sz="8" w:space="0" w:color="000000" w:themeColor="text1"/>
            </w:tcBorders>
            <w:noWrap/>
            <w:vAlign w:val="bottom"/>
            <w:hideMark/>
          </w:tcPr>
          <w:p w:rsidR="00BF788C" w:rsidRPr="005633D9" w:rsidRDefault="00BF788C" w:rsidP="00D0789F">
            <w:pPr>
              <w:keepNext/>
              <w:spacing w:after="0"/>
              <w:jc w:val="center"/>
              <w:rPr>
                <w:color w:val="000000"/>
                <w:sz w:val="22"/>
                <w:szCs w:val="22"/>
                <w:lang w:val="en-GB"/>
              </w:rPr>
            </w:pPr>
            <w:r w:rsidRPr="005633D9">
              <w:rPr>
                <w:color w:val="000000"/>
                <w:sz w:val="22"/>
                <w:szCs w:val="22"/>
                <w:lang w:val="en-GB"/>
              </w:rPr>
              <w:t>Sample size for endline survey</w:t>
            </w:r>
          </w:p>
        </w:tc>
        <w:tc>
          <w:tcPr>
            <w:tcW w:w="720" w:type="dxa"/>
            <w:vMerge w:val="restart"/>
            <w:noWrap/>
            <w:vAlign w:val="bottom"/>
            <w:hideMark/>
          </w:tcPr>
          <w:p w:rsidR="00BF788C" w:rsidRPr="00BF788C" w:rsidRDefault="00BF788C" w:rsidP="00BA60EF">
            <w:pPr>
              <w:pStyle w:val="ExhibitColumnHead"/>
              <w:rPr>
                <w:b/>
                <w:color w:val="000000"/>
                <w:szCs w:val="22"/>
                <w:lang w:val="en-GB"/>
              </w:rPr>
            </w:pPr>
            <w:r w:rsidRPr="00BF788C">
              <w:rPr>
                <w:b/>
                <w:lang w:val="en-GB"/>
              </w:rPr>
              <w:t>MDI, Net reve</w:t>
            </w:r>
            <w:r w:rsidRPr="00BF788C">
              <w:rPr>
                <w:b/>
                <w:lang w:val="en-GB"/>
              </w:rPr>
              <w:softHyphen/>
              <w:t>nue per acre</w:t>
            </w:r>
          </w:p>
        </w:tc>
        <w:tc>
          <w:tcPr>
            <w:tcW w:w="4740" w:type="dxa"/>
            <w:gridSpan w:val="4"/>
            <w:tcBorders>
              <w:bottom w:val="single" w:sz="8" w:space="0" w:color="000000" w:themeColor="text1"/>
            </w:tcBorders>
            <w:vAlign w:val="bottom"/>
          </w:tcPr>
          <w:p w:rsidR="00BF788C" w:rsidRPr="005633D9" w:rsidRDefault="00BF788C" w:rsidP="00D0789F">
            <w:pPr>
              <w:keepNext/>
              <w:spacing w:after="0"/>
              <w:jc w:val="center"/>
              <w:rPr>
                <w:color w:val="000000"/>
                <w:sz w:val="22"/>
                <w:szCs w:val="22"/>
                <w:lang w:val="en-GB"/>
              </w:rPr>
            </w:pPr>
            <w:r w:rsidRPr="005633D9">
              <w:rPr>
                <w:color w:val="000000"/>
                <w:sz w:val="22"/>
                <w:szCs w:val="22"/>
                <w:lang w:val="en-GB"/>
              </w:rPr>
              <w:t>Net revenue per acre of participating smallholders</w:t>
            </w:r>
          </w:p>
        </w:tc>
      </w:tr>
      <w:tr w:rsidR="00BF788C" w:rsidRPr="005633D9" w:rsidTr="00C26677">
        <w:trPr>
          <w:cnfStyle w:val="000000100000" w:firstRow="0" w:lastRow="0" w:firstColumn="0" w:lastColumn="0" w:oddVBand="0" w:evenVBand="0" w:oddHBand="1" w:evenHBand="0" w:firstRowFirstColumn="0" w:firstRowLastColumn="0" w:lastRowFirstColumn="0" w:lastRowLastColumn="0"/>
          <w:trHeight w:val="1187"/>
        </w:trPr>
        <w:tc>
          <w:tcPr>
            <w:tcW w:w="1458" w:type="dxa"/>
            <w:shd w:val="clear" w:color="auto" w:fill="C3C6A8" w:themeFill="accent4"/>
            <w:vAlign w:val="bottom"/>
            <w:hideMark/>
          </w:tcPr>
          <w:p w:rsidR="00BF788C" w:rsidRPr="005633D9" w:rsidRDefault="00BF788C" w:rsidP="00BA60EF">
            <w:pPr>
              <w:pStyle w:val="ExhibitColumnHead"/>
              <w:rPr>
                <w:lang w:val="en-GB"/>
              </w:rPr>
            </w:pPr>
            <w:r w:rsidRPr="005633D9">
              <w:rPr>
                <w:lang w:val="en-GB"/>
              </w:rPr>
              <w:t>Number of aggregators</w:t>
            </w:r>
          </w:p>
        </w:tc>
        <w:tc>
          <w:tcPr>
            <w:tcW w:w="1260" w:type="dxa"/>
            <w:shd w:val="clear" w:color="auto" w:fill="C3C6A8" w:themeFill="accent4"/>
            <w:vAlign w:val="bottom"/>
            <w:hideMark/>
          </w:tcPr>
          <w:p w:rsidR="00BF788C" w:rsidRPr="005633D9" w:rsidRDefault="00BF788C" w:rsidP="00BA60EF">
            <w:pPr>
              <w:pStyle w:val="ExhibitColumnHead"/>
              <w:rPr>
                <w:lang w:val="en-GB"/>
              </w:rPr>
            </w:pPr>
            <w:r w:rsidRPr="005633D9">
              <w:rPr>
                <w:lang w:val="en-GB"/>
              </w:rPr>
              <w:t>Number of villages per aggre</w:t>
            </w:r>
            <w:r w:rsidRPr="005633D9">
              <w:rPr>
                <w:lang w:val="en-GB"/>
              </w:rPr>
              <w:softHyphen/>
              <w:t>gator per cohort</w:t>
            </w:r>
          </w:p>
        </w:tc>
        <w:tc>
          <w:tcPr>
            <w:tcW w:w="1350" w:type="dxa"/>
            <w:shd w:val="clear" w:color="auto" w:fill="C3C6A8" w:themeFill="accent4"/>
            <w:vAlign w:val="bottom"/>
            <w:hideMark/>
          </w:tcPr>
          <w:p w:rsidR="00BF788C" w:rsidRPr="005633D9" w:rsidRDefault="00BF788C" w:rsidP="00C26677">
            <w:pPr>
              <w:pStyle w:val="ExhibitColumnHead"/>
              <w:rPr>
                <w:lang w:val="en-GB"/>
              </w:rPr>
            </w:pPr>
            <w:r w:rsidRPr="005633D9">
              <w:rPr>
                <w:lang w:val="en-GB"/>
              </w:rPr>
              <w:t>Total smallholders interviewed*</w:t>
            </w:r>
          </w:p>
        </w:tc>
        <w:tc>
          <w:tcPr>
            <w:tcW w:w="720" w:type="dxa"/>
            <w:vMerge/>
            <w:shd w:val="clear" w:color="auto" w:fill="C3C6A8" w:themeFill="accent4"/>
            <w:vAlign w:val="bottom"/>
            <w:hideMark/>
          </w:tcPr>
          <w:p w:rsidR="00BF788C" w:rsidRPr="005633D9" w:rsidRDefault="00BF788C" w:rsidP="00BA60EF">
            <w:pPr>
              <w:pStyle w:val="ExhibitColumnHead"/>
              <w:rPr>
                <w:lang w:val="en-GB"/>
              </w:rPr>
            </w:pPr>
          </w:p>
        </w:tc>
        <w:tc>
          <w:tcPr>
            <w:tcW w:w="1170" w:type="dxa"/>
            <w:shd w:val="clear" w:color="auto" w:fill="C3C6A8" w:themeFill="accent4"/>
            <w:vAlign w:val="bottom"/>
            <w:hideMark/>
          </w:tcPr>
          <w:p w:rsidR="00BF788C" w:rsidRPr="005633D9" w:rsidRDefault="00BF788C" w:rsidP="00BA60EF">
            <w:pPr>
              <w:pStyle w:val="ExhibitColumnHead"/>
              <w:rPr>
                <w:lang w:val="en-GB"/>
              </w:rPr>
            </w:pPr>
            <w:r w:rsidRPr="005633D9">
              <w:rPr>
                <w:lang w:val="en-GB"/>
              </w:rPr>
              <w:t>if 50% of targeted small</w:t>
            </w:r>
            <w:r w:rsidRPr="005633D9">
              <w:rPr>
                <w:lang w:val="en-GB"/>
              </w:rPr>
              <w:softHyphen/>
              <w:t>holders partici</w:t>
            </w:r>
            <w:r w:rsidRPr="005633D9">
              <w:rPr>
                <w:lang w:val="en-GB"/>
              </w:rPr>
              <w:softHyphen/>
              <w:t>pate</w:t>
            </w:r>
          </w:p>
        </w:tc>
        <w:tc>
          <w:tcPr>
            <w:tcW w:w="1170" w:type="dxa"/>
            <w:shd w:val="clear" w:color="auto" w:fill="C3C6A8" w:themeFill="accent4"/>
            <w:vAlign w:val="bottom"/>
            <w:hideMark/>
          </w:tcPr>
          <w:p w:rsidR="00BF788C" w:rsidRPr="005633D9" w:rsidRDefault="00BF788C" w:rsidP="00BA60EF">
            <w:pPr>
              <w:pStyle w:val="ExhibitColumnHead"/>
              <w:rPr>
                <w:lang w:val="en-GB"/>
              </w:rPr>
            </w:pPr>
            <w:r w:rsidRPr="005633D9">
              <w:rPr>
                <w:lang w:val="en-GB"/>
              </w:rPr>
              <w:t>if 65% of targeted small</w:t>
            </w:r>
            <w:r w:rsidRPr="005633D9">
              <w:rPr>
                <w:lang w:val="en-GB"/>
              </w:rPr>
              <w:softHyphen/>
              <w:t>holders partici</w:t>
            </w:r>
            <w:r w:rsidRPr="005633D9">
              <w:rPr>
                <w:lang w:val="en-GB"/>
              </w:rPr>
              <w:softHyphen/>
              <w:t>pate</w:t>
            </w:r>
          </w:p>
        </w:tc>
        <w:tc>
          <w:tcPr>
            <w:tcW w:w="1170" w:type="dxa"/>
            <w:shd w:val="clear" w:color="auto" w:fill="C3C6A8" w:themeFill="accent4"/>
            <w:vAlign w:val="bottom"/>
            <w:hideMark/>
          </w:tcPr>
          <w:p w:rsidR="00BF788C" w:rsidRPr="005633D9" w:rsidRDefault="00BF788C" w:rsidP="00BA60EF">
            <w:pPr>
              <w:pStyle w:val="ExhibitColumnHead"/>
              <w:rPr>
                <w:lang w:val="en-GB"/>
              </w:rPr>
            </w:pPr>
            <w:r w:rsidRPr="005633D9">
              <w:rPr>
                <w:lang w:val="en-GB"/>
              </w:rPr>
              <w:t>if 75% of targeted small</w:t>
            </w:r>
            <w:r w:rsidRPr="005633D9">
              <w:rPr>
                <w:lang w:val="en-GB"/>
              </w:rPr>
              <w:softHyphen/>
              <w:t>holders partici</w:t>
            </w:r>
            <w:r w:rsidRPr="005633D9">
              <w:rPr>
                <w:lang w:val="en-GB"/>
              </w:rPr>
              <w:softHyphen/>
              <w:t>pate</w:t>
            </w:r>
          </w:p>
        </w:tc>
        <w:tc>
          <w:tcPr>
            <w:tcW w:w="1230" w:type="dxa"/>
            <w:shd w:val="clear" w:color="auto" w:fill="C3C6A8" w:themeFill="accent4"/>
            <w:vAlign w:val="bottom"/>
            <w:hideMark/>
          </w:tcPr>
          <w:p w:rsidR="00BF788C" w:rsidRPr="005633D9" w:rsidRDefault="00BF788C" w:rsidP="00BA60EF">
            <w:pPr>
              <w:pStyle w:val="ExhibitColumnHead"/>
              <w:rPr>
                <w:lang w:val="en-GB"/>
              </w:rPr>
            </w:pPr>
            <w:r w:rsidRPr="005633D9">
              <w:rPr>
                <w:lang w:val="en-GB"/>
              </w:rPr>
              <w:t>if 85% of targeted small</w:t>
            </w:r>
            <w:r w:rsidRPr="005633D9">
              <w:rPr>
                <w:lang w:val="en-GB"/>
              </w:rPr>
              <w:softHyphen/>
              <w:t>holders partici</w:t>
            </w:r>
            <w:r w:rsidRPr="005633D9">
              <w:rPr>
                <w:lang w:val="en-GB"/>
              </w:rPr>
              <w:softHyphen/>
              <w:t>pate</w:t>
            </w:r>
          </w:p>
        </w:tc>
      </w:tr>
      <w:tr w:rsidR="00DF417E" w:rsidRPr="005633D9" w:rsidTr="00C26677">
        <w:trPr>
          <w:cnfStyle w:val="000000010000" w:firstRow="0" w:lastRow="0" w:firstColumn="0" w:lastColumn="0" w:oddVBand="0" w:evenVBand="0" w:oddHBand="0" w:evenHBand="1" w:firstRowFirstColumn="0" w:firstRowLastColumn="0" w:lastRowFirstColumn="0" w:lastRowLastColumn="0"/>
          <w:trHeight w:val="288"/>
        </w:trPr>
        <w:tc>
          <w:tcPr>
            <w:tcW w:w="1458" w:type="dxa"/>
            <w:shd w:val="clear" w:color="auto" w:fill="E7E8E8" w:themeFill="accent2" w:themeFillTint="33"/>
            <w:noWrap/>
            <w:hideMark/>
          </w:tcPr>
          <w:p w:rsidR="00546949" w:rsidRPr="005633D9" w:rsidRDefault="00546949" w:rsidP="00546949">
            <w:pPr>
              <w:spacing w:after="0"/>
              <w:rPr>
                <w:color w:val="000000"/>
                <w:sz w:val="22"/>
                <w:szCs w:val="22"/>
                <w:lang w:val="en-GB"/>
              </w:rPr>
            </w:pPr>
            <w:r w:rsidRPr="005633D9">
              <w:rPr>
                <w:color w:val="000000"/>
                <w:sz w:val="22"/>
                <w:szCs w:val="22"/>
                <w:lang w:val="en-GB"/>
              </w:rPr>
              <w:t>RCT (3)</w:t>
            </w:r>
          </w:p>
        </w:tc>
        <w:tc>
          <w:tcPr>
            <w:tcW w:w="1260" w:type="dxa"/>
            <w:shd w:val="clear" w:color="auto" w:fill="E7E8E8" w:themeFill="accent2" w:themeFillTint="33"/>
            <w:noWrap/>
            <w:hideMark/>
          </w:tcPr>
          <w:p w:rsidR="00546949" w:rsidRPr="005633D9" w:rsidRDefault="00546949" w:rsidP="00546949">
            <w:pPr>
              <w:spacing w:after="0"/>
              <w:jc w:val="right"/>
              <w:rPr>
                <w:color w:val="000000"/>
                <w:sz w:val="22"/>
                <w:szCs w:val="22"/>
                <w:lang w:val="en-GB"/>
              </w:rPr>
            </w:pPr>
            <w:r w:rsidRPr="005633D9">
              <w:rPr>
                <w:color w:val="000000"/>
                <w:sz w:val="22"/>
                <w:szCs w:val="22"/>
                <w:lang w:val="en-GB"/>
              </w:rPr>
              <w:t>7</w:t>
            </w:r>
          </w:p>
        </w:tc>
        <w:tc>
          <w:tcPr>
            <w:tcW w:w="1350" w:type="dxa"/>
            <w:shd w:val="clear" w:color="auto" w:fill="E7E8E8" w:themeFill="accent2" w:themeFillTint="33"/>
            <w:noWrap/>
            <w:hideMark/>
          </w:tcPr>
          <w:p w:rsidR="00546949" w:rsidRPr="005633D9" w:rsidRDefault="00546949" w:rsidP="00546949">
            <w:pPr>
              <w:spacing w:after="0"/>
              <w:jc w:val="right"/>
              <w:rPr>
                <w:color w:val="000000"/>
                <w:sz w:val="22"/>
                <w:szCs w:val="22"/>
                <w:lang w:val="en-GB"/>
              </w:rPr>
            </w:pPr>
            <w:r w:rsidRPr="005633D9">
              <w:rPr>
                <w:color w:val="000000"/>
                <w:sz w:val="22"/>
                <w:szCs w:val="22"/>
                <w:lang w:val="en-GB"/>
              </w:rPr>
              <w:t>441</w:t>
            </w:r>
          </w:p>
        </w:tc>
        <w:tc>
          <w:tcPr>
            <w:tcW w:w="720" w:type="dxa"/>
            <w:shd w:val="clear" w:color="auto" w:fill="E7E8E8" w:themeFill="accent2" w:themeFillTint="33"/>
            <w:noWrap/>
            <w:hideMark/>
          </w:tcPr>
          <w:p w:rsidR="00546949" w:rsidRPr="005633D9" w:rsidRDefault="00546949" w:rsidP="00546949">
            <w:pPr>
              <w:spacing w:after="0"/>
              <w:jc w:val="right"/>
              <w:rPr>
                <w:color w:val="000000"/>
                <w:sz w:val="22"/>
                <w:szCs w:val="22"/>
                <w:lang w:val="en-GB"/>
              </w:rPr>
            </w:pPr>
            <w:r w:rsidRPr="005633D9">
              <w:rPr>
                <w:color w:val="000000"/>
                <w:sz w:val="22"/>
                <w:szCs w:val="22"/>
                <w:lang w:val="en-GB"/>
              </w:rPr>
              <w:t>$78</w:t>
            </w:r>
          </w:p>
        </w:tc>
        <w:tc>
          <w:tcPr>
            <w:tcW w:w="1170" w:type="dxa"/>
            <w:shd w:val="clear" w:color="auto" w:fill="E7E8E8" w:themeFill="accent2" w:themeFillTint="33"/>
            <w:noWrap/>
            <w:hideMark/>
          </w:tcPr>
          <w:p w:rsidR="00546949" w:rsidRPr="005633D9" w:rsidRDefault="00546949" w:rsidP="00546949">
            <w:pPr>
              <w:spacing w:after="0"/>
              <w:jc w:val="right"/>
              <w:rPr>
                <w:color w:val="000000"/>
                <w:sz w:val="22"/>
                <w:szCs w:val="22"/>
                <w:lang w:val="en-GB"/>
              </w:rPr>
            </w:pPr>
            <w:r w:rsidRPr="005633D9">
              <w:rPr>
                <w:color w:val="000000"/>
                <w:sz w:val="22"/>
                <w:szCs w:val="22"/>
                <w:lang w:val="en-GB"/>
              </w:rPr>
              <w:t>$155.49</w:t>
            </w:r>
          </w:p>
        </w:tc>
        <w:tc>
          <w:tcPr>
            <w:tcW w:w="1170" w:type="dxa"/>
            <w:shd w:val="clear" w:color="auto" w:fill="E7E8E8" w:themeFill="accent2" w:themeFillTint="33"/>
            <w:noWrap/>
            <w:hideMark/>
          </w:tcPr>
          <w:p w:rsidR="00546949" w:rsidRPr="005633D9" w:rsidRDefault="00546949" w:rsidP="00546949">
            <w:pPr>
              <w:spacing w:after="0"/>
              <w:jc w:val="right"/>
              <w:rPr>
                <w:b/>
                <w:bCs/>
                <w:color w:val="000000"/>
                <w:sz w:val="22"/>
                <w:szCs w:val="22"/>
                <w:lang w:val="en-GB"/>
              </w:rPr>
            </w:pPr>
            <w:r w:rsidRPr="005633D9">
              <w:rPr>
                <w:b/>
                <w:bCs/>
                <w:color w:val="000000"/>
                <w:sz w:val="22"/>
                <w:szCs w:val="22"/>
                <w:lang w:val="en-GB"/>
              </w:rPr>
              <w:t>$119.61</w:t>
            </w:r>
          </w:p>
        </w:tc>
        <w:tc>
          <w:tcPr>
            <w:tcW w:w="1170" w:type="dxa"/>
            <w:shd w:val="clear" w:color="auto" w:fill="E7E8E8" w:themeFill="accent2" w:themeFillTint="33"/>
            <w:noWrap/>
            <w:hideMark/>
          </w:tcPr>
          <w:p w:rsidR="00546949" w:rsidRPr="005633D9" w:rsidRDefault="00546949" w:rsidP="00546949">
            <w:pPr>
              <w:spacing w:after="0"/>
              <w:jc w:val="right"/>
              <w:rPr>
                <w:b/>
                <w:bCs/>
                <w:color w:val="000000"/>
                <w:sz w:val="22"/>
                <w:szCs w:val="22"/>
                <w:lang w:val="en-GB"/>
              </w:rPr>
            </w:pPr>
            <w:r w:rsidRPr="005633D9">
              <w:rPr>
                <w:b/>
                <w:bCs/>
                <w:color w:val="000000"/>
                <w:sz w:val="22"/>
                <w:szCs w:val="22"/>
                <w:lang w:val="en-GB"/>
              </w:rPr>
              <w:t>$103.66</w:t>
            </w:r>
          </w:p>
        </w:tc>
        <w:tc>
          <w:tcPr>
            <w:tcW w:w="1230" w:type="dxa"/>
            <w:shd w:val="clear" w:color="auto" w:fill="E7E8E8" w:themeFill="accent2" w:themeFillTint="33"/>
            <w:noWrap/>
            <w:hideMark/>
          </w:tcPr>
          <w:p w:rsidR="00546949" w:rsidRPr="005633D9" w:rsidRDefault="00546949" w:rsidP="00546949">
            <w:pPr>
              <w:spacing w:after="0"/>
              <w:jc w:val="right"/>
              <w:rPr>
                <w:b/>
                <w:bCs/>
                <w:color w:val="000000"/>
                <w:sz w:val="22"/>
                <w:szCs w:val="22"/>
                <w:lang w:val="en-GB"/>
              </w:rPr>
            </w:pPr>
            <w:r w:rsidRPr="005633D9">
              <w:rPr>
                <w:b/>
                <w:bCs/>
                <w:color w:val="000000"/>
                <w:sz w:val="22"/>
                <w:szCs w:val="22"/>
                <w:lang w:val="en-GB"/>
              </w:rPr>
              <w:t>$91.47</w:t>
            </w:r>
          </w:p>
        </w:tc>
      </w:tr>
      <w:tr w:rsidR="00DF417E" w:rsidRPr="005633D9" w:rsidTr="00C26677">
        <w:trPr>
          <w:cnfStyle w:val="000000100000" w:firstRow="0" w:lastRow="0" w:firstColumn="0" w:lastColumn="0" w:oddVBand="0" w:evenVBand="0" w:oddHBand="1" w:evenHBand="0" w:firstRowFirstColumn="0" w:firstRowLastColumn="0" w:lastRowFirstColumn="0" w:lastRowLastColumn="0"/>
          <w:trHeight w:val="288"/>
        </w:trPr>
        <w:tc>
          <w:tcPr>
            <w:tcW w:w="1458" w:type="dxa"/>
            <w:shd w:val="clear" w:color="auto" w:fill="auto"/>
            <w:noWrap/>
            <w:hideMark/>
          </w:tcPr>
          <w:p w:rsidR="00546949" w:rsidRPr="005633D9" w:rsidRDefault="00546949" w:rsidP="00546949">
            <w:pPr>
              <w:spacing w:after="0"/>
              <w:rPr>
                <w:color w:val="000000"/>
                <w:sz w:val="22"/>
                <w:szCs w:val="22"/>
                <w:lang w:val="en-GB"/>
              </w:rPr>
            </w:pPr>
            <w:r w:rsidRPr="005633D9">
              <w:rPr>
                <w:color w:val="000000"/>
                <w:sz w:val="22"/>
                <w:szCs w:val="22"/>
                <w:lang w:val="en-GB"/>
              </w:rPr>
              <w:t>RCT (4)</w:t>
            </w:r>
          </w:p>
        </w:tc>
        <w:tc>
          <w:tcPr>
            <w:tcW w:w="1260" w:type="dxa"/>
            <w:shd w:val="clear" w:color="auto" w:fill="auto"/>
            <w:noWrap/>
            <w:hideMark/>
          </w:tcPr>
          <w:p w:rsidR="00546949" w:rsidRPr="005633D9" w:rsidRDefault="00546949" w:rsidP="00546949">
            <w:pPr>
              <w:spacing w:after="0"/>
              <w:jc w:val="right"/>
              <w:rPr>
                <w:color w:val="000000"/>
                <w:sz w:val="22"/>
                <w:szCs w:val="22"/>
                <w:lang w:val="en-GB"/>
              </w:rPr>
            </w:pPr>
            <w:r w:rsidRPr="005633D9">
              <w:rPr>
                <w:color w:val="000000"/>
                <w:sz w:val="22"/>
                <w:szCs w:val="22"/>
                <w:lang w:val="en-GB"/>
              </w:rPr>
              <w:t>7</w:t>
            </w:r>
          </w:p>
        </w:tc>
        <w:tc>
          <w:tcPr>
            <w:tcW w:w="1350" w:type="dxa"/>
            <w:shd w:val="clear" w:color="auto" w:fill="auto"/>
            <w:noWrap/>
            <w:hideMark/>
          </w:tcPr>
          <w:p w:rsidR="00546949" w:rsidRPr="005633D9" w:rsidRDefault="00546949" w:rsidP="00546949">
            <w:pPr>
              <w:spacing w:after="0"/>
              <w:jc w:val="right"/>
              <w:rPr>
                <w:color w:val="000000"/>
                <w:sz w:val="22"/>
                <w:szCs w:val="22"/>
                <w:lang w:val="en-GB"/>
              </w:rPr>
            </w:pPr>
            <w:r w:rsidRPr="005633D9">
              <w:rPr>
                <w:color w:val="000000"/>
                <w:sz w:val="22"/>
                <w:szCs w:val="22"/>
                <w:lang w:val="en-GB"/>
              </w:rPr>
              <w:t>588</w:t>
            </w:r>
          </w:p>
        </w:tc>
        <w:tc>
          <w:tcPr>
            <w:tcW w:w="720" w:type="dxa"/>
            <w:shd w:val="clear" w:color="auto" w:fill="auto"/>
            <w:noWrap/>
            <w:hideMark/>
          </w:tcPr>
          <w:p w:rsidR="00546949" w:rsidRPr="005633D9" w:rsidRDefault="00546949" w:rsidP="00546949">
            <w:pPr>
              <w:spacing w:after="0"/>
              <w:jc w:val="right"/>
              <w:rPr>
                <w:color w:val="000000"/>
                <w:sz w:val="22"/>
                <w:szCs w:val="22"/>
                <w:lang w:val="en-GB"/>
              </w:rPr>
            </w:pPr>
            <w:r w:rsidRPr="005633D9">
              <w:rPr>
                <w:color w:val="000000"/>
                <w:sz w:val="22"/>
                <w:szCs w:val="22"/>
                <w:lang w:val="en-GB"/>
              </w:rPr>
              <w:t>$67</w:t>
            </w:r>
          </w:p>
        </w:tc>
        <w:tc>
          <w:tcPr>
            <w:tcW w:w="1170" w:type="dxa"/>
            <w:shd w:val="clear" w:color="auto" w:fill="auto"/>
            <w:noWrap/>
            <w:hideMark/>
          </w:tcPr>
          <w:p w:rsidR="00546949" w:rsidRPr="005633D9" w:rsidRDefault="00546949" w:rsidP="00546949">
            <w:pPr>
              <w:spacing w:after="0"/>
              <w:jc w:val="right"/>
              <w:rPr>
                <w:color w:val="000000"/>
                <w:sz w:val="22"/>
                <w:szCs w:val="22"/>
                <w:lang w:val="en-GB"/>
              </w:rPr>
            </w:pPr>
            <w:r w:rsidRPr="005633D9">
              <w:rPr>
                <w:color w:val="000000"/>
                <w:sz w:val="22"/>
                <w:szCs w:val="22"/>
                <w:lang w:val="en-GB"/>
              </w:rPr>
              <w:t>$134.66</w:t>
            </w:r>
          </w:p>
        </w:tc>
        <w:tc>
          <w:tcPr>
            <w:tcW w:w="1170" w:type="dxa"/>
            <w:shd w:val="clear" w:color="auto" w:fill="auto"/>
            <w:noWrap/>
            <w:hideMark/>
          </w:tcPr>
          <w:p w:rsidR="00546949" w:rsidRPr="005633D9" w:rsidRDefault="00546949" w:rsidP="00546949">
            <w:pPr>
              <w:spacing w:after="0"/>
              <w:jc w:val="right"/>
              <w:rPr>
                <w:b/>
                <w:bCs/>
                <w:color w:val="000000"/>
                <w:sz w:val="22"/>
                <w:szCs w:val="22"/>
                <w:lang w:val="en-GB"/>
              </w:rPr>
            </w:pPr>
            <w:r w:rsidRPr="005633D9">
              <w:rPr>
                <w:b/>
                <w:bCs/>
                <w:color w:val="000000"/>
                <w:sz w:val="22"/>
                <w:szCs w:val="22"/>
                <w:lang w:val="en-GB"/>
              </w:rPr>
              <w:t>$103.59</w:t>
            </w:r>
          </w:p>
        </w:tc>
        <w:tc>
          <w:tcPr>
            <w:tcW w:w="1170" w:type="dxa"/>
            <w:shd w:val="clear" w:color="auto" w:fill="auto"/>
            <w:noWrap/>
            <w:hideMark/>
          </w:tcPr>
          <w:p w:rsidR="00546949" w:rsidRPr="005633D9" w:rsidRDefault="00546949" w:rsidP="00546949">
            <w:pPr>
              <w:spacing w:after="0"/>
              <w:jc w:val="right"/>
              <w:rPr>
                <w:b/>
                <w:bCs/>
                <w:color w:val="000000"/>
                <w:sz w:val="22"/>
                <w:szCs w:val="22"/>
                <w:lang w:val="en-GB"/>
              </w:rPr>
            </w:pPr>
            <w:r w:rsidRPr="005633D9">
              <w:rPr>
                <w:b/>
                <w:bCs/>
                <w:color w:val="000000"/>
                <w:sz w:val="22"/>
                <w:szCs w:val="22"/>
                <w:lang w:val="en-GB"/>
              </w:rPr>
              <w:t>$89.77</w:t>
            </w:r>
          </w:p>
        </w:tc>
        <w:tc>
          <w:tcPr>
            <w:tcW w:w="1230" w:type="dxa"/>
            <w:shd w:val="clear" w:color="auto" w:fill="auto"/>
            <w:noWrap/>
            <w:hideMark/>
          </w:tcPr>
          <w:p w:rsidR="00546949" w:rsidRPr="005633D9" w:rsidRDefault="00546949" w:rsidP="00546949">
            <w:pPr>
              <w:spacing w:after="0"/>
              <w:jc w:val="right"/>
              <w:rPr>
                <w:b/>
                <w:bCs/>
                <w:color w:val="000000"/>
                <w:sz w:val="22"/>
                <w:szCs w:val="22"/>
                <w:lang w:val="en-GB"/>
              </w:rPr>
            </w:pPr>
            <w:r w:rsidRPr="005633D9">
              <w:rPr>
                <w:b/>
                <w:bCs/>
                <w:color w:val="000000"/>
                <w:sz w:val="22"/>
                <w:szCs w:val="22"/>
                <w:lang w:val="en-GB"/>
              </w:rPr>
              <w:t>$79.21</w:t>
            </w:r>
          </w:p>
        </w:tc>
      </w:tr>
      <w:tr w:rsidR="00DF417E" w:rsidRPr="005633D9" w:rsidTr="00C26677">
        <w:trPr>
          <w:cnfStyle w:val="000000010000" w:firstRow="0" w:lastRow="0" w:firstColumn="0" w:lastColumn="0" w:oddVBand="0" w:evenVBand="0" w:oddHBand="0" w:evenHBand="1" w:firstRowFirstColumn="0" w:firstRowLastColumn="0" w:lastRowFirstColumn="0" w:lastRowLastColumn="0"/>
          <w:trHeight w:val="288"/>
        </w:trPr>
        <w:tc>
          <w:tcPr>
            <w:tcW w:w="1458" w:type="dxa"/>
            <w:shd w:val="clear" w:color="auto" w:fill="E7E8E8" w:themeFill="accent2" w:themeFillTint="33"/>
            <w:noWrap/>
            <w:hideMark/>
          </w:tcPr>
          <w:p w:rsidR="00546949" w:rsidRPr="005633D9" w:rsidRDefault="00546949" w:rsidP="00546949">
            <w:pPr>
              <w:spacing w:after="0"/>
              <w:rPr>
                <w:color w:val="000000"/>
                <w:sz w:val="22"/>
                <w:szCs w:val="22"/>
                <w:lang w:val="en-GB"/>
              </w:rPr>
            </w:pPr>
            <w:r w:rsidRPr="005633D9">
              <w:rPr>
                <w:color w:val="000000"/>
                <w:sz w:val="22"/>
                <w:szCs w:val="22"/>
                <w:lang w:val="en-GB"/>
              </w:rPr>
              <w:t>RCT (5)</w:t>
            </w:r>
          </w:p>
        </w:tc>
        <w:tc>
          <w:tcPr>
            <w:tcW w:w="1260" w:type="dxa"/>
            <w:shd w:val="clear" w:color="auto" w:fill="E7E8E8" w:themeFill="accent2" w:themeFillTint="33"/>
            <w:noWrap/>
            <w:hideMark/>
          </w:tcPr>
          <w:p w:rsidR="00546949" w:rsidRPr="005633D9" w:rsidRDefault="00546949" w:rsidP="00546949">
            <w:pPr>
              <w:spacing w:after="0"/>
              <w:jc w:val="right"/>
              <w:rPr>
                <w:color w:val="000000"/>
                <w:sz w:val="22"/>
                <w:szCs w:val="22"/>
                <w:lang w:val="en-GB"/>
              </w:rPr>
            </w:pPr>
            <w:r w:rsidRPr="005633D9">
              <w:rPr>
                <w:color w:val="000000"/>
                <w:sz w:val="22"/>
                <w:szCs w:val="22"/>
                <w:lang w:val="en-GB"/>
              </w:rPr>
              <w:t>6</w:t>
            </w:r>
          </w:p>
        </w:tc>
        <w:tc>
          <w:tcPr>
            <w:tcW w:w="1350" w:type="dxa"/>
            <w:shd w:val="clear" w:color="auto" w:fill="E7E8E8" w:themeFill="accent2" w:themeFillTint="33"/>
            <w:noWrap/>
            <w:hideMark/>
          </w:tcPr>
          <w:p w:rsidR="00546949" w:rsidRPr="005633D9" w:rsidRDefault="00546949" w:rsidP="00546949">
            <w:pPr>
              <w:spacing w:after="0"/>
              <w:jc w:val="right"/>
              <w:rPr>
                <w:color w:val="000000"/>
                <w:sz w:val="22"/>
                <w:szCs w:val="22"/>
                <w:lang w:val="en-GB"/>
              </w:rPr>
            </w:pPr>
            <w:r w:rsidRPr="005633D9">
              <w:rPr>
                <w:color w:val="000000"/>
                <w:sz w:val="22"/>
                <w:szCs w:val="22"/>
                <w:lang w:val="en-GB"/>
              </w:rPr>
              <w:t>630</w:t>
            </w:r>
          </w:p>
        </w:tc>
        <w:tc>
          <w:tcPr>
            <w:tcW w:w="720" w:type="dxa"/>
            <w:shd w:val="clear" w:color="auto" w:fill="E7E8E8" w:themeFill="accent2" w:themeFillTint="33"/>
            <w:noWrap/>
            <w:hideMark/>
          </w:tcPr>
          <w:p w:rsidR="00546949" w:rsidRPr="005633D9" w:rsidRDefault="00546949" w:rsidP="00546949">
            <w:pPr>
              <w:spacing w:after="0"/>
              <w:jc w:val="right"/>
              <w:rPr>
                <w:color w:val="000000"/>
                <w:sz w:val="22"/>
                <w:szCs w:val="22"/>
                <w:lang w:val="en-GB"/>
              </w:rPr>
            </w:pPr>
            <w:r w:rsidRPr="005633D9">
              <w:rPr>
                <w:color w:val="000000"/>
                <w:sz w:val="22"/>
                <w:szCs w:val="22"/>
                <w:lang w:val="en-GB"/>
              </w:rPr>
              <w:t>$65</w:t>
            </w:r>
          </w:p>
        </w:tc>
        <w:tc>
          <w:tcPr>
            <w:tcW w:w="1170" w:type="dxa"/>
            <w:shd w:val="clear" w:color="auto" w:fill="E7E8E8" w:themeFill="accent2" w:themeFillTint="33"/>
            <w:noWrap/>
            <w:hideMark/>
          </w:tcPr>
          <w:p w:rsidR="00546949" w:rsidRPr="005633D9" w:rsidRDefault="00546949" w:rsidP="00546949">
            <w:pPr>
              <w:spacing w:after="0"/>
              <w:jc w:val="right"/>
              <w:rPr>
                <w:b/>
                <w:bCs/>
                <w:color w:val="000000"/>
                <w:sz w:val="22"/>
                <w:szCs w:val="22"/>
                <w:lang w:val="en-GB"/>
              </w:rPr>
            </w:pPr>
            <w:r w:rsidRPr="005633D9">
              <w:rPr>
                <w:b/>
                <w:bCs/>
                <w:color w:val="000000"/>
                <w:sz w:val="22"/>
                <w:szCs w:val="22"/>
                <w:lang w:val="en-GB"/>
              </w:rPr>
              <w:t>$130.10</w:t>
            </w:r>
          </w:p>
        </w:tc>
        <w:tc>
          <w:tcPr>
            <w:tcW w:w="1170" w:type="dxa"/>
            <w:shd w:val="clear" w:color="auto" w:fill="E7E8E8" w:themeFill="accent2" w:themeFillTint="33"/>
            <w:noWrap/>
            <w:hideMark/>
          </w:tcPr>
          <w:p w:rsidR="00546949" w:rsidRPr="005633D9" w:rsidRDefault="00546949" w:rsidP="00546949">
            <w:pPr>
              <w:spacing w:after="0"/>
              <w:jc w:val="right"/>
              <w:rPr>
                <w:b/>
                <w:bCs/>
                <w:color w:val="000000"/>
                <w:sz w:val="22"/>
                <w:szCs w:val="22"/>
                <w:lang w:val="en-GB"/>
              </w:rPr>
            </w:pPr>
            <w:r w:rsidRPr="005633D9">
              <w:rPr>
                <w:b/>
                <w:bCs/>
                <w:color w:val="000000"/>
                <w:sz w:val="22"/>
                <w:szCs w:val="22"/>
                <w:lang w:val="en-GB"/>
              </w:rPr>
              <w:t>$100.07</w:t>
            </w:r>
          </w:p>
        </w:tc>
        <w:tc>
          <w:tcPr>
            <w:tcW w:w="1170" w:type="dxa"/>
            <w:shd w:val="clear" w:color="auto" w:fill="E7E8E8" w:themeFill="accent2" w:themeFillTint="33"/>
            <w:noWrap/>
            <w:hideMark/>
          </w:tcPr>
          <w:p w:rsidR="00546949" w:rsidRPr="005633D9" w:rsidRDefault="00546949" w:rsidP="00546949">
            <w:pPr>
              <w:spacing w:after="0"/>
              <w:jc w:val="right"/>
              <w:rPr>
                <w:b/>
                <w:bCs/>
                <w:color w:val="000000"/>
                <w:sz w:val="22"/>
                <w:szCs w:val="22"/>
                <w:lang w:val="en-GB"/>
              </w:rPr>
            </w:pPr>
            <w:r w:rsidRPr="005633D9">
              <w:rPr>
                <w:b/>
                <w:bCs/>
                <w:color w:val="000000"/>
                <w:sz w:val="22"/>
                <w:szCs w:val="22"/>
                <w:lang w:val="en-GB"/>
              </w:rPr>
              <w:t>$86.73</w:t>
            </w:r>
          </w:p>
        </w:tc>
        <w:tc>
          <w:tcPr>
            <w:tcW w:w="1230" w:type="dxa"/>
            <w:shd w:val="clear" w:color="auto" w:fill="E7E8E8" w:themeFill="accent2" w:themeFillTint="33"/>
            <w:noWrap/>
            <w:hideMark/>
          </w:tcPr>
          <w:p w:rsidR="00546949" w:rsidRPr="005633D9" w:rsidRDefault="00546949" w:rsidP="00546949">
            <w:pPr>
              <w:spacing w:after="0"/>
              <w:jc w:val="right"/>
              <w:rPr>
                <w:b/>
                <w:bCs/>
                <w:color w:val="000000"/>
                <w:sz w:val="22"/>
                <w:szCs w:val="22"/>
                <w:lang w:val="en-GB"/>
              </w:rPr>
            </w:pPr>
            <w:r w:rsidRPr="005633D9">
              <w:rPr>
                <w:b/>
                <w:bCs/>
                <w:color w:val="000000"/>
                <w:sz w:val="22"/>
                <w:szCs w:val="22"/>
                <w:lang w:val="en-GB"/>
              </w:rPr>
              <w:t>$76.53</w:t>
            </w:r>
          </w:p>
        </w:tc>
      </w:tr>
      <w:tr w:rsidR="00DF417E" w:rsidRPr="005633D9" w:rsidTr="00C26677">
        <w:trPr>
          <w:cnfStyle w:val="000000100000" w:firstRow="0" w:lastRow="0" w:firstColumn="0" w:lastColumn="0" w:oddVBand="0" w:evenVBand="0" w:oddHBand="1" w:evenHBand="0" w:firstRowFirstColumn="0" w:firstRowLastColumn="0" w:lastRowFirstColumn="0" w:lastRowLastColumn="0"/>
          <w:trHeight w:val="288"/>
        </w:trPr>
        <w:tc>
          <w:tcPr>
            <w:tcW w:w="1458" w:type="dxa"/>
            <w:shd w:val="clear" w:color="auto" w:fill="auto"/>
            <w:noWrap/>
            <w:hideMark/>
          </w:tcPr>
          <w:p w:rsidR="00546949" w:rsidRPr="005633D9" w:rsidRDefault="00546949" w:rsidP="00546949">
            <w:pPr>
              <w:spacing w:after="0"/>
              <w:rPr>
                <w:color w:val="000000"/>
                <w:sz w:val="22"/>
                <w:szCs w:val="22"/>
                <w:lang w:val="en-GB"/>
              </w:rPr>
            </w:pPr>
            <w:r w:rsidRPr="005633D9">
              <w:rPr>
                <w:color w:val="000000"/>
                <w:sz w:val="22"/>
                <w:szCs w:val="22"/>
                <w:lang w:val="en-GB"/>
              </w:rPr>
              <w:t>Whole Group (6)</w:t>
            </w:r>
          </w:p>
        </w:tc>
        <w:tc>
          <w:tcPr>
            <w:tcW w:w="1260" w:type="dxa"/>
            <w:shd w:val="clear" w:color="auto" w:fill="auto"/>
            <w:noWrap/>
            <w:hideMark/>
          </w:tcPr>
          <w:p w:rsidR="00546949" w:rsidRPr="005633D9" w:rsidRDefault="00546949" w:rsidP="00546949">
            <w:pPr>
              <w:spacing w:after="0"/>
              <w:jc w:val="right"/>
              <w:rPr>
                <w:color w:val="000000"/>
                <w:sz w:val="22"/>
                <w:szCs w:val="22"/>
                <w:lang w:val="en-GB"/>
              </w:rPr>
            </w:pPr>
            <w:r w:rsidRPr="005633D9">
              <w:rPr>
                <w:color w:val="000000"/>
                <w:sz w:val="22"/>
                <w:szCs w:val="22"/>
                <w:lang w:val="en-GB"/>
              </w:rPr>
              <w:t>5</w:t>
            </w:r>
          </w:p>
        </w:tc>
        <w:tc>
          <w:tcPr>
            <w:tcW w:w="1350" w:type="dxa"/>
            <w:shd w:val="clear" w:color="auto" w:fill="auto"/>
            <w:noWrap/>
            <w:hideMark/>
          </w:tcPr>
          <w:p w:rsidR="00546949" w:rsidRPr="005633D9" w:rsidRDefault="00546949" w:rsidP="00546949">
            <w:pPr>
              <w:spacing w:after="0"/>
              <w:jc w:val="right"/>
              <w:rPr>
                <w:color w:val="000000"/>
                <w:sz w:val="22"/>
                <w:szCs w:val="22"/>
                <w:lang w:val="en-GB"/>
              </w:rPr>
            </w:pPr>
            <w:r w:rsidRPr="005633D9">
              <w:rPr>
                <w:color w:val="000000"/>
                <w:sz w:val="22"/>
                <w:szCs w:val="22"/>
                <w:lang w:val="en-GB"/>
              </w:rPr>
              <w:t>630</w:t>
            </w:r>
          </w:p>
        </w:tc>
        <w:tc>
          <w:tcPr>
            <w:tcW w:w="720" w:type="dxa"/>
            <w:shd w:val="clear" w:color="auto" w:fill="auto"/>
            <w:noWrap/>
            <w:hideMark/>
          </w:tcPr>
          <w:p w:rsidR="00546949" w:rsidRPr="005633D9" w:rsidRDefault="00546949" w:rsidP="00546949">
            <w:pPr>
              <w:spacing w:after="0"/>
              <w:jc w:val="right"/>
              <w:rPr>
                <w:color w:val="000000"/>
                <w:sz w:val="22"/>
                <w:szCs w:val="22"/>
                <w:lang w:val="en-GB"/>
              </w:rPr>
            </w:pPr>
            <w:r w:rsidRPr="005633D9">
              <w:rPr>
                <w:color w:val="000000"/>
                <w:sz w:val="22"/>
                <w:szCs w:val="22"/>
                <w:lang w:val="en-GB"/>
              </w:rPr>
              <w:t>$65</w:t>
            </w:r>
          </w:p>
        </w:tc>
        <w:tc>
          <w:tcPr>
            <w:tcW w:w="1170" w:type="dxa"/>
            <w:shd w:val="clear" w:color="auto" w:fill="auto"/>
            <w:noWrap/>
            <w:hideMark/>
          </w:tcPr>
          <w:p w:rsidR="00546949" w:rsidRPr="005633D9" w:rsidRDefault="00546949" w:rsidP="00546949">
            <w:pPr>
              <w:spacing w:after="0"/>
              <w:jc w:val="right"/>
              <w:rPr>
                <w:b/>
                <w:bCs/>
                <w:color w:val="000000"/>
                <w:sz w:val="22"/>
                <w:szCs w:val="22"/>
                <w:lang w:val="en-GB"/>
              </w:rPr>
            </w:pPr>
            <w:r w:rsidRPr="005633D9">
              <w:rPr>
                <w:b/>
                <w:bCs/>
                <w:color w:val="000000"/>
                <w:sz w:val="22"/>
                <w:szCs w:val="22"/>
                <w:lang w:val="en-GB"/>
              </w:rPr>
              <w:t>$130.10</w:t>
            </w:r>
          </w:p>
        </w:tc>
        <w:tc>
          <w:tcPr>
            <w:tcW w:w="1170" w:type="dxa"/>
            <w:shd w:val="clear" w:color="auto" w:fill="auto"/>
            <w:noWrap/>
            <w:hideMark/>
          </w:tcPr>
          <w:p w:rsidR="00546949" w:rsidRPr="005633D9" w:rsidRDefault="00546949" w:rsidP="00546949">
            <w:pPr>
              <w:spacing w:after="0"/>
              <w:jc w:val="right"/>
              <w:rPr>
                <w:b/>
                <w:bCs/>
                <w:color w:val="000000"/>
                <w:sz w:val="22"/>
                <w:szCs w:val="22"/>
                <w:lang w:val="en-GB"/>
              </w:rPr>
            </w:pPr>
            <w:r w:rsidRPr="005633D9">
              <w:rPr>
                <w:b/>
                <w:bCs/>
                <w:color w:val="000000"/>
                <w:sz w:val="22"/>
                <w:szCs w:val="22"/>
                <w:lang w:val="en-GB"/>
              </w:rPr>
              <w:t>$100.07</w:t>
            </w:r>
          </w:p>
        </w:tc>
        <w:tc>
          <w:tcPr>
            <w:tcW w:w="1170" w:type="dxa"/>
            <w:shd w:val="clear" w:color="auto" w:fill="auto"/>
            <w:noWrap/>
            <w:hideMark/>
          </w:tcPr>
          <w:p w:rsidR="00546949" w:rsidRPr="005633D9" w:rsidRDefault="00546949" w:rsidP="00546949">
            <w:pPr>
              <w:spacing w:after="0"/>
              <w:jc w:val="right"/>
              <w:rPr>
                <w:b/>
                <w:bCs/>
                <w:color w:val="000000"/>
                <w:sz w:val="22"/>
                <w:szCs w:val="22"/>
                <w:lang w:val="en-GB"/>
              </w:rPr>
            </w:pPr>
            <w:r w:rsidRPr="005633D9">
              <w:rPr>
                <w:b/>
                <w:bCs/>
                <w:color w:val="000000"/>
                <w:sz w:val="22"/>
                <w:szCs w:val="22"/>
                <w:lang w:val="en-GB"/>
              </w:rPr>
              <w:t>$86.73</w:t>
            </w:r>
          </w:p>
        </w:tc>
        <w:tc>
          <w:tcPr>
            <w:tcW w:w="1230" w:type="dxa"/>
            <w:shd w:val="clear" w:color="auto" w:fill="auto"/>
            <w:noWrap/>
            <w:hideMark/>
          </w:tcPr>
          <w:p w:rsidR="00546949" w:rsidRPr="005633D9" w:rsidRDefault="00546949" w:rsidP="00546949">
            <w:pPr>
              <w:spacing w:after="0"/>
              <w:jc w:val="right"/>
              <w:rPr>
                <w:b/>
                <w:bCs/>
                <w:color w:val="000000"/>
                <w:sz w:val="22"/>
                <w:szCs w:val="22"/>
                <w:lang w:val="en-GB"/>
              </w:rPr>
            </w:pPr>
            <w:r w:rsidRPr="005633D9">
              <w:rPr>
                <w:b/>
                <w:bCs/>
                <w:color w:val="000000"/>
                <w:sz w:val="22"/>
                <w:szCs w:val="22"/>
                <w:lang w:val="en-GB"/>
              </w:rPr>
              <w:t>$76.53</w:t>
            </w:r>
          </w:p>
        </w:tc>
      </w:tr>
      <w:tr w:rsidR="00B602B3" w:rsidRPr="005633D9" w:rsidTr="00C26677">
        <w:trPr>
          <w:cnfStyle w:val="000000010000" w:firstRow="0" w:lastRow="0" w:firstColumn="0" w:lastColumn="0" w:oddVBand="0" w:evenVBand="0" w:oddHBand="0" w:evenHBand="1" w:firstRowFirstColumn="0" w:firstRowLastColumn="0" w:lastRowFirstColumn="0" w:lastRowLastColumn="0"/>
          <w:trHeight w:val="288"/>
        </w:trPr>
        <w:tc>
          <w:tcPr>
            <w:tcW w:w="1458" w:type="dxa"/>
            <w:shd w:val="clear" w:color="auto" w:fill="E7E8E8" w:themeFill="accent2" w:themeFillTint="33"/>
            <w:noWrap/>
            <w:hideMark/>
          </w:tcPr>
          <w:p w:rsidR="00B602B3" w:rsidRPr="00726175" w:rsidRDefault="00B602B3" w:rsidP="00546949">
            <w:pPr>
              <w:spacing w:after="0"/>
              <w:rPr>
                <w:color w:val="000000"/>
                <w:sz w:val="22"/>
                <w:szCs w:val="22"/>
                <w:lang w:val="en-GB"/>
              </w:rPr>
            </w:pPr>
            <w:r w:rsidRPr="00726175">
              <w:rPr>
                <w:color w:val="000000"/>
                <w:sz w:val="22"/>
                <w:szCs w:val="22"/>
                <w:lang w:val="en-GB"/>
              </w:rPr>
              <w:t xml:space="preserve">Whole Group + </w:t>
            </w:r>
            <w:r w:rsidR="00F93043" w:rsidRPr="00726175">
              <w:rPr>
                <w:sz w:val="22"/>
                <w:szCs w:val="22"/>
              </w:rPr>
              <w:t>the QED implementer</w:t>
            </w:r>
          </w:p>
        </w:tc>
        <w:tc>
          <w:tcPr>
            <w:tcW w:w="1260" w:type="dxa"/>
            <w:shd w:val="clear" w:color="auto" w:fill="E7E8E8" w:themeFill="accent2" w:themeFillTint="33"/>
            <w:noWrap/>
            <w:hideMark/>
          </w:tcPr>
          <w:p w:rsidR="00B602B3" w:rsidRPr="005633D9" w:rsidRDefault="00B602B3" w:rsidP="00546949">
            <w:pPr>
              <w:spacing w:after="0"/>
              <w:jc w:val="right"/>
              <w:rPr>
                <w:color w:val="000000"/>
                <w:sz w:val="22"/>
                <w:szCs w:val="22"/>
                <w:lang w:val="en-GB"/>
              </w:rPr>
            </w:pPr>
            <w:r w:rsidRPr="005633D9">
              <w:rPr>
                <w:color w:val="000000"/>
                <w:sz w:val="22"/>
                <w:szCs w:val="22"/>
                <w:lang w:val="en-GB"/>
              </w:rPr>
              <w:t>(5-14)</w:t>
            </w:r>
          </w:p>
        </w:tc>
        <w:tc>
          <w:tcPr>
            <w:tcW w:w="1350" w:type="dxa"/>
            <w:shd w:val="clear" w:color="auto" w:fill="E7E8E8" w:themeFill="accent2" w:themeFillTint="33"/>
            <w:noWrap/>
            <w:hideMark/>
          </w:tcPr>
          <w:p w:rsidR="00B602B3" w:rsidRPr="005633D9" w:rsidRDefault="00B602B3" w:rsidP="00546949">
            <w:pPr>
              <w:spacing w:after="0"/>
              <w:jc w:val="right"/>
              <w:rPr>
                <w:color w:val="000000"/>
                <w:sz w:val="22"/>
                <w:szCs w:val="22"/>
                <w:lang w:val="en-GB"/>
              </w:rPr>
            </w:pPr>
            <w:r w:rsidRPr="005633D9">
              <w:rPr>
                <w:color w:val="000000"/>
                <w:sz w:val="22"/>
                <w:szCs w:val="22"/>
                <w:lang w:val="en-GB"/>
              </w:rPr>
              <w:t>790</w:t>
            </w:r>
          </w:p>
        </w:tc>
        <w:tc>
          <w:tcPr>
            <w:tcW w:w="720" w:type="dxa"/>
            <w:shd w:val="clear" w:color="auto" w:fill="E7E8E8" w:themeFill="accent2" w:themeFillTint="33"/>
            <w:noWrap/>
            <w:hideMark/>
          </w:tcPr>
          <w:p w:rsidR="00B602B3" w:rsidRPr="005633D9" w:rsidRDefault="00B602B3" w:rsidP="00546949">
            <w:pPr>
              <w:spacing w:after="0"/>
              <w:jc w:val="right"/>
              <w:rPr>
                <w:color w:val="000000"/>
                <w:sz w:val="22"/>
                <w:szCs w:val="22"/>
                <w:lang w:val="en-GB"/>
              </w:rPr>
            </w:pPr>
            <w:r w:rsidRPr="005633D9">
              <w:rPr>
                <w:color w:val="000000"/>
                <w:sz w:val="22"/>
                <w:szCs w:val="22"/>
                <w:lang w:val="en-GB"/>
              </w:rPr>
              <w:t>$55</w:t>
            </w:r>
          </w:p>
        </w:tc>
        <w:tc>
          <w:tcPr>
            <w:tcW w:w="1170" w:type="dxa"/>
            <w:shd w:val="clear" w:color="auto" w:fill="E7E8E8" w:themeFill="accent2" w:themeFillTint="33"/>
            <w:noWrap/>
            <w:hideMark/>
          </w:tcPr>
          <w:p w:rsidR="00B602B3" w:rsidRPr="005633D9" w:rsidRDefault="00B602B3" w:rsidP="00546949">
            <w:pPr>
              <w:spacing w:after="0"/>
              <w:jc w:val="right"/>
              <w:rPr>
                <w:b/>
                <w:bCs/>
                <w:color w:val="000000"/>
                <w:sz w:val="22"/>
                <w:szCs w:val="22"/>
                <w:lang w:val="en-GB"/>
              </w:rPr>
            </w:pPr>
            <w:r w:rsidRPr="005633D9">
              <w:rPr>
                <w:b/>
                <w:bCs/>
                <w:color w:val="000000"/>
                <w:sz w:val="22"/>
                <w:szCs w:val="22"/>
                <w:lang w:val="en-GB"/>
              </w:rPr>
              <w:t>$110.82</w:t>
            </w:r>
          </w:p>
        </w:tc>
        <w:tc>
          <w:tcPr>
            <w:tcW w:w="1170" w:type="dxa"/>
            <w:shd w:val="clear" w:color="auto" w:fill="E7E8E8" w:themeFill="accent2" w:themeFillTint="33"/>
            <w:noWrap/>
            <w:hideMark/>
          </w:tcPr>
          <w:p w:rsidR="00B602B3" w:rsidRPr="005633D9" w:rsidRDefault="00B602B3" w:rsidP="00546949">
            <w:pPr>
              <w:spacing w:after="0"/>
              <w:jc w:val="right"/>
              <w:rPr>
                <w:b/>
                <w:bCs/>
                <w:color w:val="000000"/>
                <w:sz w:val="22"/>
                <w:szCs w:val="22"/>
                <w:lang w:val="en-GB"/>
              </w:rPr>
            </w:pPr>
            <w:r w:rsidRPr="005633D9">
              <w:rPr>
                <w:b/>
                <w:bCs/>
                <w:color w:val="000000"/>
                <w:sz w:val="22"/>
                <w:szCs w:val="22"/>
                <w:lang w:val="en-GB"/>
              </w:rPr>
              <w:t>$85.25</w:t>
            </w:r>
          </w:p>
        </w:tc>
        <w:tc>
          <w:tcPr>
            <w:tcW w:w="1170" w:type="dxa"/>
            <w:shd w:val="clear" w:color="auto" w:fill="E7E8E8" w:themeFill="accent2" w:themeFillTint="33"/>
            <w:noWrap/>
            <w:hideMark/>
          </w:tcPr>
          <w:p w:rsidR="00B602B3" w:rsidRPr="005633D9" w:rsidRDefault="00B602B3" w:rsidP="00546949">
            <w:pPr>
              <w:spacing w:after="0"/>
              <w:jc w:val="right"/>
              <w:rPr>
                <w:b/>
                <w:bCs/>
                <w:color w:val="000000"/>
                <w:sz w:val="22"/>
                <w:szCs w:val="22"/>
                <w:lang w:val="en-GB"/>
              </w:rPr>
            </w:pPr>
            <w:r w:rsidRPr="005633D9">
              <w:rPr>
                <w:b/>
                <w:bCs/>
                <w:color w:val="000000"/>
                <w:sz w:val="22"/>
                <w:szCs w:val="22"/>
                <w:lang w:val="en-GB"/>
              </w:rPr>
              <w:t>$73.88</w:t>
            </w:r>
          </w:p>
        </w:tc>
        <w:tc>
          <w:tcPr>
            <w:tcW w:w="1230" w:type="dxa"/>
            <w:shd w:val="clear" w:color="auto" w:fill="E7E8E8" w:themeFill="accent2" w:themeFillTint="33"/>
            <w:noWrap/>
            <w:hideMark/>
          </w:tcPr>
          <w:p w:rsidR="00B602B3" w:rsidRPr="005633D9" w:rsidRDefault="00B602B3" w:rsidP="00546949">
            <w:pPr>
              <w:spacing w:after="0"/>
              <w:jc w:val="right"/>
              <w:rPr>
                <w:b/>
                <w:bCs/>
                <w:color w:val="000000"/>
                <w:sz w:val="22"/>
                <w:szCs w:val="22"/>
                <w:lang w:val="en-GB"/>
              </w:rPr>
            </w:pPr>
            <w:r w:rsidRPr="005633D9">
              <w:rPr>
                <w:b/>
                <w:bCs/>
                <w:color w:val="000000"/>
                <w:sz w:val="22"/>
                <w:szCs w:val="22"/>
                <w:lang w:val="en-GB"/>
              </w:rPr>
              <w:t>$65.19</w:t>
            </w:r>
          </w:p>
        </w:tc>
      </w:tr>
      <w:tr w:rsidR="00B602B3" w:rsidRPr="005633D9" w:rsidTr="00C26677">
        <w:trPr>
          <w:cnfStyle w:val="000000100000" w:firstRow="0" w:lastRow="0" w:firstColumn="0" w:lastColumn="0" w:oddVBand="0" w:evenVBand="0" w:oddHBand="1" w:evenHBand="0" w:firstRowFirstColumn="0" w:firstRowLastColumn="0" w:lastRowFirstColumn="0" w:lastRowLastColumn="0"/>
          <w:trHeight w:val="288"/>
        </w:trPr>
        <w:tc>
          <w:tcPr>
            <w:tcW w:w="1458" w:type="dxa"/>
            <w:shd w:val="clear" w:color="auto" w:fill="auto"/>
            <w:noWrap/>
          </w:tcPr>
          <w:p w:rsidR="00B602B3" w:rsidRPr="00726175" w:rsidRDefault="00F93043" w:rsidP="00546949">
            <w:pPr>
              <w:spacing w:after="0"/>
              <w:rPr>
                <w:color w:val="000000"/>
                <w:sz w:val="22"/>
                <w:szCs w:val="22"/>
                <w:lang w:val="en-GB"/>
              </w:rPr>
            </w:pPr>
            <w:r w:rsidRPr="00726175">
              <w:rPr>
                <w:sz w:val="22"/>
                <w:szCs w:val="22"/>
              </w:rPr>
              <w:t>the QED implementer</w:t>
            </w:r>
            <w:r w:rsidRPr="00726175">
              <w:rPr>
                <w:color w:val="000000"/>
                <w:sz w:val="22"/>
                <w:szCs w:val="22"/>
                <w:lang w:val="en-GB"/>
              </w:rPr>
              <w:t xml:space="preserve"> </w:t>
            </w:r>
            <w:r w:rsidR="00B602B3" w:rsidRPr="00726175">
              <w:rPr>
                <w:color w:val="000000"/>
                <w:sz w:val="22"/>
                <w:szCs w:val="22"/>
                <w:lang w:val="en-GB"/>
              </w:rPr>
              <w:t>only</w:t>
            </w:r>
          </w:p>
        </w:tc>
        <w:tc>
          <w:tcPr>
            <w:tcW w:w="1260" w:type="dxa"/>
            <w:shd w:val="clear" w:color="auto" w:fill="auto"/>
            <w:noWrap/>
          </w:tcPr>
          <w:p w:rsidR="00B602B3" w:rsidRPr="005633D9" w:rsidRDefault="00B602B3" w:rsidP="00546949">
            <w:pPr>
              <w:spacing w:after="0"/>
              <w:jc w:val="right"/>
              <w:rPr>
                <w:color w:val="000000"/>
                <w:sz w:val="22"/>
                <w:szCs w:val="22"/>
                <w:lang w:val="en-GB"/>
              </w:rPr>
            </w:pPr>
            <w:r w:rsidRPr="005633D9">
              <w:rPr>
                <w:color w:val="000000"/>
                <w:sz w:val="22"/>
                <w:szCs w:val="22"/>
                <w:lang w:val="en-GB"/>
              </w:rPr>
              <w:t>14</w:t>
            </w:r>
          </w:p>
        </w:tc>
        <w:tc>
          <w:tcPr>
            <w:tcW w:w="1350" w:type="dxa"/>
            <w:shd w:val="clear" w:color="auto" w:fill="auto"/>
            <w:noWrap/>
          </w:tcPr>
          <w:p w:rsidR="00B602B3" w:rsidRPr="005633D9" w:rsidRDefault="00B602B3" w:rsidP="00546949">
            <w:pPr>
              <w:spacing w:after="0"/>
              <w:jc w:val="right"/>
              <w:rPr>
                <w:color w:val="000000"/>
                <w:sz w:val="22"/>
                <w:szCs w:val="22"/>
                <w:lang w:val="en-GB"/>
              </w:rPr>
            </w:pPr>
            <w:r w:rsidRPr="005633D9">
              <w:rPr>
                <w:color w:val="000000"/>
                <w:sz w:val="22"/>
                <w:szCs w:val="22"/>
                <w:lang w:val="en-GB"/>
              </w:rPr>
              <w:t>160</w:t>
            </w:r>
          </w:p>
        </w:tc>
        <w:tc>
          <w:tcPr>
            <w:tcW w:w="720" w:type="dxa"/>
            <w:shd w:val="clear" w:color="auto" w:fill="auto"/>
            <w:noWrap/>
          </w:tcPr>
          <w:p w:rsidR="00B602B3" w:rsidRPr="005633D9" w:rsidRDefault="00B602B3" w:rsidP="00546949">
            <w:pPr>
              <w:spacing w:after="0"/>
              <w:jc w:val="right"/>
              <w:rPr>
                <w:color w:val="000000"/>
                <w:sz w:val="22"/>
                <w:szCs w:val="22"/>
                <w:lang w:val="en-GB"/>
              </w:rPr>
            </w:pPr>
            <w:r w:rsidRPr="005633D9">
              <w:rPr>
                <w:color w:val="000000"/>
                <w:sz w:val="22"/>
                <w:szCs w:val="22"/>
                <w:lang w:val="en-GB"/>
              </w:rPr>
              <w:t>$104</w:t>
            </w:r>
          </w:p>
        </w:tc>
        <w:tc>
          <w:tcPr>
            <w:tcW w:w="1170" w:type="dxa"/>
            <w:shd w:val="clear" w:color="auto" w:fill="auto"/>
            <w:noWrap/>
          </w:tcPr>
          <w:p w:rsidR="00B602B3" w:rsidRPr="005633D9" w:rsidRDefault="00B602B3" w:rsidP="00546949">
            <w:pPr>
              <w:spacing w:after="0"/>
              <w:jc w:val="right"/>
              <w:rPr>
                <w:b/>
                <w:bCs/>
                <w:color w:val="000000"/>
                <w:sz w:val="22"/>
                <w:szCs w:val="22"/>
                <w:lang w:val="en-GB"/>
              </w:rPr>
            </w:pPr>
            <w:r w:rsidRPr="005633D9">
              <w:rPr>
                <w:b/>
                <w:bCs/>
                <w:color w:val="000000"/>
                <w:sz w:val="22"/>
                <w:szCs w:val="22"/>
                <w:lang w:val="en-GB"/>
              </w:rPr>
              <w:t>$208.13</w:t>
            </w:r>
          </w:p>
        </w:tc>
        <w:tc>
          <w:tcPr>
            <w:tcW w:w="1170" w:type="dxa"/>
            <w:shd w:val="clear" w:color="auto" w:fill="auto"/>
            <w:noWrap/>
          </w:tcPr>
          <w:p w:rsidR="00B602B3" w:rsidRPr="005633D9" w:rsidRDefault="00B602B3" w:rsidP="00546949">
            <w:pPr>
              <w:spacing w:after="0"/>
              <w:jc w:val="right"/>
              <w:rPr>
                <w:b/>
                <w:bCs/>
                <w:color w:val="000000"/>
                <w:sz w:val="22"/>
                <w:szCs w:val="22"/>
                <w:lang w:val="en-GB"/>
              </w:rPr>
            </w:pPr>
            <w:r w:rsidRPr="005633D9">
              <w:rPr>
                <w:b/>
                <w:bCs/>
                <w:color w:val="000000"/>
                <w:sz w:val="22"/>
                <w:szCs w:val="22"/>
                <w:lang w:val="en-GB"/>
              </w:rPr>
              <w:t>$160.10</w:t>
            </w:r>
          </w:p>
        </w:tc>
        <w:tc>
          <w:tcPr>
            <w:tcW w:w="1170" w:type="dxa"/>
            <w:shd w:val="clear" w:color="auto" w:fill="auto"/>
            <w:noWrap/>
          </w:tcPr>
          <w:p w:rsidR="00B602B3" w:rsidRPr="005633D9" w:rsidRDefault="00B602B3" w:rsidP="00546949">
            <w:pPr>
              <w:spacing w:after="0"/>
              <w:jc w:val="right"/>
              <w:rPr>
                <w:b/>
                <w:bCs/>
                <w:color w:val="000000"/>
                <w:sz w:val="22"/>
                <w:szCs w:val="22"/>
                <w:lang w:val="en-GB"/>
              </w:rPr>
            </w:pPr>
            <w:r w:rsidRPr="005633D9">
              <w:rPr>
                <w:b/>
                <w:bCs/>
                <w:color w:val="000000"/>
                <w:sz w:val="22"/>
                <w:szCs w:val="22"/>
                <w:lang w:val="en-GB"/>
              </w:rPr>
              <w:t>$138.76</w:t>
            </w:r>
          </w:p>
        </w:tc>
        <w:tc>
          <w:tcPr>
            <w:tcW w:w="1230" w:type="dxa"/>
            <w:shd w:val="clear" w:color="auto" w:fill="auto"/>
            <w:noWrap/>
          </w:tcPr>
          <w:p w:rsidR="00B602B3" w:rsidRPr="005633D9" w:rsidRDefault="00B602B3" w:rsidP="00546949">
            <w:pPr>
              <w:spacing w:after="0"/>
              <w:jc w:val="right"/>
              <w:rPr>
                <w:b/>
                <w:bCs/>
                <w:color w:val="000000"/>
                <w:sz w:val="22"/>
                <w:szCs w:val="22"/>
                <w:lang w:val="en-GB"/>
              </w:rPr>
            </w:pPr>
            <w:r w:rsidRPr="005633D9">
              <w:rPr>
                <w:b/>
                <w:bCs/>
                <w:color w:val="000000"/>
                <w:sz w:val="22"/>
                <w:szCs w:val="22"/>
                <w:lang w:val="en-GB"/>
              </w:rPr>
              <w:t>$122.43</w:t>
            </w:r>
          </w:p>
        </w:tc>
      </w:tr>
      <w:tr w:rsidR="00B473DD" w:rsidRPr="005633D9" w:rsidTr="00C26677">
        <w:trPr>
          <w:cnfStyle w:val="000000010000" w:firstRow="0" w:lastRow="0" w:firstColumn="0" w:lastColumn="0" w:oddVBand="0" w:evenVBand="0" w:oddHBand="0" w:evenHBand="1" w:firstRowFirstColumn="0" w:firstRowLastColumn="0" w:lastRowFirstColumn="0" w:lastRowLastColumn="0"/>
          <w:trHeight w:val="288"/>
        </w:trPr>
        <w:tc>
          <w:tcPr>
            <w:tcW w:w="1458" w:type="dxa"/>
            <w:shd w:val="clear" w:color="auto" w:fill="E7E8E8" w:themeFill="accent2" w:themeFillTint="33"/>
            <w:noWrap/>
          </w:tcPr>
          <w:p w:rsidR="00B473DD" w:rsidRPr="005633D9" w:rsidRDefault="00B473DD" w:rsidP="00546949">
            <w:pPr>
              <w:spacing w:after="0"/>
              <w:rPr>
                <w:color w:val="000000"/>
                <w:sz w:val="22"/>
                <w:szCs w:val="22"/>
                <w:lang w:val="en-GB"/>
              </w:rPr>
            </w:pPr>
            <w:r w:rsidRPr="005633D9">
              <w:rPr>
                <w:color w:val="000000"/>
                <w:sz w:val="22"/>
                <w:szCs w:val="22"/>
                <w:lang w:val="en-GB"/>
              </w:rPr>
              <w:t xml:space="preserve">Worst-case non-adherence to RCT, </w:t>
            </w:r>
            <w:r w:rsidRPr="00726175">
              <w:rPr>
                <w:color w:val="000000"/>
                <w:sz w:val="22"/>
                <w:szCs w:val="22"/>
                <w:lang w:val="en-GB"/>
              </w:rPr>
              <w:t xml:space="preserve">Whole Group + </w:t>
            </w:r>
            <w:r w:rsidR="00F93043" w:rsidRPr="00726175">
              <w:rPr>
                <w:sz w:val="22"/>
                <w:szCs w:val="22"/>
              </w:rPr>
              <w:t>the QED implementer</w:t>
            </w:r>
          </w:p>
        </w:tc>
        <w:tc>
          <w:tcPr>
            <w:tcW w:w="1260" w:type="dxa"/>
            <w:shd w:val="clear" w:color="auto" w:fill="E7E8E8" w:themeFill="accent2" w:themeFillTint="33"/>
            <w:noWrap/>
          </w:tcPr>
          <w:p w:rsidR="00B473DD" w:rsidRPr="005633D9" w:rsidRDefault="00B473DD" w:rsidP="00B473DD">
            <w:pPr>
              <w:spacing w:after="0"/>
              <w:jc w:val="right"/>
              <w:rPr>
                <w:color w:val="000000"/>
                <w:sz w:val="22"/>
                <w:szCs w:val="22"/>
                <w:lang w:val="en-GB"/>
              </w:rPr>
            </w:pPr>
            <w:r w:rsidRPr="005633D9">
              <w:rPr>
                <w:color w:val="000000"/>
                <w:sz w:val="22"/>
                <w:szCs w:val="22"/>
                <w:lang w:val="en-GB"/>
              </w:rPr>
              <w:t>4–5</w:t>
            </w:r>
          </w:p>
        </w:tc>
        <w:tc>
          <w:tcPr>
            <w:tcW w:w="1350" w:type="dxa"/>
            <w:shd w:val="clear" w:color="auto" w:fill="E7E8E8" w:themeFill="accent2" w:themeFillTint="33"/>
            <w:noWrap/>
          </w:tcPr>
          <w:p w:rsidR="00B473DD" w:rsidRPr="005633D9" w:rsidRDefault="00B473DD" w:rsidP="00546949">
            <w:pPr>
              <w:spacing w:after="0"/>
              <w:jc w:val="right"/>
              <w:rPr>
                <w:color w:val="000000"/>
                <w:sz w:val="22"/>
                <w:szCs w:val="22"/>
                <w:lang w:val="en-GB"/>
              </w:rPr>
            </w:pPr>
            <w:r w:rsidRPr="005633D9">
              <w:rPr>
                <w:color w:val="000000"/>
                <w:sz w:val="22"/>
                <w:szCs w:val="22"/>
                <w:lang w:val="en-GB"/>
              </w:rPr>
              <w:t>676</w:t>
            </w:r>
          </w:p>
        </w:tc>
        <w:tc>
          <w:tcPr>
            <w:tcW w:w="720" w:type="dxa"/>
            <w:shd w:val="clear" w:color="auto" w:fill="E7E8E8" w:themeFill="accent2" w:themeFillTint="33"/>
            <w:noWrap/>
          </w:tcPr>
          <w:p w:rsidR="00B473DD" w:rsidRPr="005633D9" w:rsidRDefault="00B473DD" w:rsidP="00546949">
            <w:pPr>
              <w:spacing w:after="0"/>
              <w:jc w:val="right"/>
              <w:rPr>
                <w:color w:val="000000"/>
                <w:sz w:val="22"/>
                <w:szCs w:val="22"/>
                <w:lang w:val="en-GB"/>
              </w:rPr>
            </w:pPr>
            <w:r w:rsidRPr="005633D9">
              <w:rPr>
                <w:color w:val="000000"/>
                <w:sz w:val="22"/>
                <w:szCs w:val="22"/>
                <w:lang w:val="en-GB"/>
              </w:rPr>
              <w:t>$63</w:t>
            </w:r>
          </w:p>
        </w:tc>
        <w:tc>
          <w:tcPr>
            <w:tcW w:w="1170" w:type="dxa"/>
            <w:shd w:val="clear" w:color="auto" w:fill="E7E8E8" w:themeFill="accent2" w:themeFillTint="33"/>
            <w:noWrap/>
          </w:tcPr>
          <w:p w:rsidR="00B473DD" w:rsidRPr="005633D9" w:rsidRDefault="00B473DD" w:rsidP="00546949">
            <w:pPr>
              <w:spacing w:after="0"/>
              <w:jc w:val="right"/>
              <w:rPr>
                <w:b/>
                <w:bCs/>
                <w:color w:val="000000"/>
                <w:sz w:val="22"/>
                <w:szCs w:val="22"/>
                <w:lang w:val="en-GB"/>
              </w:rPr>
            </w:pPr>
            <w:r w:rsidRPr="005633D9">
              <w:rPr>
                <w:b/>
                <w:bCs/>
                <w:color w:val="000000"/>
                <w:sz w:val="22"/>
                <w:szCs w:val="22"/>
                <w:lang w:val="en-GB"/>
              </w:rPr>
              <w:t>$125.57</w:t>
            </w:r>
          </w:p>
        </w:tc>
        <w:tc>
          <w:tcPr>
            <w:tcW w:w="1170" w:type="dxa"/>
            <w:shd w:val="clear" w:color="auto" w:fill="E7E8E8" w:themeFill="accent2" w:themeFillTint="33"/>
            <w:noWrap/>
          </w:tcPr>
          <w:p w:rsidR="00B473DD" w:rsidRPr="005633D9" w:rsidRDefault="00B473DD" w:rsidP="00546949">
            <w:pPr>
              <w:spacing w:after="0"/>
              <w:jc w:val="right"/>
              <w:rPr>
                <w:b/>
                <w:bCs/>
                <w:color w:val="000000"/>
                <w:sz w:val="22"/>
                <w:szCs w:val="22"/>
                <w:lang w:val="en-GB"/>
              </w:rPr>
            </w:pPr>
            <w:r w:rsidRPr="005633D9">
              <w:rPr>
                <w:b/>
                <w:bCs/>
                <w:color w:val="000000"/>
                <w:sz w:val="22"/>
                <w:szCs w:val="22"/>
                <w:lang w:val="en-GB"/>
              </w:rPr>
              <w:t>$96.59</w:t>
            </w:r>
          </w:p>
        </w:tc>
        <w:tc>
          <w:tcPr>
            <w:tcW w:w="1170" w:type="dxa"/>
            <w:shd w:val="clear" w:color="auto" w:fill="E7E8E8" w:themeFill="accent2" w:themeFillTint="33"/>
            <w:noWrap/>
          </w:tcPr>
          <w:p w:rsidR="00B473DD" w:rsidRPr="005633D9" w:rsidRDefault="00B473DD" w:rsidP="00546949">
            <w:pPr>
              <w:spacing w:after="0"/>
              <w:jc w:val="right"/>
              <w:rPr>
                <w:b/>
                <w:bCs/>
                <w:color w:val="000000"/>
                <w:sz w:val="22"/>
                <w:szCs w:val="22"/>
                <w:lang w:val="en-GB"/>
              </w:rPr>
            </w:pPr>
            <w:r w:rsidRPr="005633D9">
              <w:rPr>
                <w:b/>
                <w:bCs/>
                <w:color w:val="000000"/>
                <w:sz w:val="22"/>
                <w:szCs w:val="22"/>
                <w:lang w:val="en-GB"/>
              </w:rPr>
              <w:t>$83.71</w:t>
            </w:r>
          </w:p>
        </w:tc>
        <w:tc>
          <w:tcPr>
            <w:tcW w:w="1230" w:type="dxa"/>
            <w:shd w:val="clear" w:color="auto" w:fill="E7E8E8" w:themeFill="accent2" w:themeFillTint="33"/>
            <w:noWrap/>
          </w:tcPr>
          <w:p w:rsidR="00B473DD" w:rsidRPr="005633D9" w:rsidRDefault="00B473DD" w:rsidP="00546949">
            <w:pPr>
              <w:spacing w:after="0"/>
              <w:jc w:val="right"/>
              <w:rPr>
                <w:b/>
                <w:bCs/>
                <w:color w:val="000000"/>
                <w:sz w:val="22"/>
                <w:szCs w:val="22"/>
                <w:lang w:val="en-GB"/>
              </w:rPr>
            </w:pPr>
            <w:r w:rsidRPr="005633D9">
              <w:rPr>
                <w:b/>
                <w:bCs/>
                <w:color w:val="000000"/>
                <w:sz w:val="22"/>
                <w:szCs w:val="22"/>
                <w:lang w:val="en-GB"/>
              </w:rPr>
              <w:t>$73.87</w:t>
            </w:r>
          </w:p>
        </w:tc>
      </w:tr>
    </w:tbl>
    <w:p w:rsidR="00BA60EF" w:rsidRPr="005633D9" w:rsidRDefault="00BA60EF" w:rsidP="00BA60EF">
      <w:pPr>
        <w:pStyle w:val="ExhibitSource"/>
        <w:rPr>
          <w:lang w:val="en-GB"/>
        </w:rPr>
      </w:pPr>
      <w:r w:rsidRPr="005633D9">
        <w:rPr>
          <w:b/>
          <w:lang w:val="en-GB"/>
        </w:rPr>
        <w:lastRenderedPageBreak/>
        <w:t>*</w:t>
      </w:r>
      <w:r w:rsidRPr="005633D9">
        <w:rPr>
          <w:lang w:val="en-GB"/>
        </w:rPr>
        <w:t xml:space="preserve">We plan to attempt 15 smallholder interviews per village in all cases except the “Whole Group + </w:t>
      </w:r>
      <w:r w:rsidR="00F93043">
        <w:t>the QED implementer</w:t>
      </w:r>
      <w:r w:rsidRPr="005633D9">
        <w:rPr>
          <w:lang w:val="en-GB"/>
        </w:rPr>
        <w:t>” sample</w:t>
      </w:r>
      <w:r w:rsidR="0073754F">
        <w:rPr>
          <w:lang w:val="en-GB"/>
        </w:rPr>
        <w:t>,</w:t>
      </w:r>
      <w:r w:rsidRPr="005633D9">
        <w:rPr>
          <w:lang w:val="en-GB"/>
        </w:rPr>
        <w:t xml:space="preserve"> for which we plan to attempt 10 smallholder interviews per village. We anticipate a 70 percent completion rate among attempted interviews, with the remaining 30 percent not successful due to nonresponse or attrition from the baseline sample; this expectation applied to the number of attempted interviews (not shown) obtains the total number of smallholders interviewed displayed in the third column.</w:t>
      </w:r>
    </w:p>
    <w:p w:rsidR="00546949" w:rsidRPr="005633D9" w:rsidRDefault="00546949" w:rsidP="00546949">
      <w:pPr>
        <w:rPr>
          <w:lang w:val="en-GB"/>
        </w:rPr>
      </w:pPr>
      <w:r w:rsidRPr="005633D9">
        <w:rPr>
          <w:lang w:val="en-GB"/>
        </w:rPr>
        <w:t xml:space="preserve">The “Whole Group” row in </w:t>
      </w:r>
      <w:r w:rsidR="00E42393" w:rsidRPr="005633D9">
        <w:rPr>
          <w:lang w:val="en-GB"/>
        </w:rPr>
        <w:fldChar w:fldCharType="begin"/>
      </w:r>
      <w:r w:rsidR="00E42393" w:rsidRPr="005633D9">
        <w:rPr>
          <w:lang w:val="en-GB"/>
        </w:rPr>
        <w:instrText xml:space="preserve"> REF _Ref403423699 \h </w:instrText>
      </w:r>
      <w:r w:rsidR="00E42393" w:rsidRPr="005633D9">
        <w:rPr>
          <w:lang w:val="en-GB"/>
        </w:rPr>
      </w:r>
      <w:r w:rsidR="00E42393" w:rsidRPr="005633D9">
        <w:rPr>
          <w:lang w:val="en-GB"/>
        </w:rPr>
        <w:fldChar w:fldCharType="separate"/>
      </w:r>
      <w:r w:rsidR="00F33102" w:rsidRPr="005633D9">
        <w:rPr>
          <w:lang w:val="en-GB"/>
        </w:rPr>
        <w:t xml:space="preserve">Table </w:t>
      </w:r>
      <w:r w:rsidR="00F33102">
        <w:rPr>
          <w:noProof/>
          <w:lang w:val="en-GB"/>
        </w:rPr>
        <w:t>3</w:t>
      </w:r>
      <w:r w:rsidR="00F33102" w:rsidRPr="005633D9">
        <w:rPr>
          <w:lang w:val="en-GB"/>
        </w:rPr>
        <w:noBreakHyphen/>
      </w:r>
      <w:r w:rsidR="00F33102">
        <w:rPr>
          <w:noProof/>
          <w:lang w:val="en-GB"/>
        </w:rPr>
        <w:t>4</w:t>
      </w:r>
      <w:r w:rsidR="00E42393" w:rsidRPr="005633D9">
        <w:rPr>
          <w:lang w:val="en-GB"/>
        </w:rPr>
        <w:fldChar w:fldCharType="end"/>
      </w:r>
      <w:r w:rsidRPr="005633D9">
        <w:rPr>
          <w:lang w:val="en-GB"/>
        </w:rPr>
        <w:t xml:space="preserve"> depicts an analysis of data from all </w:t>
      </w:r>
      <w:r w:rsidR="008F1B4E" w:rsidRPr="005633D9">
        <w:rPr>
          <w:lang w:val="en-GB"/>
        </w:rPr>
        <w:t>six</w:t>
      </w:r>
      <w:r w:rsidRPr="005633D9">
        <w:rPr>
          <w:lang w:val="en-GB"/>
        </w:rPr>
        <w:t xml:space="preserve"> experimental </w:t>
      </w:r>
      <w:r w:rsidR="007A2E54" w:rsidRPr="005633D9">
        <w:rPr>
          <w:lang w:val="en-GB"/>
        </w:rPr>
        <w:t>aggregator</w:t>
      </w:r>
      <w:r w:rsidRPr="005633D9">
        <w:rPr>
          <w:lang w:val="en-GB"/>
        </w:rPr>
        <w:t>s.</w:t>
      </w:r>
      <w:r w:rsidR="00243735" w:rsidRPr="005633D9">
        <w:rPr>
          <w:lang w:val="en-GB"/>
        </w:rPr>
        <w:t xml:space="preserve"> </w:t>
      </w:r>
      <w:r w:rsidRPr="005633D9">
        <w:rPr>
          <w:lang w:val="en-GB"/>
        </w:rPr>
        <w:t>If all six adhere to the randomized design, this will yield fully experimental estimates of impact for the Cohort B versus Cohort C comparison from the largest possible sample.</w:t>
      </w:r>
      <w:r w:rsidR="00243735" w:rsidRPr="005633D9">
        <w:rPr>
          <w:lang w:val="en-GB"/>
        </w:rPr>
        <w:t xml:space="preserve"> </w:t>
      </w:r>
      <w:r w:rsidRPr="005633D9">
        <w:rPr>
          <w:lang w:val="en-GB"/>
        </w:rPr>
        <w:t xml:space="preserve">If instead one or more of the six </w:t>
      </w:r>
      <w:r w:rsidR="007A2E54" w:rsidRPr="005633D9">
        <w:rPr>
          <w:lang w:val="en-GB"/>
        </w:rPr>
        <w:t>aggregator</w:t>
      </w:r>
      <w:r w:rsidRPr="005633D9">
        <w:rPr>
          <w:lang w:val="en-GB"/>
        </w:rPr>
        <w:t xml:space="preserve">s do not comply with the randomization protocol, we will separately </w:t>
      </w:r>
      <w:r w:rsidR="00876374" w:rsidRPr="005633D9">
        <w:rPr>
          <w:lang w:val="en-GB"/>
        </w:rPr>
        <w:t>analyse</w:t>
      </w:r>
      <w:r w:rsidRPr="005633D9">
        <w:rPr>
          <w:lang w:val="en-GB"/>
        </w:rPr>
        <w:t xml:space="preserve"> those that do (per one of the top three rows of the table) and conduct a second analysis that pools the outcomes associated with all </w:t>
      </w:r>
      <w:r w:rsidR="007A2E54" w:rsidRPr="005633D9">
        <w:rPr>
          <w:lang w:val="en-GB"/>
        </w:rPr>
        <w:t>aggregator</w:t>
      </w:r>
      <w:r w:rsidRPr="005633D9">
        <w:rPr>
          <w:lang w:val="en-GB"/>
        </w:rPr>
        <w:t xml:space="preserve">s who initially agreed to random assignment (i.e., all </w:t>
      </w:r>
      <w:r w:rsidR="007A2E54" w:rsidRPr="005633D9">
        <w:rPr>
          <w:lang w:val="en-GB"/>
        </w:rPr>
        <w:t>aggregator</w:t>
      </w:r>
      <w:r w:rsidRPr="005633D9">
        <w:rPr>
          <w:lang w:val="en-GB"/>
        </w:rPr>
        <w:t xml:space="preserve">s except </w:t>
      </w:r>
      <w:r w:rsidR="00F93043">
        <w:t>the QED implementer</w:t>
      </w:r>
      <w:r w:rsidRPr="005633D9">
        <w:rPr>
          <w:lang w:val="en-GB"/>
        </w:rPr>
        <w:t>).</w:t>
      </w:r>
      <w:r w:rsidR="00243735" w:rsidRPr="005633D9">
        <w:rPr>
          <w:lang w:val="en-GB"/>
        </w:rPr>
        <w:t xml:space="preserve"> </w:t>
      </w:r>
      <w:r w:rsidRPr="005633D9">
        <w:rPr>
          <w:lang w:val="en-GB"/>
        </w:rPr>
        <w:t>The sample size and MDI for this six-</w:t>
      </w:r>
      <w:r w:rsidR="007A2E54" w:rsidRPr="005633D9">
        <w:rPr>
          <w:lang w:val="en-GB"/>
        </w:rPr>
        <w:t>aggregator</w:t>
      </w:r>
      <w:r w:rsidRPr="005633D9">
        <w:rPr>
          <w:lang w:val="en-GB"/>
        </w:rPr>
        <w:t xml:space="preserve"> analysis—whether entirely experimental or not—appear in the “Whole Group (6)” row.</w:t>
      </w:r>
      <w:r w:rsidR="00243735" w:rsidRPr="005633D9">
        <w:rPr>
          <w:lang w:val="en-GB"/>
        </w:rPr>
        <w:t xml:space="preserve"> </w:t>
      </w:r>
      <w:r w:rsidRPr="005633D9">
        <w:rPr>
          <w:lang w:val="en-GB"/>
        </w:rPr>
        <w:t xml:space="preserve">(For any </w:t>
      </w:r>
      <w:r w:rsidR="007A2E54" w:rsidRPr="005633D9">
        <w:rPr>
          <w:lang w:val="en-GB"/>
        </w:rPr>
        <w:t>aggregator</w:t>
      </w:r>
      <w:r w:rsidRPr="005633D9">
        <w:rPr>
          <w:lang w:val="en-GB"/>
        </w:rPr>
        <w:t xml:space="preserve">s that do not comply with the randomization protocol, we will survey 15 </w:t>
      </w:r>
      <w:r w:rsidR="007A2E54" w:rsidRPr="005633D9">
        <w:rPr>
          <w:lang w:val="en-GB"/>
        </w:rPr>
        <w:t>smallholder</w:t>
      </w:r>
      <w:r w:rsidRPr="005633D9">
        <w:rPr>
          <w:lang w:val="en-GB"/>
        </w:rPr>
        <w:t xml:space="preserve">s in </w:t>
      </w:r>
      <w:r w:rsidR="008F1B4E" w:rsidRPr="005633D9">
        <w:rPr>
          <w:lang w:val="en-GB"/>
        </w:rPr>
        <w:t>five</w:t>
      </w:r>
      <w:r w:rsidRPr="005633D9">
        <w:rPr>
          <w:lang w:val="en-GB"/>
        </w:rPr>
        <w:t xml:space="preserve"> villages per </w:t>
      </w:r>
      <w:r w:rsidR="007A2E54" w:rsidRPr="005633D9">
        <w:rPr>
          <w:lang w:val="en-GB"/>
        </w:rPr>
        <w:t>aggregator</w:t>
      </w:r>
      <w:r w:rsidRPr="005633D9">
        <w:rPr>
          <w:lang w:val="en-GB"/>
        </w:rPr>
        <w:t xml:space="preserve"> per cohort at </w:t>
      </w:r>
      <w:r w:rsidR="00654E76" w:rsidRPr="005633D9">
        <w:rPr>
          <w:lang w:val="en-GB"/>
        </w:rPr>
        <w:t>endline</w:t>
      </w:r>
      <w:r w:rsidRPr="005633D9">
        <w:rPr>
          <w:lang w:val="en-GB"/>
        </w:rPr>
        <w:t>.)</w:t>
      </w:r>
      <w:r w:rsidR="002B2B01" w:rsidRPr="005633D9">
        <w:rPr>
          <w:lang w:val="en-GB"/>
        </w:rPr>
        <w:t xml:space="preserve"> </w:t>
      </w:r>
      <w:r w:rsidRPr="005633D9">
        <w:rPr>
          <w:lang w:val="en-GB"/>
        </w:rPr>
        <w:t xml:space="preserve">The MDI of $65 in the “Whole Group (6)” row applies regardless of all six experimental </w:t>
      </w:r>
      <w:r w:rsidR="007A2E54" w:rsidRPr="005633D9">
        <w:rPr>
          <w:lang w:val="en-GB"/>
        </w:rPr>
        <w:t>aggregator</w:t>
      </w:r>
      <w:r w:rsidRPr="005633D9">
        <w:rPr>
          <w:lang w:val="en-GB"/>
        </w:rPr>
        <w:t>s</w:t>
      </w:r>
      <w:r w:rsidR="008F1B4E" w:rsidRPr="005633D9">
        <w:rPr>
          <w:lang w:val="en-GB"/>
        </w:rPr>
        <w:t>’</w:t>
      </w:r>
      <w:r w:rsidRPr="005633D9">
        <w:rPr>
          <w:lang w:val="en-GB"/>
        </w:rPr>
        <w:t xml:space="preserve"> adhere</w:t>
      </w:r>
      <w:r w:rsidR="008F1B4E" w:rsidRPr="005633D9">
        <w:rPr>
          <w:lang w:val="en-GB"/>
        </w:rPr>
        <w:t>nce</w:t>
      </w:r>
      <w:r w:rsidRPr="005633D9">
        <w:rPr>
          <w:lang w:val="en-GB"/>
        </w:rPr>
        <w:t xml:space="preserve"> to the randomization protocol, although the resulting estimate will be subject to potential selection bias (introduced by non-adherence to the randomization protocol) in the latter scenario. </w:t>
      </w:r>
    </w:p>
    <w:p w:rsidR="00546949" w:rsidRPr="005633D9" w:rsidRDefault="00546949" w:rsidP="00546949">
      <w:pPr>
        <w:rPr>
          <w:lang w:val="en-GB"/>
        </w:rPr>
      </w:pPr>
      <w:r w:rsidRPr="005633D9">
        <w:rPr>
          <w:lang w:val="en-GB"/>
        </w:rPr>
        <w:t xml:space="preserve">The last row of the table shows the sample size and MDI for a fully pooled analysis of all </w:t>
      </w:r>
      <w:r w:rsidR="007A2E54" w:rsidRPr="005633D9">
        <w:rPr>
          <w:lang w:val="en-GB"/>
        </w:rPr>
        <w:t>aggregator</w:t>
      </w:r>
      <w:r w:rsidRPr="005633D9">
        <w:rPr>
          <w:lang w:val="en-GB"/>
        </w:rPr>
        <w:t xml:space="preserve">s, including </w:t>
      </w:r>
      <w:r w:rsidR="00F93043">
        <w:t>the QED implementer</w:t>
      </w:r>
      <w:r w:rsidRPr="005633D9">
        <w:rPr>
          <w:lang w:val="en-GB"/>
        </w:rPr>
        <w:t>.</w:t>
      </w:r>
      <w:r w:rsidR="002B2B01" w:rsidRPr="005633D9">
        <w:rPr>
          <w:lang w:val="en-GB"/>
        </w:rPr>
        <w:t xml:space="preserve"> </w:t>
      </w:r>
      <w:r w:rsidRPr="005633D9">
        <w:rPr>
          <w:lang w:val="en-GB"/>
        </w:rPr>
        <w:t xml:space="preserve">This most statistically powerful analysis will be run regardless of circumstances and will incorporate non-experimental elements (for at least the </w:t>
      </w:r>
      <w:r w:rsidR="00F93043">
        <w:t>the QED implementer</w:t>
      </w:r>
      <w:r w:rsidR="00F93043" w:rsidRPr="005633D9">
        <w:rPr>
          <w:lang w:val="en-GB"/>
        </w:rPr>
        <w:t xml:space="preserve"> </w:t>
      </w:r>
      <w:r w:rsidRPr="005633D9">
        <w:rPr>
          <w:lang w:val="en-GB"/>
        </w:rPr>
        <w:t xml:space="preserve">data) under any scenario. </w:t>
      </w:r>
    </w:p>
    <w:p w:rsidR="00546949" w:rsidRPr="005633D9" w:rsidRDefault="00546949" w:rsidP="00546949">
      <w:pPr>
        <w:rPr>
          <w:lang w:val="en-GB"/>
        </w:rPr>
      </w:pPr>
      <w:r w:rsidRPr="005633D9">
        <w:rPr>
          <w:lang w:val="en-GB"/>
        </w:rPr>
        <w:t>The RCT</w:t>
      </w:r>
      <w:r w:rsidR="008F1B4E" w:rsidRPr="005633D9">
        <w:rPr>
          <w:lang w:val="en-GB"/>
        </w:rPr>
        <w:t xml:space="preserve"> </w:t>
      </w:r>
      <w:r w:rsidRPr="005633D9">
        <w:rPr>
          <w:lang w:val="en-GB"/>
        </w:rPr>
        <w:t xml:space="preserve">(3) row in </w:t>
      </w:r>
      <w:r w:rsidR="00E42393" w:rsidRPr="005633D9">
        <w:rPr>
          <w:lang w:val="en-GB"/>
        </w:rPr>
        <w:fldChar w:fldCharType="begin"/>
      </w:r>
      <w:r w:rsidR="00E42393" w:rsidRPr="005633D9">
        <w:rPr>
          <w:lang w:val="en-GB"/>
        </w:rPr>
        <w:instrText xml:space="preserve"> REF _Ref403423699 \h </w:instrText>
      </w:r>
      <w:r w:rsidR="00E42393" w:rsidRPr="005633D9">
        <w:rPr>
          <w:lang w:val="en-GB"/>
        </w:rPr>
      </w:r>
      <w:r w:rsidR="00E42393" w:rsidRPr="005633D9">
        <w:rPr>
          <w:lang w:val="en-GB"/>
        </w:rPr>
        <w:fldChar w:fldCharType="separate"/>
      </w:r>
      <w:r w:rsidR="00F33102" w:rsidRPr="005633D9">
        <w:rPr>
          <w:lang w:val="en-GB"/>
        </w:rPr>
        <w:t xml:space="preserve">Table </w:t>
      </w:r>
      <w:r w:rsidR="00F33102">
        <w:rPr>
          <w:noProof/>
          <w:lang w:val="en-GB"/>
        </w:rPr>
        <w:t>3</w:t>
      </w:r>
      <w:r w:rsidR="00F33102" w:rsidRPr="005633D9">
        <w:rPr>
          <w:lang w:val="en-GB"/>
        </w:rPr>
        <w:noBreakHyphen/>
      </w:r>
      <w:r w:rsidR="00F33102">
        <w:rPr>
          <w:noProof/>
          <w:lang w:val="en-GB"/>
        </w:rPr>
        <w:t>4</w:t>
      </w:r>
      <w:r w:rsidR="00E42393" w:rsidRPr="005633D9">
        <w:rPr>
          <w:lang w:val="en-GB"/>
        </w:rPr>
        <w:fldChar w:fldCharType="end"/>
      </w:r>
      <w:r w:rsidRPr="005633D9">
        <w:rPr>
          <w:lang w:val="en-GB"/>
        </w:rPr>
        <w:t xml:space="preserve"> is helpful for understanding how we obtain the baseline sample size of </w:t>
      </w:r>
      <w:r w:rsidR="00C26677">
        <w:rPr>
          <w:lang w:val="en-GB"/>
        </w:rPr>
        <w:t>1700.</w:t>
      </w:r>
      <w:r w:rsidR="00243735" w:rsidRPr="005633D9">
        <w:rPr>
          <w:lang w:val="en-GB"/>
        </w:rPr>
        <w:t xml:space="preserve"> </w:t>
      </w:r>
      <w:r w:rsidRPr="005633D9">
        <w:rPr>
          <w:lang w:val="en-GB"/>
        </w:rPr>
        <w:t xml:space="preserve">In the case that only three </w:t>
      </w:r>
      <w:r w:rsidR="007A2E54" w:rsidRPr="005633D9">
        <w:rPr>
          <w:lang w:val="en-GB"/>
        </w:rPr>
        <w:t>aggregator</w:t>
      </w:r>
      <w:r w:rsidRPr="005633D9">
        <w:rPr>
          <w:lang w:val="en-GB"/>
        </w:rPr>
        <w:t xml:space="preserve">s adhere to the randomization protocol, we will need 441 completed </w:t>
      </w:r>
      <w:r w:rsidR="007A2E54" w:rsidRPr="005633D9">
        <w:rPr>
          <w:lang w:val="en-GB"/>
        </w:rPr>
        <w:t>smallholder</w:t>
      </w:r>
      <w:r w:rsidRPr="005633D9">
        <w:rPr>
          <w:lang w:val="en-GB"/>
        </w:rPr>
        <w:t xml:space="preserve"> interviews at endline and thus plan for 630 baseline attempts due to threat of nonresponse and attrition from baseline.</w:t>
      </w:r>
      <w:r w:rsidR="00243735" w:rsidRPr="005633D9">
        <w:rPr>
          <w:lang w:val="en-GB"/>
        </w:rPr>
        <w:t xml:space="preserve"> </w:t>
      </w:r>
      <w:r w:rsidRPr="005633D9">
        <w:rPr>
          <w:lang w:val="en-GB"/>
        </w:rPr>
        <w:t xml:space="preserve">However, we do not know which of the six </w:t>
      </w:r>
      <w:r w:rsidR="007A2E54" w:rsidRPr="005633D9">
        <w:rPr>
          <w:lang w:val="en-GB"/>
        </w:rPr>
        <w:t>aggregator</w:t>
      </w:r>
      <w:r w:rsidRPr="005633D9">
        <w:rPr>
          <w:lang w:val="en-GB"/>
        </w:rPr>
        <w:t>s will adhere to random assignment, so we double this baseline sample size from 630 to 1260.</w:t>
      </w:r>
      <w:r w:rsidR="00243735" w:rsidRPr="005633D9">
        <w:rPr>
          <w:lang w:val="en-GB"/>
        </w:rPr>
        <w:t xml:space="preserve"> </w:t>
      </w:r>
      <w:r w:rsidRPr="005633D9">
        <w:rPr>
          <w:lang w:val="en-GB"/>
        </w:rPr>
        <w:t xml:space="preserve">We add </w:t>
      </w:r>
      <w:r w:rsidR="00B602B3" w:rsidRPr="005633D9">
        <w:rPr>
          <w:lang w:val="en-GB"/>
        </w:rPr>
        <w:t xml:space="preserve">440 </w:t>
      </w:r>
      <w:r w:rsidRPr="005633D9">
        <w:rPr>
          <w:lang w:val="en-GB"/>
        </w:rPr>
        <w:t xml:space="preserve">interview attempts for </w:t>
      </w:r>
      <w:r w:rsidR="00F93043">
        <w:t>the QED implementer</w:t>
      </w:r>
      <w:r w:rsidRPr="005633D9">
        <w:rPr>
          <w:lang w:val="en-GB"/>
        </w:rPr>
        <w:t xml:space="preserve">, and thus arrive at a baseline sample of </w:t>
      </w:r>
      <w:r w:rsidR="00B602B3" w:rsidRPr="005633D9">
        <w:rPr>
          <w:lang w:val="en-GB"/>
        </w:rPr>
        <w:t>1700</w:t>
      </w:r>
      <w:r w:rsidRPr="005633D9">
        <w:rPr>
          <w:lang w:val="en-GB"/>
        </w:rPr>
        <w:t>.</w:t>
      </w:r>
      <w:r w:rsidR="00243735" w:rsidRPr="005633D9">
        <w:rPr>
          <w:lang w:val="en-GB"/>
        </w:rPr>
        <w:t xml:space="preserve"> </w:t>
      </w:r>
    </w:p>
    <w:p w:rsidR="00517966" w:rsidRPr="005633D9" w:rsidRDefault="00546949" w:rsidP="00546949">
      <w:pPr>
        <w:rPr>
          <w:b/>
          <w:sz w:val="20"/>
          <w:lang w:val="en-GB"/>
        </w:rPr>
      </w:pPr>
      <w:r w:rsidRPr="005633D9">
        <w:rPr>
          <w:rStyle w:val="Heading4Char"/>
          <w:sz w:val="20"/>
          <w:lang w:val="en-GB"/>
        </w:rPr>
        <w:t xml:space="preserve">Adherence to </w:t>
      </w:r>
      <w:r w:rsidR="005A63BB" w:rsidRPr="005633D9">
        <w:rPr>
          <w:rStyle w:val="Heading4Char"/>
          <w:sz w:val="20"/>
          <w:lang w:val="en-GB"/>
        </w:rPr>
        <w:t xml:space="preserve">random assignment in the first round, for measurement </w:t>
      </w:r>
      <w:r w:rsidRPr="005633D9">
        <w:rPr>
          <w:rStyle w:val="Heading4Char"/>
          <w:sz w:val="20"/>
          <w:lang w:val="en-GB"/>
        </w:rPr>
        <w:t xml:space="preserve">of </w:t>
      </w:r>
      <w:r w:rsidR="00543C9F" w:rsidRPr="005633D9">
        <w:rPr>
          <w:rStyle w:val="Heading4Char"/>
          <w:sz w:val="20"/>
          <w:lang w:val="en-GB"/>
        </w:rPr>
        <w:t xml:space="preserve">Cohort A </w:t>
      </w:r>
      <w:r w:rsidR="005A63BB" w:rsidRPr="005633D9">
        <w:rPr>
          <w:rStyle w:val="Heading4Char"/>
          <w:sz w:val="20"/>
          <w:lang w:val="en-GB"/>
        </w:rPr>
        <w:t xml:space="preserve">versus </w:t>
      </w:r>
      <w:r w:rsidR="00543C9F" w:rsidRPr="005633D9">
        <w:rPr>
          <w:rStyle w:val="Heading4Char"/>
          <w:sz w:val="20"/>
          <w:lang w:val="en-GB"/>
        </w:rPr>
        <w:t xml:space="preserve">Cohort C </w:t>
      </w:r>
      <w:r w:rsidR="005A63BB" w:rsidRPr="005633D9">
        <w:rPr>
          <w:rStyle w:val="Heading4Char"/>
          <w:sz w:val="20"/>
          <w:lang w:val="en-GB"/>
        </w:rPr>
        <w:t>comparison</w:t>
      </w:r>
    </w:p>
    <w:p w:rsidR="00546949" w:rsidRPr="005633D9" w:rsidRDefault="00546949" w:rsidP="00546949">
      <w:pPr>
        <w:rPr>
          <w:lang w:val="en-GB"/>
        </w:rPr>
      </w:pPr>
      <w:r w:rsidRPr="005633D9">
        <w:rPr>
          <w:lang w:val="en-GB"/>
        </w:rPr>
        <w:t xml:space="preserve">Currently, four of the six </w:t>
      </w:r>
      <w:r w:rsidR="007A2E54" w:rsidRPr="005633D9">
        <w:rPr>
          <w:lang w:val="en-GB"/>
        </w:rPr>
        <w:t>aggregator</w:t>
      </w:r>
      <w:r w:rsidRPr="005633D9">
        <w:rPr>
          <w:lang w:val="en-GB"/>
        </w:rPr>
        <w:t xml:space="preserve">s are complying with the </w:t>
      </w:r>
      <w:r w:rsidR="004910F0" w:rsidRPr="005633D9">
        <w:rPr>
          <w:lang w:val="en-GB"/>
        </w:rPr>
        <w:t xml:space="preserve">year 1 </w:t>
      </w:r>
      <w:r w:rsidRPr="005633D9">
        <w:rPr>
          <w:lang w:val="en-GB"/>
        </w:rPr>
        <w:t>randomization protocol, but there is a possibility that some will implement the intervention in Cohort C, the control group</w:t>
      </w:r>
      <w:r w:rsidR="008F1B4E" w:rsidRPr="005633D9">
        <w:rPr>
          <w:lang w:val="en-GB"/>
        </w:rPr>
        <w:t>,</w:t>
      </w:r>
      <w:r w:rsidRPr="005633D9">
        <w:rPr>
          <w:lang w:val="en-GB"/>
        </w:rPr>
        <w:t xml:space="preserve"> too early (i.e., in 2015 rather than 2016</w:t>
      </w:r>
      <w:r w:rsidR="00E42393" w:rsidRPr="005633D9">
        <w:rPr>
          <w:lang w:val="en-GB"/>
        </w:rPr>
        <w:t>)</w:t>
      </w:r>
      <w:r w:rsidRPr="005633D9">
        <w:rPr>
          <w:lang w:val="en-GB"/>
        </w:rPr>
        <w:t>.</w:t>
      </w:r>
      <w:r w:rsidR="00243735" w:rsidRPr="005633D9">
        <w:rPr>
          <w:lang w:val="en-GB"/>
        </w:rPr>
        <w:t xml:space="preserve"> </w:t>
      </w:r>
      <w:r w:rsidR="00E42393" w:rsidRPr="005633D9">
        <w:rPr>
          <w:lang w:val="en-GB"/>
        </w:rPr>
        <w:fldChar w:fldCharType="begin"/>
      </w:r>
      <w:r w:rsidR="00E42393" w:rsidRPr="005633D9">
        <w:rPr>
          <w:lang w:val="en-GB"/>
        </w:rPr>
        <w:instrText xml:space="preserve"> REF _Ref403423789 \h </w:instrText>
      </w:r>
      <w:r w:rsidR="00E42393" w:rsidRPr="005633D9">
        <w:rPr>
          <w:lang w:val="en-GB"/>
        </w:rPr>
      </w:r>
      <w:r w:rsidR="00E42393" w:rsidRPr="005633D9">
        <w:rPr>
          <w:lang w:val="en-GB"/>
        </w:rPr>
        <w:fldChar w:fldCharType="separate"/>
      </w:r>
      <w:r w:rsidR="00F33102" w:rsidRPr="005633D9">
        <w:rPr>
          <w:lang w:val="en-GB"/>
        </w:rPr>
        <w:t xml:space="preserve">Table </w:t>
      </w:r>
      <w:r w:rsidR="00F33102">
        <w:rPr>
          <w:noProof/>
          <w:lang w:val="en-GB"/>
        </w:rPr>
        <w:t>3</w:t>
      </w:r>
      <w:r w:rsidR="00F33102" w:rsidRPr="005633D9">
        <w:rPr>
          <w:lang w:val="en-GB"/>
        </w:rPr>
        <w:noBreakHyphen/>
      </w:r>
      <w:r w:rsidR="00F33102">
        <w:rPr>
          <w:noProof/>
          <w:lang w:val="en-GB"/>
        </w:rPr>
        <w:t>5</w:t>
      </w:r>
      <w:r w:rsidR="00E42393" w:rsidRPr="005633D9">
        <w:rPr>
          <w:lang w:val="en-GB"/>
        </w:rPr>
        <w:fldChar w:fldCharType="end"/>
      </w:r>
      <w:r w:rsidRPr="005633D9">
        <w:rPr>
          <w:lang w:val="en-GB"/>
        </w:rPr>
        <w:t xml:space="preserve"> displays the MDI for the two-year impacts under different scenarios for this design adherence.</w:t>
      </w:r>
      <w:r w:rsidR="002B2B01" w:rsidRPr="005633D9">
        <w:rPr>
          <w:lang w:val="en-GB"/>
        </w:rPr>
        <w:t xml:space="preserve"> </w:t>
      </w:r>
      <w:r w:rsidRPr="005633D9">
        <w:rPr>
          <w:lang w:val="en-GB"/>
        </w:rPr>
        <w:t xml:space="preserve">For example, row “RCT (3)” of </w:t>
      </w:r>
      <w:r w:rsidR="008F1B4E" w:rsidRPr="005633D9">
        <w:rPr>
          <w:lang w:val="en-GB"/>
        </w:rPr>
        <w:fldChar w:fldCharType="begin"/>
      </w:r>
      <w:r w:rsidR="008F1B4E" w:rsidRPr="005633D9">
        <w:rPr>
          <w:lang w:val="en-GB"/>
        </w:rPr>
        <w:instrText xml:space="preserve"> REF _Ref403423789 \h </w:instrText>
      </w:r>
      <w:r w:rsidR="008F1B4E" w:rsidRPr="005633D9">
        <w:rPr>
          <w:lang w:val="en-GB"/>
        </w:rPr>
      </w:r>
      <w:r w:rsidR="008F1B4E" w:rsidRPr="005633D9">
        <w:rPr>
          <w:lang w:val="en-GB"/>
        </w:rPr>
        <w:fldChar w:fldCharType="separate"/>
      </w:r>
      <w:r w:rsidR="00F33102" w:rsidRPr="005633D9">
        <w:rPr>
          <w:lang w:val="en-GB"/>
        </w:rPr>
        <w:t xml:space="preserve">Table </w:t>
      </w:r>
      <w:r w:rsidR="00F33102">
        <w:rPr>
          <w:noProof/>
          <w:lang w:val="en-GB"/>
        </w:rPr>
        <w:t>3</w:t>
      </w:r>
      <w:r w:rsidR="00F33102" w:rsidRPr="005633D9">
        <w:rPr>
          <w:lang w:val="en-GB"/>
        </w:rPr>
        <w:noBreakHyphen/>
      </w:r>
      <w:r w:rsidR="00F33102">
        <w:rPr>
          <w:noProof/>
          <w:lang w:val="en-GB"/>
        </w:rPr>
        <w:t>5</w:t>
      </w:r>
      <w:r w:rsidR="008F1B4E" w:rsidRPr="005633D9">
        <w:rPr>
          <w:lang w:val="en-GB"/>
        </w:rPr>
        <w:fldChar w:fldCharType="end"/>
      </w:r>
      <w:r w:rsidRPr="005633D9">
        <w:rPr>
          <w:lang w:val="en-GB"/>
        </w:rPr>
        <w:t xml:space="preserve"> depicts the situation of three of the four </w:t>
      </w:r>
      <w:r w:rsidR="007A2E54" w:rsidRPr="005633D9">
        <w:rPr>
          <w:lang w:val="en-GB"/>
        </w:rPr>
        <w:t>aggregator</w:t>
      </w:r>
      <w:r w:rsidRPr="005633D9">
        <w:rPr>
          <w:lang w:val="en-GB"/>
        </w:rPr>
        <w:t>s adhering to the randomization protocol in the final year of the experiment.</w:t>
      </w:r>
      <w:r w:rsidR="002B2B01" w:rsidRPr="005633D9">
        <w:rPr>
          <w:lang w:val="en-GB"/>
        </w:rPr>
        <w:t xml:space="preserve"> </w:t>
      </w:r>
      <w:r w:rsidRPr="005633D9">
        <w:rPr>
          <w:lang w:val="en-GB"/>
        </w:rPr>
        <w:t xml:space="preserve">In this contingency, we will interview in seven villages per adherent </w:t>
      </w:r>
      <w:r w:rsidR="007A2E54" w:rsidRPr="005633D9">
        <w:rPr>
          <w:lang w:val="en-GB"/>
        </w:rPr>
        <w:t>aggregator</w:t>
      </w:r>
      <w:r w:rsidRPr="005633D9">
        <w:rPr>
          <w:lang w:val="en-GB"/>
        </w:rPr>
        <w:t xml:space="preserve"> per cohort, for a total of 567 </w:t>
      </w:r>
      <w:r w:rsidR="007A2E54" w:rsidRPr="005633D9">
        <w:rPr>
          <w:lang w:val="en-GB"/>
        </w:rPr>
        <w:t>smallholder</w:t>
      </w:r>
      <w:r w:rsidRPr="005633D9">
        <w:rPr>
          <w:lang w:val="en-GB"/>
        </w:rPr>
        <w:t>s, yielding an MDI of $76.</w:t>
      </w:r>
      <w:r w:rsidR="002B2B01" w:rsidRPr="005633D9">
        <w:rPr>
          <w:lang w:val="en-GB"/>
        </w:rPr>
        <w:t xml:space="preserve"> </w:t>
      </w:r>
      <w:r w:rsidRPr="005633D9">
        <w:rPr>
          <w:lang w:val="en-GB"/>
        </w:rPr>
        <w:t>There will be no baseline data for this contrast, as the baseline timeframe has already passed.</w:t>
      </w:r>
    </w:p>
    <w:p w:rsidR="007E005A" w:rsidRPr="005633D9" w:rsidRDefault="007E005A" w:rsidP="007E005A">
      <w:pPr>
        <w:pStyle w:val="Caption"/>
        <w:rPr>
          <w:lang w:val="en-GB"/>
        </w:rPr>
      </w:pPr>
      <w:bookmarkStart w:id="42" w:name="_Ref403423789"/>
      <w:bookmarkStart w:id="43" w:name="_Toc407700437"/>
      <w:r w:rsidRPr="005633D9">
        <w:rPr>
          <w:lang w:val="en-GB"/>
        </w:rPr>
        <w:lastRenderedPageBreak/>
        <w:t xml:space="preserve">Table </w:t>
      </w:r>
      <w:r w:rsidRPr="005633D9">
        <w:rPr>
          <w:lang w:val="en-GB"/>
        </w:rPr>
        <w:fldChar w:fldCharType="begin"/>
      </w:r>
      <w:r w:rsidRPr="005633D9">
        <w:rPr>
          <w:lang w:val="en-GB"/>
        </w:rPr>
        <w:instrText xml:space="preserve"> STYLEREF 1 \s </w:instrText>
      </w:r>
      <w:r w:rsidRPr="005633D9">
        <w:rPr>
          <w:lang w:val="en-GB"/>
        </w:rPr>
        <w:fldChar w:fldCharType="separate"/>
      </w:r>
      <w:r w:rsidR="00F33102">
        <w:rPr>
          <w:noProof/>
          <w:lang w:val="en-GB"/>
        </w:rPr>
        <w:t>3</w:t>
      </w:r>
      <w:r w:rsidRPr="005633D9">
        <w:rPr>
          <w:lang w:val="en-GB"/>
        </w:rPr>
        <w:fldChar w:fldCharType="end"/>
      </w:r>
      <w:r w:rsidRPr="005633D9">
        <w:rPr>
          <w:lang w:val="en-GB"/>
        </w:rPr>
        <w:noBreakHyphen/>
      </w:r>
      <w:r w:rsidRPr="005633D9">
        <w:rPr>
          <w:lang w:val="en-GB"/>
        </w:rPr>
        <w:fldChar w:fldCharType="begin"/>
      </w:r>
      <w:r w:rsidRPr="005633D9">
        <w:rPr>
          <w:lang w:val="en-GB"/>
        </w:rPr>
        <w:instrText xml:space="preserve"> SEQ Table \* ARABIC \s 1 </w:instrText>
      </w:r>
      <w:r w:rsidRPr="005633D9">
        <w:rPr>
          <w:lang w:val="en-GB"/>
        </w:rPr>
        <w:fldChar w:fldCharType="separate"/>
      </w:r>
      <w:r w:rsidR="00F33102">
        <w:rPr>
          <w:noProof/>
          <w:lang w:val="en-GB"/>
        </w:rPr>
        <w:t>5</w:t>
      </w:r>
      <w:r w:rsidRPr="005633D9">
        <w:rPr>
          <w:lang w:val="en-GB"/>
        </w:rPr>
        <w:fldChar w:fldCharType="end"/>
      </w:r>
      <w:bookmarkEnd w:id="42"/>
      <w:r w:rsidRPr="005633D9">
        <w:rPr>
          <w:lang w:val="en-GB"/>
        </w:rPr>
        <w:t>.</w:t>
      </w:r>
      <w:r w:rsidRPr="005633D9">
        <w:rPr>
          <w:lang w:val="en-GB"/>
        </w:rPr>
        <w:tab/>
        <w:t>Endline survey sample sizes and MDIs for Cohort A versus Cohort C</w:t>
      </w:r>
      <w:bookmarkEnd w:id="43"/>
    </w:p>
    <w:tbl>
      <w:tblPr>
        <w:tblStyle w:val="AbtFinal"/>
        <w:tblW w:w="5000" w:type="pct"/>
        <w:tblLayout w:type="fixed"/>
        <w:tblLook w:val="04A0" w:firstRow="1" w:lastRow="0" w:firstColumn="1" w:lastColumn="0" w:noHBand="0" w:noVBand="1"/>
      </w:tblPr>
      <w:tblGrid>
        <w:gridCol w:w="1495"/>
        <w:gridCol w:w="1404"/>
        <w:gridCol w:w="1404"/>
        <w:gridCol w:w="705"/>
        <w:gridCol w:w="1142"/>
        <w:gridCol w:w="1142"/>
        <w:gridCol w:w="1142"/>
        <w:gridCol w:w="1142"/>
      </w:tblGrid>
      <w:tr w:rsidR="00C26677" w:rsidRPr="005633D9" w:rsidTr="00C26677">
        <w:trPr>
          <w:cnfStyle w:val="100000000000" w:firstRow="1" w:lastRow="0" w:firstColumn="0" w:lastColumn="0" w:oddVBand="0" w:evenVBand="0" w:oddHBand="0" w:evenHBand="0" w:firstRowFirstColumn="0" w:firstRowLastColumn="0" w:lastRowFirstColumn="0" w:lastRowLastColumn="0"/>
          <w:cantSplit/>
          <w:trHeight w:val="288"/>
          <w:tblHeader/>
        </w:trPr>
        <w:tc>
          <w:tcPr>
            <w:tcW w:w="4303" w:type="dxa"/>
            <w:gridSpan w:val="3"/>
            <w:tcBorders>
              <w:bottom w:val="single" w:sz="8" w:space="0" w:color="000000" w:themeColor="text1"/>
            </w:tcBorders>
            <w:noWrap/>
            <w:vAlign w:val="bottom"/>
            <w:hideMark/>
          </w:tcPr>
          <w:p w:rsidR="00C26677" w:rsidRPr="005633D9" w:rsidRDefault="00C26677" w:rsidP="00F13584">
            <w:pPr>
              <w:pStyle w:val="ExhibitColumnHead"/>
              <w:rPr>
                <w:b/>
                <w:lang w:val="en-GB"/>
              </w:rPr>
            </w:pPr>
            <w:r w:rsidRPr="005633D9">
              <w:rPr>
                <w:b/>
                <w:lang w:val="en-GB"/>
              </w:rPr>
              <w:t>Sample size for endline survey</w:t>
            </w:r>
          </w:p>
        </w:tc>
        <w:tc>
          <w:tcPr>
            <w:tcW w:w="705" w:type="dxa"/>
            <w:vMerge w:val="restart"/>
            <w:noWrap/>
            <w:vAlign w:val="bottom"/>
            <w:hideMark/>
          </w:tcPr>
          <w:p w:rsidR="00C26677" w:rsidRPr="005633D9" w:rsidRDefault="00C26677" w:rsidP="002379D3">
            <w:pPr>
              <w:pStyle w:val="ExhibitColumnHead"/>
              <w:rPr>
                <w:b/>
                <w:lang w:val="en-GB"/>
              </w:rPr>
            </w:pPr>
            <w:r w:rsidRPr="002379D3">
              <w:rPr>
                <w:b/>
                <w:lang w:val="en-GB"/>
              </w:rPr>
              <w:t>MDI, Net revenue per acre</w:t>
            </w:r>
          </w:p>
        </w:tc>
        <w:tc>
          <w:tcPr>
            <w:tcW w:w="4568" w:type="dxa"/>
            <w:gridSpan w:val="4"/>
            <w:tcBorders>
              <w:bottom w:val="single" w:sz="8" w:space="0" w:color="000000" w:themeColor="text1"/>
            </w:tcBorders>
            <w:vAlign w:val="bottom"/>
          </w:tcPr>
          <w:p w:rsidR="00C26677" w:rsidRPr="005633D9" w:rsidRDefault="00C26677" w:rsidP="00F13584">
            <w:pPr>
              <w:pStyle w:val="ExhibitColumnHead"/>
              <w:rPr>
                <w:b/>
                <w:lang w:val="en-GB"/>
              </w:rPr>
            </w:pPr>
            <w:r w:rsidRPr="005633D9">
              <w:rPr>
                <w:b/>
                <w:lang w:val="en-GB"/>
              </w:rPr>
              <w:t>Net revenue per acre of participating smallholders</w:t>
            </w:r>
          </w:p>
        </w:tc>
      </w:tr>
      <w:tr w:rsidR="00C26677" w:rsidRPr="002379D3" w:rsidTr="00C26677">
        <w:trPr>
          <w:cnfStyle w:val="100000000000" w:firstRow="1" w:lastRow="0" w:firstColumn="0" w:lastColumn="0" w:oddVBand="0" w:evenVBand="0" w:oddHBand="0" w:evenHBand="0" w:firstRowFirstColumn="0" w:firstRowLastColumn="0" w:lastRowFirstColumn="0" w:lastRowLastColumn="0"/>
          <w:cantSplit/>
          <w:trHeight w:val="1070"/>
          <w:tblHeader/>
        </w:trPr>
        <w:tc>
          <w:tcPr>
            <w:tcW w:w="1495" w:type="dxa"/>
            <w:vAlign w:val="bottom"/>
            <w:hideMark/>
          </w:tcPr>
          <w:p w:rsidR="00C26677" w:rsidRPr="002379D3" w:rsidRDefault="00C26677" w:rsidP="00D0789F">
            <w:pPr>
              <w:pStyle w:val="ExhibitColumnHead"/>
              <w:rPr>
                <w:b/>
                <w:lang w:val="en-GB"/>
              </w:rPr>
            </w:pPr>
            <w:r w:rsidRPr="002379D3">
              <w:rPr>
                <w:b/>
                <w:lang w:val="en-GB"/>
              </w:rPr>
              <w:t xml:space="preserve">Number of </w:t>
            </w:r>
            <w:r>
              <w:rPr>
                <w:b/>
                <w:lang w:val="en-GB"/>
              </w:rPr>
              <w:t>a</w:t>
            </w:r>
            <w:r w:rsidRPr="002379D3">
              <w:rPr>
                <w:b/>
                <w:lang w:val="en-GB"/>
              </w:rPr>
              <w:t>ggregators</w:t>
            </w:r>
          </w:p>
        </w:tc>
        <w:tc>
          <w:tcPr>
            <w:tcW w:w="1404" w:type="dxa"/>
            <w:vAlign w:val="bottom"/>
            <w:hideMark/>
          </w:tcPr>
          <w:p w:rsidR="00C26677" w:rsidRPr="002379D3" w:rsidRDefault="00C26677" w:rsidP="002379D3">
            <w:pPr>
              <w:pStyle w:val="ExhibitColumnHead"/>
              <w:rPr>
                <w:b/>
                <w:lang w:val="en-GB"/>
              </w:rPr>
            </w:pPr>
            <w:r w:rsidRPr="002379D3">
              <w:rPr>
                <w:b/>
                <w:lang w:val="en-GB"/>
              </w:rPr>
              <w:t>Number of villages per aggregator per cohort</w:t>
            </w:r>
          </w:p>
        </w:tc>
        <w:tc>
          <w:tcPr>
            <w:tcW w:w="1404" w:type="dxa"/>
            <w:vAlign w:val="bottom"/>
            <w:hideMark/>
          </w:tcPr>
          <w:p w:rsidR="00C26677" w:rsidRPr="002379D3" w:rsidRDefault="00C26677" w:rsidP="002379D3">
            <w:pPr>
              <w:pStyle w:val="ExhibitColumnHead"/>
              <w:rPr>
                <w:b/>
                <w:lang w:val="en-GB"/>
              </w:rPr>
            </w:pPr>
            <w:r w:rsidRPr="002379D3">
              <w:rPr>
                <w:b/>
                <w:lang w:val="en-GB"/>
              </w:rPr>
              <w:t>Total smallholders interviewed*</w:t>
            </w:r>
          </w:p>
        </w:tc>
        <w:tc>
          <w:tcPr>
            <w:tcW w:w="705" w:type="dxa"/>
            <w:vMerge/>
            <w:vAlign w:val="bottom"/>
            <w:hideMark/>
          </w:tcPr>
          <w:p w:rsidR="00C26677" w:rsidRPr="002379D3" w:rsidRDefault="00C26677" w:rsidP="002379D3">
            <w:pPr>
              <w:pStyle w:val="ExhibitColumnHead"/>
              <w:rPr>
                <w:b/>
                <w:lang w:val="en-GB"/>
              </w:rPr>
            </w:pPr>
          </w:p>
        </w:tc>
        <w:tc>
          <w:tcPr>
            <w:tcW w:w="1142" w:type="dxa"/>
            <w:vAlign w:val="bottom"/>
            <w:hideMark/>
          </w:tcPr>
          <w:p w:rsidR="00C26677" w:rsidRPr="002379D3" w:rsidRDefault="00C26677" w:rsidP="002379D3">
            <w:pPr>
              <w:pStyle w:val="ExhibitColumnHead"/>
              <w:rPr>
                <w:b/>
                <w:lang w:val="en-GB"/>
              </w:rPr>
            </w:pPr>
            <w:r w:rsidRPr="002379D3">
              <w:rPr>
                <w:b/>
                <w:lang w:val="en-GB"/>
              </w:rPr>
              <w:t>if 50% of targeted small</w:t>
            </w:r>
            <w:r w:rsidRPr="002379D3">
              <w:rPr>
                <w:b/>
                <w:lang w:val="en-GB"/>
              </w:rPr>
              <w:softHyphen/>
              <w:t>holders participate</w:t>
            </w:r>
          </w:p>
        </w:tc>
        <w:tc>
          <w:tcPr>
            <w:tcW w:w="1142" w:type="dxa"/>
            <w:vAlign w:val="bottom"/>
            <w:hideMark/>
          </w:tcPr>
          <w:p w:rsidR="00C26677" w:rsidRPr="002379D3" w:rsidRDefault="00C26677" w:rsidP="002379D3">
            <w:pPr>
              <w:pStyle w:val="ExhibitColumnHead"/>
              <w:rPr>
                <w:b/>
                <w:lang w:val="en-GB"/>
              </w:rPr>
            </w:pPr>
            <w:r w:rsidRPr="002379D3">
              <w:rPr>
                <w:b/>
                <w:lang w:val="en-GB"/>
              </w:rPr>
              <w:t>if 65% of targeted small</w:t>
            </w:r>
            <w:r w:rsidRPr="002379D3">
              <w:rPr>
                <w:b/>
                <w:lang w:val="en-GB"/>
              </w:rPr>
              <w:softHyphen/>
              <w:t>holders participate</w:t>
            </w:r>
          </w:p>
        </w:tc>
        <w:tc>
          <w:tcPr>
            <w:tcW w:w="1142" w:type="dxa"/>
            <w:vAlign w:val="bottom"/>
            <w:hideMark/>
          </w:tcPr>
          <w:p w:rsidR="00C26677" w:rsidRPr="002379D3" w:rsidRDefault="00C26677" w:rsidP="002379D3">
            <w:pPr>
              <w:pStyle w:val="ExhibitColumnHead"/>
              <w:rPr>
                <w:b/>
                <w:lang w:val="en-GB"/>
              </w:rPr>
            </w:pPr>
            <w:r w:rsidRPr="002379D3">
              <w:rPr>
                <w:b/>
                <w:lang w:val="en-GB"/>
              </w:rPr>
              <w:t>if 75% of targeted small</w:t>
            </w:r>
            <w:r w:rsidRPr="002379D3">
              <w:rPr>
                <w:b/>
                <w:lang w:val="en-GB"/>
              </w:rPr>
              <w:softHyphen/>
              <w:t>holders participate</w:t>
            </w:r>
          </w:p>
        </w:tc>
        <w:tc>
          <w:tcPr>
            <w:tcW w:w="1142" w:type="dxa"/>
            <w:vAlign w:val="bottom"/>
            <w:hideMark/>
          </w:tcPr>
          <w:p w:rsidR="00C26677" w:rsidRPr="002379D3" w:rsidRDefault="00C26677" w:rsidP="002379D3">
            <w:pPr>
              <w:pStyle w:val="ExhibitColumnHead"/>
              <w:rPr>
                <w:b/>
                <w:lang w:val="en-GB"/>
              </w:rPr>
            </w:pPr>
            <w:r w:rsidRPr="002379D3">
              <w:rPr>
                <w:b/>
                <w:lang w:val="en-GB"/>
              </w:rPr>
              <w:t>if 85% of targeted small</w:t>
            </w:r>
            <w:r w:rsidRPr="002379D3">
              <w:rPr>
                <w:b/>
                <w:lang w:val="en-GB"/>
              </w:rPr>
              <w:softHyphen/>
              <w:t>holders participate</w:t>
            </w:r>
          </w:p>
        </w:tc>
      </w:tr>
      <w:tr w:rsidR="00546949" w:rsidRPr="005633D9" w:rsidTr="00C26677">
        <w:trPr>
          <w:cnfStyle w:val="000000100000" w:firstRow="0" w:lastRow="0" w:firstColumn="0" w:lastColumn="0" w:oddVBand="0" w:evenVBand="0" w:oddHBand="1" w:evenHBand="0" w:firstRowFirstColumn="0" w:firstRowLastColumn="0" w:lastRowFirstColumn="0" w:lastRowLastColumn="0"/>
          <w:cantSplit/>
          <w:trHeight w:val="288"/>
        </w:trPr>
        <w:tc>
          <w:tcPr>
            <w:tcW w:w="1495" w:type="dxa"/>
            <w:noWrap/>
            <w:hideMark/>
          </w:tcPr>
          <w:p w:rsidR="00546949" w:rsidRPr="005633D9" w:rsidRDefault="00546949" w:rsidP="00F13584">
            <w:pPr>
              <w:pStyle w:val="ExhibitText"/>
              <w:rPr>
                <w:lang w:val="en-GB"/>
              </w:rPr>
            </w:pPr>
            <w:r w:rsidRPr="005633D9">
              <w:rPr>
                <w:lang w:val="en-GB"/>
              </w:rPr>
              <w:t>RCT (2)</w:t>
            </w:r>
          </w:p>
        </w:tc>
        <w:tc>
          <w:tcPr>
            <w:tcW w:w="1404" w:type="dxa"/>
            <w:noWrap/>
            <w:hideMark/>
          </w:tcPr>
          <w:p w:rsidR="00546949" w:rsidRPr="005633D9" w:rsidRDefault="00546949" w:rsidP="002379D3">
            <w:pPr>
              <w:pStyle w:val="ExhibitText"/>
              <w:jc w:val="right"/>
              <w:rPr>
                <w:lang w:val="en-GB"/>
              </w:rPr>
            </w:pPr>
            <w:r w:rsidRPr="005633D9">
              <w:rPr>
                <w:lang w:val="en-GB"/>
              </w:rPr>
              <w:t>7</w:t>
            </w:r>
          </w:p>
        </w:tc>
        <w:tc>
          <w:tcPr>
            <w:tcW w:w="1404" w:type="dxa"/>
            <w:noWrap/>
            <w:hideMark/>
          </w:tcPr>
          <w:p w:rsidR="00546949" w:rsidRPr="005633D9" w:rsidRDefault="00546949" w:rsidP="002379D3">
            <w:pPr>
              <w:pStyle w:val="ExhibitText"/>
              <w:jc w:val="right"/>
              <w:rPr>
                <w:lang w:val="en-GB"/>
              </w:rPr>
            </w:pPr>
            <w:r w:rsidRPr="005633D9">
              <w:rPr>
                <w:lang w:val="en-GB"/>
              </w:rPr>
              <w:t>378</w:t>
            </w:r>
          </w:p>
        </w:tc>
        <w:tc>
          <w:tcPr>
            <w:tcW w:w="705" w:type="dxa"/>
            <w:noWrap/>
            <w:hideMark/>
          </w:tcPr>
          <w:p w:rsidR="00546949" w:rsidRPr="005633D9" w:rsidRDefault="00546949" w:rsidP="002379D3">
            <w:pPr>
              <w:pStyle w:val="ExhibitText"/>
              <w:jc w:val="right"/>
              <w:rPr>
                <w:lang w:val="en-GB"/>
              </w:rPr>
            </w:pPr>
            <w:r w:rsidRPr="005633D9">
              <w:rPr>
                <w:lang w:val="en-GB"/>
              </w:rPr>
              <w:t>$93</w:t>
            </w:r>
          </w:p>
        </w:tc>
        <w:tc>
          <w:tcPr>
            <w:tcW w:w="1142" w:type="dxa"/>
            <w:noWrap/>
            <w:hideMark/>
          </w:tcPr>
          <w:p w:rsidR="00546949" w:rsidRPr="005633D9" w:rsidRDefault="00546949" w:rsidP="002379D3">
            <w:pPr>
              <w:pStyle w:val="ExhibitText"/>
              <w:jc w:val="right"/>
              <w:rPr>
                <w:lang w:val="en-GB"/>
              </w:rPr>
            </w:pPr>
            <w:r w:rsidRPr="005633D9">
              <w:rPr>
                <w:lang w:val="en-GB"/>
              </w:rPr>
              <w:t>$185.68</w:t>
            </w:r>
          </w:p>
        </w:tc>
        <w:tc>
          <w:tcPr>
            <w:tcW w:w="1142" w:type="dxa"/>
            <w:noWrap/>
            <w:hideMark/>
          </w:tcPr>
          <w:p w:rsidR="00546949" w:rsidRPr="005633D9" w:rsidRDefault="00546949" w:rsidP="002379D3">
            <w:pPr>
              <w:pStyle w:val="ExhibitText"/>
              <w:jc w:val="right"/>
              <w:rPr>
                <w:lang w:val="en-GB"/>
              </w:rPr>
            </w:pPr>
            <w:r w:rsidRPr="005633D9">
              <w:rPr>
                <w:lang w:val="en-GB"/>
              </w:rPr>
              <w:t>$142.83</w:t>
            </w:r>
          </w:p>
        </w:tc>
        <w:tc>
          <w:tcPr>
            <w:tcW w:w="1142" w:type="dxa"/>
            <w:noWrap/>
            <w:hideMark/>
          </w:tcPr>
          <w:p w:rsidR="00546949" w:rsidRPr="005633D9" w:rsidRDefault="00546949" w:rsidP="002379D3">
            <w:pPr>
              <w:pStyle w:val="ExhibitText"/>
              <w:jc w:val="right"/>
              <w:rPr>
                <w:b/>
                <w:lang w:val="en-GB"/>
              </w:rPr>
            </w:pPr>
            <w:r w:rsidRPr="005633D9">
              <w:rPr>
                <w:b/>
                <w:lang w:val="en-GB"/>
              </w:rPr>
              <w:t>$123.79</w:t>
            </w:r>
          </w:p>
        </w:tc>
        <w:tc>
          <w:tcPr>
            <w:tcW w:w="1142" w:type="dxa"/>
            <w:noWrap/>
            <w:hideMark/>
          </w:tcPr>
          <w:p w:rsidR="00546949" w:rsidRPr="005633D9" w:rsidRDefault="00546949" w:rsidP="002379D3">
            <w:pPr>
              <w:pStyle w:val="ExhibitText"/>
              <w:jc w:val="right"/>
              <w:rPr>
                <w:b/>
                <w:lang w:val="en-GB"/>
              </w:rPr>
            </w:pPr>
            <w:r w:rsidRPr="005633D9">
              <w:rPr>
                <w:b/>
                <w:lang w:val="en-GB"/>
              </w:rPr>
              <w:t>$109.22</w:t>
            </w:r>
          </w:p>
        </w:tc>
      </w:tr>
      <w:tr w:rsidR="00546949" w:rsidRPr="005633D9" w:rsidTr="00C26677">
        <w:trPr>
          <w:cnfStyle w:val="000000010000" w:firstRow="0" w:lastRow="0" w:firstColumn="0" w:lastColumn="0" w:oddVBand="0" w:evenVBand="0" w:oddHBand="0" w:evenHBand="1" w:firstRowFirstColumn="0" w:firstRowLastColumn="0" w:lastRowFirstColumn="0" w:lastRowLastColumn="0"/>
          <w:cantSplit/>
          <w:trHeight w:val="288"/>
        </w:trPr>
        <w:tc>
          <w:tcPr>
            <w:tcW w:w="1495" w:type="dxa"/>
            <w:shd w:val="clear" w:color="auto" w:fill="auto"/>
            <w:noWrap/>
            <w:hideMark/>
          </w:tcPr>
          <w:p w:rsidR="00546949" w:rsidRPr="005633D9" w:rsidRDefault="00546949" w:rsidP="00F13584">
            <w:pPr>
              <w:pStyle w:val="ExhibitText"/>
              <w:rPr>
                <w:lang w:val="en-GB"/>
              </w:rPr>
            </w:pPr>
            <w:r w:rsidRPr="005633D9">
              <w:rPr>
                <w:lang w:val="en-GB"/>
              </w:rPr>
              <w:t>RCT (3)</w:t>
            </w:r>
          </w:p>
        </w:tc>
        <w:tc>
          <w:tcPr>
            <w:tcW w:w="1404" w:type="dxa"/>
            <w:shd w:val="clear" w:color="auto" w:fill="auto"/>
            <w:noWrap/>
            <w:hideMark/>
          </w:tcPr>
          <w:p w:rsidR="00546949" w:rsidRPr="005633D9" w:rsidRDefault="00546949" w:rsidP="002379D3">
            <w:pPr>
              <w:pStyle w:val="ExhibitText"/>
              <w:jc w:val="right"/>
              <w:rPr>
                <w:lang w:val="en-GB"/>
              </w:rPr>
            </w:pPr>
            <w:r w:rsidRPr="005633D9">
              <w:rPr>
                <w:lang w:val="en-GB"/>
              </w:rPr>
              <w:t>7</w:t>
            </w:r>
          </w:p>
        </w:tc>
        <w:tc>
          <w:tcPr>
            <w:tcW w:w="1404" w:type="dxa"/>
            <w:shd w:val="clear" w:color="auto" w:fill="auto"/>
            <w:noWrap/>
            <w:hideMark/>
          </w:tcPr>
          <w:p w:rsidR="00546949" w:rsidRPr="005633D9" w:rsidRDefault="00546949" w:rsidP="002379D3">
            <w:pPr>
              <w:pStyle w:val="ExhibitText"/>
              <w:jc w:val="right"/>
              <w:rPr>
                <w:lang w:val="en-GB"/>
              </w:rPr>
            </w:pPr>
            <w:r w:rsidRPr="005633D9">
              <w:rPr>
                <w:lang w:val="en-GB"/>
              </w:rPr>
              <w:t>567</w:t>
            </w:r>
          </w:p>
        </w:tc>
        <w:tc>
          <w:tcPr>
            <w:tcW w:w="705" w:type="dxa"/>
            <w:shd w:val="clear" w:color="auto" w:fill="auto"/>
            <w:noWrap/>
            <w:hideMark/>
          </w:tcPr>
          <w:p w:rsidR="00546949" w:rsidRPr="005633D9" w:rsidRDefault="00546949" w:rsidP="002379D3">
            <w:pPr>
              <w:pStyle w:val="ExhibitText"/>
              <w:jc w:val="right"/>
              <w:rPr>
                <w:lang w:val="en-GB"/>
              </w:rPr>
            </w:pPr>
            <w:r w:rsidRPr="005633D9">
              <w:rPr>
                <w:lang w:val="en-GB"/>
              </w:rPr>
              <w:t>$76</w:t>
            </w:r>
          </w:p>
        </w:tc>
        <w:tc>
          <w:tcPr>
            <w:tcW w:w="1142" w:type="dxa"/>
            <w:shd w:val="clear" w:color="auto" w:fill="auto"/>
            <w:noWrap/>
            <w:hideMark/>
          </w:tcPr>
          <w:p w:rsidR="00546949" w:rsidRPr="005633D9" w:rsidRDefault="00546949" w:rsidP="002379D3">
            <w:pPr>
              <w:pStyle w:val="ExhibitText"/>
              <w:jc w:val="right"/>
              <w:rPr>
                <w:lang w:val="en-GB"/>
              </w:rPr>
            </w:pPr>
            <w:r w:rsidRPr="005633D9">
              <w:rPr>
                <w:lang w:val="en-GB"/>
              </w:rPr>
              <w:t>$151.61</w:t>
            </w:r>
          </w:p>
        </w:tc>
        <w:tc>
          <w:tcPr>
            <w:tcW w:w="1142" w:type="dxa"/>
            <w:shd w:val="clear" w:color="auto" w:fill="auto"/>
            <w:noWrap/>
            <w:hideMark/>
          </w:tcPr>
          <w:p w:rsidR="00546949" w:rsidRPr="005633D9" w:rsidRDefault="00546949" w:rsidP="002379D3">
            <w:pPr>
              <w:pStyle w:val="ExhibitText"/>
              <w:jc w:val="right"/>
              <w:rPr>
                <w:b/>
                <w:lang w:val="en-GB"/>
              </w:rPr>
            </w:pPr>
            <w:r w:rsidRPr="005633D9">
              <w:rPr>
                <w:b/>
                <w:lang w:val="en-GB"/>
              </w:rPr>
              <w:t>$116.62</w:t>
            </w:r>
          </w:p>
        </w:tc>
        <w:tc>
          <w:tcPr>
            <w:tcW w:w="1142" w:type="dxa"/>
            <w:shd w:val="clear" w:color="auto" w:fill="auto"/>
            <w:noWrap/>
            <w:hideMark/>
          </w:tcPr>
          <w:p w:rsidR="00546949" w:rsidRPr="005633D9" w:rsidRDefault="00546949" w:rsidP="002379D3">
            <w:pPr>
              <w:pStyle w:val="ExhibitText"/>
              <w:jc w:val="right"/>
              <w:rPr>
                <w:b/>
                <w:lang w:val="en-GB"/>
              </w:rPr>
            </w:pPr>
            <w:r w:rsidRPr="005633D9">
              <w:rPr>
                <w:b/>
                <w:lang w:val="en-GB"/>
              </w:rPr>
              <w:t>$101.07</w:t>
            </w:r>
          </w:p>
        </w:tc>
        <w:tc>
          <w:tcPr>
            <w:tcW w:w="1142" w:type="dxa"/>
            <w:shd w:val="clear" w:color="auto" w:fill="auto"/>
            <w:noWrap/>
            <w:hideMark/>
          </w:tcPr>
          <w:p w:rsidR="00546949" w:rsidRPr="005633D9" w:rsidRDefault="00546949" w:rsidP="002379D3">
            <w:pPr>
              <w:pStyle w:val="ExhibitText"/>
              <w:jc w:val="right"/>
              <w:rPr>
                <w:b/>
                <w:lang w:val="en-GB"/>
              </w:rPr>
            </w:pPr>
            <w:r w:rsidRPr="005633D9">
              <w:rPr>
                <w:b/>
                <w:lang w:val="en-GB"/>
              </w:rPr>
              <w:t>$89.18</w:t>
            </w:r>
          </w:p>
        </w:tc>
      </w:tr>
      <w:tr w:rsidR="00546949" w:rsidRPr="005633D9" w:rsidTr="00C26677">
        <w:trPr>
          <w:cnfStyle w:val="000000100000" w:firstRow="0" w:lastRow="0" w:firstColumn="0" w:lastColumn="0" w:oddVBand="0" w:evenVBand="0" w:oddHBand="1" w:evenHBand="0" w:firstRowFirstColumn="0" w:firstRowLastColumn="0" w:lastRowFirstColumn="0" w:lastRowLastColumn="0"/>
          <w:cantSplit/>
          <w:trHeight w:val="288"/>
        </w:trPr>
        <w:tc>
          <w:tcPr>
            <w:tcW w:w="1495" w:type="dxa"/>
            <w:noWrap/>
            <w:hideMark/>
          </w:tcPr>
          <w:p w:rsidR="00546949" w:rsidRPr="005633D9" w:rsidRDefault="00546949" w:rsidP="00F13584">
            <w:pPr>
              <w:pStyle w:val="ExhibitText"/>
              <w:rPr>
                <w:lang w:val="en-GB"/>
              </w:rPr>
            </w:pPr>
            <w:r w:rsidRPr="005633D9">
              <w:rPr>
                <w:lang w:val="en-GB"/>
              </w:rPr>
              <w:t>RCT (4)</w:t>
            </w:r>
          </w:p>
        </w:tc>
        <w:tc>
          <w:tcPr>
            <w:tcW w:w="1404" w:type="dxa"/>
            <w:noWrap/>
            <w:hideMark/>
          </w:tcPr>
          <w:p w:rsidR="00546949" w:rsidRPr="005633D9" w:rsidRDefault="00546949" w:rsidP="002379D3">
            <w:pPr>
              <w:pStyle w:val="ExhibitText"/>
              <w:jc w:val="right"/>
              <w:rPr>
                <w:lang w:val="en-GB"/>
              </w:rPr>
            </w:pPr>
            <w:r w:rsidRPr="005633D9">
              <w:rPr>
                <w:lang w:val="en-GB"/>
              </w:rPr>
              <w:t>7</w:t>
            </w:r>
          </w:p>
        </w:tc>
        <w:tc>
          <w:tcPr>
            <w:tcW w:w="1404" w:type="dxa"/>
            <w:noWrap/>
            <w:hideMark/>
          </w:tcPr>
          <w:p w:rsidR="00546949" w:rsidRPr="005633D9" w:rsidRDefault="00546949" w:rsidP="002379D3">
            <w:pPr>
              <w:pStyle w:val="ExhibitText"/>
              <w:jc w:val="right"/>
              <w:rPr>
                <w:lang w:val="en-GB"/>
              </w:rPr>
            </w:pPr>
            <w:r w:rsidRPr="005633D9">
              <w:rPr>
                <w:lang w:val="en-GB"/>
              </w:rPr>
              <w:t>756</w:t>
            </w:r>
          </w:p>
        </w:tc>
        <w:tc>
          <w:tcPr>
            <w:tcW w:w="705" w:type="dxa"/>
            <w:noWrap/>
            <w:hideMark/>
          </w:tcPr>
          <w:p w:rsidR="00546949" w:rsidRPr="005633D9" w:rsidRDefault="00546949" w:rsidP="002379D3">
            <w:pPr>
              <w:pStyle w:val="ExhibitText"/>
              <w:jc w:val="right"/>
              <w:rPr>
                <w:lang w:val="en-GB"/>
              </w:rPr>
            </w:pPr>
            <w:r w:rsidRPr="005633D9">
              <w:rPr>
                <w:lang w:val="en-GB"/>
              </w:rPr>
              <w:t>$66</w:t>
            </w:r>
          </w:p>
        </w:tc>
        <w:tc>
          <w:tcPr>
            <w:tcW w:w="1142" w:type="dxa"/>
            <w:noWrap/>
            <w:hideMark/>
          </w:tcPr>
          <w:p w:rsidR="00546949" w:rsidRPr="005633D9" w:rsidRDefault="00546949" w:rsidP="002379D3">
            <w:pPr>
              <w:pStyle w:val="ExhibitText"/>
              <w:jc w:val="right"/>
              <w:rPr>
                <w:lang w:val="en-GB"/>
              </w:rPr>
            </w:pPr>
            <w:r w:rsidRPr="005633D9">
              <w:rPr>
                <w:lang w:val="en-GB"/>
              </w:rPr>
              <w:t>$131.29</w:t>
            </w:r>
          </w:p>
        </w:tc>
        <w:tc>
          <w:tcPr>
            <w:tcW w:w="1142" w:type="dxa"/>
            <w:noWrap/>
            <w:hideMark/>
          </w:tcPr>
          <w:p w:rsidR="00546949" w:rsidRPr="005633D9" w:rsidRDefault="00546949" w:rsidP="002379D3">
            <w:pPr>
              <w:pStyle w:val="ExhibitText"/>
              <w:jc w:val="right"/>
              <w:rPr>
                <w:b/>
                <w:lang w:val="en-GB"/>
              </w:rPr>
            </w:pPr>
            <w:r w:rsidRPr="005633D9">
              <w:rPr>
                <w:b/>
                <w:lang w:val="en-GB"/>
              </w:rPr>
              <w:t>$101.00</w:t>
            </w:r>
          </w:p>
        </w:tc>
        <w:tc>
          <w:tcPr>
            <w:tcW w:w="1142" w:type="dxa"/>
            <w:noWrap/>
            <w:hideMark/>
          </w:tcPr>
          <w:p w:rsidR="00546949" w:rsidRPr="005633D9" w:rsidRDefault="00546949" w:rsidP="002379D3">
            <w:pPr>
              <w:pStyle w:val="ExhibitText"/>
              <w:jc w:val="right"/>
              <w:rPr>
                <w:b/>
                <w:lang w:val="en-GB"/>
              </w:rPr>
            </w:pPr>
            <w:r w:rsidRPr="005633D9">
              <w:rPr>
                <w:b/>
                <w:lang w:val="en-GB"/>
              </w:rPr>
              <w:t>$87.53</w:t>
            </w:r>
          </w:p>
        </w:tc>
        <w:tc>
          <w:tcPr>
            <w:tcW w:w="1142" w:type="dxa"/>
            <w:noWrap/>
            <w:hideMark/>
          </w:tcPr>
          <w:p w:rsidR="00546949" w:rsidRPr="005633D9" w:rsidRDefault="00546949" w:rsidP="002379D3">
            <w:pPr>
              <w:pStyle w:val="ExhibitText"/>
              <w:jc w:val="right"/>
              <w:rPr>
                <w:b/>
                <w:lang w:val="en-GB"/>
              </w:rPr>
            </w:pPr>
            <w:r w:rsidRPr="005633D9">
              <w:rPr>
                <w:b/>
                <w:lang w:val="en-GB"/>
              </w:rPr>
              <w:t>$77.23</w:t>
            </w:r>
          </w:p>
        </w:tc>
      </w:tr>
      <w:tr w:rsidR="00546949" w:rsidRPr="005633D9" w:rsidTr="00C26677">
        <w:trPr>
          <w:cnfStyle w:val="000000010000" w:firstRow="0" w:lastRow="0" w:firstColumn="0" w:lastColumn="0" w:oddVBand="0" w:evenVBand="0" w:oddHBand="0" w:evenHBand="1" w:firstRowFirstColumn="0" w:firstRowLastColumn="0" w:lastRowFirstColumn="0" w:lastRowLastColumn="0"/>
          <w:cantSplit/>
          <w:trHeight w:val="288"/>
        </w:trPr>
        <w:tc>
          <w:tcPr>
            <w:tcW w:w="1495" w:type="dxa"/>
            <w:shd w:val="clear" w:color="auto" w:fill="auto"/>
            <w:noWrap/>
            <w:hideMark/>
          </w:tcPr>
          <w:p w:rsidR="00546949" w:rsidRPr="005633D9" w:rsidRDefault="00546949" w:rsidP="00F13584">
            <w:pPr>
              <w:pStyle w:val="ExhibitText"/>
              <w:rPr>
                <w:lang w:val="en-GB"/>
              </w:rPr>
            </w:pPr>
            <w:r w:rsidRPr="005633D9">
              <w:rPr>
                <w:lang w:val="en-GB"/>
              </w:rPr>
              <w:t>Whole Group (6)</w:t>
            </w:r>
          </w:p>
        </w:tc>
        <w:tc>
          <w:tcPr>
            <w:tcW w:w="1404" w:type="dxa"/>
            <w:shd w:val="clear" w:color="auto" w:fill="auto"/>
            <w:noWrap/>
            <w:hideMark/>
          </w:tcPr>
          <w:p w:rsidR="00546949" w:rsidRPr="005633D9" w:rsidRDefault="00546949" w:rsidP="002379D3">
            <w:pPr>
              <w:pStyle w:val="ExhibitText"/>
              <w:jc w:val="right"/>
              <w:rPr>
                <w:lang w:val="en-GB"/>
              </w:rPr>
            </w:pPr>
            <w:r w:rsidRPr="005633D9">
              <w:rPr>
                <w:lang w:val="en-GB"/>
              </w:rPr>
              <w:t>6</w:t>
            </w:r>
          </w:p>
        </w:tc>
        <w:tc>
          <w:tcPr>
            <w:tcW w:w="1404" w:type="dxa"/>
            <w:shd w:val="clear" w:color="auto" w:fill="auto"/>
            <w:noWrap/>
            <w:hideMark/>
          </w:tcPr>
          <w:p w:rsidR="00546949" w:rsidRPr="005633D9" w:rsidRDefault="00546949" w:rsidP="002379D3">
            <w:pPr>
              <w:pStyle w:val="ExhibitText"/>
              <w:jc w:val="right"/>
              <w:rPr>
                <w:lang w:val="en-GB"/>
              </w:rPr>
            </w:pPr>
            <w:r w:rsidRPr="005633D9">
              <w:rPr>
                <w:lang w:val="en-GB"/>
              </w:rPr>
              <w:t>389</w:t>
            </w:r>
          </w:p>
        </w:tc>
        <w:tc>
          <w:tcPr>
            <w:tcW w:w="705" w:type="dxa"/>
            <w:shd w:val="clear" w:color="auto" w:fill="auto"/>
            <w:noWrap/>
            <w:hideMark/>
          </w:tcPr>
          <w:p w:rsidR="00546949" w:rsidRPr="005633D9" w:rsidRDefault="00546949" w:rsidP="002379D3">
            <w:pPr>
              <w:pStyle w:val="ExhibitText"/>
              <w:jc w:val="right"/>
              <w:rPr>
                <w:lang w:val="en-GB"/>
              </w:rPr>
            </w:pPr>
            <w:r w:rsidRPr="005633D9">
              <w:rPr>
                <w:lang w:val="en-GB"/>
              </w:rPr>
              <w:t>$65</w:t>
            </w:r>
          </w:p>
        </w:tc>
        <w:tc>
          <w:tcPr>
            <w:tcW w:w="1142" w:type="dxa"/>
            <w:shd w:val="clear" w:color="auto" w:fill="auto"/>
            <w:noWrap/>
            <w:hideMark/>
          </w:tcPr>
          <w:p w:rsidR="00546949" w:rsidRPr="005633D9" w:rsidRDefault="00546949" w:rsidP="002379D3">
            <w:pPr>
              <w:pStyle w:val="ExhibitText"/>
              <w:jc w:val="right"/>
              <w:rPr>
                <w:b/>
                <w:lang w:val="en-GB"/>
              </w:rPr>
            </w:pPr>
            <w:r w:rsidRPr="005633D9">
              <w:rPr>
                <w:b/>
                <w:lang w:val="en-GB"/>
              </w:rPr>
              <w:t>$130.63</w:t>
            </w:r>
          </w:p>
        </w:tc>
        <w:tc>
          <w:tcPr>
            <w:tcW w:w="1142" w:type="dxa"/>
            <w:shd w:val="clear" w:color="auto" w:fill="auto"/>
            <w:noWrap/>
            <w:hideMark/>
          </w:tcPr>
          <w:p w:rsidR="00546949" w:rsidRPr="005633D9" w:rsidRDefault="00546949" w:rsidP="002379D3">
            <w:pPr>
              <w:pStyle w:val="ExhibitText"/>
              <w:jc w:val="right"/>
              <w:rPr>
                <w:b/>
                <w:lang w:val="en-GB"/>
              </w:rPr>
            </w:pPr>
            <w:r w:rsidRPr="005633D9">
              <w:rPr>
                <w:b/>
                <w:lang w:val="en-GB"/>
              </w:rPr>
              <w:t>$100.48</w:t>
            </w:r>
          </w:p>
        </w:tc>
        <w:tc>
          <w:tcPr>
            <w:tcW w:w="1142" w:type="dxa"/>
            <w:shd w:val="clear" w:color="auto" w:fill="auto"/>
            <w:noWrap/>
            <w:hideMark/>
          </w:tcPr>
          <w:p w:rsidR="00546949" w:rsidRPr="005633D9" w:rsidRDefault="00546949" w:rsidP="002379D3">
            <w:pPr>
              <w:pStyle w:val="ExhibitText"/>
              <w:jc w:val="right"/>
              <w:rPr>
                <w:b/>
                <w:lang w:val="en-GB"/>
              </w:rPr>
            </w:pPr>
            <w:r w:rsidRPr="005633D9">
              <w:rPr>
                <w:b/>
                <w:lang w:val="en-GB"/>
              </w:rPr>
              <w:t>$87.09</w:t>
            </w:r>
          </w:p>
        </w:tc>
        <w:tc>
          <w:tcPr>
            <w:tcW w:w="1142" w:type="dxa"/>
            <w:shd w:val="clear" w:color="auto" w:fill="auto"/>
            <w:noWrap/>
            <w:hideMark/>
          </w:tcPr>
          <w:p w:rsidR="00546949" w:rsidRPr="005633D9" w:rsidRDefault="00546949" w:rsidP="002379D3">
            <w:pPr>
              <w:pStyle w:val="ExhibitText"/>
              <w:jc w:val="right"/>
              <w:rPr>
                <w:b/>
                <w:lang w:val="en-GB"/>
              </w:rPr>
            </w:pPr>
            <w:r w:rsidRPr="005633D9">
              <w:rPr>
                <w:b/>
                <w:lang w:val="en-GB"/>
              </w:rPr>
              <w:t>$76.84</w:t>
            </w:r>
          </w:p>
        </w:tc>
      </w:tr>
      <w:tr w:rsidR="00B602B3" w:rsidRPr="005633D9" w:rsidTr="00C26677">
        <w:trPr>
          <w:cnfStyle w:val="000000100000" w:firstRow="0" w:lastRow="0" w:firstColumn="0" w:lastColumn="0" w:oddVBand="0" w:evenVBand="0" w:oddHBand="1" w:evenHBand="0" w:firstRowFirstColumn="0" w:firstRowLastColumn="0" w:lastRowFirstColumn="0" w:lastRowLastColumn="0"/>
          <w:cantSplit/>
          <w:trHeight w:val="288"/>
        </w:trPr>
        <w:tc>
          <w:tcPr>
            <w:tcW w:w="1495" w:type="dxa"/>
            <w:noWrap/>
            <w:hideMark/>
          </w:tcPr>
          <w:p w:rsidR="00B602B3" w:rsidRPr="005633D9" w:rsidRDefault="00B602B3" w:rsidP="00F13584">
            <w:pPr>
              <w:pStyle w:val="ExhibitText"/>
              <w:rPr>
                <w:lang w:val="en-GB"/>
              </w:rPr>
            </w:pPr>
            <w:r w:rsidRPr="005633D9">
              <w:rPr>
                <w:lang w:val="en-GB"/>
              </w:rPr>
              <w:t xml:space="preserve">Whole Group + </w:t>
            </w:r>
            <w:r w:rsidR="00F93043">
              <w:t>the QED implementer</w:t>
            </w:r>
          </w:p>
        </w:tc>
        <w:tc>
          <w:tcPr>
            <w:tcW w:w="1404" w:type="dxa"/>
            <w:noWrap/>
            <w:hideMark/>
          </w:tcPr>
          <w:p w:rsidR="00B602B3" w:rsidRPr="005633D9" w:rsidRDefault="00B602B3" w:rsidP="002379D3">
            <w:pPr>
              <w:pStyle w:val="ExhibitText"/>
              <w:jc w:val="right"/>
              <w:rPr>
                <w:lang w:val="en-GB"/>
              </w:rPr>
            </w:pPr>
            <w:r w:rsidRPr="005633D9">
              <w:rPr>
                <w:lang w:val="en-GB"/>
              </w:rPr>
              <w:t>6-14</w:t>
            </w:r>
          </w:p>
        </w:tc>
        <w:tc>
          <w:tcPr>
            <w:tcW w:w="1404" w:type="dxa"/>
            <w:noWrap/>
            <w:hideMark/>
          </w:tcPr>
          <w:p w:rsidR="00B602B3" w:rsidRPr="005633D9" w:rsidRDefault="00B602B3" w:rsidP="002379D3">
            <w:pPr>
              <w:pStyle w:val="ExhibitText"/>
              <w:jc w:val="right"/>
              <w:rPr>
                <w:lang w:val="en-GB"/>
              </w:rPr>
            </w:pPr>
            <w:r w:rsidRPr="005633D9">
              <w:rPr>
                <w:lang w:val="en-GB"/>
              </w:rPr>
              <w:t>689</w:t>
            </w:r>
          </w:p>
        </w:tc>
        <w:tc>
          <w:tcPr>
            <w:tcW w:w="705" w:type="dxa"/>
            <w:noWrap/>
            <w:hideMark/>
          </w:tcPr>
          <w:p w:rsidR="00B602B3" w:rsidRPr="005633D9" w:rsidRDefault="00B602B3" w:rsidP="002379D3">
            <w:pPr>
              <w:pStyle w:val="ExhibitText"/>
              <w:jc w:val="right"/>
              <w:rPr>
                <w:lang w:val="en-GB"/>
              </w:rPr>
            </w:pPr>
            <w:r w:rsidRPr="005633D9">
              <w:rPr>
                <w:lang w:val="en-GB"/>
              </w:rPr>
              <w:t>$56</w:t>
            </w:r>
          </w:p>
        </w:tc>
        <w:tc>
          <w:tcPr>
            <w:tcW w:w="1142" w:type="dxa"/>
            <w:noWrap/>
            <w:hideMark/>
          </w:tcPr>
          <w:p w:rsidR="00B602B3" w:rsidRPr="005633D9" w:rsidRDefault="00B602B3" w:rsidP="002379D3">
            <w:pPr>
              <w:pStyle w:val="ExhibitText"/>
              <w:jc w:val="right"/>
              <w:rPr>
                <w:b/>
                <w:lang w:val="en-GB"/>
              </w:rPr>
            </w:pPr>
            <w:r w:rsidRPr="005633D9">
              <w:rPr>
                <w:b/>
                <w:lang w:val="en-GB"/>
              </w:rPr>
              <w:t>$111.01</w:t>
            </w:r>
          </w:p>
        </w:tc>
        <w:tc>
          <w:tcPr>
            <w:tcW w:w="1142" w:type="dxa"/>
            <w:noWrap/>
            <w:hideMark/>
          </w:tcPr>
          <w:p w:rsidR="00B602B3" w:rsidRPr="005633D9" w:rsidRDefault="00B602B3" w:rsidP="002379D3">
            <w:pPr>
              <w:pStyle w:val="ExhibitText"/>
              <w:jc w:val="right"/>
              <w:rPr>
                <w:b/>
                <w:lang w:val="en-GB"/>
              </w:rPr>
            </w:pPr>
            <w:r w:rsidRPr="005633D9">
              <w:rPr>
                <w:b/>
                <w:lang w:val="en-GB"/>
              </w:rPr>
              <w:t>$85.39</w:t>
            </w:r>
          </w:p>
        </w:tc>
        <w:tc>
          <w:tcPr>
            <w:tcW w:w="1142" w:type="dxa"/>
            <w:noWrap/>
            <w:hideMark/>
          </w:tcPr>
          <w:p w:rsidR="00B602B3" w:rsidRPr="005633D9" w:rsidRDefault="00B602B3" w:rsidP="002379D3">
            <w:pPr>
              <w:pStyle w:val="ExhibitText"/>
              <w:jc w:val="right"/>
              <w:rPr>
                <w:b/>
                <w:lang w:val="en-GB"/>
              </w:rPr>
            </w:pPr>
            <w:r w:rsidRPr="005633D9">
              <w:rPr>
                <w:b/>
                <w:lang w:val="en-GB"/>
              </w:rPr>
              <w:t>$74.01</w:t>
            </w:r>
          </w:p>
        </w:tc>
        <w:tc>
          <w:tcPr>
            <w:tcW w:w="1142" w:type="dxa"/>
            <w:noWrap/>
            <w:hideMark/>
          </w:tcPr>
          <w:p w:rsidR="00B602B3" w:rsidRPr="005633D9" w:rsidRDefault="00B602B3" w:rsidP="002379D3">
            <w:pPr>
              <w:pStyle w:val="ExhibitText"/>
              <w:jc w:val="right"/>
              <w:rPr>
                <w:b/>
                <w:lang w:val="en-GB"/>
              </w:rPr>
            </w:pPr>
            <w:r w:rsidRPr="005633D9">
              <w:rPr>
                <w:b/>
                <w:lang w:val="en-GB"/>
              </w:rPr>
              <w:t>$65.30</w:t>
            </w:r>
          </w:p>
        </w:tc>
      </w:tr>
      <w:tr w:rsidR="00B602B3" w:rsidRPr="005633D9" w:rsidTr="00C26677">
        <w:trPr>
          <w:cnfStyle w:val="000000010000" w:firstRow="0" w:lastRow="0" w:firstColumn="0" w:lastColumn="0" w:oddVBand="0" w:evenVBand="0" w:oddHBand="0" w:evenHBand="1" w:firstRowFirstColumn="0" w:firstRowLastColumn="0" w:lastRowFirstColumn="0" w:lastRowLastColumn="0"/>
          <w:cantSplit/>
          <w:trHeight w:val="288"/>
        </w:trPr>
        <w:tc>
          <w:tcPr>
            <w:tcW w:w="1495" w:type="dxa"/>
            <w:shd w:val="clear" w:color="auto" w:fill="auto"/>
            <w:noWrap/>
          </w:tcPr>
          <w:p w:rsidR="00B602B3" w:rsidRPr="005633D9" w:rsidRDefault="00F93043" w:rsidP="00F13584">
            <w:pPr>
              <w:pStyle w:val="ExhibitText"/>
              <w:rPr>
                <w:lang w:val="en-GB"/>
              </w:rPr>
            </w:pPr>
            <w:r>
              <w:t>the QED implementer</w:t>
            </w:r>
            <w:r w:rsidRPr="005633D9">
              <w:rPr>
                <w:lang w:val="en-GB"/>
              </w:rPr>
              <w:t xml:space="preserve"> </w:t>
            </w:r>
            <w:r w:rsidR="00B602B3" w:rsidRPr="005633D9">
              <w:rPr>
                <w:lang w:val="en-GB"/>
              </w:rPr>
              <w:t>only</w:t>
            </w:r>
          </w:p>
        </w:tc>
        <w:tc>
          <w:tcPr>
            <w:tcW w:w="1404" w:type="dxa"/>
            <w:shd w:val="clear" w:color="auto" w:fill="auto"/>
            <w:noWrap/>
          </w:tcPr>
          <w:p w:rsidR="00B602B3" w:rsidRPr="005633D9" w:rsidRDefault="00B602B3" w:rsidP="002379D3">
            <w:pPr>
              <w:pStyle w:val="ExhibitText"/>
              <w:jc w:val="right"/>
              <w:rPr>
                <w:lang w:val="en-GB"/>
              </w:rPr>
            </w:pPr>
            <w:r w:rsidRPr="005633D9">
              <w:rPr>
                <w:lang w:val="en-GB"/>
              </w:rPr>
              <w:t>14</w:t>
            </w:r>
          </w:p>
        </w:tc>
        <w:tc>
          <w:tcPr>
            <w:tcW w:w="1404" w:type="dxa"/>
            <w:shd w:val="clear" w:color="auto" w:fill="auto"/>
            <w:noWrap/>
          </w:tcPr>
          <w:p w:rsidR="00B602B3" w:rsidRPr="005633D9" w:rsidRDefault="00B602B3" w:rsidP="002379D3">
            <w:pPr>
              <w:pStyle w:val="ExhibitText"/>
              <w:jc w:val="right"/>
              <w:rPr>
                <w:lang w:val="en-GB"/>
              </w:rPr>
            </w:pPr>
            <w:r w:rsidRPr="005633D9">
              <w:rPr>
                <w:lang w:val="en-GB"/>
              </w:rPr>
              <w:t>160</w:t>
            </w:r>
          </w:p>
        </w:tc>
        <w:tc>
          <w:tcPr>
            <w:tcW w:w="705" w:type="dxa"/>
            <w:shd w:val="clear" w:color="auto" w:fill="auto"/>
            <w:noWrap/>
          </w:tcPr>
          <w:p w:rsidR="00B602B3" w:rsidRPr="005633D9" w:rsidRDefault="00B602B3" w:rsidP="002379D3">
            <w:pPr>
              <w:pStyle w:val="ExhibitText"/>
              <w:jc w:val="right"/>
              <w:rPr>
                <w:lang w:val="en-GB"/>
              </w:rPr>
            </w:pPr>
            <w:r w:rsidRPr="005633D9">
              <w:rPr>
                <w:lang w:val="en-GB"/>
              </w:rPr>
              <w:t>$100</w:t>
            </w:r>
          </w:p>
        </w:tc>
        <w:tc>
          <w:tcPr>
            <w:tcW w:w="1142" w:type="dxa"/>
            <w:shd w:val="clear" w:color="auto" w:fill="auto"/>
            <w:noWrap/>
          </w:tcPr>
          <w:p w:rsidR="00B602B3" w:rsidRPr="005633D9" w:rsidRDefault="00B602B3" w:rsidP="002379D3">
            <w:pPr>
              <w:pStyle w:val="ExhibitText"/>
              <w:jc w:val="right"/>
              <w:rPr>
                <w:b/>
                <w:lang w:val="en-GB"/>
              </w:rPr>
            </w:pPr>
            <w:r w:rsidRPr="005633D9">
              <w:rPr>
                <w:b/>
                <w:lang w:val="en-GB"/>
              </w:rPr>
              <w:t>$199.90</w:t>
            </w:r>
          </w:p>
        </w:tc>
        <w:tc>
          <w:tcPr>
            <w:tcW w:w="1142" w:type="dxa"/>
            <w:shd w:val="clear" w:color="auto" w:fill="auto"/>
            <w:noWrap/>
          </w:tcPr>
          <w:p w:rsidR="00B602B3" w:rsidRPr="005633D9" w:rsidRDefault="00B602B3" w:rsidP="002379D3">
            <w:pPr>
              <w:pStyle w:val="ExhibitText"/>
              <w:jc w:val="right"/>
              <w:rPr>
                <w:b/>
                <w:lang w:val="en-GB"/>
              </w:rPr>
            </w:pPr>
            <w:r w:rsidRPr="005633D9">
              <w:rPr>
                <w:b/>
                <w:lang w:val="en-GB"/>
              </w:rPr>
              <w:t>$153.77</w:t>
            </w:r>
          </w:p>
        </w:tc>
        <w:tc>
          <w:tcPr>
            <w:tcW w:w="1142" w:type="dxa"/>
            <w:shd w:val="clear" w:color="auto" w:fill="auto"/>
            <w:noWrap/>
          </w:tcPr>
          <w:p w:rsidR="00B602B3" w:rsidRPr="005633D9" w:rsidRDefault="00B602B3" w:rsidP="002379D3">
            <w:pPr>
              <w:pStyle w:val="ExhibitText"/>
              <w:jc w:val="right"/>
              <w:rPr>
                <w:b/>
                <w:lang w:val="en-GB"/>
              </w:rPr>
            </w:pPr>
            <w:r w:rsidRPr="005633D9">
              <w:rPr>
                <w:b/>
                <w:lang w:val="en-GB"/>
              </w:rPr>
              <w:t>$133.27</w:t>
            </w:r>
          </w:p>
        </w:tc>
        <w:tc>
          <w:tcPr>
            <w:tcW w:w="1142" w:type="dxa"/>
            <w:shd w:val="clear" w:color="auto" w:fill="auto"/>
            <w:noWrap/>
          </w:tcPr>
          <w:p w:rsidR="00B602B3" w:rsidRPr="005633D9" w:rsidRDefault="00B602B3" w:rsidP="002379D3">
            <w:pPr>
              <w:pStyle w:val="ExhibitText"/>
              <w:jc w:val="right"/>
              <w:rPr>
                <w:b/>
                <w:lang w:val="en-GB"/>
              </w:rPr>
            </w:pPr>
            <w:r w:rsidRPr="005633D9">
              <w:rPr>
                <w:b/>
                <w:lang w:val="en-GB"/>
              </w:rPr>
              <w:t>$117.59</w:t>
            </w:r>
          </w:p>
        </w:tc>
      </w:tr>
      <w:tr w:rsidR="00B473DD" w:rsidRPr="005633D9" w:rsidTr="00C26677">
        <w:trPr>
          <w:cnfStyle w:val="000000100000" w:firstRow="0" w:lastRow="0" w:firstColumn="0" w:lastColumn="0" w:oddVBand="0" w:evenVBand="0" w:oddHBand="1" w:evenHBand="0" w:firstRowFirstColumn="0" w:firstRowLastColumn="0" w:lastRowFirstColumn="0" w:lastRowLastColumn="0"/>
          <w:cantSplit/>
          <w:trHeight w:val="288"/>
        </w:trPr>
        <w:tc>
          <w:tcPr>
            <w:tcW w:w="1495" w:type="dxa"/>
            <w:noWrap/>
          </w:tcPr>
          <w:p w:rsidR="00B473DD" w:rsidRPr="005633D9" w:rsidRDefault="00B473DD" w:rsidP="00F13584">
            <w:pPr>
              <w:pStyle w:val="ExhibitText"/>
              <w:rPr>
                <w:lang w:val="en-GB"/>
              </w:rPr>
            </w:pPr>
            <w:r w:rsidRPr="005633D9">
              <w:rPr>
                <w:lang w:val="en-GB"/>
              </w:rPr>
              <w:t>Worst-case non</w:t>
            </w:r>
            <w:r w:rsidR="00F13584" w:rsidRPr="005633D9">
              <w:rPr>
                <w:lang w:val="en-GB"/>
              </w:rPr>
              <w:t>-</w:t>
            </w:r>
            <w:r w:rsidRPr="005633D9">
              <w:rPr>
                <w:lang w:val="en-GB"/>
              </w:rPr>
              <w:t xml:space="preserve">adherence to RCT, Whole Group + </w:t>
            </w:r>
            <w:r w:rsidR="00F93043">
              <w:t>the QED implementer</w:t>
            </w:r>
          </w:p>
        </w:tc>
        <w:tc>
          <w:tcPr>
            <w:tcW w:w="1404" w:type="dxa"/>
            <w:noWrap/>
          </w:tcPr>
          <w:p w:rsidR="00B473DD" w:rsidRPr="005633D9" w:rsidRDefault="00B473DD" w:rsidP="002379D3">
            <w:pPr>
              <w:pStyle w:val="ExhibitText"/>
              <w:jc w:val="right"/>
              <w:rPr>
                <w:lang w:val="en-GB"/>
              </w:rPr>
            </w:pPr>
            <w:r w:rsidRPr="005633D9">
              <w:rPr>
                <w:lang w:val="en-GB"/>
              </w:rPr>
              <w:t>4.6</w:t>
            </w:r>
          </w:p>
        </w:tc>
        <w:tc>
          <w:tcPr>
            <w:tcW w:w="1404" w:type="dxa"/>
            <w:noWrap/>
          </w:tcPr>
          <w:p w:rsidR="00B473DD" w:rsidRPr="005633D9" w:rsidRDefault="00B473DD" w:rsidP="002379D3">
            <w:pPr>
              <w:pStyle w:val="ExhibitText"/>
              <w:jc w:val="right"/>
              <w:rPr>
                <w:lang w:val="en-GB"/>
              </w:rPr>
            </w:pPr>
            <w:r w:rsidRPr="005633D9">
              <w:rPr>
                <w:lang w:val="en-GB"/>
              </w:rPr>
              <w:t>870</w:t>
            </w:r>
          </w:p>
        </w:tc>
        <w:tc>
          <w:tcPr>
            <w:tcW w:w="705" w:type="dxa"/>
            <w:noWrap/>
          </w:tcPr>
          <w:p w:rsidR="00B473DD" w:rsidRPr="005633D9" w:rsidRDefault="00B473DD" w:rsidP="002379D3">
            <w:pPr>
              <w:pStyle w:val="ExhibitText"/>
              <w:jc w:val="right"/>
              <w:rPr>
                <w:lang w:val="en-GB"/>
              </w:rPr>
            </w:pPr>
            <w:r w:rsidRPr="005633D9">
              <w:rPr>
                <w:lang w:val="en-GB"/>
              </w:rPr>
              <w:t>$61</w:t>
            </w:r>
          </w:p>
        </w:tc>
        <w:tc>
          <w:tcPr>
            <w:tcW w:w="1142" w:type="dxa"/>
            <w:noWrap/>
          </w:tcPr>
          <w:p w:rsidR="00B473DD" w:rsidRPr="005633D9" w:rsidRDefault="00B473DD" w:rsidP="002379D3">
            <w:pPr>
              <w:pStyle w:val="ExhibitText"/>
              <w:jc w:val="right"/>
              <w:rPr>
                <w:b/>
                <w:lang w:val="en-GB"/>
              </w:rPr>
            </w:pPr>
            <w:r w:rsidRPr="005633D9">
              <w:rPr>
                <w:b/>
                <w:lang w:val="en-GB"/>
              </w:rPr>
              <w:t>$122.43</w:t>
            </w:r>
          </w:p>
        </w:tc>
        <w:tc>
          <w:tcPr>
            <w:tcW w:w="1142" w:type="dxa"/>
            <w:noWrap/>
          </w:tcPr>
          <w:p w:rsidR="00B473DD" w:rsidRPr="005633D9" w:rsidRDefault="00B473DD" w:rsidP="002379D3">
            <w:pPr>
              <w:pStyle w:val="ExhibitText"/>
              <w:jc w:val="right"/>
              <w:rPr>
                <w:b/>
                <w:lang w:val="en-GB"/>
              </w:rPr>
            </w:pPr>
            <w:r w:rsidRPr="005633D9">
              <w:rPr>
                <w:b/>
                <w:lang w:val="en-GB"/>
              </w:rPr>
              <w:t>$94.18</w:t>
            </w:r>
          </w:p>
        </w:tc>
        <w:tc>
          <w:tcPr>
            <w:tcW w:w="1142" w:type="dxa"/>
            <w:noWrap/>
          </w:tcPr>
          <w:p w:rsidR="00B473DD" w:rsidRPr="005633D9" w:rsidRDefault="00B473DD" w:rsidP="002379D3">
            <w:pPr>
              <w:pStyle w:val="ExhibitText"/>
              <w:jc w:val="right"/>
              <w:rPr>
                <w:b/>
                <w:lang w:val="en-GB"/>
              </w:rPr>
            </w:pPr>
            <w:r w:rsidRPr="005633D9">
              <w:rPr>
                <w:b/>
                <w:lang w:val="en-GB"/>
              </w:rPr>
              <w:t>$81.62</w:t>
            </w:r>
          </w:p>
        </w:tc>
        <w:tc>
          <w:tcPr>
            <w:tcW w:w="1142" w:type="dxa"/>
            <w:noWrap/>
          </w:tcPr>
          <w:p w:rsidR="00B473DD" w:rsidRPr="005633D9" w:rsidRDefault="00B473DD" w:rsidP="002379D3">
            <w:pPr>
              <w:pStyle w:val="ExhibitText"/>
              <w:jc w:val="right"/>
              <w:rPr>
                <w:b/>
                <w:lang w:val="en-GB"/>
              </w:rPr>
            </w:pPr>
            <w:r w:rsidRPr="005633D9">
              <w:rPr>
                <w:b/>
                <w:lang w:val="en-GB"/>
              </w:rPr>
              <w:t>$72.02</w:t>
            </w:r>
          </w:p>
        </w:tc>
      </w:tr>
    </w:tbl>
    <w:p w:rsidR="00546949" w:rsidRPr="005633D9" w:rsidRDefault="00BA60EF" w:rsidP="00BA60EF">
      <w:pPr>
        <w:pStyle w:val="ExhibitSource"/>
        <w:rPr>
          <w:lang w:val="en-GB"/>
        </w:rPr>
      </w:pPr>
      <w:r w:rsidRPr="005633D9">
        <w:rPr>
          <w:b/>
          <w:lang w:val="en-GB"/>
        </w:rPr>
        <w:t>*</w:t>
      </w:r>
      <w:r w:rsidRPr="005633D9">
        <w:rPr>
          <w:lang w:val="en-GB"/>
        </w:rPr>
        <w:t xml:space="preserve">We plan to attempt 15 smallholder interviews per village in the villages associated with aggregators adhering to the randomized design. For the “Whole Group” and “Whole Group + </w:t>
      </w:r>
      <w:r w:rsidR="00F93043">
        <w:t>the QED implementer</w:t>
      </w:r>
      <w:r w:rsidRPr="005633D9">
        <w:rPr>
          <w:lang w:val="en-GB"/>
        </w:rPr>
        <w:t xml:space="preserve">” samples, we plan to attempt six smallholder interviews per village in the group that initially adhered to random assignment, and eight per </w:t>
      </w:r>
      <w:r w:rsidR="00F93043">
        <w:t>the QED implementer</w:t>
      </w:r>
      <w:r w:rsidR="00F93043" w:rsidRPr="005633D9">
        <w:rPr>
          <w:lang w:val="en-GB"/>
        </w:rPr>
        <w:t xml:space="preserve"> </w:t>
      </w:r>
      <w:r w:rsidRPr="005633D9">
        <w:rPr>
          <w:lang w:val="en-GB"/>
        </w:rPr>
        <w:t>village. We anticipate a 90 percent completion rate among attempted interviews, an expectation applied to the number of attempted interviews (not shown) in order to obtain the total number of smallholders interviewed displayed in the third column. We anticipate a higher completion rate among attempted interviews than we do for the one-year impact estimates because there are no baseline data for this contrast, and thus sample attrition is not a concern.</w:t>
      </w:r>
    </w:p>
    <w:p w:rsidR="00D139EC" w:rsidRPr="005633D9" w:rsidRDefault="00D139EC" w:rsidP="000A26AA">
      <w:pPr>
        <w:pStyle w:val="Heading3"/>
        <w:rPr>
          <w:lang w:val="en-GB"/>
        </w:rPr>
      </w:pPr>
      <w:bookmarkStart w:id="44" w:name="_Ref381359183"/>
      <w:bookmarkStart w:id="45" w:name="_Ref381359188"/>
      <w:r w:rsidRPr="005633D9">
        <w:rPr>
          <w:lang w:val="en-GB"/>
        </w:rPr>
        <w:t xml:space="preserve">Qualitative </w:t>
      </w:r>
      <w:r w:rsidR="002222A4" w:rsidRPr="005633D9">
        <w:rPr>
          <w:lang w:val="en-GB"/>
        </w:rPr>
        <w:t>analysis</w:t>
      </w:r>
      <w:bookmarkEnd w:id="44"/>
      <w:bookmarkEnd w:id="45"/>
    </w:p>
    <w:p w:rsidR="00D4160A" w:rsidRPr="005633D9" w:rsidRDefault="00D4160A" w:rsidP="00CC5F98">
      <w:pPr>
        <w:pStyle w:val="Heading4"/>
        <w:rPr>
          <w:lang w:val="en-GB"/>
        </w:rPr>
      </w:pPr>
      <w:r w:rsidRPr="005633D9">
        <w:rPr>
          <w:lang w:val="en-GB"/>
        </w:rPr>
        <w:t>Method</w:t>
      </w:r>
    </w:p>
    <w:p w:rsidR="00D139EC" w:rsidRPr="005633D9" w:rsidRDefault="00D139EC" w:rsidP="00D139EC">
      <w:pPr>
        <w:rPr>
          <w:lang w:val="en-GB"/>
        </w:rPr>
      </w:pPr>
      <w:r w:rsidRPr="005633D9">
        <w:rPr>
          <w:lang w:val="en-GB"/>
        </w:rPr>
        <w:t xml:space="preserve">The evaluation of the </w:t>
      </w:r>
      <w:r w:rsidR="00104593">
        <w:rPr>
          <w:lang w:val="en-GB"/>
        </w:rPr>
        <w:t xml:space="preserve">pilot’s </w:t>
      </w:r>
      <w:r w:rsidRPr="005633D9">
        <w:rPr>
          <w:lang w:val="en-GB"/>
        </w:rPr>
        <w:t>impact on smallholder uptake of Aflasafe will rely predominantly on quantitative methods, while qualitative research will enrich the interpretation of results. Specifically, we will complement quantitative baseline and endline analyses of the factors affecting participation in the pilot</w:t>
      </w:r>
      <w:r w:rsidR="00905806" w:rsidRPr="005633D9">
        <w:rPr>
          <w:lang w:val="en-GB"/>
        </w:rPr>
        <w:t xml:space="preserve"> and </w:t>
      </w:r>
      <w:r w:rsidRPr="005633D9">
        <w:rPr>
          <w:lang w:val="en-GB"/>
        </w:rPr>
        <w:t xml:space="preserve">uptake of Aflasafe with qualitative inquiries into the </w:t>
      </w:r>
      <w:r w:rsidR="007A2E54" w:rsidRPr="005633D9">
        <w:rPr>
          <w:lang w:val="en-GB"/>
        </w:rPr>
        <w:t>smallholder</w:t>
      </w:r>
      <w:r w:rsidRPr="005633D9">
        <w:rPr>
          <w:lang w:val="en-GB"/>
        </w:rPr>
        <w:t>s’ perspectives on how participation affected them and the issues underlying these perceived effects.</w:t>
      </w:r>
      <w:r w:rsidR="004975D5" w:rsidRPr="005633D9">
        <w:rPr>
          <w:lang w:val="en-GB"/>
        </w:rPr>
        <w:t xml:space="preserve"> </w:t>
      </w:r>
      <w:r w:rsidR="00D94AEB" w:rsidRPr="005633D9">
        <w:rPr>
          <w:lang w:val="en-GB"/>
        </w:rPr>
        <w:t xml:space="preserve">We will include in our qualitative analysis questions about the participation of women in the pilot and the underlying factors influencing that participation. </w:t>
      </w:r>
    </w:p>
    <w:p w:rsidR="00D139EC" w:rsidRPr="005633D9" w:rsidRDefault="00DD6D44" w:rsidP="00D139EC">
      <w:pPr>
        <w:rPr>
          <w:lang w:val="en-GB"/>
        </w:rPr>
      </w:pPr>
      <w:r w:rsidRPr="005633D9">
        <w:rPr>
          <w:lang w:val="en-GB"/>
        </w:rPr>
        <w:t>We will carry out t</w:t>
      </w:r>
      <w:r w:rsidR="00D139EC" w:rsidRPr="005633D9">
        <w:rPr>
          <w:lang w:val="en-GB"/>
        </w:rPr>
        <w:t xml:space="preserve">he qualitative research protocol in coordination with the quantitative research protocol, with actual implementation between one and two months after the large-sample </w:t>
      </w:r>
      <w:r w:rsidR="007A2E54" w:rsidRPr="005633D9">
        <w:rPr>
          <w:lang w:val="en-GB"/>
        </w:rPr>
        <w:t>smallholder</w:t>
      </w:r>
      <w:r w:rsidR="00D139EC" w:rsidRPr="005633D9">
        <w:rPr>
          <w:lang w:val="en-GB"/>
        </w:rPr>
        <w:t xml:space="preserve"> survey. This delay will ensure that data needed from the </w:t>
      </w:r>
      <w:r w:rsidR="007A2E54" w:rsidRPr="005633D9">
        <w:rPr>
          <w:lang w:val="en-GB"/>
        </w:rPr>
        <w:t>smallholder</w:t>
      </w:r>
      <w:r w:rsidR="00D139EC" w:rsidRPr="005633D9">
        <w:rPr>
          <w:lang w:val="en-GB"/>
        </w:rPr>
        <w:t xml:space="preserve"> survey for implementation of some aspects of the protocol </w:t>
      </w:r>
      <w:r w:rsidRPr="005633D9">
        <w:rPr>
          <w:lang w:val="en-GB"/>
        </w:rPr>
        <w:t>are</w:t>
      </w:r>
      <w:r w:rsidR="00D139EC" w:rsidRPr="005633D9">
        <w:rPr>
          <w:lang w:val="en-GB"/>
        </w:rPr>
        <w:t xml:space="preserve"> available, as well as allow more time for </w:t>
      </w:r>
      <w:r w:rsidR="00D139EC" w:rsidRPr="005633D9">
        <w:rPr>
          <w:lang w:val="en-GB"/>
        </w:rPr>
        <w:lastRenderedPageBreak/>
        <w:t xml:space="preserve">marketing of maize in the months following harvest than would be possible if </w:t>
      </w:r>
      <w:r w:rsidRPr="005633D9">
        <w:rPr>
          <w:lang w:val="en-GB"/>
        </w:rPr>
        <w:t xml:space="preserve">the qualitative research </w:t>
      </w:r>
      <w:r w:rsidR="00D139EC" w:rsidRPr="005633D9">
        <w:rPr>
          <w:lang w:val="en-GB"/>
        </w:rPr>
        <w:t>were conducted simultaneous</w:t>
      </w:r>
      <w:r w:rsidRPr="005633D9">
        <w:rPr>
          <w:lang w:val="en-GB"/>
        </w:rPr>
        <w:t>ly</w:t>
      </w:r>
      <w:r w:rsidR="00D139EC" w:rsidRPr="005633D9">
        <w:rPr>
          <w:lang w:val="en-GB"/>
        </w:rPr>
        <w:t xml:space="preserve"> with the </w:t>
      </w:r>
      <w:r w:rsidR="007A2E54" w:rsidRPr="005633D9">
        <w:rPr>
          <w:lang w:val="en-GB"/>
        </w:rPr>
        <w:t>smallholder</w:t>
      </w:r>
      <w:r w:rsidR="00D139EC" w:rsidRPr="005633D9">
        <w:rPr>
          <w:lang w:val="en-GB"/>
        </w:rPr>
        <w:t xml:space="preserve"> survey. </w:t>
      </w:r>
    </w:p>
    <w:p w:rsidR="0026707D" w:rsidRPr="005633D9" w:rsidRDefault="0026707D" w:rsidP="00CC5F98">
      <w:pPr>
        <w:pStyle w:val="Heading4"/>
        <w:rPr>
          <w:lang w:val="en-GB"/>
        </w:rPr>
      </w:pPr>
      <w:r w:rsidRPr="005633D9">
        <w:rPr>
          <w:lang w:val="en-GB"/>
        </w:rPr>
        <w:t xml:space="preserve">Data </w:t>
      </w:r>
      <w:r w:rsidR="005A63BB" w:rsidRPr="005633D9">
        <w:rPr>
          <w:lang w:val="en-GB"/>
        </w:rPr>
        <w:t>source</w:t>
      </w:r>
      <w:r w:rsidR="00104593">
        <w:rPr>
          <w:lang w:val="en-GB"/>
        </w:rPr>
        <w:t>s</w:t>
      </w:r>
      <w:r w:rsidR="005A63BB" w:rsidRPr="005633D9">
        <w:rPr>
          <w:lang w:val="en-GB"/>
        </w:rPr>
        <w:t xml:space="preserve"> </w:t>
      </w:r>
    </w:p>
    <w:p w:rsidR="0026707D" w:rsidRPr="005633D9" w:rsidRDefault="0026707D" w:rsidP="00D139EC">
      <w:pPr>
        <w:rPr>
          <w:lang w:val="en-GB"/>
        </w:rPr>
      </w:pPr>
      <w:r w:rsidRPr="005633D9">
        <w:rPr>
          <w:lang w:val="en-GB"/>
        </w:rPr>
        <w:t>We will collect d</w:t>
      </w:r>
      <w:r w:rsidR="00D139EC" w:rsidRPr="005633D9">
        <w:rPr>
          <w:lang w:val="en-GB"/>
        </w:rPr>
        <w:t xml:space="preserve">ata </w:t>
      </w:r>
      <w:r w:rsidRPr="005633D9">
        <w:rPr>
          <w:lang w:val="en-GB"/>
        </w:rPr>
        <w:t>to answer this question</w:t>
      </w:r>
      <w:r w:rsidR="004975D5" w:rsidRPr="005633D9">
        <w:rPr>
          <w:lang w:val="en-GB"/>
        </w:rPr>
        <w:t xml:space="preserve"> from </w:t>
      </w:r>
      <w:r w:rsidR="007A2E54" w:rsidRPr="005633D9">
        <w:rPr>
          <w:lang w:val="en-GB"/>
        </w:rPr>
        <w:t>smallholder</w:t>
      </w:r>
      <w:r w:rsidR="004975D5" w:rsidRPr="005633D9">
        <w:rPr>
          <w:lang w:val="en-GB"/>
        </w:rPr>
        <w:t xml:space="preserve"> surveys</w:t>
      </w:r>
      <w:r w:rsidR="00C73A0F" w:rsidRPr="005633D9">
        <w:rPr>
          <w:lang w:val="en-GB"/>
        </w:rPr>
        <w:t xml:space="preserve">. We will triangulate this information with interviews with the 12 aggregators. </w:t>
      </w:r>
      <w:r w:rsidR="00D139EC" w:rsidRPr="005633D9">
        <w:rPr>
          <w:lang w:val="en-GB"/>
        </w:rPr>
        <w:t xml:space="preserve">We will employ “best practices” to ensure the robustness of our qualitative methods. Best practices in qualitative research include using “naïve” questioning approaches (rather than “leading” questions </w:t>
      </w:r>
      <w:r w:rsidR="00DD6D44" w:rsidRPr="005633D9">
        <w:rPr>
          <w:lang w:val="en-GB"/>
        </w:rPr>
        <w:t>that</w:t>
      </w:r>
      <w:r w:rsidR="00D139EC" w:rsidRPr="005633D9">
        <w:rPr>
          <w:lang w:val="en-GB"/>
        </w:rPr>
        <w:t xml:space="preserve"> introduce bias), triangulation of data sources (for example</w:t>
      </w:r>
      <w:r w:rsidR="00DD6D44" w:rsidRPr="005633D9">
        <w:rPr>
          <w:lang w:val="en-GB"/>
        </w:rPr>
        <w:t>,</w:t>
      </w:r>
      <w:r w:rsidR="00D139EC" w:rsidRPr="005633D9">
        <w:rPr>
          <w:lang w:val="en-GB"/>
        </w:rPr>
        <w:t xml:space="preserve"> seeking information from multiple levels of the marketing chain to obtain diverse explanations of phenomena), and the careful documentation of the evidence supporting results </w:t>
      </w:r>
      <w:r w:rsidR="00D02D78">
        <w:rPr>
          <w:noProof/>
          <w:lang w:val="en-GB"/>
        </w:rPr>
        <w:t>(</w:t>
      </w:r>
      <w:r w:rsidR="00083EBB">
        <w:rPr>
          <w:noProof/>
          <w:lang w:val="en-GB"/>
        </w:rPr>
        <w:t>Yin, 2003</w:t>
      </w:r>
      <w:r w:rsidR="00D02D78">
        <w:rPr>
          <w:noProof/>
          <w:lang w:val="en-GB"/>
        </w:rPr>
        <w:t>)</w:t>
      </w:r>
      <w:r w:rsidR="00D139EC" w:rsidRPr="005633D9">
        <w:rPr>
          <w:lang w:val="en-GB"/>
        </w:rPr>
        <w:t xml:space="preserve">. Much like quantitative research, the validity of qualitative research is also bolstered by leading with theory-based models (such as the SCP framework), as well as actively seeking out disconfirming evidence rather than confirming (much as statistical hypothesis testing can only result in the rejection or failure to reject a null hypothesis rather than its “acceptance”). </w:t>
      </w:r>
    </w:p>
    <w:p w:rsidR="00D139EC" w:rsidRPr="005633D9" w:rsidRDefault="00D139EC" w:rsidP="00C04C8C">
      <w:pPr>
        <w:pStyle w:val="BodyText"/>
      </w:pPr>
      <w:r w:rsidRPr="005633D9">
        <w:t xml:space="preserve">We will interview </w:t>
      </w:r>
      <w:r w:rsidR="007A2E54" w:rsidRPr="005633D9">
        <w:t>smallholder</w:t>
      </w:r>
      <w:r w:rsidRPr="005633D9">
        <w:t xml:space="preserve">s who are representative of the diversity among Nigerian maize </w:t>
      </w:r>
      <w:r w:rsidR="007A2E54" w:rsidRPr="005633D9">
        <w:t>smallholder</w:t>
      </w:r>
      <w:r w:rsidRPr="005633D9">
        <w:t>s</w:t>
      </w:r>
      <w:r w:rsidR="0026707D" w:rsidRPr="005633D9">
        <w:t>.</w:t>
      </w:r>
      <w:r w:rsidRPr="005633D9">
        <w:t xml:space="preserve"> We will </w:t>
      </w:r>
      <w:r w:rsidR="00D94AEB" w:rsidRPr="005633D9">
        <w:t>use</w:t>
      </w:r>
      <w:r w:rsidRPr="005633D9">
        <w:t xml:space="preserve"> a cluster analysis of the LSMS data to identify predominant </w:t>
      </w:r>
      <w:r w:rsidR="007A2E54" w:rsidRPr="005633D9">
        <w:t>smallholder</w:t>
      </w:r>
      <w:r w:rsidRPr="005633D9">
        <w:t xml:space="preserve"> types to be characterized on the b</w:t>
      </w:r>
      <w:r w:rsidR="00C04C8C" w:rsidRPr="005633D9">
        <w:t>asis of their socio-</w:t>
      </w:r>
      <w:r w:rsidRPr="005633D9">
        <w:t>economic and production/</w:t>
      </w:r>
      <w:r w:rsidR="00104593">
        <w:t>‌</w:t>
      </w:r>
      <w:r w:rsidRPr="005633D9">
        <w:t xml:space="preserve">marketing activities. We </w:t>
      </w:r>
      <w:r w:rsidR="00104593">
        <w:t xml:space="preserve">will </w:t>
      </w:r>
      <w:r w:rsidRPr="005633D9">
        <w:t xml:space="preserve">draw from the </w:t>
      </w:r>
      <w:r w:rsidR="007A2E54" w:rsidRPr="005633D9">
        <w:t>smallholder</w:t>
      </w:r>
      <w:r w:rsidRPr="005633D9">
        <w:t xml:space="preserve"> survey sample to obtain a selection of </w:t>
      </w:r>
      <w:r w:rsidR="007A2E54" w:rsidRPr="005633D9">
        <w:t>smallholder</w:t>
      </w:r>
      <w:r w:rsidRPr="005633D9">
        <w:t xml:space="preserve">s representing each of these major types, and ensure representation of different </w:t>
      </w:r>
      <w:r w:rsidR="007A2E54" w:rsidRPr="005633D9">
        <w:t>aggregator</w:t>
      </w:r>
      <w:r w:rsidRPr="005633D9">
        <w:t xml:space="preserve"> modalities in our sampling. We anticipate conducting approximately </w:t>
      </w:r>
      <w:r w:rsidR="00B77EA1" w:rsidRPr="005633D9">
        <w:t>108</w:t>
      </w:r>
      <w:r w:rsidRPr="005633D9">
        <w:t xml:space="preserve"> </w:t>
      </w:r>
      <w:r w:rsidR="007A2E54" w:rsidRPr="005633D9">
        <w:t>smallholder</w:t>
      </w:r>
      <w:r w:rsidRPr="005633D9">
        <w:t xml:space="preserve"> questionnaires based on the following assumptions: </w:t>
      </w:r>
      <w:r w:rsidR="00C04C8C" w:rsidRPr="005633D9">
        <w:t>(</w:t>
      </w:r>
      <w:r w:rsidRPr="005633D9">
        <w:t xml:space="preserve">1) we will identify </w:t>
      </w:r>
      <w:r w:rsidR="00B77EA1" w:rsidRPr="005633D9">
        <w:t>three</w:t>
      </w:r>
      <w:r w:rsidRPr="005633D9">
        <w:t xml:space="preserve"> predominant </w:t>
      </w:r>
      <w:r w:rsidR="007A2E54" w:rsidRPr="005633D9">
        <w:t>smallholder</w:t>
      </w:r>
      <w:r w:rsidRPr="005633D9">
        <w:t xml:space="preserve"> types in the cluster analysis</w:t>
      </w:r>
      <w:r w:rsidR="00C04C8C" w:rsidRPr="005633D9">
        <w:t>, (</w:t>
      </w:r>
      <w:r w:rsidRPr="005633D9">
        <w:t xml:space="preserve">2) there will be </w:t>
      </w:r>
      <w:r w:rsidR="00C04C8C" w:rsidRPr="005633D9">
        <w:t>12</w:t>
      </w:r>
      <w:r w:rsidR="00B77EA1" w:rsidRPr="005633D9">
        <w:t xml:space="preserve"> (4 more than those examined using quantitative methods)</w:t>
      </w:r>
      <w:r w:rsidRPr="005633D9">
        <w:t xml:space="preserve"> different </w:t>
      </w:r>
      <w:r w:rsidR="007A2E54" w:rsidRPr="005633D9">
        <w:t>aggregator</w:t>
      </w:r>
      <w:r w:rsidRPr="005633D9">
        <w:t xml:space="preserve"> modalities (modality defined as a characteristic way of interacting with the </w:t>
      </w:r>
      <w:r w:rsidR="007A2E54" w:rsidRPr="005633D9">
        <w:t>smallholder</w:t>
      </w:r>
      <w:r w:rsidRPr="005633D9">
        <w:t xml:space="preserve">s to procure Aflasafe-treated maize), and </w:t>
      </w:r>
      <w:r w:rsidR="00C04C8C" w:rsidRPr="005633D9">
        <w:t>(</w:t>
      </w:r>
      <w:r w:rsidRPr="005633D9">
        <w:t>3)</w:t>
      </w:r>
      <w:r w:rsidR="00C04C8C" w:rsidRPr="005633D9">
        <w:t> </w:t>
      </w:r>
      <w:r w:rsidRPr="005633D9">
        <w:t xml:space="preserve">we will interview </w:t>
      </w:r>
      <w:r w:rsidR="00B77EA1" w:rsidRPr="005633D9">
        <w:t>three</w:t>
      </w:r>
      <w:r w:rsidRPr="005633D9">
        <w:t xml:space="preserve"> </w:t>
      </w:r>
      <w:r w:rsidR="007A2E54" w:rsidRPr="005633D9">
        <w:t>smallholder</w:t>
      </w:r>
      <w:r w:rsidRPr="005633D9">
        <w:t xml:space="preserve">s per </w:t>
      </w:r>
      <w:r w:rsidR="007A2E54" w:rsidRPr="005633D9">
        <w:t>smallholder</w:t>
      </w:r>
      <w:r w:rsidRPr="005633D9">
        <w:t xml:space="preserve"> type per modality</w:t>
      </w:r>
      <w:r w:rsidR="00D94AEB" w:rsidRPr="005633D9">
        <w:t xml:space="preserve"> including at least one woman </w:t>
      </w:r>
      <w:r w:rsidR="007A2E54" w:rsidRPr="005633D9">
        <w:t>smallholder</w:t>
      </w:r>
      <w:r w:rsidRPr="005633D9">
        <w:t>.</w:t>
      </w:r>
      <w:r w:rsidR="00243735" w:rsidRPr="005633D9">
        <w:t xml:space="preserve"> </w:t>
      </w:r>
      <w:r w:rsidRPr="005633D9">
        <w:t xml:space="preserve">If major </w:t>
      </w:r>
      <w:r w:rsidR="007A2E54" w:rsidRPr="005633D9">
        <w:t>smallholder</w:t>
      </w:r>
      <w:r w:rsidRPr="005633D9">
        <w:t xml:space="preserve"> types are not accounted for among the selection available through the </w:t>
      </w:r>
      <w:r w:rsidR="007A2E54" w:rsidRPr="005633D9">
        <w:t>smallholder</w:t>
      </w:r>
      <w:r w:rsidRPr="005633D9">
        <w:t xml:space="preserve"> survey sample, we will seek out representatives of these types and interview them to explore factors that might underlie their decision not to participate in the pilot</w:t>
      </w:r>
      <w:r w:rsidR="0081044B" w:rsidRPr="005633D9">
        <w:t>. We will also explore</w:t>
      </w:r>
      <w:r w:rsidRPr="005633D9">
        <w:t xml:space="preserve"> reasons </w:t>
      </w:r>
      <w:r w:rsidR="0081044B" w:rsidRPr="005633D9">
        <w:t>that</w:t>
      </w:r>
      <w:r w:rsidRPr="005633D9">
        <w:t xml:space="preserve"> might underlie their ineligibility and the implications of these factors for potential participation of these </w:t>
      </w:r>
      <w:r w:rsidR="007A2E54" w:rsidRPr="005633D9">
        <w:t>smallholder</w:t>
      </w:r>
      <w:r w:rsidRPr="005633D9">
        <w:t xml:space="preserve">s in markets for Aflasafe-treated/aflatoxin-free maize in the future. The questionnaire that will guide our </w:t>
      </w:r>
      <w:r w:rsidR="007A2E54" w:rsidRPr="005633D9">
        <w:t>smallholder</w:t>
      </w:r>
      <w:r w:rsidRPr="005633D9">
        <w:t xml:space="preserve"> interviews </w:t>
      </w:r>
      <w:r w:rsidR="00D94AEB" w:rsidRPr="005633D9">
        <w:t xml:space="preserve">includes a mix of structured and semi-structured questions, and </w:t>
      </w:r>
      <w:r w:rsidRPr="005633D9">
        <w:t xml:space="preserve">is presented in </w:t>
      </w:r>
      <w:r w:rsidR="009C785F" w:rsidRPr="005633D9">
        <w:t xml:space="preserve">Appendix </w:t>
      </w:r>
      <w:r w:rsidR="00D34D9B">
        <w:t>B</w:t>
      </w:r>
      <w:r w:rsidR="0081044B" w:rsidRPr="005633D9">
        <w:t>.</w:t>
      </w:r>
      <w:r w:rsidRPr="005633D9">
        <w:t xml:space="preserve"> </w:t>
      </w:r>
    </w:p>
    <w:p w:rsidR="00D139EC" w:rsidRPr="005633D9" w:rsidRDefault="00D139EC" w:rsidP="00D139EC">
      <w:pPr>
        <w:rPr>
          <w:lang w:val="en-GB"/>
        </w:rPr>
      </w:pPr>
      <w:r w:rsidRPr="005633D9">
        <w:rPr>
          <w:lang w:val="en-GB"/>
        </w:rPr>
        <w:t>Data collection and entry will be the responsibility of the</w:t>
      </w:r>
      <w:r w:rsidR="00E4447F">
        <w:rPr>
          <w:lang w:val="en-GB"/>
        </w:rPr>
        <w:t xml:space="preserve"> in-country </w:t>
      </w:r>
      <w:r w:rsidRPr="005633D9">
        <w:rPr>
          <w:lang w:val="en-GB"/>
        </w:rPr>
        <w:t xml:space="preserve">Agricultural Economist under supervision of the </w:t>
      </w:r>
      <w:r w:rsidR="00E4447F">
        <w:rPr>
          <w:lang w:val="en-GB"/>
        </w:rPr>
        <w:t xml:space="preserve">Qualitative </w:t>
      </w:r>
      <w:r w:rsidR="00766D06">
        <w:rPr>
          <w:lang w:val="en-GB"/>
        </w:rPr>
        <w:t>Lead</w:t>
      </w:r>
      <w:r w:rsidRPr="005633D9">
        <w:rPr>
          <w:lang w:val="en-GB"/>
        </w:rPr>
        <w:t xml:space="preserve">. The </w:t>
      </w:r>
      <w:r w:rsidR="00E4447F">
        <w:rPr>
          <w:lang w:val="en-GB"/>
        </w:rPr>
        <w:t xml:space="preserve">Qualitative </w:t>
      </w:r>
      <w:r w:rsidR="00766D06">
        <w:rPr>
          <w:lang w:val="en-GB"/>
        </w:rPr>
        <w:t>Lead</w:t>
      </w:r>
      <w:r w:rsidR="00766D06" w:rsidRPr="005633D9">
        <w:rPr>
          <w:lang w:val="en-GB"/>
        </w:rPr>
        <w:t xml:space="preserve"> </w:t>
      </w:r>
      <w:r w:rsidRPr="005633D9">
        <w:rPr>
          <w:lang w:val="en-GB"/>
        </w:rPr>
        <w:t xml:space="preserve">will </w:t>
      </w:r>
      <w:r w:rsidR="004E61F3" w:rsidRPr="005633D9">
        <w:rPr>
          <w:lang w:val="en-GB"/>
        </w:rPr>
        <w:t>analyse</w:t>
      </w:r>
      <w:r w:rsidRPr="005633D9">
        <w:rPr>
          <w:lang w:val="en-GB"/>
        </w:rPr>
        <w:t xml:space="preserve"> the result</w:t>
      </w:r>
      <w:r w:rsidR="0081044B" w:rsidRPr="005633D9">
        <w:rPr>
          <w:lang w:val="en-GB"/>
        </w:rPr>
        <w:t>s</w:t>
      </w:r>
      <w:r w:rsidRPr="005633D9">
        <w:rPr>
          <w:lang w:val="en-GB"/>
        </w:rPr>
        <w:t xml:space="preserve"> in collaboration with the</w:t>
      </w:r>
      <w:r w:rsidR="00E4447F">
        <w:rPr>
          <w:lang w:val="en-GB"/>
        </w:rPr>
        <w:t xml:space="preserve"> in-country</w:t>
      </w:r>
      <w:r w:rsidRPr="005633D9">
        <w:rPr>
          <w:lang w:val="en-GB"/>
        </w:rPr>
        <w:t xml:space="preserve"> Agricultural Economist, and share them </w:t>
      </w:r>
      <w:r w:rsidR="0081044B" w:rsidRPr="005633D9">
        <w:rPr>
          <w:lang w:val="en-GB"/>
        </w:rPr>
        <w:t xml:space="preserve">with </w:t>
      </w:r>
      <w:r w:rsidRPr="005633D9">
        <w:rPr>
          <w:lang w:val="en-GB"/>
        </w:rPr>
        <w:t xml:space="preserve">the Quantitative Expert for integration into the reporting of results. </w:t>
      </w:r>
      <w:r w:rsidR="00905806" w:rsidRPr="005633D9">
        <w:rPr>
          <w:lang w:val="en-GB"/>
        </w:rPr>
        <w:t xml:space="preserve">We will analyse the data using </w:t>
      </w:r>
      <w:r w:rsidR="00D826B6" w:rsidRPr="005633D9">
        <w:rPr>
          <w:lang w:val="en-GB"/>
        </w:rPr>
        <w:t>pattern analysis</w:t>
      </w:r>
      <w:r w:rsidR="00905806" w:rsidRPr="005633D9">
        <w:rPr>
          <w:lang w:val="en-GB"/>
        </w:rPr>
        <w:t xml:space="preserve"> to identify common themes on factor</w:t>
      </w:r>
      <w:r w:rsidR="00223DD0" w:rsidRPr="005633D9">
        <w:rPr>
          <w:lang w:val="en-GB"/>
        </w:rPr>
        <w:t>s</w:t>
      </w:r>
      <w:r w:rsidR="00905806" w:rsidRPr="005633D9">
        <w:rPr>
          <w:lang w:val="en-GB"/>
        </w:rPr>
        <w:t xml:space="preserve"> </w:t>
      </w:r>
      <w:r w:rsidR="0081044B" w:rsidRPr="005633D9">
        <w:rPr>
          <w:lang w:val="en-GB"/>
        </w:rPr>
        <w:t xml:space="preserve">that </w:t>
      </w:r>
      <w:r w:rsidR="00905806" w:rsidRPr="005633D9">
        <w:rPr>
          <w:lang w:val="en-GB"/>
        </w:rPr>
        <w:t>aided or impeded smallholders in adopting Afl</w:t>
      </w:r>
      <w:r w:rsidR="00564F4B" w:rsidRPr="005633D9">
        <w:rPr>
          <w:lang w:val="en-GB"/>
        </w:rPr>
        <w:t>a</w:t>
      </w:r>
      <w:r w:rsidR="00905806" w:rsidRPr="005633D9">
        <w:rPr>
          <w:lang w:val="en-GB"/>
        </w:rPr>
        <w:t xml:space="preserve">safe, </w:t>
      </w:r>
      <w:r w:rsidR="0081044B" w:rsidRPr="005633D9">
        <w:rPr>
          <w:lang w:val="en-GB"/>
        </w:rPr>
        <w:t>the</w:t>
      </w:r>
      <w:r w:rsidR="00905806" w:rsidRPr="005633D9">
        <w:rPr>
          <w:lang w:val="en-GB"/>
        </w:rPr>
        <w:t xml:space="preserve"> types of contractual arrangements </w:t>
      </w:r>
      <w:r w:rsidR="0081044B" w:rsidRPr="005633D9">
        <w:rPr>
          <w:lang w:val="en-GB"/>
        </w:rPr>
        <w:t xml:space="preserve">that </w:t>
      </w:r>
      <w:r w:rsidR="00905806" w:rsidRPr="005633D9">
        <w:rPr>
          <w:lang w:val="en-GB"/>
        </w:rPr>
        <w:t>were perceived as more suitable for adoption</w:t>
      </w:r>
      <w:r w:rsidR="0081044B" w:rsidRPr="005633D9">
        <w:rPr>
          <w:lang w:val="en-GB"/>
        </w:rPr>
        <w:t>,</w:t>
      </w:r>
      <w:r w:rsidR="00905806" w:rsidRPr="005633D9">
        <w:rPr>
          <w:lang w:val="en-GB"/>
        </w:rPr>
        <w:t xml:space="preserve"> and </w:t>
      </w:r>
      <w:r w:rsidR="0081044B" w:rsidRPr="005633D9">
        <w:rPr>
          <w:lang w:val="en-GB"/>
        </w:rPr>
        <w:t xml:space="preserve">the </w:t>
      </w:r>
      <w:r w:rsidR="00905806" w:rsidRPr="005633D9">
        <w:rPr>
          <w:lang w:val="en-GB"/>
        </w:rPr>
        <w:t xml:space="preserve">characteristics of smallholders or aggregators </w:t>
      </w:r>
      <w:r w:rsidR="0081044B" w:rsidRPr="005633D9">
        <w:rPr>
          <w:lang w:val="en-GB"/>
        </w:rPr>
        <w:t xml:space="preserve">that </w:t>
      </w:r>
      <w:r w:rsidR="00905806" w:rsidRPr="005633D9">
        <w:rPr>
          <w:lang w:val="en-GB"/>
        </w:rPr>
        <w:t>aided or impeded better adoption.</w:t>
      </w:r>
    </w:p>
    <w:p w:rsidR="00D45960" w:rsidRPr="005633D9" w:rsidRDefault="00D45960" w:rsidP="0009159C">
      <w:pPr>
        <w:pStyle w:val="Heading2"/>
        <w:spacing w:after="120"/>
        <w:rPr>
          <w:lang w:val="en-GB"/>
        </w:rPr>
      </w:pPr>
      <w:bookmarkStart w:id="46" w:name="_Toc407700413"/>
      <w:r w:rsidRPr="005633D9">
        <w:rPr>
          <w:lang w:val="en-GB"/>
        </w:rPr>
        <w:lastRenderedPageBreak/>
        <w:t xml:space="preserve">Evaluation </w:t>
      </w:r>
      <w:r w:rsidR="000A26AA" w:rsidRPr="005633D9">
        <w:rPr>
          <w:lang w:val="en-GB"/>
        </w:rPr>
        <w:t xml:space="preserve">question </w:t>
      </w:r>
      <w:r w:rsidR="00A7717D" w:rsidRPr="005633D9">
        <w:rPr>
          <w:lang w:val="en-GB"/>
        </w:rPr>
        <w:t>3</w:t>
      </w:r>
      <w:r w:rsidRPr="005633D9">
        <w:rPr>
          <w:lang w:val="en-GB"/>
        </w:rPr>
        <w:t>: What has been AgResults’ impact on smallholder income?</w:t>
      </w:r>
      <w:bookmarkEnd w:id="46"/>
    </w:p>
    <w:p w:rsidR="00D45960" w:rsidRPr="005633D9" w:rsidRDefault="00D45960" w:rsidP="00D45960">
      <w:pPr>
        <w:pStyle w:val="BodyText"/>
      </w:pPr>
      <w:r w:rsidRPr="005633D9">
        <w:t xml:space="preserve">Farmers who participate in the AgResults interventions are expected to benefit economically in various ways, including higher output prices, increased yields, reduced product loss/spoilage, and reduced food expenditures—all of which have direct impacts on farmer net revenues </w:t>
      </w:r>
      <w:r w:rsidR="00D826B6" w:rsidRPr="005633D9">
        <w:t>(or what we interchangeably call income in this document)</w:t>
      </w:r>
      <w:r w:rsidRPr="005633D9">
        <w:t xml:space="preserve">. While health benefits are also anticipated to result from uptake of the technology innovations, the question of health impacts for participating smallholder </w:t>
      </w:r>
      <w:r w:rsidR="00223DD0" w:rsidRPr="005633D9">
        <w:t xml:space="preserve">households </w:t>
      </w:r>
      <w:r w:rsidRPr="005633D9">
        <w:t>is beyond the scope of the evaluation</w:t>
      </w:r>
      <w:r w:rsidR="006E4244" w:rsidRPr="005633D9">
        <w:t>,</w:t>
      </w:r>
      <w:r w:rsidRPr="005633D9">
        <w:t xml:space="preserve"> and its inclusion would be prohibitively costly.</w:t>
      </w:r>
      <w:r w:rsidR="00270A78" w:rsidRPr="005633D9">
        <w:t xml:space="preserve"> It is useful to point out that one of the challenges in measuring impacts on health is that aflatoxin prevalence depends on environmental factors such as rainfall, moisture</w:t>
      </w:r>
      <w:r w:rsidR="006E4244" w:rsidRPr="005633D9">
        <w:t>,</w:t>
      </w:r>
      <w:r w:rsidR="00270A78" w:rsidRPr="005633D9">
        <w:t xml:space="preserve"> and temperature. </w:t>
      </w:r>
      <w:r w:rsidR="006E4244" w:rsidRPr="005633D9">
        <w:t xml:space="preserve">As discussed in Section </w:t>
      </w:r>
      <w:r w:rsidR="006E4244" w:rsidRPr="005633D9">
        <w:fldChar w:fldCharType="begin"/>
      </w:r>
      <w:r w:rsidR="006E4244" w:rsidRPr="005633D9">
        <w:instrText xml:space="preserve"> REF _Ref403466420 \r \h </w:instrText>
      </w:r>
      <w:r w:rsidR="006E4244" w:rsidRPr="005633D9">
        <w:fldChar w:fldCharType="separate"/>
      </w:r>
      <w:r w:rsidR="00F33102">
        <w:t>3.2</w:t>
      </w:r>
      <w:r w:rsidR="006E4244" w:rsidRPr="005633D9">
        <w:fldChar w:fldCharType="end"/>
      </w:r>
      <w:r w:rsidR="006E4244" w:rsidRPr="005633D9">
        <w:t>, i</w:t>
      </w:r>
      <w:r w:rsidR="00270A78" w:rsidRPr="005633D9">
        <w:t xml:space="preserve">t is possible that aflatoxin prevalence </w:t>
      </w:r>
      <w:r w:rsidR="006E4244" w:rsidRPr="005633D9">
        <w:t xml:space="preserve">could be </w:t>
      </w:r>
      <w:r w:rsidR="00270A78" w:rsidRPr="005633D9">
        <w:t>naturally low</w:t>
      </w:r>
      <w:r w:rsidR="006E4244" w:rsidRPr="005633D9">
        <w:t xml:space="preserve"> at the time of evaluation observations</w:t>
      </w:r>
      <w:r w:rsidR="00270A78" w:rsidRPr="005633D9">
        <w:t>, giving a potentially misleading impression that pull mechanisms have no impact or only</w:t>
      </w:r>
      <w:r w:rsidR="00243735" w:rsidRPr="005633D9">
        <w:t xml:space="preserve"> </w:t>
      </w:r>
      <w:r w:rsidR="00270A78" w:rsidRPr="005633D9">
        <w:t>a small impact on reducing aflatoxin presence in the maize</w:t>
      </w:r>
      <w:r w:rsidR="006E4244" w:rsidRPr="005633D9">
        <w:t>.</w:t>
      </w:r>
      <w:r w:rsidR="00270A78" w:rsidRPr="005633D9">
        <w:t xml:space="preserve"> </w:t>
      </w:r>
      <w:r w:rsidR="006E4244" w:rsidRPr="005633D9">
        <w:t xml:space="preserve">In contrast, </w:t>
      </w:r>
      <w:r w:rsidR="00270A78" w:rsidRPr="005633D9">
        <w:t xml:space="preserve">in a year in which farming conditions are </w:t>
      </w:r>
      <w:r w:rsidR="006E4244" w:rsidRPr="005633D9">
        <w:t>favour</w:t>
      </w:r>
      <w:r w:rsidR="00270A78" w:rsidRPr="005633D9">
        <w:t>able to aflatoxin accumulation</w:t>
      </w:r>
      <w:r w:rsidR="006E4244" w:rsidRPr="005633D9">
        <w:t>,</w:t>
      </w:r>
      <w:r w:rsidR="00270A78" w:rsidRPr="005633D9">
        <w:t xml:space="preserve"> a substantial impact </w:t>
      </w:r>
      <w:r w:rsidR="006E4244" w:rsidRPr="005633D9">
        <w:t>could be observed</w:t>
      </w:r>
      <w:r w:rsidR="00270A78" w:rsidRPr="005633D9">
        <w:t>.</w:t>
      </w:r>
      <w:r w:rsidR="00243735" w:rsidRPr="005633D9">
        <w:t xml:space="preserve"> </w:t>
      </w:r>
      <w:r w:rsidR="00270A78" w:rsidRPr="005633D9">
        <w:t xml:space="preserve">Therefore, it is important to measure the impact of AgResults on an indicator that, over the course of many harvests and hence on average, will create crops with </w:t>
      </w:r>
      <w:r w:rsidR="00FB70A4">
        <w:t>lower levels of</w:t>
      </w:r>
      <w:r w:rsidR="00FB70A4" w:rsidRPr="005633D9">
        <w:t xml:space="preserve"> </w:t>
      </w:r>
      <w:r w:rsidR="00270A78" w:rsidRPr="005633D9">
        <w:t>aflatoxin</w:t>
      </w:r>
      <w:r w:rsidR="00FB70A4">
        <w:t>s</w:t>
      </w:r>
      <w:r w:rsidR="00270A78" w:rsidRPr="005633D9">
        <w:t>:</w:t>
      </w:r>
      <w:r w:rsidR="00243735" w:rsidRPr="005633D9">
        <w:t xml:space="preserve"> </w:t>
      </w:r>
      <w:r w:rsidR="00270A78" w:rsidRPr="005633D9">
        <w:t>the presence of Aflasafe in harvested maize.</w:t>
      </w:r>
      <w:r w:rsidR="00243735" w:rsidRPr="005633D9">
        <w:t xml:space="preserve"> </w:t>
      </w:r>
      <w:r w:rsidR="006E4244" w:rsidRPr="005633D9">
        <w:t>We will address this impact</w:t>
      </w:r>
      <w:r w:rsidR="00270A78" w:rsidRPr="005633D9">
        <w:t xml:space="preserve"> quantitatively in the analysis of </w:t>
      </w:r>
      <w:r w:rsidR="006E4244" w:rsidRPr="005633D9">
        <w:t>evaluation q</w:t>
      </w:r>
      <w:r w:rsidR="00270A78" w:rsidRPr="005633D9">
        <w:t>uestion 2 on Aflasafe technology uptake.</w:t>
      </w:r>
    </w:p>
    <w:p w:rsidR="00781AED" w:rsidRPr="005633D9" w:rsidRDefault="00D45960" w:rsidP="00905806">
      <w:pPr>
        <w:pStyle w:val="BodyText"/>
      </w:pPr>
      <w:r w:rsidRPr="005633D9">
        <w:t xml:space="preserve">Our analysis of income impacts will use outcome data for </w:t>
      </w:r>
      <w:r w:rsidR="00781AED" w:rsidRPr="005633D9">
        <w:t xml:space="preserve">targeted </w:t>
      </w:r>
      <w:r w:rsidRPr="005633D9">
        <w:t>smallholders</w:t>
      </w:r>
      <w:r w:rsidR="00781AED" w:rsidRPr="005633D9">
        <w:t xml:space="preserve"> (including targeted farmers </w:t>
      </w:r>
      <w:r w:rsidR="00517D38" w:rsidRPr="005633D9">
        <w:t>who</w:t>
      </w:r>
      <w:r w:rsidR="00781AED" w:rsidRPr="005633D9">
        <w:t xml:space="preserve"> do not participate)</w:t>
      </w:r>
      <w:r w:rsidRPr="005633D9">
        <w:t xml:space="preserve"> and their counterparts in the control group</w:t>
      </w:r>
      <w:r w:rsidR="007E6A18" w:rsidRPr="005633D9">
        <w:t xml:space="preserve"> with sample sizes and statistical power as described in the previous section</w:t>
      </w:r>
      <w:r w:rsidRPr="005633D9">
        <w:t>.</w:t>
      </w:r>
      <w:r w:rsidR="002B2B01" w:rsidRPr="005633D9">
        <w:t xml:space="preserve"> </w:t>
      </w:r>
      <w:r w:rsidR="00781AED" w:rsidRPr="005633D9">
        <w:t>We</w:t>
      </w:r>
      <w:r w:rsidRPr="005633D9">
        <w:t xml:space="preserve"> will estimate </w:t>
      </w:r>
      <w:r w:rsidR="007735DB" w:rsidRPr="005633D9">
        <w:t xml:space="preserve">Equation </w:t>
      </w:r>
      <w:r w:rsidRPr="005633D9">
        <w:t xml:space="preserve">[1] described in Section </w:t>
      </w:r>
      <w:r w:rsidR="00104593">
        <w:fldChar w:fldCharType="begin"/>
      </w:r>
      <w:r w:rsidR="00104593">
        <w:instrText xml:space="preserve"> REF _Ref406731674 \r \h </w:instrText>
      </w:r>
      <w:r w:rsidR="00104593">
        <w:fldChar w:fldCharType="separate"/>
      </w:r>
      <w:r w:rsidR="00104593">
        <w:t>3.2.1</w:t>
      </w:r>
      <w:r w:rsidR="00104593">
        <w:fldChar w:fldCharType="end"/>
      </w:r>
      <w:r w:rsidRPr="005633D9">
        <w:t xml:space="preserve"> with a dependent variable, </w:t>
      </w:r>
      <w:r w:rsidRPr="005633D9">
        <w:rPr>
          <w:i/>
        </w:rPr>
        <w:t>Y</w:t>
      </w:r>
      <w:r w:rsidRPr="005633D9">
        <w:t>, that measures smallholder net r</w:t>
      </w:r>
      <w:r w:rsidR="00905806" w:rsidRPr="005633D9">
        <w:t xml:space="preserve">evenue from maize cultivation. </w:t>
      </w:r>
      <w:r w:rsidR="00781AED" w:rsidRPr="005633D9">
        <w:t xml:space="preserve">We will also assess the impacts separately on maize yields and sale price of maize to separate the impact of the pilot on yield increase and price premiums gained. </w:t>
      </w:r>
    </w:p>
    <w:p w:rsidR="00543C9F" w:rsidRPr="005633D9" w:rsidRDefault="004975D5" w:rsidP="00543C9F">
      <w:pPr>
        <w:pStyle w:val="BodyText"/>
      </w:pPr>
      <w:r w:rsidRPr="005633D9">
        <w:t>We will conduct subgroup analysis, focusing specifically on women farmer</w:t>
      </w:r>
      <w:r w:rsidR="000A272E" w:rsidRPr="005633D9">
        <w:t>s</w:t>
      </w:r>
      <w:r w:rsidRPr="005633D9">
        <w:t xml:space="preserve">. </w:t>
      </w:r>
      <w:r w:rsidR="00905806" w:rsidRPr="005633D9">
        <w:t>We will complement quantitative baseline and endline analyses of the factors affecting income effects with qualitative inquiries into the farmers’ perspectives on how participation affected them and the issues underlying these perceived effects</w:t>
      </w:r>
      <w:r w:rsidRPr="005633D9">
        <w:t>, again focusing on women farmers and tailoring our questions based on the results we find</w:t>
      </w:r>
      <w:r w:rsidR="00905806" w:rsidRPr="005633D9">
        <w:t>.</w:t>
      </w:r>
      <w:r w:rsidR="00270A78" w:rsidRPr="005633D9">
        <w:t xml:space="preserve"> </w:t>
      </w:r>
      <w:r w:rsidR="00854B65" w:rsidRPr="005633D9">
        <w:t>We will conduct t</w:t>
      </w:r>
      <w:r w:rsidR="00270A78" w:rsidRPr="005633D9">
        <w:t xml:space="preserve">he qualitative analysis on data collected from semi-structured interviews (as described in greater detail in Section </w:t>
      </w:r>
      <w:r w:rsidR="00270A78" w:rsidRPr="005633D9">
        <w:fldChar w:fldCharType="begin"/>
      </w:r>
      <w:r w:rsidR="00270A78" w:rsidRPr="005633D9">
        <w:instrText xml:space="preserve"> REF _Ref381359188 \w \h </w:instrText>
      </w:r>
      <w:r w:rsidR="00270A78" w:rsidRPr="005633D9">
        <w:fldChar w:fldCharType="separate"/>
      </w:r>
      <w:r w:rsidR="00F33102">
        <w:t>3.2.2</w:t>
      </w:r>
      <w:r w:rsidR="00270A78" w:rsidRPr="005633D9">
        <w:fldChar w:fldCharType="end"/>
      </w:r>
      <w:r w:rsidR="00270A78" w:rsidRPr="005633D9">
        <w:t xml:space="preserve">) using </w:t>
      </w:r>
      <w:r w:rsidR="00D826B6" w:rsidRPr="005633D9">
        <w:t>pattern analysis</w:t>
      </w:r>
      <w:r w:rsidR="00270A78" w:rsidRPr="005633D9">
        <w:t xml:space="preserve"> to identify common themes on how participation in the pilot affected their incomes and key reasons why income increases were realized.</w:t>
      </w:r>
      <w:r w:rsidR="00B77EA1" w:rsidRPr="005633D9">
        <w:t xml:space="preserve"> We will triangulate </w:t>
      </w:r>
      <w:r w:rsidR="00854B65" w:rsidRPr="005633D9">
        <w:t>these</w:t>
      </w:r>
      <w:r w:rsidR="00B77EA1" w:rsidRPr="005633D9">
        <w:t xml:space="preserve"> data with information from the aggregators.</w:t>
      </w:r>
      <w:r w:rsidR="00543C9F" w:rsidRPr="005633D9">
        <w:t xml:space="preserve"> </w:t>
      </w:r>
      <w:r w:rsidR="006736D0" w:rsidRPr="005633D9">
        <w:fldChar w:fldCharType="begin"/>
      </w:r>
      <w:r w:rsidR="006736D0" w:rsidRPr="005633D9">
        <w:instrText xml:space="preserve"> REF _Ref403423880 \h </w:instrText>
      </w:r>
      <w:r w:rsidR="006736D0" w:rsidRPr="005633D9">
        <w:fldChar w:fldCharType="separate"/>
      </w:r>
      <w:r w:rsidR="00F33102" w:rsidRPr="005633D9">
        <w:t xml:space="preserve">Table </w:t>
      </w:r>
      <w:r w:rsidR="00F33102">
        <w:rPr>
          <w:noProof/>
        </w:rPr>
        <w:t>3</w:t>
      </w:r>
      <w:r w:rsidR="00F33102" w:rsidRPr="005633D9">
        <w:noBreakHyphen/>
      </w:r>
      <w:r w:rsidR="00F33102">
        <w:rPr>
          <w:noProof/>
        </w:rPr>
        <w:t>6</w:t>
      </w:r>
      <w:r w:rsidR="006736D0" w:rsidRPr="005633D9">
        <w:fldChar w:fldCharType="end"/>
      </w:r>
      <w:r w:rsidR="00543C9F" w:rsidRPr="005633D9">
        <w:t xml:space="preserve"> </w:t>
      </w:r>
      <w:r w:rsidR="00854B65" w:rsidRPr="005633D9">
        <w:t>summarizes</w:t>
      </w:r>
      <w:r w:rsidR="00543C9F" w:rsidRPr="005633D9">
        <w:t xml:space="preserve"> the key evaluation method and the key outcome measures to answer evaluation question 3.</w:t>
      </w:r>
    </w:p>
    <w:p w:rsidR="00A43987" w:rsidRPr="005633D9" w:rsidRDefault="00A43987" w:rsidP="00A43987">
      <w:pPr>
        <w:pStyle w:val="Caption"/>
        <w:rPr>
          <w:lang w:val="en-GB"/>
        </w:rPr>
      </w:pPr>
      <w:bookmarkStart w:id="47" w:name="_Ref403423880"/>
      <w:bookmarkStart w:id="48" w:name="_Toc407700438"/>
      <w:r w:rsidRPr="005633D9">
        <w:rPr>
          <w:lang w:val="en-GB"/>
        </w:rPr>
        <w:t xml:space="preserve">Table </w:t>
      </w:r>
      <w:r w:rsidRPr="005633D9">
        <w:rPr>
          <w:lang w:val="en-GB"/>
        </w:rPr>
        <w:fldChar w:fldCharType="begin"/>
      </w:r>
      <w:r w:rsidRPr="005633D9">
        <w:rPr>
          <w:lang w:val="en-GB"/>
        </w:rPr>
        <w:instrText xml:space="preserve"> STYLEREF 1 \s </w:instrText>
      </w:r>
      <w:r w:rsidRPr="005633D9">
        <w:rPr>
          <w:lang w:val="en-GB"/>
        </w:rPr>
        <w:fldChar w:fldCharType="separate"/>
      </w:r>
      <w:r w:rsidR="00F33102">
        <w:rPr>
          <w:noProof/>
          <w:lang w:val="en-GB"/>
        </w:rPr>
        <w:t>3</w:t>
      </w:r>
      <w:r w:rsidRPr="005633D9">
        <w:rPr>
          <w:lang w:val="en-GB"/>
        </w:rPr>
        <w:fldChar w:fldCharType="end"/>
      </w:r>
      <w:r w:rsidRPr="005633D9">
        <w:rPr>
          <w:lang w:val="en-GB"/>
        </w:rPr>
        <w:noBreakHyphen/>
      </w:r>
      <w:r w:rsidRPr="005633D9">
        <w:rPr>
          <w:lang w:val="en-GB"/>
        </w:rPr>
        <w:fldChar w:fldCharType="begin"/>
      </w:r>
      <w:r w:rsidRPr="005633D9">
        <w:rPr>
          <w:lang w:val="en-GB"/>
        </w:rPr>
        <w:instrText xml:space="preserve"> SEQ Table \* ARABIC \s 1 </w:instrText>
      </w:r>
      <w:r w:rsidRPr="005633D9">
        <w:rPr>
          <w:lang w:val="en-GB"/>
        </w:rPr>
        <w:fldChar w:fldCharType="separate"/>
      </w:r>
      <w:r w:rsidR="00F33102">
        <w:rPr>
          <w:noProof/>
          <w:lang w:val="en-GB"/>
        </w:rPr>
        <w:t>6</w:t>
      </w:r>
      <w:r w:rsidRPr="005633D9">
        <w:rPr>
          <w:lang w:val="en-GB"/>
        </w:rPr>
        <w:fldChar w:fldCharType="end"/>
      </w:r>
      <w:bookmarkEnd w:id="47"/>
      <w:r w:rsidRPr="005633D9">
        <w:rPr>
          <w:lang w:val="en-GB"/>
        </w:rPr>
        <w:t>.</w:t>
      </w:r>
      <w:r w:rsidRPr="005633D9">
        <w:rPr>
          <w:lang w:val="en-GB"/>
        </w:rPr>
        <w:tab/>
        <w:t xml:space="preserve">Evaluation </w:t>
      </w:r>
      <w:r w:rsidR="000A26AA" w:rsidRPr="005633D9">
        <w:rPr>
          <w:lang w:val="en-GB"/>
        </w:rPr>
        <w:t xml:space="preserve">method and outcome measures for evaluation question </w:t>
      </w:r>
      <w:r w:rsidRPr="005633D9">
        <w:rPr>
          <w:lang w:val="en-GB"/>
        </w:rPr>
        <w:t>3</w:t>
      </w:r>
      <w:bookmarkEnd w:id="48"/>
    </w:p>
    <w:tbl>
      <w:tblPr>
        <w:tblStyle w:val="Abt"/>
        <w:tblW w:w="5000" w:type="pct"/>
        <w:tblLook w:val="04A0" w:firstRow="1" w:lastRow="0" w:firstColumn="1" w:lastColumn="0" w:noHBand="0" w:noVBand="1"/>
      </w:tblPr>
      <w:tblGrid>
        <w:gridCol w:w="4437"/>
        <w:gridCol w:w="5139"/>
      </w:tblGrid>
      <w:tr w:rsidR="003444A7" w:rsidRPr="005633D9" w:rsidTr="003444A7">
        <w:trPr>
          <w:cnfStyle w:val="100000000000" w:firstRow="1" w:lastRow="0" w:firstColumn="0" w:lastColumn="0" w:oddVBand="0" w:evenVBand="0" w:oddHBand="0" w:evenHBand="0" w:firstRowFirstColumn="0" w:firstRowLastColumn="0" w:lastRowFirstColumn="0" w:lastRowLastColumn="0"/>
        </w:trPr>
        <w:tc>
          <w:tcPr>
            <w:tcW w:w="7277" w:type="dxa"/>
            <w:gridSpan w:val="2"/>
          </w:tcPr>
          <w:p w:rsidR="003444A7" w:rsidRPr="005633D9" w:rsidRDefault="003444A7" w:rsidP="003444A7">
            <w:pPr>
              <w:pStyle w:val="ExhibitColumnHead"/>
              <w:rPr>
                <w:b/>
                <w:lang w:val="en-GB"/>
              </w:rPr>
            </w:pPr>
            <w:r w:rsidRPr="005633D9">
              <w:rPr>
                <w:b/>
                <w:lang w:val="en-GB"/>
              </w:rPr>
              <w:t>Evaluation Question 3: What has been AgResults’ impact on smallholder income?</w:t>
            </w:r>
          </w:p>
        </w:tc>
      </w:tr>
      <w:tr w:rsidR="003444A7" w:rsidRPr="005633D9" w:rsidTr="003444A7">
        <w:trPr>
          <w:cnfStyle w:val="000000100000" w:firstRow="0" w:lastRow="0" w:firstColumn="0" w:lastColumn="0" w:oddVBand="0" w:evenVBand="0" w:oddHBand="1" w:evenHBand="0" w:firstRowFirstColumn="0" w:firstRowLastColumn="0" w:lastRowFirstColumn="0" w:lastRowLastColumn="0"/>
        </w:trPr>
        <w:tc>
          <w:tcPr>
            <w:tcW w:w="3372" w:type="dxa"/>
          </w:tcPr>
          <w:p w:rsidR="003444A7" w:rsidRPr="005633D9" w:rsidRDefault="003444A7" w:rsidP="003444A7">
            <w:pPr>
              <w:pStyle w:val="ExhibitColumnHead"/>
              <w:rPr>
                <w:lang w:val="en-GB"/>
              </w:rPr>
            </w:pPr>
            <w:r w:rsidRPr="005633D9">
              <w:rPr>
                <w:lang w:val="en-GB"/>
              </w:rPr>
              <w:t>Evaluation Method</w:t>
            </w:r>
          </w:p>
        </w:tc>
        <w:tc>
          <w:tcPr>
            <w:tcW w:w="3905" w:type="dxa"/>
          </w:tcPr>
          <w:p w:rsidR="003444A7" w:rsidRPr="005633D9" w:rsidRDefault="003444A7" w:rsidP="003444A7">
            <w:pPr>
              <w:pStyle w:val="ExhibitColumnHead"/>
              <w:rPr>
                <w:lang w:val="en-GB"/>
              </w:rPr>
            </w:pPr>
            <w:r w:rsidRPr="005633D9">
              <w:rPr>
                <w:lang w:val="en-GB"/>
              </w:rPr>
              <w:t>Outcome Measures</w:t>
            </w:r>
          </w:p>
        </w:tc>
      </w:tr>
      <w:tr w:rsidR="003444A7" w:rsidRPr="005633D9" w:rsidTr="003444A7">
        <w:trPr>
          <w:cnfStyle w:val="000000010000" w:firstRow="0" w:lastRow="0" w:firstColumn="0" w:lastColumn="0" w:oddVBand="0" w:evenVBand="0" w:oddHBand="0" w:evenHBand="1" w:firstRowFirstColumn="0" w:firstRowLastColumn="0" w:lastRowFirstColumn="0" w:lastRowLastColumn="0"/>
        </w:trPr>
        <w:tc>
          <w:tcPr>
            <w:tcW w:w="3372" w:type="dxa"/>
          </w:tcPr>
          <w:p w:rsidR="003444A7" w:rsidRPr="005633D9" w:rsidRDefault="003444A7" w:rsidP="00A567CD">
            <w:pPr>
              <w:pStyle w:val="ExhibitTextBullets"/>
              <w:rPr>
                <w:lang w:val="en-GB"/>
              </w:rPr>
            </w:pPr>
            <w:r w:rsidRPr="005633D9">
              <w:rPr>
                <w:lang w:val="en-GB"/>
              </w:rPr>
              <w:t>RCT for subgroup of aggregators that agree to randomization and adhere to it</w:t>
            </w:r>
          </w:p>
          <w:p w:rsidR="003444A7" w:rsidRPr="005633D9" w:rsidRDefault="003444A7" w:rsidP="00A567CD">
            <w:pPr>
              <w:pStyle w:val="ExhibitTextBullets"/>
              <w:rPr>
                <w:lang w:val="en-GB"/>
              </w:rPr>
            </w:pPr>
            <w:r w:rsidRPr="005633D9">
              <w:rPr>
                <w:lang w:val="en-GB"/>
              </w:rPr>
              <w:t>Minimum distance matching for other aggregators</w:t>
            </w:r>
          </w:p>
          <w:p w:rsidR="003444A7" w:rsidRPr="005633D9" w:rsidRDefault="003444A7" w:rsidP="00A567CD">
            <w:pPr>
              <w:pStyle w:val="ExhibitTextBullets"/>
              <w:rPr>
                <w:lang w:val="en-GB"/>
              </w:rPr>
            </w:pPr>
            <w:r w:rsidRPr="005633D9">
              <w:rPr>
                <w:lang w:val="en-GB"/>
              </w:rPr>
              <w:t xml:space="preserve">Qualitative analysis </w:t>
            </w:r>
          </w:p>
        </w:tc>
        <w:tc>
          <w:tcPr>
            <w:tcW w:w="3905" w:type="dxa"/>
          </w:tcPr>
          <w:p w:rsidR="003444A7" w:rsidRPr="005633D9" w:rsidRDefault="003444A7" w:rsidP="00FD1593">
            <w:pPr>
              <w:pStyle w:val="ExhibitTextBullets"/>
              <w:rPr>
                <w:lang w:val="en-GB"/>
              </w:rPr>
            </w:pPr>
            <w:r w:rsidRPr="005633D9">
              <w:rPr>
                <w:lang w:val="en-GB"/>
              </w:rPr>
              <w:t>Smallholders</w:t>
            </w:r>
            <w:r w:rsidR="00FB70A4">
              <w:rPr>
                <w:lang w:val="en-GB"/>
              </w:rPr>
              <w:t>’</w:t>
            </w:r>
            <w:r w:rsidRPr="005633D9">
              <w:rPr>
                <w:lang w:val="en-GB"/>
              </w:rPr>
              <w:t xml:space="preserve"> net revenue from maize cultivation: continuous variable measuring gross revenue from maize net of input costs</w:t>
            </w:r>
          </w:p>
          <w:p w:rsidR="003444A7" w:rsidRPr="005633D9" w:rsidRDefault="003444A7" w:rsidP="00A567CD">
            <w:pPr>
              <w:pStyle w:val="ExhibitTextBullets"/>
              <w:rPr>
                <w:lang w:val="en-GB"/>
              </w:rPr>
            </w:pPr>
            <w:r w:rsidRPr="005633D9">
              <w:rPr>
                <w:lang w:val="en-GB"/>
              </w:rPr>
              <w:t>Smallholders</w:t>
            </w:r>
            <w:r w:rsidR="00FB70A4">
              <w:rPr>
                <w:lang w:val="en-GB"/>
              </w:rPr>
              <w:t>’</w:t>
            </w:r>
            <w:r w:rsidRPr="005633D9">
              <w:rPr>
                <w:lang w:val="en-GB"/>
              </w:rPr>
              <w:t xml:space="preserve"> sale price of maize: continuous variable measuring the final sale price of maize including any premiums passed on by aggregators</w:t>
            </w:r>
          </w:p>
          <w:p w:rsidR="003444A7" w:rsidRPr="005633D9" w:rsidRDefault="003444A7" w:rsidP="00FB70A4">
            <w:pPr>
              <w:pStyle w:val="ExhibitTextBullets"/>
              <w:rPr>
                <w:lang w:val="en-GB"/>
              </w:rPr>
            </w:pPr>
            <w:r w:rsidRPr="005633D9">
              <w:rPr>
                <w:lang w:val="en-GB"/>
              </w:rPr>
              <w:lastRenderedPageBreak/>
              <w:t>Smallholders</w:t>
            </w:r>
            <w:r w:rsidR="00FB70A4">
              <w:rPr>
                <w:lang w:val="en-GB"/>
              </w:rPr>
              <w:t>’</w:t>
            </w:r>
            <w:r w:rsidRPr="005633D9">
              <w:rPr>
                <w:lang w:val="en-GB"/>
              </w:rPr>
              <w:t xml:space="preserve"> maize yields: continuous variable measuring the total volume of maize harvest divided by the total area planted</w:t>
            </w:r>
          </w:p>
        </w:tc>
      </w:tr>
    </w:tbl>
    <w:p w:rsidR="007A6F91" w:rsidRPr="005633D9" w:rsidRDefault="007A6F91" w:rsidP="00905806">
      <w:pPr>
        <w:pStyle w:val="BodyText"/>
      </w:pPr>
    </w:p>
    <w:p w:rsidR="00AE481F" w:rsidRPr="005633D9" w:rsidRDefault="00D45960" w:rsidP="0009159C">
      <w:pPr>
        <w:pStyle w:val="Heading2"/>
        <w:spacing w:after="120"/>
        <w:rPr>
          <w:lang w:val="en-GB"/>
        </w:rPr>
      </w:pPr>
      <w:bookmarkStart w:id="49" w:name="_Toc407700414"/>
      <w:r w:rsidRPr="005633D9">
        <w:rPr>
          <w:lang w:val="en-GB"/>
        </w:rPr>
        <w:t xml:space="preserve">Evaluation </w:t>
      </w:r>
      <w:r w:rsidR="000A26AA" w:rsidRPr="005633D9">
        <w:rPr>
          <w:lang w:val="en-GB"/>
        </w:rPr>
        <w:t xml:space="preserve">question </w:t>
      </w:r>
      <w:r w:rsidRPr="005633D9">
        <w:rPr>
          <w:lang w:val="en-GB"/>
        </w:rPr>
        <w:t xml:space="preserve">4: </w:t>
      </w:r>
      <w:r w:rsidR="00AE481F" w:rsidRPr="005633D9">
        <w:rPr>
          <w:lang w:val="en-GB"/>
        </w:rPr>
        <w:t>What has been AgResults’ impact on poor consumers’ demand for derivative food products containing aflatoxin-free maize?</w:t>
      </w:r>
      <w:bookmarkEnd w:id="49"/>
    </w:p>
    <w:p w:rsidR="00732CCB" w:rsidRPr="005633D9" w:rsidRDefault="005357E6" w:rsidP="005357E6">
      <w:pPr>
        <w:rPr>
          <w:lang w:val="en-GB"/>
        </w:rPr>
      </w:pPr>
      <w:r w:rsidRPr="005633D9">
        <w:rPr>
          <w:lang w:val="en-GB"/>
        </w:rPr>
        <w:t xml:space="preserve">The Aflasafe pilot is intended to spur the development of a market for aflatoxin-free maize products, with the ultimate aim of spurring consumer uptake of these products in order to realize the health benefits they offer. The pilot will interact with two different groups of consumers in different ways—rural farming households </w:t>
      </w:r>
      <w:r w:rsidR="00031DCC" w:rsidRPr="005633D9">
        <w:rPr>
          <w:lang w:val="en-GB"/>
        </w:rPr>
        <w:t>that</w:t>
      </w:r>
      <w:r w:rsidRPr="005633D9">
        <w:rPr>
          <w:lang w:val="en-GB"/>
        </w:rPr>
        <w:t xml:space="preserve"> apply Aflasafe to their maize may choose to reserve some of the maize for household consumption</w:t>
      </w:r>
      <w:r w:rsidR="00B853F7">
        <w:rPr>
          <w:lang w:val="en-GB"/>
        </w:rPr>
        <w:t>,</w:t>
      </w:r>
      <w:r w:rsidR="00031DCC" w:rsidRPr="005633D9">
        <w:rPr>
          <w:lang w:val="en-GB"/>
        </w:rPr>
        <w:t xml:space="preserve"> and</w:t>
      </w:r>
      <w:r w:rsidRPr="005633D9">
        <w:rPr>
          <w:lang w:val="en-GB"/>
        </w:rPr>
        <w:t xml:space="preserve"> non-farming households (whether rural or urban) </w:t>
      </w:r>
      <w:r w:rsidR="00B853F7">
        <w:rPr>
          <w:lang w:val="en-GB"/>
        </w:rPr>
        <w:t>may</w:t>
      </w:r>
      <w:r w:rsidR="00B853F7" w:rsidRPr="005633D9">
        <w:rPr>
          <w:lang w:val="en-GB"/>
        </w:rPr>
        <w:t xml:space="preserve"> </w:t>
      </w:r>
      <w:r w:rsidRPr="005633D9">
        <w:rPr>
          <w:lang w:val="en-GB"/>
        </w:rPr>
        <w:t>purchase maize for consumption</w:t>
      </w:r>
      <w:r w:rsidR="00D32F90" w:rsidRPr="005633D9">
        <w:rPr>
          <w:lang w:val="en-GB"/>
        </w:rPr>
        <w:t xml:space="preserve">. The latter’s consumption </w:t>
      </w:r>
      <w:r w:rsidRPr="005633D9">
        <w:rPr>
          <w:lang w:val="en-GB"/>
        </w:rPr>
        <w:t xml:space="preserve">will depend on the availability of aflatoxin-free maize in the market and </w:t>
      </w:r>
      <w:r w:rsidR="00D32F90" w:rsidRPr="005633D9">
        <w:rPr>
          <w:lang w:val="en-GB"/>
        </w:rPr>
        <w:t>their decision to</w:t>
      </w:r>
      <w:r w:rsidRPr="005633D9">
        <w:rPr>
          <w:lang w:val="en-GB"/>
        </w:rPr>
        <w:t xml:space="preserve"> purchase it</w:t>
      </w:r>
      <w:r w:rsidR="00692C13" w:rsidRPr="005633D9">
        <w:rPr>
          <w:lang w:val="en-GB"/>
        </w:rPr>
        <w:t>,</w:t>
      </w:r>
      <w:r w:rsidRPr="005633D9">
        <w:rPr>
          <w:lang w:val="en-GB"/>
        </w:rPr>
        <w:t xml:space="preserve"> taking into account a number of factors</w:t>
      </w:r>
      <w:r w:rsidR="00031DCC" w:rsidRPr="005633D9">
        <w:rPr>
          <w:lang w:val="en-GB"/>
        </w:rPr>
        <w:t>. These include households’</w:t>
      </w:r>
      <w:r w:rsidRPr="005633D9">
        <w:rPr>
          <w:lang w:val="en-GB"/>
        </w:rPr>
        <w:t xml:space="preserve"> perceptions of its quality, convenience, and price relative to their own and their family’s needs as well as relative to other maize products available. </w:t>
      </w:r>
    </w:p>
    <w:p w:rsidR="005357E6" w:rsidRPr="005633D9" w:rsidRDefault="00732CCB" w:rsidP="005357E6">
      <w:pPr>
        <w:rPr>
          <w:lang w:val="en-GB"/>
        </w:rPr>
      </w:pPr>
      <w:r w:rsidRPr="005633D9">
        <w:rPr>
          <w:lang w:val="en-GB"/>
        </w:rPr>
        <w:t xml:space="preserve">Determining the pilot’s </w:t>
      </w:r>
      <w:r w:rsidR="00692C13" w:rsidRPr="005633D9">
        <w:rPr>
          <w:lang w:val="en-GB"/>
        </w:rPr>
        <w:t xml:space="preserve">general </w:t>
      </w:r>
      <w:r w:rsidRPr="005633D9">
        <w:rPr>
          <w:lang w:val="en-GB"/>
        </w:rPr>
        <w:t xml:space="preserve">effect on consumer demand is a significant challenge </w:t>
      </w:r>
      <w:r w:rsidR="00692C13" w:rsidRPr="005633D9">
        <w:rPr>
          <w:lang w:val="en-GB"/>
        </w:rPr>
        <w:t>because the pilot is</w:t>
      </w:r>
      <w:r w:rsidRPr="005633D9">
        <w:rPr>
          <w:lang w:val="en-GB"/>
        </w:rPr>
        <w:t xml:space="preserve"> likely </w:t>
      </w:r>
      <w:r w:rsidR="00692C13" w:rsidRPr="005633D9">
        <w:rPr>
          <w:lang w:val="en-GB"/>
        </w:rPr>
        <w:t xml:space="preserve">to </w:t>
      </w:r>
      <w:r w:rsidRPr="005633D9">
        <w:rPr>
          <w:lang w:val="en-GB"/>
        </w:rPr>
        <w:t xml:space="preserve">have a dispersed reach among consumers in both rural and urban areas and across socio-economic strata, and affect consumers with widely differing consumption patterns and taste preferences. This diversity means that a quantitative impact evaluation based on a consumer consumption survey in the general population would become cost prohibitive because the sample size needed to estimate the change would be quite large. Therefore, we will focus our quantitative analysis among </w:t>
      </w:r>
      <w:r w:rsidR="00711440" w:rsidRPr="005633D9">
        <w:rPr>
          <w:lang w:val="en-GB"/>
        </w:rPr>
        <w:t xml:space="preserve">only </w:t>
      </w:r>
      <w:r w:rsidRPr="005633D9">
        <w:rPr>
          <w:lang w:val="en-GB"/>
        </w:rPr>
        <w:t>the smallhold</w:t>
      </w:r>
      <w:r w:rsidR="00D32F90" w:rsidRPr="005633D9">
        <w:rPr>
          <w:lang w:val="en-GB"/>
        </w:rPr>
        <w:t>ers participating in the pilot (evaluation question 4), and we will use qualitative methods to evaluate demand for aflatoxin-free maize among households that buy maize from the market.</w:t>
      </w:r>
    </w:p>
    <w:p w:rsidR="005357E6" w:rsidRPr="005633D9" w:rsidRDefault="005357E6" w:rsidP="005357E6">
      <w:pPr>
        <w:rPr>
          <w:lang w:val="en-GB"/>
        </w:rPr>
      </w:pPr>
      <w:r w:rsidRPr="005633D9">
        <w:rPr>
          <w:lang w:val="en-GB"/>
        </w:rPr>
        <w:t>The decision to purchase and consume an aflatoxin-free maize product can be evaluated from a “</w:t>
      </w:r>
      <w:r w:rsidR="007C0210" w:rsidRPr="005633D9">
        <w:rPr>
          <w:lang w:val="en-GB"/>
        </w:rPr>
        <w:t>behaviour</w:t>
      </w:r>
      <w:r w:rsidRPr="005633D9">
        <w:rPr>
          <w:lang w:val="en-GB"/>
        </w:rPr>
        <w:t xml:space="preserve"> change” lens in which consumers</w:t>
      </w:r>
      <w:r w:rsidR="00692C13" w:rsidRPr="005633D9">
        <w:rPr>
          <w:lang w:val="en-GB"/>
        </w:rPr>
        <w:t>’</w:t>
      </w:r>
      <w:r w:rsidRPr="005633D9">
        <w:rPr>
          <w:lang w:val="en-GB"/>
        </w:rPr>
        <w:t xml:space="preserve"> decision to purchase a product (or specific product attribute such as aflatoxin-free status) or not is an outcome of their knowledge and attitudes about it. </w:t>
      </w:r>
      <w:r w:rsidR="00C92B4D" w:rsidRPr="005633D9">
        <w:rPr>
          <w:lang w:val="en-GB"/>
        </w:rPr>
        <w:t xml:space="preserve">Knowledge </w:t>
      </w:r>
      <w:r w:rsidR="00BB042D">
        <w:rPr>
          <w:lang w:val="en-GB"/>
        </w:rPr>
        <w:t xml:space="preserve">of </w:t>
      </w:r>
      <w:r w:rsidR="00C92B4D" w:rsidRPr="005633D9">
        <w:rPr>
          <w:lang w:val="en-GB"/>
        </w:rPr>
        <w:t xml:space="preserve">and positive attitude towards aflatoxin-free maize is a necessary pre-condition for buying it. </w:t>
      </w:r>
      <w:r w:rsidRPr="005633D9">
        <w:rPr>
          <w:lang w:val="en-GB"/>
        </w:rPr>
        <w:t>Thus, we will evaluate the impact of the AgResults pilot on consumer demand for aflatoxin-free maize by conducting a Knowledge, Attitudes, and Practice (KAP) assessment of maize consumers</w:t>
      </w:r>
      <w:r w:rsidR="00D32F90" w:rsidRPr="005633D9">
        <w:rPr>
          <w:lang w:val="en-GB"/>
        </w:rPr>
        <w:t>. The quantitative survey will include a KAP module targeted to the smallholders, and the qualitative survey will be</w:t>
      </w:r>
      <w:r w:rsidRPr="005633D9">
        <w:rPr>
          <w:lang w:val="en-GB"/>
        </w:rPr>
        <w:t xml:space="preserve"> targeted to consumers who regularly purchase maize for their household consumption. The “knowledge” component will evaluate whether consumers </w:t>
      </w:r>
      <w:r w:rsidR="00692C13" w:rsidRPr="005633D9">
        <w:rPr>
          <w:lang w:val="en-GB"/>
        </w:rPr>
        <w:t>are aware of</w:t>
      </w:r>
      <w:r w:rsidRPr="005633D9">
        <w:rPr>
          <w:lang w:val="en-GB"/>
        </w:rPr>
        <w:t xml:space="preserve"> a</w:t>
      </w:r>
      <w:r w:rsidR="00711440" w:rsidRPr="005633D9">
        <w:rPr>
          <w:lang w:val="en-GB"/>
        </w:rPr>
        <w:t>f</w:t>
      </w:r>
      <w:r w:rsidRPr="005633D9">
        <w:rPr>
          <w:lang w:val="en-GB"/>
        </w:rPr>
        <w:t xml:space="preserve">latoxins as an issue and, if they are, the extent of their knowledge on the topic. The “attitude” component will assess the degree to which consumers are concerned about aflatoxins and their perceived ability to affect </w:t>
      </w:r>
      <w:r w:rsidR="00BB042D">
        <w:rPr>
          <w:lang w:val="en-GB"/>
        </w:rPr>
        <w:t>consumers’</w:t>
      </w:r>
      <w:r w:rsidR="00BB042D" w:rsidRPr="005633D9">
        <w:rPr>
          <w:lang w:val="en-GB"/>
        </w:rPr>
        <w:t xml:space="preserve"> </w:t>
      </w:r>
      <w:r w:rsidRPr="005633D9">
        <w:rPr>
          <w:lang w:val="en-GB"/>
        </w:rPr>
        <w:t>exposure to and health effects from aflatoxins. The “practice” component will focus on consumers’ purchases of aflatoxin-free maize and the factors driving those purchases</w:t>
      </w:r>
      <w:r w:rsidR="00692C13" w:rsidRPr="005633D9">
        <w:rPr>
          <w:lang w:val="en-GB"/>
        </w:rPr>
        <w:t>,</w:t>
      </w:r>
      <w:r w:rsidR="00FD562F" w:rsidRPr="005633D9">
        <w:rPr>
          <w:lang w:val="en-GB"/>
        </w:rPr>
        <w:t xml:space="preserve"> </w:t>
      </w:r>
      <w:r w:rsidR="00C92B4D" w:rsidRPr="005633D9">
        <w:rPr>
          <w:lang w:val="en-GB"/>
        </w:rPr>
        <w:t>such</w:t>
      </w:r>
      <w:r w:rsidR="00692C13" w:rsidRPr="005633D9">
        <w:rPr>
          <w:lang w:val="en-GB"/>
        </w:rPr>
        <w:t xml:space="preserve"> as</w:t>
      </w:r>
      <w:r w:rsidR="00C92B4D" w:rsidRPr="005633D9">
        <w:rPr>
          <w:lang w:val="en-GB"/>
        </w:rPr>
        <w:t xml:space="preserve"> income and credit constraints</w:t>
      </w:r>
      <w:r w:rsidR="00FD562F" w:rsidRPr="005633D9">
        <w:rPr>
          <w:lang w:val="en-GB"/>
        </w:rPr>
        <w:t xml:space="preserve"> (see Section </w:t>
      </w:r>
      <w:r w:rsidR="00FD562F" w:rsidRPr="005633D9">
        <w:rPr>
          <w:lang w:val="en-GB"/>
        </w:rPr>
        <w:fldChar w:fldCharType="begin"/>
      </w:r>
      <w:r w:rsidR="00FD562F" w:rsidRPr="005633D9">
        <w:rPr>
          <w:lang w:val="en-GB"/>
        </w:rPr>
        <w:instrText xml:space="preserve"> REF _Ref381360855 \w \h </w:instrText>
      </w:r>
      <w:r w:rsidR="00FD562F" w:rsidRPr="005633D9">
        <w:rPr>
          <w:lang w:val="en-GB"/>
        </w:rPr>
      </w:r>
      <w:r w:rsidR="00FD562F" w:rsidRPr="005633D9">
        <w:rPr>
          <w:lang w:val="en-GB"/>
        </w:rPr>
        <w:fldChar w:fldCharType="separate"/>
      </w:r>
      <w:r w:rsidR="00F33102">
        <w:rPr>
          <w:lang w:val="en-GB"/>
        </w:rPr>
        <w:t>3.4.2</w:t>
      </w:r>
      <w:r w:rsidR="00FD562F" w:rsidRPr="005633D9">
        <w:rPr>
          <w:lang w:val="en-GB"/>
        </w:rPr>
        <w:fldChar w:fldCharType="end"/>
      </w:r>
      <w:r w:rsidR="00FD562F" w:rsidRPr="005633D9">
        <w:rPr>
          <w:lang w:val="en-GB"/>
        </w:rPr>
        <w:t xml:space="preserve"> for more details on qualitative data collection)</w:t>
      </w:r>
      <w:r w:rsidRPr="005633D9">
        <w:rPr>
          <w:lang w:val="en-GB"/>
        </w:rPr>
        <w:t xml:space="preserve">. </w:t>
      </w:r>
    </w:p>
    <w:p w:rsidR="005357E6" w:rsidRPr="005633D9" w:rsidRDefault="005357E6" w:rsidP="005357E6">
      <w:pPr>
        <w:rPr>
          <w:lang w:val="en-GB"/>
        </w:rPr>
      </w:pPr>
      <w:r w:rsidRPr="005633D9">
        <w:rPr>
          <w:lang w:val="en-GB"/>
        </w:rPr>
        <w:t xml:space="preserve">Given the currently low level of </w:t>
      </w:r>
      <w:r w:rsidR="00A66188">
        <w:rPr>
          <w:lang w:val="en-GB"/>
        </w:rPr>
        <w:t xml:space="preserve">consumer </w:t>
      </w:r>
      <w:r w:rsidRPr="005633D9">
        <w:rPr>
          <w:lang w:val="en-GB"/>
        </w:rPr>
        <w:t xml:space="preserve">awareness about aflatoxins in maize and the lack of aflatoxin-free maize on the market, </w:t>
      </w:r>
      <w:r w:rsidR="0005131B">
        <w:rPr>
          <w:lang w:val="en-GB"/>
        </w:rPr>
        <w:t>we</w:t>
      </w:r>
      <w:r w:rsidRPr="005633D9">
        <w:rPr>
          <w:lang w:val="en-GB"/>
        </w:rPr>
        <w:t xml:space="preserve"> </w:t>
      </w:r>
      <w:r w:rsidR="0005131B" w:rsidRPr="005633D9">
        <w:rPr>
          <w:lang w:val="en-GB"/>
        </w:rPr>
        <w:t>hypothesi</w:t>
      </w:r>
      <w:r w:rsidR="0005131B">
        <w:rPr>
          <w:lang w:val="en-GB"/>
        </w:rPr>
        <w:t>se</w:t>
      </w:r>
      <w:r w:rsidR="0005131B" w:rsidRPr="005633D9">
        <w:rPr>
          <w:lang w:val="en-GB"/>
        </w:rPr>
        <w:t xml:space="preserve"> </w:t>
      </w:r>
      <w:r w:rsidRPr="005633D9">
        <w:rPr>
          <w:lang w:val="en-GB"/>
        </w:rPr>
        <w:t xml:space="preserve">that consumer demand for aflatoxin-free </w:t>
      </w:r>
      <w:r w:rsidRPr="005633D9">
        <w:rPr>
          <w:lang w:val="en-GB"/>
        </w:rPr>
        <w:lastRenderedPageBreak/>
        <w:t xml:space="preserve">maize at baseline will be effectively absent. Implementation of the AgResults pilot could, however, lead to increased demand for aflatoxin-free maize among </w:t>
      </w:r>
      <w:r w:rsidR="00D32F90" w:rsidRPr="005633D9">
        <w:rPr>
          <w:lang w:val="en-GB"/>
        </w:rPr>
        <w:t xml:space="preserve">smallholders and less so among </w:t>
      </w:r>
      <w:r w:rsidRPr="005633D9">
        <w:rPr>
          <w:lang w:val="en-GB"/>
        </w:rPr>
        <w:t>non-farm consumers (who buy maize from the market rather than producing it for their own uses)</w:t>
      </w:r>
      <w:r w:rsidR="00D32F90" w:rsidRPr="005633D9">
        <w:rPr>
          <w:lang w:val="en-GB"/>
        </w:rPr>
        <w:t xml:space="preserve">. </w:t>
      </w:r>
      <w:r w:rsidR="00CC18FE" w:rsidRPr="005633D9">
        <w:rPr>
          <w:lang w:val="en-GB"/>
        </w:rPr>
        <w:t>N</w:t>
      </w:r>
      <w:r w:rsidR="00D32F90" w:rsidRPr="005633D9">
        <w:rPr>
          <w:lang w:val="en-GB"/>
        </w:rPr>
        <w:t>ecessary condition</w:t>
      </w:r>
      <w:r w:rsidR="00CC18FE" w:rsidRPr="005633D9">
        <w:rPr>
          <w:lang w:val="en-GB"/>
        </w:rPr>
        <w:t>s</w:t>
      </w:r>
      <w:r w:rsidR="00D32F90" w:rsidRPr="005633D9">
        <w:rPr>
          <w:lang w:val="en-GB"/>
        </w:rPr>
        <w:t xml:space="preserve"> for the demand to translate into purchase will be the establishment of marketing</w:t>
      </w:r>
      <w:r w:rsidRPr="005633D9">
        <w:rPr>
          <w:lang w:val="en-GB"/>
        </w:rPr>
        <w:t xml:space="preserve"> channels for maize for human consumption, </w:t>
      </w:r>
      <w:r w:rsidR="00CC18FE" w:rsidRPr="005633D9">
        <w:rPr>
          <w:lang w:val="en-GB"/>
        </w:rPr>
        <w:t xml:space="preserve">as well as </w:t>
      </w:r>
      <w:r w:rsidR="00D32F90" w:rsidRPr="005633D9">
        <w:rPr>
          <w:lang w:val="en-GB"/>
        </w:rPr>
        <w:t xml:space="preserve">development of </w:t>
      </w:r>
      <w:r w:rsidRPr="005633D9">
        <w:rPr>
          <w:lang w:val="en-GB"/>
        </w:rPr>
        <w:t>effective distribution and merchandising efforts</w:t>
      </w:r>
      <w:r w:rsidR="00D32F90" w:rsidRPr="005633D9">
        <w:rPr>
          <w:lang w:val="en-GB"/>
        </w:rPr>
        <w:t xml:space="preserve"> by the private sector</w:t>
      </w:r>
      <w:r w:rsidRPr="005633D9">
        <w:rPr>
          <w:lang w:val="en-GB"/>
        </w:rPr>
        <w:t xml:space="preserve">. </w:t>
      </w:r>
      <w:r w:rsidR="00D32F90" w:rsidRPr="005633D9">
        <w:rPr>
          <w:lang w:val="en-GB"/>
        </w:rPr>
        <w:t>(</w:t>
      </w:r>
      <w:r w:rsidR="00CC18FE" w:rsidRPr="005633D9">
        <w:rPr>
          <w:lang w:val="en-GB"/>
        </w:rPr>
        <w:t>We will qualitatively address t</w:t>
      </w:r>
      <w:r w:rsidRPr="005633D9">
        <w:rPr>
          <w:lang w:val="en-GB"/>
        </w:rPr>
        <w:t>hese aforementioned conditions in the course of the SCP analysis addressing private sector engagement in the market for aflatoxin-free maize.</w:t>
      </w:r>
      <w:r w:rsidR="00D32F90" w:rsidRPr="005633D9">
        <w:rPr>
          <w:lang w:val="en-GB"/>
        </w:rPr>
        <w:t>)</w:t>
      </w:r>
      <w:r w:rsidRPr="005633D9">
        <w:rPr>
          <w:lang w:val="en-GB"/>
        </w:rPr>
        <w:t xml:space="preserve"> </w:t>
      </w:r>
      <w:r w:rsidR="006736D0" w:rsidRPr="005633D9">
        <w:rPr>
          <w:lang w:val="en-GB"/>
        </w:rPr>
        <w:fldChar w:fldCharType="begin"/>
      </w:r>
      <w:r w:rsidR="006736D0" w:rsidRPr="005633D9">
        <w:rPr>
          <w:lang w:val="en-GB"/>
        </w:rPr>
        <w:instrText xml:space="preserve"> REF _Ref403423958 \h </w:instrText>
      </w:r>
      <w:r w:rsidR="006736D0" w:rsidRPr="005633D9">
        <w:rPr>
          <w:lang w:val="en-GB"/>
        </w:rPr>
      </w:r>
      <w:r w:rsidR="006736D0" w:rsidRPr="005633D9">
        <w:rPr>
          <w:lang w:val="en-GB"/>
        </w:rPr>
        <w:fldChar w:fldCharType="separate"/>
      </w:r>
      <w:r w:rsidR="00F33102" w:rsidRPr="005633D9">
        <w:rPr>
          <w:lang w:val="en-GB"/>
        </w:rPr>
        <w:t xml:space="preserve">Table </w:t>
      </w:r>
      <w:r w:rsidR="00F33102">
        <w:rPr>
          <w:noProof/>
          <w:lang w:val="en-GB"/>
        </w:rPr>
        <w:t>3</w:t>
      </w:r>
      <w:r w:rsidR="00F33102" w:rsidRPr="005633D9">
        <w:rPr>
          <w:lang w:val="en-GB"/>
        </w:rPr>
        <w:noBreakHyphen/>
      </w:r>
      <w:r w:rsidR="00F33102">
        <w:rPr>
          <w:noProof/>
          <w:lang w:val="en-GB"/>
        </w:rPr>
        <w:t>7</w:t>
      </w:r>
      <w:r w:rsidR="006736D0" w:rsidRPr="005633D9">
        <w:rPr>
          <w:lang w:val="en-GB"/>
        </w:rPr>
        <w:fldChar w:fldCharType="end"/>
      </w:r>
      <w:r w:rsidR="00543C9F" w:rsidRPr="005633D9">
        <w:rPr>
          <w:lang w:val="en-GB"/>
        </w:rPr>
        <w:t xml:space="preserve"> presents in summary the key evaluation method and the key outcome measures to answer evaluation question 4.</w:t>
      </w:r>
    </w:p>
    <w:p w:rsidR="006736D0" w:rsidRPr="005633D9" w:rsidRDefault="006736D0" w:rsidP="006736D0">
      <w:pPr>
        <w:pStyle w:val="Caption"/>
        <w:rPr>
          <w:lang w:val="en-GB"/>
        </w:rPr>
      </w:pPr>
      <w:bookmarkStart w:id="50" w:name="_Ref403423958"/>
      <w:bookmarkStart w:id="51" w:name="_Toc407700439"/>
      <w:r w:rsidRPr="005633D9">
        <w:rPr>
          <w:lang w:val="en-GB"/>
        </w:rPr>
        <w:t xml:space="preserve">Table </w:t>
      </w:r>
      <w:r w:rsidR="002222A4" w:rsidRPr="005633D9">
        <w:rPr>
          <w:lang w:val="en-GB"/>
        </w:rPr>
        <w:fldChar w:fldCharType="begin"/>
      </w:r>
      <w:r w:rsidR="002222A4" w:rsidRPr="005633D9">
        <w:rPr>
          <w:lang w:val="en-GB"/>
        </w:rPr>
        <w:instrText xml:space="preserve"> STYLEREF 1 \s </w:instrText>
      </w:r>
      <w:r w:rsidR="002222A4" w:rsidRPr="005633D9">
        <w:rPr>
          <w:lang w:val="en-GB"/>
        </w:rPr>
        <w:fldChar w:fldCharType="separate"/>
      </w:r>
      <w:r w:rsidR="00F33102">
        <w:rPr>
          <w:noProof/>
          <w:lang w:val="en-GB"/>
        </w:rPr>
        <w:t>3</w:t>
      </w:r>
      <w:r w:rsidR="002222A4" w:rsidRPr="005633D9">
        <w:rPr>
          <w:lang w:val="en-GB"/>
        </w:rPr>
        <w:fldChar w:fldCharType="end"/>
      </w:r>
      <w:r w:rsidRPr="005633D9">
        <w:rPr>
          <w:lang w:val="en-GB"/>
        </w:rPr>
        <w:noBreakHyphen/>
      </w:r>
      <w:r w:rsidR="002222A4" w:rsidRPr="005633D9">
        <w:rPr>
          <w:lang w:val="en-GB"/>
        </w:rPr>
        <w:fldChar w:fldCharType="begin"/>
      </w:r>
      <w:r w:rsidR="002222A4" w:rsidRPr="005633D9">
        <w:rPr>
          <w:lang w:val="en-GB"/>
        </w:rPr>
        <w:instrText xml:space="preserve"> SEQ Table \* ARABIC \s 1 </w:instrText>
      </w:r>
      <w:r w:rsidR="002222A4" w:rsidRPr="005633D9">
        <w:rPr>
          <w:lang w:val="en-GB"/>
        </w:rPr>
        <w:fldChar w:fldCharType="separate"/>
      </w:r>
      <w:r w:rsidR="00F33102">
        <w:rPr>
          <w:noProof/>
          <w:lang w:val="en-GB"/>
        </w:rPr>
        <w:t>7</w:t>
      </w:r>
      <w:r w:rsidR="002222A4" w:rsidRPr="005633D9">
        <w:rPr>
          <w:lang w:val="en-GB"/>
        </w:rPr>
        <w:fldChar w:fldCharType="end"/>
      </w:r>
      <w:bookmarkEnd w:id="50"/>
      <w:r w:rsidR="00A43987" w:rsidRPr="005633D9">
        <w:rPr>
          <w:lang w:val="en-GB"/>
        </w:rPr>
        <w:t>.</w:t>
      </w:r>
      <w:r w:rsidR="00A43987" w:rsidRPr="005633D9">
        <w:rPr>
          <w:lang w:val="en-GB"/>
        </w:rPr>
        <w:tab/>
      </w:r>
      <w:r w:rsidRPr="005633D9">
        <w:rPr>
          <w:lang w:val="en-GB"/>
        </w:rPr>
        <w:t xml:space="preserve">Evaluation </w:t>
      </w:r>
      <w:r w:rsidR="000A26AA" w:rsidRPr="005633D9">
        <w:rPr>
          <w:lang w:val="en-GB"/>
        </w:rPr>
        <w:t xml:space="preserve">method and outcome measures for evaluation question </w:t>
      </w:r>
      <w:r w:rsidRPr="005633D9">
        <w:rPr>
          <w:lang w:val="en-GB"/>
        </w:rPr>
        <w:t>4</w:t>
      </w:r>
      <w:bookmarkEnd w:id="51"/>
    </w:p>
    <w:tbl>
      <w:tblPr>
        <w:tblStyle w:val="Abt"/>
        <w:tblW w:w="5000" w:type="pct"/>
        <w:tblLook w:val="04A0" w:firstRow="1" w:lastRow="0" w:firstColumn="1" w:lastColumn="0" w:noHBand="0" w:noVBand="1"/>
      </w:tblPr>
      <w:tblGrid>
        <w:gridCol w:w="4437"/>
        <w:gridCol w:w="5139"/>
      </w:tblGrid>
      <w:tr w:rsidR="00835AB3" w:rsidRPr="005633D9" w:rsidTr="007B1A05">
        <w:trPr>
          <w:cnfStyle w:val="100000000000" w:firstRow="1" w:lastRow="0" w:firstColumn="0" w:lastColumn="0" w:oddVBand="0" w:evenVBand="0" w:oddHBand="0" w:evenHBand="0" w:firstRowFirstColumn="0" w:firstRowLastColumn="0" w:lastRowFirstColumn="0" w:lastRowLastColumn="0"/>
          <w:tblHeader/>
        </w:trPr>
        <w:tc>
          <w:tcPr>
            <w:tcW w:w="9576" w:type="dxa"/>
            <w:gridSpan w:val="2"/>
          </w:tcPr>
          <w:p w:rsidR="00835AB3" w:rsidRPr="005633D9" w:rsidRDefault="00835AB3" w:rsidP="00835AB3">
            <w:pPr>
              <w:pStyle w:val="ExhibitColumnHead"/>
              <w:rPr>
                <w:b/>
                <w:lang w:val="en-GB"/>
              </w:rPr>
            </w:pPr>
            <w:r w:rsidRPr="005633D9">
              <w:rPr>
                <w:b/>
                <w:lang w:val="en-GB"/>
              </w:rPr>
              <w:t xml:space="preserve">Evaluation Question 4: What has been AgResults’ impact on </w:t>
            </w:r>
            <w:r w:rsidRPr="003E7E25">
              <w:rPr>
                <w:b/>
                <w:lang w:val="en-GB"/>
              </w:rPr>
              <w:t>poor consumers’</w:t>
            </w:r>
            <w:r w:rsidRPr="005633D9">
              <w:rPr>
                <w:b/>
                <w:lang w:val="en-GB"/>
              </w:rPr>
              <w:t xml:space="preserve"> demand for derivative food products containing aflatoxin-free maize?</w:t>
            </w:r>
          </w:p>
        </w:tc>
      </w:tr>
      <w:tr w:rsidR="00835AB3" w:rsidRPr="005633D9" w:rsidTr="00835AB3">
        <w:trPr>
          <w:cnfStyle w:val="000000100000" w:firstRow="0" w:lastRow="0" w:firstColumn="0" w:lastColumn="0" w:oddVBand="0" w:evenVBand="0" w:oddHBand="1" w:evenHBand="0" w:firstRowFirstColumn="0" w:firstRowLastColumn="0" w:lastRowFirstColumn="0" w:lastRowLastColumn="0"/>
        </w:trPr>
        <w:tc>
          <w:tcPr>
            <w:tcW w:w="4437" w:type="dxa"/>
          </w:tcPr>
          <w:p w:rsidR="00835AB3" w:rsidRPr="005633D9" w:rsidRDefault="00835AB3" w:rsidP="00835AB3">
            <w:pPr>
              <w:pStyle w:val="ExhibitColumnHead"/>
              <w:rPr>
                <w:lang w:val="en-GB"/>
              </w:rPr>
            </w:pPr>
            <w:r w:rsidRPr="005633D9">
              <w:rPr>
                <w:lang w:val="en-GB"/>
              </w:rPr>
              <w:t>Evaluation Method</w:t>
            </w:r>
          </w:p>
        </w:tc>
        <w:tc>
          <w:tcPr>
            <w:tcW w:w="5139" w:type="dxa"/>
          </w:tcPr>
          <w:p w:rsidR="00835AB3" w:rsidRPr="005633D9" w:rsidRDefault="00835AB3" w:rsidP="00835AB3">
            <w:pPr>
              <w:pStyle w:val="ExhibitColumnHead"/>
              <w:rPr>
                <w:lang w:val="en-GB"/>
              </w:rPr>
            </w:pPr>
            <w:r w:rsidRPr="005633D9">
              <w:rPr>
                <w:lang w:val="en-GB"/>
              </w:rPr>
              <w:t>Outcome Variables</w:t>
            </w:r>
          </w:p>
        </w:tc>
      </w:tr>
      <w:tr w:rsidR="00835AB3" w:rsidRPr="005633D9" w:rsidTr="00835AB3">
        <w:trPr>
          <w:cnfStyle w:val="000000010000" w:firstRow="0" w:lastRow="0" w:firstColumn="0" w:lastColumn="0" w:oddVBand="0" w:evenVBand="0" w:oddHBand="0" w:evenHBand="1" w:firstRowFirstColumn="0" w:firstRowLastColumn="0" w:lastRowFirstColumn="0" w:lastRowLastColumn="0"/>
        </w:trPr>
        <w:tc>
          <w:tcPr>
            <w:tcW w:w="9576" w:type="dxa"/>
            <w:gridSpan w:val="2"/>
          </w:tcPr>
          <w:p w:rsidR="00835AB3" w:rsidRPr="005633D9" w:rsidRDefault="00835AB3" w:rsidP="00835AB3">
            <w:pPr>
              <w:pStyle w:val="ExhibitText"/>
              <w:keepNext/>
              <w:rPr>
                <w:b/>
                <w:lang w:val="en-GB"/>
              </w:rPr>
            </w:pPr>
            <w:r w:rsidRPr="005633D9">
              <w:rPr>
                <w:b/>
                <w:lang w:val="en-GB"/>
              </w:rPr>
              <w:t xml:space="preserve">Impact on </w:t>
            </w:r>
            <w:r w:rsidRPr="005633D9">
              <w:rPr>
                <w:b/>
                <w:i/>
                <w:lang w:val="en-GB"/>
              </w:rPr>
              <w:t>smallholders’</w:t>
            </w:r>
            <w:r w:rsidRPr="005633D9">
              <w:rPr>
                <w:b/>
                <w:lang w:val="en-GB"/>
              </w:rPr>
              <w:t xml:space="preserve"> demand</w:t>
            </w:r>
          </w:p>
        </w:tc>
      </w:tr>
      <w:tr w:rsidR="00835AB3" w:rsidRPr="005633D9" w:rsidTr="0005131B">
        <w:trPr>
          <w:cnfStyle w:val="000000100000" w:firstRow="0" w:lastRow="0" w:firstColumn="0" w:lastColumn="0" w:oddVBand="0" w:evenVBand="0" w:oddHBand="1" w:evenHBand="0" w:firstRowFirstColumn="0" w:firstRowLastColumn="0" w:lastRowFirstColumn="0" w:lastRowLastColumn="0"/>
          <w:cantSplit/>
        </w:trPr>
        <w:tc>
          <w:tcPr>
            <w:tcW w:w="4437" w:type="dxa"/>
            <w:shd w:val="clear" w:color="auto" w:fill="auto"/>
          </w:tcPr>
          <w:p w:rsidR="00835AB3" w:rsidRPr="005633D9" w:rsidRDefault="00835AB3" w:rsidP="00A567CD">
            <w:pPr>
              <w:pStyle w:val="ExhibitTextBullets"/>
              <w:rPr>
                <w:lang w:val="en-GB"/>
              </w:rPr>
            </w:pPr>
            <w:r w:rsidRPr="005633D9">
              <w:rPr>
                <w:lang w:val="en-GB"/>
              </w:rPr>
              <w:t>RCT for subgroup of aggregators that agree to randomization and adhere to it</w:t>
            </w:r>
          </w:p>
          <w:p w:rsidR="00835AB3" w:rsidRPr="005633D9" w:rsidRDefault="00835AB3" w:rsidP="00A567CD">
            <w:pPr>
              <w:pStyle w:val="ExhibitTextBullets"/>
              <w:rPr>
                <w:lang w:val="en-GB"/>
              </w:rPr>
            </w:pPr>
            <w:r w:rsidRPr="005633D9">
              <w:rPr>
                <w:lang w:val="en-GB"/>
              </w:rPr>
              <w:t>Propensity score matching for other aggregators</w:t>
            </w:r>
          </w:p>
          <w:p w:rsidR="00835AB3" w:rsidRPr="005633D9" w:rsidRDefault="00835AB3" w:rsidP="00A567CD">
            <w:pPr>
              <w:pStyle w:val="ExhibitTextBullets"/>
              <w:numPr>
                <w:ilvl w:val="0"/>
                <w:numId w:val="0"/>
              </w:numPr>
              <w:ind w:left="252"/>
              <w:rPr>
                <w:lang w:val="en-GB"/>
              </w:rPr>
            </w:pPr>
          </w:p>
        </w:tc>
        <w:tc>
          <w:tcPr>
            <w:tcW w:w="5139" w:type="dxa"/>
            <w:shd w:val="clear" w:color="auto" w:fill="auto"/>
          </w:tcPr>
          <w:p w:rsidR="00835AB3" w:rsidRPr="005633D9" w:rsidRDefault="00835AB3" w:rsidP="007310B9">
            <w:pPr>
              <w:pStyle w:val="ExhibitTextBullets"/>
              <w:rPr>
                <w:lang w:val="en-GB"/>
              </w:rPr>
            </w:pPr>
            <w:r w:rsidRPr="005633D9">
              <w:rPr>
                <w:lang w:val="en-GB"/>
              </w:rPr>
              <w:t>Smallholders’ awareness of health impacts of aflatoxin and benefits of aflatoxin-free maize: analysis of survey questions (Likert, multiple choice, and binary variables), and some qualitative smallholder interviews.</w:t>
            </w:r>
          </w:p>
          <w:p w:rsidR="00835AB3" w:rsidRPr="005633D9" w:rsidRDefault="00835AB3" w:rsidP="007310B9">
            <w:pPr>
              <w:pStyle w:val="ExhibitTextBullets"/>
              <w:rPr>
                <w:lang w:val="en-GB"/>
              </w:rPr>
            </w:pPr>
            <w:r w:rsidRPr="005633D9">
              <w:rPr>
                <w:lang w:val="en-GB"/>
              </w:rPr>
              <w:t>Smallholders’ consumption of maize treated with Aflasafe: total volume of maize set aside for consumption divided by total number of household members; maize consumption per person by 24-hour recall</w:t>
            </w:r>
          </w:p>
          <w:p w:rsidR="00835AB3" w:rsidRPr="005633D9" w:rsidRDefault="00835AB3" w:rsidP="007310B9">
            <w:pPr>
              <w:pStyle w:val="ExhibitTextBullets"/>
              <w:rPr>
                <w:lang w:val="en-GB"/>
              </w:rPr>
            </w:pPr>
            <w:r w:rsidRPr="005633D9">
              <w:rPr>
                <w:lang w:val="en-GB"/>
              </w:rPr>
              <w:t>Smallholders’ proportion of maize consumed from own fields treated with Aflasafe compared to total maize consumption</w:t>
            </w:r>
          </w:p>
          <w:p w:rsidR="00835AB3" w:rsidRPr="005633D9" w:rsidRDefault="00835AB3" w:rsidP="007310B9">
            <w:pPr>
              <w:pStyle w:val="ExhibitTextBullets"/>
              <w:rPr>
                <w:lang w:val="en-GB"/>
              </w:rPr>
            </w:pPr>
            <w:r w:rsidRPr="005633D9">
              <w:rPr>
                <w:lang w:val="en-GB"/>
              </w:rPr>
              <w:t>Smallholders’ willingness to pay a premium for aflatoxin-free maize: binary variable for willingness to pay a premium, and a continuous variable indicating the premium that farmers are willing to pay</w:t>
            </w:r>
          </w:p>
        </w:tc>
      </w:tr>
      <w:tr w:rsidR="00835AB3" w:rsidRPr="005633D9" w:rsidTr="00835AB3">
        <w:trPr>
          <w:cnfStyle w:val="000000010000" w:firstRow="0" w:lastRow="0" w:firstColumn="0" w:lastColumn="0" w:oddVBand="0" w:evenVBand="0" w:oddHBand="0" w:evenHBand="1" w:firstRowFirstColumn="0" w:firstRowLastColumn="0" w:lastRowFirstColumn="0" w:lastRowLastColumn="0"/>
        </w:trPr>
        <w:tc>
          <w:tcPr>
            <w:tcW w:w="9576" w:type="dxa"/>
            <w:gridSpan w:val="2"/>
          </w:tcPr>
          <w:p w:rsidR="00835AB3" w:rsidRPr="005633D9" w:rsidRDefault="00835AB3" w:rsidP="00835AB3">
            <w:pPr>
              <w:pStyle w:val="ExhibitText"/>
              <w:keepNext/>
              <w:rPr>
                <w:b/>
                <w:lang w:val="en-GB"/>
              </w:rPr>
            </w:pPr>
            <w:r w:rsidRPr="005633D9">
              <w:rPr>
                <w:b/>
                <w:lang w:val="en-GB"/>
              </w:rPr>
              <w:t xml:space="preserve">Impact on </w:t>
            </w:r>
            <w:r w:rsidRPr="005633D9">
              <w:rPr>
                <w:b/>
                <w:i/>
                <w:lang w:val="en-GB"/>
              </w:rPr>
              <w:t>other consumers’</w:t>
            </w:r>
            <w:r w:rsidRPr="005633D9">
              <w:rPr>
                <w:b/>
                <w:lang w:val="en-GB"/>
              </w:rPr>
              <w:t xml:space="preserve"> demand</w:t>
            </w:r>
          </w:p>
        </w:tc>
      </w:tr>
      <w:tr w:rsidR="00835AB3" w:rsidRPr="005633D9" w:rsidTr="00835AB3">
        <w:trPr>
          <w:cnfStyle w:val="000000100000" w:firstRow="0" w:lastRow="0" w:firstColumn="0" w:lastColumn="0" w:oddVBand="0" w:evenVBand="0" w:oddHBand="1" w:evenHBand="0" w:firstRowFirstColumn="0" w:firstRowLastColumn="0" w:lastRowFirstColumn="0" w:lastRowLastColumn="0"/>
        </w:trPr>
        <w:tc>
          <w:tcPr>
            <w:tcW w:w="4437" w:type="dxa"/>
            <w:shd w:val="clear" w:color="auto" w:fill="auto"/>
          </w:tcPr>
          <w:p w:rsidR="00835AB3" w:rsidRPr="005633D9" w:rsidRDefault="00835AB3" w:rsidP="00A567CD">
            <w:pPr>
              <w:pStyle w:val="ExhibitTextBullets"/>
              <w:rPr>
                <w:lang w:val="en-GB"/>
              </w:rPr>
            </w:pPr>
            <w:r w:rsidRPr="005633D9">
              <w:rPr>
                <w:lang w:val="en-GB"/>
              </w:rPr>
              <w:t>Qualitative survey conducted at local maize markets</w:t>
            </w:r>
          </w:p>
        </w:tc>
        <w:tc>
          <w:tcPr>
            <w:tcW w:w="5139" w:type="dxa"/>
            <w:shd w:val="clear" w:color="auto" w:fill="auto"/>
          </w:tcPr>
          <w:p w:rsidR="00835AB3" w:rsidRPr="005633D9" w:rsidRDefault="00835AB3" w:rsidP="007310B9">
            <w:pPr>
              <w:pStyle w:val="ExhibitTextBullets"/>
              <w:rPr>
                <w:lang w:val="en-GB"/>
              </w:rPr>
            </w:pPr>
            <w:r w:rsidRPr="005633D9">
              <w:rPr>
                <w:lang w:val="en-GB"/>
              </w:rPr>
              <w:t>Smallholders’ awareness of health impacts of aflatoxin</w:t>
            </w:r>
            <w:r w:rsidR="001874A9">
              <w:rPr>
                <w:lang w:val="en-GB"/>
              </w:rPr>
              <w:t>s</w:t>
            </w:r>
            <w:r w:rsidRPr="005633D9">
              <w:rPr>
                <w:lang w:val="en-GB"/>
              </w:rPr>
              <w:t xml:space="preserve"> and benefits of aflatoxin-free maize: analysis of survey questions (Likert, multiple choice, and binary variables), and some qualitative smallholder interviews.</w:t>
            </w:r>
          </w:p>
          <w:p w:rsidR="00835AB3" w:rsidRPr="005633D9" w:rsidRDefault="00835AB3" w:rsidP="007310B9">
            <w:pPr>
              <w:pStyle w:val="ExhibitTextBullets"/>
              <w:rPr>
                <w:lang w:val="en-GB"/>
              </w:rPr>
            </w:pPr>
            <w:r w:rsidRPr="005633D9">
              <w:rPr>
                <w:lang w:val="en-GB"/>
              </w:rPr>
              <w:t>Smallholder’s consumption of maize treated with Aflasafe: total volume of maize set aside for consumption divided by total number of household members; maize consumption per person by 24-hour recall</w:t>
            </w:r>
          </w:p>
          <w:p w:rsidR="00835AB3" w:rsidRPr="005633D9" w:rsidRDefault="00835AB3" w:rsidP="007310B9">
            <w:pPr>
              <w:pStyle w:val="ExhibitTextBullets"/>
              <w:rPr>
                <w:lang w:val="en-GB"/>
              </w:rPr>
            </w:pPr>
            <w:r w:rsidRPr="005633D9">
              <w:rPr>
                <w:lang w:val="en-GB"/>
              </w:rPr>
              <w:t>Smallholders’ willingness to pay a premium for aflatoxin-free maize: willingness to pay a premium, and the premium that farmers are willing to pay</w:t>
            </w:r>
          </w:p>
        </w:tc>
      </w:tr>
    </w:tbl>
    <w:p w:rsidR="00781AED" w:rsidRPr="005633D9" w:rsidRDefault="00781AED" w:rsidP="005357E6">
      <w:pPr>
        <w:rPr>
          <w:lang w:val="en-GB"/>
        </w:rPr>
      </w:pPr>
    </w:p>
    <w:p w:rsidR="00D32F90" w:rsidRPr="005633D9" w:rsidRDefault="00D32F90" w:rsidP="000A26AA">
      <w:pPr>
        <w:pStyle w:val="Heading3"/>
        <w:rPr>
          <w:lang w:val="en-GB"/>
        </w:rPr>
      </w:pPr>
      <w:r w:rsidRPr="005633D9">
        <w:rPr>
          <w:lang w:val="en-GB"/>
        </w:rPr>
        <w:t xml:space="preserve">Quantitative </w:t>
      </w:r>
      <w:r w:rsidR="00711440" w:rsidRPr="005633D9">
        <w:rPr>
          <w:lang w:val="en-GB"/>
        </w:rPr>
        <w:t>a</w:t>
      </w:r>
      <w:r w:rsidRPr="005633D9">
        <w:rPr>
          <w:lang w:val="en-GB"/>
        </w:rPr>
        <w:t>nalysis</w:t>
      </w:r>
      <w:r w:rsidR="00F04A96" w:rsidRPr="005633D9">
        <w:rPr>
          <w:lang w:val="en-GB"/>
        </w:rPr>
        <w:t xml:space="preserve"> </w:t>
      </w:r>
    </w:p>
    <w:p w:rsidR="00D45960" w:rsidRPr="005633D9" w:rsidRDefault="00D45960" w:rsidP="00BB343E">
      <w:pPr>
        <w:rPr>
          <w:lang w:val="en-GB"/>
        </w:rPr>
      </w:pPr>
      <w:r w:rsidRPr="005633D9">
        <w:rPr>
          <w:lang w:val="en-GB"/>
        </w:rPr>
        <w:t>For smallholders participating in the pilot, we will also measure impacts on consumption of Aflasafe-treated maize directly from self-reports on the outcome survey.</w:t>
      </w:r>
      <w:r w:rsidR="00243735" w:rsidRPr="005633D9">
        <w:rPr>
          <w:lang w:val="en-GB"/>
        </w:rPr>
        <w:t xml:space="preserve"> </w:t>
      </w:r>
      <w:r w:rsidRPr="005633D9">
        <w:rPr>
          <w:lang w:val="en-GB"/>
        </w:rPr>
        <w:t xml:space="preserve">In particular, we will estimate </w:t>
      </w:r>
      <w:r w:rsidR="007735DB" w:rsidRPr="005633D9">
        <w:rPr>
          <w:lang w:val="en-GB"/>
        </w:rPr>
        <w:t xml:space="preserve">Equation </w:t>
      </w:r>
      <w:r w:rsidRPr="005633D9">
        <w:rPr>
          <w:lang w:val="en-GB"/>
        </w:rPr>
        <w:t xml:space="preserve">[1], defined in Section </w:t>
      </w:r>
      <w:r w:rsidR="00FD0105">
        <w:rPr>
          <w:lang w:val="en-GB"/>
        </w:rPr>
        <w:fldChar w:fldCharType="begin"/>
      </w:r>
      <w:r w:rsidR="00FD0105">
        <w:rPr>
          <w:lang w:val="en-GB"/>
        </w:rPr>
        <w:instrText xml:space="preserve"> REF _Ref406731674 \r \h </w:instrText>
      </w:r>
      <w:r w:rsidR="00FD0105">
        <w:rPr>
          <w:lang w:val="en-GB"/>
        </w:rPr>
      </w:r>
      <w:r w:rsidR="00FD0105">
        <w:rPr>
          <w:lang w:val="en-GB"/>
        </w:rPr>
        <w:fldChar w:fldCharType="separate"/>
      </w:r>
      <w:r w:rsidR="00FD0105">
        <w:rPr>
          <w:lang w:val="en-GB"/>
        </w:rPr>
        <w:t>3.2.1</w:t>
      </w:r>
      <w:r w:rsidR="00FD0105">
        <w:rPr>
          <w:lang w:val="en-GB"/>
        </w:rPr>
        <w:fldChar w:fldCharType="end"/>
      </w:r>
      <w:r w:rsidRPr="005633D9">
        <w:rPr>
          <w:lang w:val="en-GB"/>
        </w:rPr>
        <w:t xml:space="preserve"> above, on the larger sample of</w:t>
      </w:r>
      <w:r w:rsidR="00243735" w:rsidRPr="005633D9">
        <w:rPr>
          <w:lang w:val="en-GB"/>
        </w:rPr>
        <w:t xml:space="preserve"> </w:t>
      </w:r>
      <w:r w:rsidRPr="005633D9">
        <w:rPr>
          <w:lang w:val="en-GB"/>
        </w:rPr>
        <w:t xml:space="preserve">all outcome survey </w:t>
      </w:r>
      <w:r w:rsidRPr="005633D9">
        <w:rPr>
          <w:lang w:val="en-GB"/>
        </w:rPr>
        <w:lastRenderedPageBreak/>
        <w:t xml:space="preserve">respondents, where the dependent variable, </w:t>
      </w:r>
      <w:r w:rsidRPr="005633D9">
        <w:rPr>
          <w:i/>
          <w:lang w:val="en-GB"/>
        </w:rPr>
        <w:t>Y</w:t>
      </w:r>
      <w:r w:rsidRPr="005633D9">
        <w:rPr>
          <w:lang w:val="en-GB"/>
        </w:rPr>
        <w:t>, is a binary indicator for whether smallholders are aware of aflatoxins and whether they save any Aflasafe-treated maize for own consumption</w:t>
      </w:r>
      <w:r w:rsidR="00BF086B" w:rsidRPr="005633D9">
        <w:rPr>
          <w:lang w:val="en-GB"/>
        </w:rPr>
        <w:t xml:space="preserve">. The dependent variable will also include </w:t>
      </w:r>
      <w:r w:rsidRPr="005633D9">
        <w:rPr>
          <w:lang w:val="en-GB"/>
        </w:rPr>
        <w:t xml:space="preserve">continuous measures of the amount of Aflasafe-treated maize </w:t>
      </w:r>
      <w:r w:rsidR="00BF086B" w:rsidRPr="005633D9">
        <w:rPr>
          <w:lang w:val="en-GB"/>
        </w:rPr>
        <w:t xml:space="preserve">the smallholders </w:t>
      </w:r>
      <w:r w:rsidRPr="005633D9">
        <w:rPr>
          <w:lang w:val="en-GB"/>
        </w:rPr>
        <w:t>consume and the price premium they would be willing to pay for that maize if they were to acquire it from the market.</w:t>
      </w:r>
      <w:r w:rsidR="00BF6F29" w:rsidRPr="005633D9">
        <w:rPr>
          <w:lang w:val="en-GB"/>
        </w:rPr>
        <w:t xml:space="preserve"> </w:t>
      </w:r>
    </w:p>
    <w:p w:rsidR="00D45960" w:rsidRPr="005633D9" w:rsidRDefault="00BF6F29" w:rsidP="00D45960">
      <w:pPr>
        <w:pStyle w:val="BodyText"/>
      </w:pPr>
      <w:r w:rsidRPr="005633D9">
        <w:t>Our</w:t>
      </w:r>
      <w:r w:rsidR="00D45960" w:rsidRPr="005633D9">
        <w:t xml:space="preserve"> smallholder survey will include a KAP module on consumption </w:t>
      </w:r>
      <w:r w:rsidR="007C0210" w:rsidRPr="005633D9">
        <w:t>behaviour</w:t>
      </w:r>
      <w:r w:rsidR="00D45960" w:rsidRPr="005633D9">
        <w:t xml:space="preserve"> that asks households about their awareness of aflatoxins and Aflasafe, their willingness to pay a premium, their access to aflatoxin-free maize</w:t>
      </w:r>
      <w:r w:rsidR="00711440" w:rsidRPr="005633D9">
        <w:t>,</w:t>
      </w:r>
      <w:r w:rsidR="00D45960" w:rsidRPr="005633D9">
        <w:t xml:space="preserve"> and finally their consumption of aflatoxin-free maize.</w:t>
      </w:r>
      <w:r w:rsidR="002B2B01" w:rsidRPr="005633D9">
        <w:t xml:space="preserve"> </w:t>
      </w:r>
    </w:p>
    <w:p w:rsidR="0026707D" w:rsidRPr="005633D9" w:rsidRDefault="00D32F90" w:rsidP="000A26AA">
      <w:pPr>
        <w:pStyle w:val="Heading3"/>
        <w:rPr>
          <w:lang w:val="en-GB"/>
        </w:rPr>
      </w:pPr>
      <w:bookmarkStart w:id="52" w:name="_Ref381360855"/>
      <w:r w:rsidRPr="005633D9">
        <w:rPr>
          <w:lang w:val="en-GB"/>
        </w:rPr>
        <w:t xml:space="preserve">Qualitative </w:t>
      </w:r>
      <w:r w:rsidR="00711440" w:rsidRPr="005633D9">
        <w:rPr>
          <w:lang w:val="en-GB"/>
        </w:rPr>
        <w:t>a</w:t>
      </w:r>
      <w:r w:rsidRPr="005633D9">
        <w:rPr>
          <w:lang w:val="en-GB"/>
        </w:rPr>
        <w:t>nalysis</w:t>
      </w:r>
      <w:bookmarkEnd w:id="52"/>
      <w:r w:rsidR="00F04A96" w:rsidRPr="005633D9">
        <w:rPr>
          <w:lang w:val="en-GB"/>
        </w:rPr>
        <w:t xml:space="preserve"> </w:t>
      </w:r>
    </w:p>
    <w:p w:rsidR="00D32F90" w:rsidRPr="005633D9" w:rsidRDefault="00FD562F" w:rsidP="00D32F90">
      <w:pPr>
        <w:rPr>
          <w:lang w:val="en-GB"/>
        </w:rPr>
      </w:pPr>
      <w:r w:rsidRPr="005633D9">
        <w:rPr>
          <w:lang w:val="en-GB"/>
        </w:rPr>
        <w:t>Demand</w:t>
      </w:r>
      <w:r w:rsidR="00D32F90" w:rsidRPr="005633D9">
        <w:rPr>
          <w:lang w:val="en-GB"/>
        </w:rPr>
        <w:t xml:space="preserve"> for aflatoxin-free maize </w:t>
      </w:r>
      <w:r w:rsidRPr="005633D9">
        <w:rPr>
          <w:lang w:val="en-GB"/>
        </w:rPr>
        <w:t xml:space="preserve">among off-farm consumers </w:t>
      </w:r>
      <w:r w:rsidR="00D32F90" w:rsidRPr="005633D9">
        <w:rPr>
          <w:lang w:val="en-GB"/>
        </w:rPr>
        <w:t xml:space="preserve">is expected to be stimulated in areas where the product is available in the marketplace and where its suppliers market it with an effective “value proposition” such that consumers purchase it for its aflatoxin-free properties or other qualities </w:t>
      </w:r>
      <w:r w:rsidR="00692C13" w:rsidRPr="005633D9">
        <w:rPr>
          <w:lang w:val="en-GB"/>
        </w:rPr>
        <w:t>that</w:t>
      </w:r>
      <w:r w:rsidR="00D32F90" w:rsidRPr="005633D9">
        <w:rPr>
          <w:lang w:val="en-GB"/>
        </w:rPr>
        <w:t xml:space="preserve"> they associate with the branded product. It is also hypothesized that the product will have to perform well, relative to the alternative non-aflatoxin-free maize product they would otherwise have bought, with respect to both quality attributes and cost. </w:t>
      </w:r>
    </w:p>
    <w:p w:rsidR="00BF6F29" w:rsidRPr="005633D9" w:rsidRDefault="00BF6F29" w:rsidP="00D32F90">
      <w:pPr>
        <w:rPr>
          <w:lang w:val="en-GB"/>
        </w:rPr>
      </w:pPr>
      <w:bookmarkStart w:id="53" w:name="_Toc375336135"/>
      <w:r w:rsidRPr="005633D9">
        <w:rPr>
          <w:lang w:val="en-GB"/>
        </w:rPr>
        <w:t xml:space="preserve">We will </w:t>
      </w:r>
      <w:r w:rsidR="00876374" w:rsidRPr="005633D9">
        <w:rPr>
          <w:lang w:val="en-GB"/>
        </w:rPr>
        <w:t>analyse</w:t>
      </w:r>
      <w:r w:rsidRPr="005633D9">
        <w:rPr>
          <w:lang w:val="en-GB"/>
        </w:rPr>
        <w:t xml:space="preserve"> the effects of the pilot on non-farmer demand by addressing the </w:t>
      </w:r>
      <w:r w:rsidR="00543C9F" w:rsidRPr="005633D9">
        <w:rPr>
          <w:lang w:val="en-GB"/>
        </w:rPr>
        <w:t>questions outline</w:t>
      </w:r>
      <w:r w:rsidR="00CC18FE" w:rsidRPr="005633D9">
        <w:rPr>
          <w:lang w:val="en-GB"/>
        </w:rPr>
        <w:t>d</w:t>
      </w:r>
      <w:r w:rsidR="00543C9F" w:rsidRPr="005633D9">
        <w:rPr>
          <w:lang w:val="en-GB"/>
        </w:rPr>
        <w:t xml:space="preserve"> in </w:t>
      </w:r>
      <w:r w:rsidR="00D34A19" w:rsidRPr="005633D9">
        <w:rPr>
          <w:lang w:val="en-GB"/>
        </w:rPr>
        <w:fldChar w:fldCharType="begin"/>
      </w:r>
      <w:r w:rsidR="00D34A19" w:rsidRPr="005633D9">
        <w:rPr>
          <w:lang w:val="en-GB"/>
        </w:rPr>
        <w:instrText xml:space="preserve"> REF _Ref403423958 \h </w:instrText>
      </w:r>
      <w:r w:rsidR="00D34A19" w:rsidRPr="005633D9">
        <w:rPr>
          <w:lang w:val="en-GB"/>
        </w:rPr>
      </w:r>
      <w:r w:rsidR="00D34A19" w:rsidRPr="005633D9">
        <w:rPr>
          <w:lang w:val="en-GB"/>
        </w:rPr>
        <w:fldChar w:fldCharType="separate"/>
      </w:r>
      <w:r w:rsidR="00F33102" w:rsidRPr="005633D9">
        <w:rPr>
          <w:lang w:val="en-GB"/>
        </w:rPr>
        <w:t xml:space="preserve">Table </w:t>
      </w:r>
      <w:r w:rsidR="00F33102">
        <w:rPr>
          <w:noProof/>
          <w:lang w:val="en-GB"/>
        </w:rPr>
        <w:t>3</w:t>
      </w:r>
      <w:r w:rsidR="00F33102" w:rsidRPr="005633D9">
        <w:rPr>
          <w:lang w:val="en-GB"/>
        </w:rPr>
        <w:noBreakHyphen/>
      </w:r>
      <w:r w:rsidR="00F33102">
        <w:rPr>
          <w:noProof/>
          <w:lang w:val="en-GB"/>
        </w:rPr>
        <w:t>7</w:t>
      </w:r>
      <w:r w:rsidR="00D34A19" w:rsidRPr="005633D9">
        <w:rPr>
          <w:lang w:val="en-GB"/>
        </w:rPr>
        <w:fldChar w:fldCharType="end"/>
      </w:r>
      <w:r w:rsidR="00543C9F" w:rsidRPr="005633D9">
        <w:rPr>
          <w:lang w:val="en-GB"/>
        </w:rPr>
        <w:t xml:space="preserve">. </w:t>
      </w:r>
    </w:p>
    <w:p w:rsidR="00BB343E" w:rsidRPr="005633D9" w:rsidRDefault="00FD562F" w:rsidP="00BB343E">
      <w:pPr>
        <w:rPr>
          <w:lang w:val="en-GB"/>
        </w:rPr>
      </w:pPr>
      <w:r w:rsidRPr="005633D9">
        <w:rPr>
          <w:lang w:val="en-GB"/>
        </w:rPr>
        <w:t xml:space="preserve">We will conduct the </w:t>
      </w:r>
      <w:r w:rsidR="00BB343E" w:rsidRPr="005633D9">
        <w:rPr>
          <w:lang w:val="en-GB"/>
        </w:rPr>
        <w:t xml:space="preserve">qualitative evaluation of consumer demand through point-of-sale surveys at retail outlets that are frequented by potential buyers of </w:t>
      </w:r>
      <w:r w:rsidRPr="005633D9">
        <w:rPr>
          <w:lang w:val="en-GB"/>
        </w:rPr>
        <w:t>aflatoxin-free</w:t>
      </w:r>
      <w:r w:rsidR="00BB343E" w:rsidRPr="005633D9">
        <w:rPr>
          <w:lang w:val="en-GB"/>
        </w:rPr>
        <w:t xml:space="preserve"> maize. These will include outlets identified through interviews with millers, who</w:t>
      </w:r>
      <w:r w:rsidR="00D45951" w:rsidRPr="005633D9">
        <w:rPr>
          <w:lang w:val="en-GB"/>
        </w:rPr>
        <w:t>m we</w:t>
      </w:r>
      <w:r w:rsidR="00BB343E" w:rsidRPr="005633D9">
        <w:rPr>
          <w:lang w:val="en-GB"/>
        </w:rPr>
        <w:t xml:space="preserve"> will also request to facilitate requests to survey consumers at select retail outlets. Following receipt of such permission, </w:t>
      </w:r>
      <w:r w:rsidR="00D45951" w:rsidRPr="005633D9">
        <w:rPr>
          <w:lang w:val="en-GB"/>
        </w:rPr>
        <w:t xml:space="preserve">we will choose </w:t>
      </w:r>
      <w:r w:rsidR="00BB343E" w:rsidRPr="005633D9">
        <w:rPr>
          <w:lang w:val="en-GB"/>
        </w:rPr>
        <w:t>specific retailers as base</w:t>
      </w:r>
      <w:r w:rsidR="00D45951" w:rsidRPr="005633D9">
        <w:rPr>
          <w:lang w:val="en-GB"/>
        </w:rPr>
        <w:t>s</w:t>
      </w:r>
      <w:r w:rsidR="00BB343E" w:rsidRPr="005633D9">
        <w:rPr>
          <w:lang w:val="en-GB"/>
        </w:rPr>
        <w:t xml:space="preserve"> for interviews, with the selection aimed at having representation among </w:t>
      </w:r>
      <w:r w:rsidR="00D45951" w:rsidRPr="005633D9">
        <w:rPr>
          <w:lang w:val="en-GB"/>
        </w:rPr>
        <w:t>(</w:t>
      </w:r>
      <w:r w:rsidR="00BB343E" w:rsidRPr="005633D9">
        <w:rPr>
          <w:lang w:val="en-GB"/>
        </w:rPr>
        <w:t xml:space="preserve">1) the different millers marketing </w:t>
      </w:r>
      <w:r w:rsidR="00B577F2" w:rsidRPr="005633D9">
        <w:rPr>
          <w:lang w:val="en-GB"/>
        </w:rPr>
        <w:t>aflatoxin-free</w:t>
      </w:r>
      <w:r w:rsidR="00BB343E" w:rsidRPr="005633D9">
        <w:rPr>
          <w:lang w:val="en-GB"/>
        </w:rPr>
        <w:t xml:space="preserve"> maize to consumers, </w:t>
      </w:r>
      <w:r w:rsidR="00D45951" w:rsidRPr="005633D9">
        <w:rPr>
          <w:lang w:val="en-GB"/>
        </w:rPr>
        <w:t>(</w:t>
      </w:r>
      <w:r w:rsidR="001874A9">
        <w:rPr>
          <w:lang w:val="en-GB"/>
        </w:rPr>
        <w:t>2) </w:t>
      </w:r>
      <w:r w:rsidR="00BB343E" w:rsidRPr="005633D9">
        <w:rPr>
          <w:lang w:val="en-GB"/>
        </w:rPr>
        <w:t>geographic and socio-economic diversity (rural/urban, poor</w:t>
      </w:r>
      <w:r w:rsidR="00D45951" w:rsidRPr="005633D9">
        <w:rPr>
          <w:lang w:val="en-GB"/>
        </w:rPr>
        <w:t>,</w:t>
      </w:r>
      <w:r w:rsidR="00BB343E" w:rsidRPr="005633D9">
        <w:rPr>
          <w:lang w:val="en-GB"/>
        </w:rPr>
        <w:t xml:space="preserve"> and nutritionally vulnerable clienteles), and </w:t>
      </w:r>
      <w:r w:rsidR="00D45951" w:rsidRPr="005633D9">
        <w:rPr>
          <w:lang w:val="en-GB"/>
        </w:rPr>
        <w:t>(</w:t>
      </w:r>
      <w:r w:rsidR="00BB343E" w:rsidRPr="005633D9">
        <w:rPr>
          <w:lang w:val="en-GB"/>
        </w:rPr>
        <w:t>3) major retail formats (</w:t>
      </w:r>
      <w:r w:rsidR="00D45951" w:rsidRPr="005633D9">
        <w:rPr>
          <w:lang w:val="en-GB"/>
        </w:rPr>
        <w:t xml:space="preserve">e.g., </w:t>
      </w:r>
      <w:r w:rsidR="00BB343E" w:rsidRPr="005633D9">
        <w:rPr>
          <w:lang w:val="en-GB"/>
        </w:rPr>
        <w:t xml:space="preserve">supermarket chains, local retailers, open-air fairs). At each target retail outlet, the </w:t>
      </w:r>
      <w:r w:rsidR="00E4447F">
        <w:rPr>
          <w:lang w:val="en-GB"/>
        </w:rPr>
        <w:t xml:space="preserve">in-country </w:t>
      </w:r>
      <w:r w:rsidR="00BB343E" w:rsidRPr="005633D9">
        <w:rPr>
          <w:lang w:val="en-GB"/>
        </w:rPr>
        <w:t xml:space="preserve">Agricultural Economist will verify and collect data on the retailers’ merchandising of </w:t>
      </w:r>
      <w:r w:rsidR="00B577F2" w:rsidRPr="005633D9">
        <w:rPr>
          <w:lang w:val="en-GB"/>
        </w:rPr>
        <w:t>aflatoxin-free</w:t>
      </w:r>
      <w:r w:rsidR="00BB343E" w:rsidRPr="005633D9">
        <w:rPr>
          <w:lang w:val="en-GB"/>
        </w:rPr>
        <w:t xml:space="preserve"> maize (using </w:t>
      </w:r>
      <w:r w:rsidR="00D45951" w:rsidRPr="005633D9">
        <w:rPr>
          <w:lang w:val="en-GB"/>
        </w:rPr>
        <w:t xml:space="preserve">the </w:t>
      </w:r>
      <w:r w:rsidR="00BB343E" w:rsidRPr="005633D9">
        <w:rPr>
          <w:lang w:val="en-GB"/>
        </w:rPr>
        <w:t xml:space="preserve">template in </w:t>
      </w:r>
      <w:r w:rsidR="000C28EB" w:rsidRPr="005633D9">
        <w:rPr>
          <w:lang w:val="en-GB"/>
        </w:rPr>
        <w:t xml:space="preserve">Appendix </w:t>
      </w:r>
      <w:r w:rsidR="00D34D9B">
        <w:rPr>
          <w:lang w:val="en-GB"/>
        </w:rPr>
        <w:t>B</w:t>
      </w:r>
      <w:r w:rsidR="00BB343E" w:rsidRPr="005633D9">
        <w:rPr>
          <w:lang w:val="en-GB"/>
        </w:rPr>
        <w:t>) including brands, product forms, packaging, display/promotion, and pricing</w:t>
      </w:r>
      <w:r w:rsidR="007434EB" w:rsidRPr="005633D9">
        <w:rPr>
          <w:lang w:val="en-GB"/>
        </w:rPr>
        <w:t xml:space="preserve">. Then </w:t>
      </w:r>
      <w:r w:rsidR="00BF086B" w:rsidRPr="005633D9">
        <w:rPr>
          <w:lang w:val="en-GB"/>
        </w:rPr>
        <w:t xml:space="preserve">the </w:t>
      </w:r>
      <w:r w:rsidR="000A24A6" w:rsidRPr="005633D9">
        <w:rPr>
          <w:lang w:val="en-GB"/>
        </w:rPr>
        <w:t xml:space="preserve">Agricultural Economist </w:t>
      </w:r>
      <w:r w:rsidR="007434EB" w:rsidRPr="005633D9">
        <w:rPr>
          <w:lang w:val="en-GB"/>
        </w:rPr>
        <w:t xml:space="preserve">will </w:t>
      </w:r>
      <w:r w:rsidR="00BB343E" w:rsidRPr="005633D9">
        <w:rPr>
          <w:lang w:val="en-GB"/>
        </w:rPr>
        <w:t xml:space="preserve">approach consumers who are buying maize, verify that they are the primary shopper for their family and that they regularly purchase maize for household consumption, and request their participation in the survey. We will also survey consumers at retail outlets in areas (such as villages with farmers participating in the pilot) where consumers may have been exposed to </w:t>
      </w:r>
      <w:r w:rsidR="00B577F2" w:rsidRPr="005633D9">
        <w:rPr>
          <w:lang w:val="en-GB"/>
        </w:rPr>
        <w:t>aflatoxin-free</w:t>
      </w:r>
      <w:r w:rsidR="00BB343E" w:rsidRPr="005633D9">
        <w:rPr>
          <w:lang w:val="en-GB"/>
        </w:rPr>
        <w:t xml:space="preserve"> maize due to pilot activities</w:t>
      </w:r>
      <w:r w:rsidR="00CC18FE" w:rsidRPr="005633D9">
        <w:rPr>
          <w:lang w:val="en-GB"/>
        </w:rPr>
        <w:t>. E</w:t>
      </w:r>
      <w:r w:rsidR="00BB343E" w:rsidRPr="005633D9">
        <w:rPr>
          <w:lang w:val="en-GB"/>
        </w:rPr>
        <w:t xml:space="preserve">ven if there is no sale of </w:t>
      </w:r>
      <w:r w:rsidR="00B577F2" w:rsidRPr="005633D9">
        <w:rPr>
          <w:lang w:val="en-GB"/>
        </w:rPr>
        <w:t xml:space="preserve">aflatoxin-free </w:t>
      </w:r>
      <w:r w:rsidR="00BB343E" w:rsidRPr="005633D9">
        <w:rPr>
          <w:lang w:val="en-GB"/>
        </w:rPr>
        <w:t xml:space="preserve">maize in those areas, the pilot may have had an effect on consumer demand for the product by raising awareness about aflatoxins and stimulating interest in </w:t>
      </w:r>
      <w:r w:rsidR="00B577F2" w:rsidRPr="005633D9">
        <w:rPr>
          <w:lang w:val="en-GB"/>
        </w:rPr>
        <w:t>aflatoxin-free</w:t>
      </w:r>
      <w:r w:rsidR="00BB343E" w:rsidRPr="005633D9">
        <w:rPr>
          <w:lang w:val="en-GB"/>
        </w:rPr>
        <w:t xml:space="preserve"> maize.</w:t>
      </w:r>
      <w:r w:rsidR="00B77EA1" w:rsidRPr="005633D9">
        <w:rPr>
          <w:lang w:val="en-GB"/>
        </w:rPr>
        <w:t xml:space="preserve"> </w:t>
      </w:r>
    </w:p>
    <w:p w:rsidR="00934205" w:rsidRPr="005633D9" w:rsidRDefault="00934205" w:rsidP="00934205">
      <w:pPr>
        <w:pStyle w:val="Heading4"/>
        <w:rPr>
          <w:lang w:val="en-GB"/>
        </w:rPr>
      </w:pPr>
      <w:r w:rsidRPr="005633D9">
        <w:rPr>
          <w:lang w:val="en-GB"/>
        </w:rPr>
        <w:t>Anal</w:t>
      </w:r>
      <w:r w:rsidR="002222A4" w:rsidRPr="005633D9">
        <w:rPr>
          <w:lang w:val="en-GB"/>
        </w:rPr>
        <w:t>ysis plan</w:t>
      </w:r>
    </w:p>
    <w:p w:rsidR="00934205" w:rsidRPr="005633D9" w:rsidRDefault="00934205" w:rsidP="00934205">
      <w:pPr>
        <w:rPr>
          <w:lang w:val="en-GB"/>
        </w:rPr>
      </w:pPr>
      <w:r w:rsidRPr="005633D9">
        <w:rPr>
          <w:lang w:val="en-GB"/>
        </w:rPr>
        <w:t xml:space="preserve">The </w:t>
      </w:r>
      <w:r w:rsidR="00513E26">
        <w:rPr>
          <w:lang w:val="en-GB"/>
        </w:rPr>
        <w:t xml:space="preserve">in-country </w:t>
      </w:r>
      <w:r w:rsidRPr="005633D9">
        <w:rPr>
          <w:lang w:val="en-GB"/>
        </w:rPr>
        <w:t xml:space="preserve">Agricultural Economist, under supervision of the impact evaluation team’s </w:t>
      </w:r>
      <w:r w:rsidR="00E4447F">
        <w:rPr>
          <w:lang w:val="en-GB"/>
        </w:rPr>
        <w:t xml:space="preserve">Qualitative </w:t>
      </w:r>
      <w:r w:rsidR="00766D06">
        <w:rPr>
          <w:lang w:val="en-GB"/>
        </w:rPr>
        <w:t>Lead</w:t>
      </w:r>
      <w:r w:rsidRPr="005633D9">
        <w:rPr>
          <w:lang w:val="en-GB"/>
        </w:rPr>
        <w:t>, will undertake data collection and analysis. Data will be collected in person, at the site of pre-selected retail operations. The</w:t>
      </w:r>
      <w:r w:rsidR="00766D06">
        <w:rPr>
          <w:lang w:val="en-GB"/>
        </w:rPr>
        <w:t xml:space="preserve"> </w:t>
      </w:r>
      <w:r w:rsidR="00513E26">
        <w:rPr>
          <w:lang w:val="en-GB"/>
        </w:rPr>
        <w:t>in-country</w:t>
      </w:r>
      <w:r w:rsidRPr="005633D9">
        <w:rPr>
          <w:lang w:val="en-GB"/>
        </w:rPr>
        <w:t xml:space="preserve"> Agricultural Economist will enter the data into a template provided by the </w:t>
      </w:r>
      <w:r w:rsidR="00E4447F">
        <w:rPr>
          <w:lang w:val="en-GB"/>
        </w:rPr>
        <w:t xml:space="preserve">Qualitative </w:t>
      </w:r>
      <w:r w:rsidR="00766D06">
        <w:rPr>
          <w:lang w:val="en-GB"/>
        </w:rPr>
        <w:t>Lead</w:t>
      </w:r>
      <w:r w:rsidR="00766D06" w:rsidRPr="005633D9">
        <w:rPr>
          <w:lang w:val="en-GB"/>
        </w:rPr>
        <w:t xml:space="preserve"> </w:t>
      </w:r>
      <w:r w:rsidRPr="005633D9">
        <w:rPr>
          <w:lang w:val="en-GB"/>
        </w:rPr>
        <w:t xml:space="preserve">before transmission to her. The </w:t>
      </w:r>
      <w:r w:rsidR="00E4447F">
        <w:rPr>
          <w:lang w:val="en-GB"/>
        </w:rPr>
        <w:t xml:space="preserve">Qualitative </w:t>
      </w:r>
      <w:r w:rsidR="00766D06">
        <w:rPr>
          <w:lang w:val="en-GB"/>
        </w:rPr>
        <w:t>Lead</w:t>
      </w:r>
      <w:r w:rsidR="00766D06" w:rsidRPr="005633D9">
        <w:rPr>
          <w:lang w:val="en-GB"/>
        </w:rPr>
        <w:t xml:space="preserve"> </w:t>
      </w:r>
      <w:r w:rsidRPr="005633D9">
        <w:rPr>
          <w:lang w:val="en-GB"/>
        </w:rPr>
        <w:t xml:space="preserve">will analyse the data and report the results, communicating with the </w:t>
      </w:r>
      <w:r w:rsidR="00513E26">
        <w:rPr>
          <w:lang w:val="en-GB"/>
        </w:rPr>
        <w:t xml:space="preserve">in-country </w:t>
      </w:r>
      <w:r w:rsidRPr="005633D9">
        <w:rPr>
          <w:lang w:val="en-GB"/>
        </w:rPr>
        <w:t xml:space="preserve">Agricultural Economist for clarification and feedback as the analysis proceeds. The </w:t>
      </w:r>
      <w:r w:rsidR="00513E26">
        <w:rPr>
          <w:lang w:val="en-GB"/>
        </w:rPr>
        <w:t xml:space="preserve">in-country </w:t>
      </w:r>
      <w:r w:rsidRPr="005633D9">
        <w:rPr>
          <w:lang w:val="en-GB"/>
        </w:rPr>
        <w:t xml:space="preserve">Agricultural </w:t>
      </w:r>
      <w:r w:rsidRPr="005633D9">
        <w:rPr>
          <w:lang w:val="en-GB"/>
        </w:rPr>
        <w:lastRenderedPageBreak/>
        <w:t>Economist will participate in finalization of the consumer survey and receive training in its implementation prior to conducting baseline data collection.</w:t>
      </w:r>
    </w:p>
    <w:p w:rsidR="0026707D" w:rsidRPr="005633D9" w:rsidRDefault="00853BB1" w:rsidP="00D32F90">
      <w:pPr>
        <w:pStyle w:val="Heading4"/>
        <w:rPr>
          <w:lang w:val="en-GB"/>
        </w:rPr>
      </w:pPr>
      <w:r w:rsidRPr="005633D9">
        <w:rPr>
          <w:lang w:val="en-GB"/>
        </w:rPr>
        <w:t xml:space="preserve">Data </w:t>
      </w:r>
      <w:r w:rsidR="002222A4" w:rsidRPr="005633D9">
        <w:rPr>
          <w:lang w:val="en-GB"/>
        </w:rPr>
        <w:t>sources</w:t>
      </w:r>
      <w:bookmarkEnd w:id="53"/>
    </w:p>
    <w:p w:rsidR="0026707D" w:rsidRPr="005633D9" w:rsidRDefault="0026707D" w:rsidP="0026707D">
      <w:pPr>
        <w:rPr>
          <w:lang w:val="en-GB"/>
        </w:rPr>
      </w:pPr>
      <w:r w:rsidRPr="005633D9">
        <w:rPr>
          <w:lang w:val="en-GB"/>
        </w:rPr>
        <w:t>The consumer survey will collect socio-</w:t>
      </w:r>
      <w:r w:rsidR="004565EB" w:rsidRPr="005633D9">
        <w:rPr>
          <w:lang w:val="en-GB"/>
        </w:rPr>
        <w:t>economic</w:t>
      </w:r>
      <w:r w:rsidRPr="005633D9">
        <w:rPr>
          <w:lang w:val="en-GB"/>
        </w:rPr>
        <w:t xml:space="preserve"> data, data on maize purchases and preferences, both in general and specific to aflatoxin-free maize, as well as consumers’ KAP regarding aflatoxins. </w:t>
      </w:r>
      <w:r w:rsidR="00B77EA1" w:rsidRPr="005633D9">
        <w:rPr>
          <w:lang w:val="en-GB"/>
        </w:rPr>
        <w:t xml:space="preserve">We will interview 5 to 10 consumers per retail market </w:t>
      </w:r>
      <w:r w:rsidR="00BF6F29" w:rsidRPr="005633D9">
        <w:rPr>
          <w:lang w:val="en-GB"/>
        </w:rPr>
        <w:t xml:space="preserve">outlet in rural, peri-urban, and urban areas </w:t>
      </w:r>
      <w:r w:rsidR="00CC18FE" w:rsidRPr="005633D9">
        <w:rPr>
          <w:lang w:val="en-GB"/>
        </w:rPr>
        <w:t>that</w:t>
      </w:r>
      <w:r w:rsidR="00BF6F29" w:rsidRPr="005633D9">
        <w:rPr>
          <w:lang w:val="en-GB"/>
        </w:rPr>
        <w:t xml:space="preserve"> are identified as potentially having been influenced by pilot activities</w:t>
      </w:r>
      <w:r w:rsidR="00B77EA1" w:rsidRPr="005633D9">
        <w:rPr>
          <w:lang w:val="en-GB"/>
        </w:rPr>
        <w:t>.</w:t>
      </w:r>
      <w:r w:rsidRPr="005633D9">
        <w:rPr>
          <w:lang w:val="en-GB"/>
        </w:rPr>
        <w:t xml:space="preserve"> Data to be collected and questions to be a</w:t>
      </w:r>
      <w:r w:rsidR="000C28EB" w:rsidRPr="005633D9">
        <w:rPr>
          <w:lang w:val="en-GB"/>
        </w:rPr>
        <w:t xml:space="preserve">ddressed (detailed in Appendix </w:t>
      </w:r>
      <w:r w:rsidR="00D34D9B">
        <w:rPr>
          <w:lang w:val="en-GB"/>
        </w:rPr>
        <w:t>B</w:t>
      </w:r>
      <w:r w:rsidRPr="005633D9">
        <w:rPr>
          <w:lang w:val="en-GB"/>
        </w:rPr>
        <w:t xml:space="preserve">) will include: </w:t>
      </w:r>
    </w:p>
    <w:p w:rsidR="0026707D" w:rsidRPr="005633D9" w:rsidRDefault="0026707D" w:rsidP="0026707D">
      <w:pPr>
        <w:pStyle w:val="Bullets"/>
      </w:pPr>
      <w:r w:rsidRPr="005633D9">
        <w:t xml:space="preserve">Overview of maize purchases—sources, quantities, degree of processing, brand, cost/quality orientation </w:t>
      </w:r>
    </w:p>
    <w:p w:rsidR="0026707D" w:rsidRPr="005633D9" w:rsidRDefault="0026707D" w:rsidP="0026707D">
      <w:pPr>
        <w:pStyle w:val="Bullets"/>
      </w:pPr>
      <w:r w:rsidRPr="005633D9">
        <w:t>Purchases and preferences with respect to aflatoxin-free maize</w:t>
      </w:r>
    </w:p>
    <w:p w:rsidR="0026707D" w:rsidRPr="005633D9" w:rsidRDefault="0026707D" w:rsidP="0026707D">
      <w:pPr>
        <w:pStyle w:val="Bullet2"/>
        <w:rPr>
          <w:lang w:val="en-GB"/>
        </w:rPr>
      </w:pPr>
      <w:r w:rsidRPr="005633D9">
        <w:rPr>
          <w:lang w:val="en-GB"/>
        </w:rPr>
        <w:t>Has consumer ever purchased aflatoxin-free maize</w:t>
      </w:r>
      <w:r w:rsidR="00CB18F8" w:rsidRPr="005633D9">
        <w:rPr>
          <w:lang w:val="en-GB"/>
        </w:rPr>
        <w:t>?</w:t>
      </w:r>
    </w:p>
    <w:p w:rsidR="0026707D" w:rsidRPr="005633D9" w:rsidRDefault="0026707D" w:rsidP="0026707D">
      <w:pPr>
        <w:pStyle w:val="Bullet2"/>
        <w:rPr>
          <w:lang w:val="en-GB"/>
        </w:rPr>
      </w:pPr>
      <w:r w:rsidRPr="005633D9">
        <w:rPr>
          <w:lang w:val="en-GB"/>
        </w:rPr>
        <w:t xml:space="preserve">Overview of aflatoxin-free maize buying </w:t>
      </w:r>
      <w:r w:rsidR="007C0210" w:rsidRPr="005633D9">
        <w:rPr>
          <w:lang w:val="en-GB"/>
        </w:rPr>
        <w:t>behaviour</w:t>
      </w:r>
      <w:r w:rsidRPr="005633D9">
        <w:rPr>
          <w:lang w:val="en-GB"/>
        </w:rPr>
        <w:t xml:space="preserve"> (sources, quantities, degree of processing, preferred brand)</w:t>
      </w:r>
    </w:p>
    <w:p w:rsidR="0026707D" w:rsidRPr="005633D9" w:rsidRDefault="0026707D" w:rsidP="0026707D">
      <w:pPr>
        <w:pStyle w:val="Bullet2"/>
        <w:rPr>
          <w:lang w:val="en-GB"/>
        </w:rPr>
      </w:pPr>
      <w:r w:rsidRPr="005633D9">
        <w:rPr>
          <w:lang w:val="en-GB"/>
        </w:rPr>
        <w:t>Cost and convenience comparison with non-aflatoxin-free maize</w:t>
      </w:r>
    </w:p>
    <w:p w:rsidR="0026707D" w:rsidRPr="005633D9" w:rsidRDefault="0026707D" w:rsidP="0026707D">
      <w:pPr>
        <w:pStyle w:val="Bullet2"/>
        <w:rPr>
          <w:lang w:val="en-GB"/>
        </w:rPr>
      </w:pPr>
      <w:r w:rsidRPr="005633D9">
        <w:rPr>
          <w:lang w:val="en-GB"/>
        </w:rPr>
        <w:t>What is unique/valuable about aflatoxin-free maize (why does consumer choose to buy it)?</w:t>
      </w:r>
    </w:p>
    <w:p w:rsidR="0026707D" w:rsidRPr="005633D9" w:rsidRDefault="0026707D" w:rsidP="0026707D">
      <w:pPr>
        <w:pStyle w:val="Bullet2"/>
        <w:rPr>
          <w:lang w:val="en-GB"/>
        </w:rPr>
      </w:pPr>
      <w:r w:rsidRPr="005633D9">
        <w:rPr>
          <w:lang w:val="en-GB"/>
        </w:rPr>
        <w:t xml:space="preserve">How did consumer become aware of aflatoxin-free maize products? </w:t>
      </w:r>
    </w:p>
    <w:p w:rsidR="0026707D" w:rsidRPr="005633D9" w:rsidRDefault="0026707D" w:rsidP="0026707D">
      <w:pPr>
        <w:pStyle w:val="Bullet2"/>
        <w:rPr>
          <w:lang w:val="en-GB"/>
        </w:rPr>
      </w:pPr>
      <w:r w:rsidRPr="005633D9">
        <w:rPr>
          <w:lang w:val="en-GB"/>
        </w:rPr>
        <w:t xml:space="preserve">How do consumer and family members like aflatoxin-free maize relative to non-aflatoxin-free maize? </w:t>
      </w:r>
    </w:p>
    <w:p w:rsidR="0026707D" w:rsidRPr="005633D9" w:rsidRDefault="0026707D" w:rsidP="0026707D">
      <w:pPr>
        <w:pStyle w:val="Bullet2"/>
        <w:rPr>
          <w:lang w:val="en-GB"/>
        </w:rPr>
      </w:pPr>
      <w:r w:rsidRPr="005633D9">
        <w:rPr>
          <w:lang w:val="en-GB"/>
        </w:rPr>
        <w:t>Factors that drive decision to purchase aflatoxin-free maize</w:t>
      </w:r>
    </w:p>
    <w:p w:rsidR="0026707D" w:rsidRPr="005633D9" w:rsidRDefault="0026707D" w:rsidP="0026707D">
      <w:pPr>
        <w:pStyle w:val="Bullets"/>
      </w:pPr>
      <w:r w:rsidRPr="005633D9">
        <w:t>KAP regarding aflatoxins</w:t>
      </w:r>
    </w:p>
    <w:p w:rsidR="0026707D" w:rsidRPr="005633D9" w:rsidRDefault="0026707D" w:rsidP="0026707D">
      <w:pPr>
        <w:pStyle w:val="Bullet2"/>
        <w:rPr>
          <w:lang w:val="en-GB"/>
        </w:rPr>
      </w:pPr>
      <w:r w:rsidRPr="005633D9">
        <w:rPr>
          <w:lang w:val="en-GB"/>
        </w:rPr>
        <w:t>Awareness of and attitudes towards aflatoxins as an issue</w:t>
      </w:r>
    </w:p>
    <w:p w:rsidR="0026707D" w:rsidRPr="005633D9" w:rsidRDefault="0026707D" w:rsidP="0026707D">
      <w:pPr>
        <w:pStyle w:val="Bullet2"/>
        <w:rPr>
          <w:lang w:val="en-GB"/>
        </w:rPr>
      </w:pPr>
      <w:r w:rsidRPr="005633D9">
        <w:rPr>
          <w:lang w:val="en-GB"/>
        </w:rPr>
        <w:t>Awareness of availability of aflatoxin-free maize</w:t>
      </w:r>
    </w:p>
    <w:p w:rsidR="0026707D" w:rsidRPr="005633D9" w:rsidRDefault="0026707D" w:rsidP="0026707D">
      <w:pPr>
        <w:pStyle w:val="Bullet2"/>
        <w:rPr>
          <w:lang w:val="en-GB"/>
        </w:rPr>
      </w:pPr>
      <w:r w:rsidRPr="005633D9">
        <w:rPr>
          <w:lang w:val="en-GB"/>
        </w:rPr>
        <w:t>Preferences towards consumption of aflatoxins</w:t>
      </w:r>
    </w:p>
    <w:p w:rsidR="0026707D" w:rsidRPr="005633D9" w:rsidRDefault="0026707D" w:rsidP="0026707D">
      <w:pPr>
        <w:pStyle w:val="Bullets"/>
      </w:pPr>
      <w:r w:rsidRPr="005633D9">
        <w:t>Socio-demographic data on shopper and household</w:t>
      </w:r>
    </w:p>
    <w:p w:rsidR="00D139EC" w:rsidRPr="005633D9" w:rsidRDefault="00D139EC" w:rsidP="0009159C">
      <w:pPr>
        <w:pStyle w:val="Heading2"/>
        <w:spacing w:after="120"/>
        <w:rPr>
          <w:lang w:val="en-GB"/>
        </w:rPr>
      </w:pPr>
      <w:bookmarkStart w:id="54" w:name="_Toc375336137"/>
      <w:bookmarkStart w:id="55" w:name="_Toc407700415"/>
      <w:r w:rsidRPr="005633D9">
        <w:rPr>
          <w:lang w:val="en-GB"/>
        </w:rPr>
        <w:t xml:space="preserve">Evaluation </w:t>
      </w:r>
      <w:r w:rsidR="000A26AA" w:rsidRPr="005633D9">
        <w:rPr>
          <w:lang w:val="en-GB"/>
        </w:rPr>
        <w:t xml:space="preserve">question </w:t>
      </w:r>
      <w:r w:rsidRPr="005633D9">
        <w:rPr>
          <w:lang w:val="en-GB"/>
        </w:rPr>
        <w:t>5: What evidence exists that the effects of the AgResults pilots will be sustainable in the medium to long term?</w:t>
      </w:r>
      <w:bookmarkEnd w:id="54"/>
      <w:bookmarkEnd w:id="55"/>
      <w:r w:rsidRPr="005633D9">
        <w:rPr>
          <w:lang w:val="en-GB"/>
        </w:rPr>
        <w:t xml:space="preserve"> </w:t>
      </w:r>
    </w:p>
    <w:p w:rsidR="00D139EC" w:rsidRPr="005633D9" w:rsidRDefault="00D139EC" w:rsidP="00D139EC">
      <w:pPr>
        <w:rPr>
          <w:lang w:val="en-GB"/>
        </w:rPr>
      </w:pPr>
      <w:r w:rsidRPr="005633D9">
        <w:rPr>
          <w:lang w:val="en-GB"/>
        </w:rPr>
        <w:t xml:space="preserve">The sustainability of effects determines the potential for the AgResults initiative to make significant and long-lasting contributions to the development goals that motivate it. Assuming a positive initial impact, then the sustainability of the pilot will depend on whether market developments that have been stimulated by the pilot will continue following cessation of the direct pilot incentives; that is, whether the preconditions for a sustainable market have been established or not. </w:t>
      </w:r>
    </w:p>
    <w:p w:rsidR="009A5181" w:rsidRPr="005633D9" w:rsidRDefault="00D139EC" w:rsidP="00D139EC">
      <w:pPr>
        <w:rPr>
          <w:lang w:val="en-GB"/>
        </w:rPr>
      </w:pPr>
      <w:r w:rsidRPr="005633D9">
        <w:rPr>
          <w:lang w:val="en-GB"/>
        </w:rPr>
        <w:t>Qualitative contributions to the evaluation of sustainability will come from the SCP, farm-level, and demand analyses, and will focus on whether the basic conditions that provide incentive for continued private sector, farmer, and consumer engagement in the market are present. These include</w:t>
      </w:r>
      <w:r w:rsidR="009A5181" w:rsidRPr="005633D9">
        <w:rPr>
          <w:lang w:val="en-GB"/>
        </w:rPr>
        <w:t>:</w:t>
      </w:r>
      <w:r w:rsidRPr="005633D9">
        <w:rPr>
          <w:lang w:val="en-GB"/>
        </w:rPr>
        <w:t xml:space="preserve"> </w:t>
      </w:r>
    </w:p>
    <w:p w:rsidR="009A5181" w:rsidRPr="005633D9" w:rsidRDefault="009A5181" w:rsidP="00F04A96">
      <w:pPr>
        <w:pStyle w:val="Bullets"/>
      </w:pPr>
      <w:r w:rsidRPr="005633D9">
        <w:lastRenderedPageBreak/>
        <w:t>W</w:t>
      </w:r>
      <w:r w:rsidR="00D139EC" w:rsidRPr="005633D9">
        <w:t>hether there is adequate awareness of aflatoxin</w:t>
      </w:r>
      <w:r w:rsidRPr="005633D9">
        <w:t>s</w:t>
      </w:r>
      <w:r w:rsidR="00D139EC" w:rsidRPr="005633D9">
        <w:t xml:space="preserve"> as a problem and Aflasafe as a potential solution among potential buyers to sustain the market</w:t>
      </w:r>
    </w:p>
    <w:p w:rsidR="009A5181" w:rsidRPr="005633D9" w:rsidRDefault="009A5181" w:rsidP="00F04A96">
      <w:pPr>
        <w:pStyle w:val="Bullets"/>
      </w:pPr>
      <w:r w:rsidRPr="005633D9">
        <w:t>W</w:t>
      </w:r>
      <w:r w:rsidR="00D139EC" w:rsidRPr="005633D9">
        <w:t>hether testing methods (for Aflasafe or aflatoxins) are developed and available for widespread use</w:t>
      </w:r>
    </w:p>
    <w:p w:rsidR="009A5181" w:rsidRPr="005633D9" w:rsidRDefault="009A5181" w:rsidP="00F04A96">
      <w:pPr>
        <w:pStyle w:val="Bullets"/>
      </w:pPr>
      <w:r w:rsidRPr="005633D9">
        <w:t>W</w:t>
      </w:r>
      <w:r w:rsidR="00D139EC" w:rsidRPr="005633D9">
        <w:t>hether farmer yields and/or market prices are high enough to permit economical application of Aflasafe</w:t>
      </w:r>
    </w:p>
    <w:p w:rsidR="00D139EC" w:rsidRPr="005633D9" w:rsidRDefault="009A5181" w:rsidP="00F04A96">
      <w:pPr>
        <w:pStyle w:val="Bullets"/>
      </w:pPr>
      <w:r w:rsidRPr="005633D9">
        <w:t>W</w:t>
      </w:r>
      <w:r w:rsidR="00D139EC" w:rsidRPr="005633D9">
        <w:t xml:space="preserve">hether there is a reliable and accessible source of Aflasafe </w:t>
      </w:r>
      <w:r w:rsidRPr="005633D9">
        <w:t>for</w:t>
      </w:r>
      <w:r w:rsidR="00D139EC" w:rsidRPr="005633D9">
        <w:t xml:space="preserve"> those who demand it. </w:t>
      </w:r>
    </w:p>
    <w:p w:rsidR="009A5181" w:rsidRPr="005633D9" w:rsidRDefault="00D139EC" w:rsidP="00D139EC">
      <w:pPr>
        <w:rPr>
          <w:lang w:val="en-GB"/>
        </w:rPr>
      </w:pPr>
      <w:r w:rsidRPr="005633D9">
        <w:rPr>
          <w:lang w:val="en-GB"/>
        </w:rPr>
        <w:t>We will also evaluate market actors’ perspectives on the viability of the market and their intentions for engagement in the market (through purchase, production, sale, and/or consumption of Aflasafe or Aflasafe-treated maize) following cessation of the pilot’s activities. Specifically, we will</w:t>
      </w:r>
      <w:r w:rsidR="009A5181" w:rsidRPr="005633D9">
        <w:rPr>
          <w:lang w:val="en-GB"/>
        </w:rPr>
        <w:t>:</w:t>
      </w:r>
      <w:r w:rsidRPr="005633D9">
        <w:rPr>
          <w:lang w:val="en-GB"/>
        </w:rPr>
        <w:t xml:space="preserve"> </w:t>
      </w:r>
    </w:p>
    <w:p w:rsidR="009A5181" w:rsidRPr="005633D9" w:rsidRDefault="009A5181" w:rsidP="00F04A96">
      <w:pPr>
        <w:pStyle w:val="Bullets"/>
      </w:pPr>
      <w:r w:rsidRPr="005633D9">
        <w:t>A</w:t>
      </w:r>
      <w:r w:rsidR="00D139EC" w:rsidRPr="005633D9">
        <w:t>sk aggregators about their interest and intentions around continued involvement in the market for Aflasafe-treated maize</w:t>
      </w:r>
    </w:p>
    <w:p w:rsidR="009A5181" w:rsidRPr="005633D9" w:rsidRDefault="009A5181" w:rsidP="00F04A96">
      <w:pPr>
        <w:pStyle w:val="Bullets"/>
      </w:pPr>
      <w:r w:rsidRPr="005633D9">
        <w:t>I</w:t>
      </w:r>
      <w:r w:rsidR="00D139EC" w:rsidRPr="005633D9">
        <w:t>nquire into the specifics of any plans they report to gain a sense of their nature and the aggregators</w:t>
      </w:r>
      <w:r w:rsidR="002B3468" w:rsidRPr="005633D9">
        <w:t>’</w:t>
      </w:r>
      <w:r w:rsidR="00D139EC" w:rsidRPr="005633D9">
        <w:t xml:space="preserve"> commitment to them</w:t>
      </w:r>
    </w:p>
    <w:p w:rsidR="00D139EC" w:rsidRPr="005633D9" w:rsidRDefault="009A5181" w:rsidP="00F04A96">
      <w:pPr>
        <w:pStyle w:val="Bullets"/>
      </w:pPr>
      <w:r w:rsidRPr="005633D9">
        <w:t>I</w:t>
      </w:r>
      <w:r w:rsidR="00D139EC" w:rsidRPr="005633D9">
        <w:t>nvestigate what conditions are necessary to carry out their plans (such as purchase orders from buyers or greater availability of aflatoxi</w:t>
      </w:r>
      <w:r w:rsidRPr="005633D9">
        <w:t>n and/or Aflasafe testing kits)</w:t>
      </w:r>
      <w:r w:rsidR="00D139EC" w:rsidRPr="005633D9">
        <w:t xml:space="preserve"> and their assessment of the likelihood of these conditions’ being fulfilled.</w:t>
      </w:r>
    </w:p>
    <w:p w:rsidR="00D139EC" w:rsidRPr="005633D9" w:rsidRDefault="00D139EC" w:rsidP="00D139EC">
      <w:pPr>
        <w:rPr>
          <w:lang w:val="en-GB"/>
        </w:rPr>
      </w:pPr>
      <w:r w:rsidRPr="005633D9">
        <w:rPr>
          <w:lang w:val="en-GB"/>
        </w:rPr>
        <w:t xml:space="preserve">We will ask farmers who have </w:t>
      </w:r>
      <w:r w:rsidR="009A5181" w:rsidRPr="005633D9">
        <w:rPr>
          <w:lang w:val="en-GB"/>
        </w:rPr>
        <w:t xml:space="preserve">used </w:t>
      </w:r>
      <w:r w:rsidRPr="005633D9">
        <w:rPr>
          <w:lang w:val="en-GB"/>
        </w:rPr>
        <w:t xml:space="preserve">Aflasafe in their maize production activities whether they are inclined to continue to use it following the cessation of pilot activities and what key variables determine whether or not they do (such as premium prices for Aflasafe-treated maize or subsidization of the Aflasafe input). We will also investigate other factors </w:t>
      </w:r>
      <w:r w:rsidR="009A5181" w:rsidRPr="005633D9">
        <w:rPr>
          <w:lang w:val="en-GB"/>
        </w:rPr>
        <w:t>that</w:t>
      </w:r>
      <w:r w:rsidRPr="005633D9">
        <w:rPr>
          <w:lang w:val="en-GB"/>
        </w:rPr>
        <w:t xml:space="preserve"> could influence the sustainability of the market for Aflasafe-treated maize, such as a reliable source of Aflasafe input and the profitability of maize production.</w:t>
      </w:r>
    </w:p>
    <w:p w:rsidR="00D139EC" w:rsidRPr="005633D9" w:rsidRDefault="00D139EC" w:rsidP="00D139EC">
      <w:pPr>
        <w:rPr>
          <w:lang w:val="en-GB"/>
        </w:rPr>
      </w:pPr>
      <w:r w:rsidRPr="005633D9">
        <w:rPr>
          <w:lang w:val="en-GB"/>
        </w:rPr>
        <w:t xml:space="preserve">We will explore with consumers their interest in continuing to consume aflatoxin-free maize given their exposure to it during the pilot period, and in the absence of any promotional or educational activities </w:t>
      </w:r>
      <w:r w:rsidR="009A5181" w:rsidRPr="005633D9">
        <w:rPr>
          <w:lang w:val="en-GB"/>
        </w:rPr>
        <w:t>that</w:t>
      </w:r>
      <w:r w:rsidRPr="005633D9">
        <w:rPr>
          <w:lang w:val="en-GB"/>
        </w:rPr>
        <w:t xml:space="preserve"> might have been motivated by the pilot. </w:t>
      </w:r>
    </w:p>
    <w:p w:rsidR="00D139EC" w:rsidRPr="005633D9" w:rsidRDefault="009A5181" w:rsidP="00D139EC">
      <w:pPr>
        <w:rPr>
          <w:lang w:val="en-GB"/>
        </w:rPr>
      </w:pPr>
      <w:r w:rsidRPr="005633D9">
        <w:rPr>
          <w:lang w:val="en-GB"/>
        </w:rPr>
        <w:t>We will collect data</w:t>
      </w:r>
      <w:r w:rsidR="00D139EC" w:rsidRPr="005633D9">
        <w:rPr>
          <w:lang w:val="en-GB"/>
        </w:rPr>
        <w:t xml:space="preserve"> during the course of the questionnaires, previously introduced, </w:t>
      </w:r>
      <w:r w:rsidRPr="005633D9">
        <w:rPr>
          <w:lang w:val="en-GB"/>
        </w:rPr>
        <w:t xml:space="preserve">from </w:t>
      </w:r>
      <w:r w:rsidR="00D139EC" w:rsidRPr="005633D9">
        <w:rPr>
          <w:lang w:val="en-GB"/>
        </w:rPr>
        <w:t xml:space="preserve">private sector </w:t>
      </w:r>
      <w:r w:rsidRPr="005633D9">
        <w:rPr>
          <w:lang w:val="en-GB"/>
        </w:rPr>
        <w:t>actors</w:t>
      </w:r>
      <w:r w:rsidR="00D139EC" w:rsidRPr="005633D9">
        <w:rPr>
          <w:lang w:val="en-GB"/>
        </w:rPr>
        <w:t xml:space="preserve">, farmers, and consumers. </w:t>
      </w:r>
      <w:r w:rsidRPr="005633D9">
        <w:rPr>
          <w:lang w:val="en-GB"/>
        </w:rPr>
        <w:t>T</w:t>
      </w:r>
      <w:r w:rsidR="00D139EC" w:rsidRPr="005633D9">
        <w:rPr>
          <w:lang w:val="en-GB"/>
        </w:rPr>
        <w:t>he</w:t>
      </w:r>
      <w:r w:rsidR="00513E26">
        <w:rPr>
          <w:lang w:val="en-GB"/>
        </w:rPr>
        <w:t xml:space="preserve"> in-country</w:t>
      </w:r>
      <w:r w:rsidR="00D139EC" w:rsidRPr="005633D9">
        <w:rPr>
          <w:lang w:val="en-GB"/>
        </w:rPr>
        <w:t xml:space="preserve"> Agricultural Economist</w:t>
      </w:r>
      <w:r w:rsidRPr="005633D9">
        <w:rPr>
          <w:lang w:val="en-GB"/>
        </w:rPr>
        <w:t>,</w:t>
      </w:r>
      <w:r w:rsidR="00D139EC" w:rsidRPr="005633D9">
        <w:rPr>
          <w:lang w:val="en-GB"/>
        </w:rPr>
        <w:t xml:space="preserve"> who is responsible for conducting the questionnaires</w:t>
      </w:r>
      <w:r w:rsidRPr="005633D9">
        <w:rPr>
          <w:lang w:val="en-GB"/>
        </w:rPr>
        <w:t>, will compile the results</w:t>
      </w:r>
      <w:r w:rsidR="00D139EC" w:rsidRPr="005633D9">
        <w:rPr>
          <w:lang w:val="en-GB"/>
        </w:rPr>
        <w:t xml:space="preserve">. The </w:t>
      </w:r>
      <w:r w:rsidR="00E4447F">
        <w:rPr>
          <w:lang w:val="en-GB"/>
        </w:rPr>
        <w:t xml:space="preserve">Qualitative </w:t>
      </w:r>
      <w:r w:rsidR="00766D06">
        <w:rPr>
          <w:lang w:val="en-GB"/>
        </w:rPr>
        <w:t>Lead</w:t>
      </w:r>
      <w:r w:rsidR="00766D06" w:rsidRPr="005633D9">
        <w:rPr>
          <w:lang w:val="en-GB"/>
        </w:rPr>
        <w:t xml:space="preserve"> </w:t>
      </w:r>
      <w:r w:rsidRPr="005633D9">
        <w:rPr>
          <w:lang w:val="en-GB"/>
        </w:rPr>
        <w:t xml:space="preserve">will analyse and report the data </w:t>
      </w:r>
      <w:r w:rsidR="00D139EC" w:rsidRPr="005633D9">
        <w:rPr>
          <w:lang w:val="en-GB"/>
        </w:rPr>
        <w:t>in conjunction with the</w:t>
      </w:r>
      <w:r w:rsidR="00513E26">
        <w:rPr>
          <w:lang w:val="en-GB"/>
        </w:rPr>
        <w:t xml:space="preserve"> in-country</w:t>
      </w:r>
      <w:r w:rsidR="00D139EC" w:rsidRPr="005633D9">
        <w:rPr>
          <w:lang w:val="en-GB"/>
        </w:rPr>
        <w:t xml:space="preserve"> Agricultural Economist. </w:t>
      </w:r>
      <w:r w:rsidR="00D34A19" w:rsidRPr="005633D9">
        <w:rPr>
          <w:lang w:val="en-GB"/>
        </w:rPr>
        <w:fldChar w:fldCharType="begin"/>
      </w:r>
      <w:r w:rsidR="00D34A19" w:rsidRPr="005633D9">
        <w:rPr>
          <w:lang w:val="en-GB"/>
        </w:rPr>
        <w:instrText xml:space="preserve"> REF _Ref403424131 \h </w:instrText>
      </w:r>
      <w:r w:rsidR="00D34A19" w:rsidRPr="005633D9">
        <w:rPr>
          <w:lang w:val="en-GB"/>
        </w:rPr>
      </w:r>
      <w:r w:rsidR="00D34A19" w:rsidRPr="005633D9">
        <w:rPr>
          <w:lang w:val="en-GB"/>
        </w:rPr>
        <w:fldChar w:fldCharType="separate"/>
      </w:r>
      <w:r w:rsidR="00F33102" w:rsidRPr="005633D9">
        <w:rPr>
          <w:lang w:val="en-GB"/>
        </w:rPr>
        <w:t xml:space="preserve">Table </w:t>
      </w:r>
      <w:r w:rsidR="00F33102">
        <w:rPr>
          <w:noProof/>
          <w:lang w:val="en-GB"/>
        </w:rPr>
        <w:t>3</w:t>
      </w:r>
      <w:r w:rsidR="00F33102" w:rsidRPr="005633D9">
        <w:rPr>
          <w:lang w:val="en-GB"/>
        </w:rPr>
        <w:noBreakHyphen/>
      </w:r>
      <w:r w:rsidR="00F33102">
        <w:rPr>
          <w:noProof/>
          <w:lang w:val="en-GB"/>
        </w:rPr>
        <w:t>8</w:t>
      </w:r>
      <w:r w:rsidR="00D34A19" w:rsidRPr="005633D9">
        <w:rPr>
          <w:lang w:val="en-GB"/>
        </w:rPr>
        <w:fldChar w:fldCharType="end"/>
      </w:r>
      <w:r w:rsidR="00D34A19" w:rsidRPr="005633D9">
        <w:rPr>
          <w:lang w:val="en-GB"/>
        </w:rPr>
        <w:t xml:space="preserve"> presents in summary the key evaluation method and the key outcome measures to answer evaluation question 5.</w:t>
      </w:r>
    </w:p>
    <w:p w:rsidR="006736D0" w:rsidRPr="005633D9" w:rsidRDefault="006736D0" w:rsidP="006736D0">
      <w:pPr>
        <w:pStyle w:val="Caption"/>
        <w:rPr>
          <w:lang w:val="en-GB"/>
        </w:rPr>
      </w:pPr>
      <w:bookmarkStart w:id="56" w:name="_Ref403424131"/>
      <w:bookmarkStart w:id="57" w:name="_Toc407700440"/>
      <w:r w:rsidRPr="005633D9">
        <w:rPr>
          <w:lang w:val="en-GB"/>
        </w:rPr>
        <w:t xml:space="preserve">Table </w:t>
      </w:r>
      <w:r w:rsidR="002222A4" w:rsidRPr="005633D9">
        <w:rPr>
          <w:lang w:val="en-GB"/>
        </w:rPr>
        <w:fldChar w:fldCharType="begin"/>
      </w:r>
      <w:r w:rsidR="002222A4" w:rsidRPr="005633D9">
        <w:rPr>
          <w:lang w:val="en-GB"/>
        </w:rPr>
        <w:instrText xml:space="preserve"> STYLEREF 1 \s </w:instrText>
      </w:r>
      <w:r w:rsidR="002222A4" w:rsidRPr="005633D9">
        <w:rPr>
          <w:lang w:val="en-GB"/>
        </w:rPr>
        <w:fldChar w:fldCharType="separate"/>
      </w:r>
      <w:r w:rsidR="00F33102">
        <w:rPr>
          <w:noProof/>
          <w:lang w:val="en-GB"/>
        </w:rPr>
        <w:t>3</w:t>
      </w:r>
      <w:r w:rsidR="002222A4" w:rsidRPr="005633D9">
        <w:rPr>
          <w:lang w:val="en-GB"/>
        </w:rPr>
        <w:fldChar w:fldCharType="end"/>
      </w:r>
      <w:r w:rsidRPr="005633D9">
        <w:rPr>
          <w:lang w:val="en-GB"/>
        </w:rPr>
        <w:noBreakHyphen/>
      </w:r>
      <w:r w:rsidR="002222A4" w:rsidRPr="005633D9">
        <w:rPr>
          <w:lang w:val="en-GB"/>
        </w:rPr>
        <w:fldChar w:fldCharType="begin"/>
      </w:r>
      <w:r w:rsidR="002222A4" w:rsidRPr="005633D9">
        <w:rPr>
          <w:lang w:val="en-GB"/>
        </w:rPr>
        <w:instrText xml:space="preserve"> SEQ Table \* ARABIC \s 1 </w:instrText>
      </w:r>
      <w:r w:rsidR="002222A4" w:rsidRPr="005633D9">
        <w:rPr>
          <w:lang w:val="en-GB"/>
        </w:rPr>
        <w:fldChar w:fldCharType="separate"/>
      </w:r>
      <w:r w:rsidR="00F33102">
        <w:rPr>
          <w:noProof/>
          <w:lang w:val="en-GB"/>
        </w:rPr>
        <w:t>8</w:t>
      </w:r>
      <w:r w:rsidR="002222A4" w:rsidRPr="005633D9">
        <w:rPr>
          <w:lang w:val="en-GB"/>
        </w:rPr>
        <w:fldChar w:fldCharType="end"/>
      </w:r>
      <w:bookmarkEnd w:id="56"/>
      <w:r w:rsidR="00A43987" w:rsidRPr="005633D9">
        <w:rPr>
          <w:lang w:val="en-GB"/>
        </w:rPr>
        <w:t>.</w:t>
      </w:r>
      <w:r w:rsidR="00A43987" w:rsidRPr="005633D9">
        <w:rPr>
          <w:lang w:val="en-GB"/>
        </w:rPr>
        <w:tab/>
      </w:r>
      <w:r w:rsidRPr="005633D9">
        <w:rPr>
          <w:lang w:val="en-GB"/>
        </w:rPr>
        <w:t xml:space="preserve">Evaluation </w:t>
      </w:r>
      <w:r w:rsidR="00182BBA" w:rsidRPr="005633D9">
        <w:rPr>
          <w:lang w:val="en-GB"/>
        </w:rPr>
        <w:t xml:space="preserve">method and outcome measures for evaluation question </w:t>
      </w:r>
      <w:r w:rsidR="00D34A19" w:rsidRPr="005633D9">
        <w:rPr>
          <w:lang w:val="en-GB"/>
        </w:rPr>
        <w:t>5</w:t>
      </w:r>
      <w:bookmarkEnd w:id="57"/>
    </w:p>
    <w:tbl>
      <w:tblPr>
        <w:tblStyle w:val="Abt"/>
        <w:tblW w:w="5000" w:type="pct"/>
        <w:tblLook w:val="04A0" w:firstRow="1" w:lastRow="0" w:firstColumn="1" w:lastColumn="0" w:noHBand="0" w:noVBand="1"/>
      </w:tblPr>
      <w:tblGrid>
        <w:gridCol w:w="4437"/>
        <w:gridCol w:w="5139"/>
      </w:tblGrid>
      <w:tr w:rsidR="00D85B6C" w:rsidRPr="005633D9" w:rsidTr="00D85B6C">
        <w:trPr>
          <w:cnfStyle w:val="100000000000" w:firstRow="1" w:lastRow="0" w:firstColumn="0" w:lastColumn="0" w:oddVBand="0" w:evenVBand="0" w:oddHBand="0" w:evenHBand="0" w:firstRowFirstColumn="0" w:firstRowLastColumn="0" w:lastRowFirstColumn="0" w:lastRowLastColumn="0"/>
        </w:trPr>
        <w:tc>
          <w:tcPr>
            <w:tcW w:w="7277" w:type="dxa"/>
            <w:gridSpan w:val="2"/>
          </w:tcPr>
          <w:p w:rsidR="00D85B6C" w:rsidRPr="005633D9" w:rsidRDefault="00D85B6C" w:rsidP="00D85B6C">
            <w:pPr>
              <w:pStyle w:val="ExhibitColumnHead"/>
              <w:rPr>
                <w:b/>
                <w:lang w:val="en-GB"/>
              </w:rPr>
            </w:pPr>
            <w:r w:rsidRPr="005633D9">
              <w:rPr>
                <w:b/>
                <w:lang w:val="en-GB"/>
              </w:rPr>
              <w:t>Evaluation Question 5: What evidence exists that the effects of the AgResults pilots will be sustainable in the medium to long term?</w:t>
            </w:r>
          </w:p>
        </w:tc>
      </w:tr>
      <w:tr w:rsidR="00D85B6C" w:rsidRPr="005633D9" w:rsidTr="00D85B6C">
        <w:trPr>
          <w:cnfStyle w:val="000000100000" w:firstRow="0" w:lastRow="0" w:firstColumn="0" w:lastColumn="0" w:oddVBand="0" w:evenVBand="0" w:oddHBand="1" w:evenHBand="0" w:firstRowFirstColumn="0" w:firstRowLastColumn="0" w:lastRowFirstColumn="0" w:lastRowLastColumn="0"/>
        </w:trPr>
        <w:tc>
          <w:tcPr>
            <w:tcW w:w="3372" w:type="dxa"/>
          </w:tcPr>
          <w:p w:rsidR="00D85B6C" w:rsidRPr="005633D9" w:rsidRDefault="00D85B6C" w:rsidP="00D85B6C">
            <w:pPr>
              <w:pStyle w:val="ExhibitColumnHead"/>
              <w:rPr>
                <w:lang w:val="en-GB"/>
              </w:rPr>
            </w:pPr>
            <w:r w:rsidRPr="005633D9">
              <w:rPr>
                <w:lang w:val="en-GB"/>
              </w:rPr>
              <w:t>Evaluation Method</w:t>
            </w:r>
          </w:p>
        </w:tc>
        <w:tc>
          <w:tcPr>
            <w:tcW w:w="3905" w:type="dxa"/>
          </w:tcPr>
          <w:p w:rsidR="00D85B6C" w:rsidRPr="005633D9" w:rsidRDefault="00D85B6C" w:rsidP="00D85B6C">
            <w:pPr>
              <w:pStyle w:val="ExhibitColumnHead"/>
              <w:rPr>
                <w:lang w:val="en-GB"/>
              </w:rPr>
            </w:pPr>
            <w:r w:rsidRPr="005633D9">
              <w:rPr>
                <w:lang w:val="en-GB"/>
              </w:rPr>
              <w:t>Outcome Measures</w:t>
            </w:r>
          </w:p>
        </w:tc>
      </w:tr>
      <w:tr w:rsidR="00D85B6C" w:rsidRPr="005633D9" w:rsidTr="00D85B6C">
        <w:trPr>
          <w:cnfStyle w:val="000000010000" w:firstRow="0" w:lastRow="0" w:firstColumn="0" w:lastColumn="0" w:oddVBand="0" w:evenVBand="0" w:oddHBand="0" w:evenHBand="1" w:firstRowFirstColumn="0" w:firstRowLastColumn="0" w:lastRowFirstColumn="0" w:lastRowLastColumn="0"/>
        </w:trPr>
        <w:tc>
          <w:tcPr>
            <w:tcW w:w="3372" w:type="dxa"/>
          </w:tcPr>
          <w:p w:rsidR="00D85B6C" w:rsidRPr="005633D9" w:rsidRDefault="00D85B6C" w:rsidP="00825FE2">
            <w:pPr>
              <w:pStyle w:val="ExhibitTextBullets"/>
              <w:rPr>
                <w:lang w:val="en-GB"/>
              </w:rPr>
            </w:pPr>
            <w:r w:rsidRPr="005633D9">
              <w:rPr>
                <w:lang w:val="en-GB"/>
              </w:rPr>
              <w:t>Summary analysis from answers to evaluation questions 1, 2, 3</w:t>
            </w:r>
            <w:r w:rsidR="00582DEE">
              <w:rPr>
                <w:lang w:val="en-GB"/>
              </w:rPr>
              <w:t>,</w:t>
            </w:r>
            <w:r w:rsidRPr="005633D9">
              <w:rPr>
                <w:lang w:val="en-GB"/>
              </w:rPr>
              <w:t xml:space="preserve"> and 4 using both quantitative and qualitative results</w:t>
            </w:r>
          </w:p>
          <w:p w:rsidR="00D85B6C" w:rsidRPr="005633D9" w:rsidRDefault="00D85B6C" w:rsidP="00D85B6C">
            <w:pPr>
              <w:pStyle w:val="ExhibitTextBullets"/>
              <w:rPr>
                <w:lang w:val="en-GB"/>
              </w:rPr>
            </w:pPr>
            <w:r w:rsidRPr="005633D9">
              <w:rPr>
                <w:lang w:val="en-GB"/>
              </w:rPr>
              <w:t xml:space="preserve">Abbreviated structure-conduct-performance assessment using qualitative interviews two </w:t>
            </w:r>
            <w:r w:rsidRPr="005633D9">
              <w:rPr>
                <w:lang w:val="en-GB"/>
              </w:rPr>
              <w:lastRenderedPageBreak/>
              <w:t>years after end of the pilot if requested by DFID</w:t>
            </w:r>
          </w:p>
        </w:tc>
        <w:tc>
          <w:tcPr>
            <w:tcW w:w="3905" w:type="dxa"/>
          </w:tcPr>
          <w:p w:rsidR="00D85B6C" w:rsidRPr="005633D9" w:rsidRDefault="00D85B6C" w:rsidP="00BE4D6B">
            <w:pPr>
              <w:pStyle w:val="ExhibitTextBullets"/>
              <w:rPr>
                <w:lang w:val="en-GB"/>
              </w:rPr>
            </w:pPr>
            <w:r w:rsidRPr="005633D9">
              <w:rPr>
                <w:lang w:val="en-GB"/>
              </w:rPr>
              <w:lastRenderedPageBreak/>
              <w:t>Smallholders’ awareness of health impacts of aflatoxin</w:t>
            </w:r>
            <w:r w:rsidR="00FD683C">
              <w:rPr>
                <w:lang w:val="en-GB"/>
              </w:rPr>
              <w:t>s</w:t>
            </w:r>
            <w:r w:rsidRPr="005633D9">
              <w:rPr>
                <w:lang w:val="en-GB"/>
              </w:rPr>
              <w:t xml:space="preserve"> and benefits of aflatoxin-free maize: analysis of survey questions (Likert, multiple choice, and binary variables), and some qualitative smallholder interviews</w:t>
            </w:r>
          </w:p>
          <w:p w:rsidR="00D85B6C" w:rsidRPr="005633D9" w:rsidRDefault="00D85B6C" w:rsidP="00BE4D6B">
            <w:pPr>
              <w:pStyle w:val="ExhibitTextBullets"/>
              <w:rPr>
                <w:lang w:val="en-GB"/>
              </w:rPr>
            </w:pPr>
            <w:r w:rsidRPr="005633D9">
              <w:rPr>
                <w:lang w:val="en-GB"/>
              </w:rPr>
              <w:t xml:space="preserve">Smallholders’ correct use of Aflasafe: dummy variable </w:t>
            </w:r>
            <w:r w:rsidRPr="005633D9">
              <w:rPr>
                <w:lang w:val="en-GB"/>
              </w:rPr>
              <w:lastRenderedPageBreak/>
              <w:t>equal to 1 if smallholder applied Aflasafe at the right time and the right application rate with an acceptable range—measured at baseline and endline</w:t>
            </w:r>
          </w:p>
          <w:p w:rsidR="00D85B6C" w:rsidRPr="005633D9" w:rsidRDefault="00D85B6C" w:rsidP="00BE4D6B">
            <w:pPr>
              <w:pStyle w:val="ExhibitTextBullets"/>
              <w:rPr>
                <w:lang w:val="en-GB"/>
              </w:rPr>
            </w:pPr>
            <w:r w:rsidRPr="005633D9">
              <w:rPr>
                <w:lang w:val="en-GB"/>
              </w:rPr>
              <w:t>Presence of Aflasafe in smallholders’ maize samples bound for sale: dummy variable equal to 1 if presence above 70% detected—measured at endline</w:t>
            </w:r>
          </w:p>
          <w:p w:rsidR="00D85B6C" w:rsidRPr="005633D9" w:rsidRDefault="00D85B6C" w:rsidP="00BE4D6B">
            <w:pPr>
              <w:pStyle w:val="ExhibitTextBullets"/>
              <w:rPr>
                <w:lang w:val="en-GB"/>
              </w:rPr>
            </w:pPr>
            <w:r w:rsidRPr="005633D9">
              <w:rPr>
                <w:lang w:val="en-GB"/>
              </w:rPr>
              <w:t>Presence of Aflasafe in smallholders’ maize samples for own consumption: dummy variable equal to 1 if presence above 70% detected—measured at endline.</w:t>
            </w:r>
          </w:p>
          <w:p w:rsidR="00D85B6C" w:rsidRPr="005633D9" w:rsidRDefault="00D85B6C" w:rsidP="00BE4D6B">
            <w:pPr>
              <w:pStyle w:val="ExhibitTextBullets"/>
              <w:rPr>
                <w:lang w:val="en-GB"/>
              </w:rPr>
            </w:pPr>
            <w:r w:rsidRPr="005633D9">
              <w:rPr>
                <w:lang w:val="en-GB"/>
              </w:rPr>
              <w:t>Smallholder’s net revenue from maize cultivation: continuous variable measuring gross revenue from maize net of input costs</w:t>
            </w:r>
          </w:p>
          <w:p w:rsidR="00D85B6C" w:rsidRPr="005633D9" w:rsidRDefault="00D85B6C" w:rsidP="00BE4D6B">
            <w:pPr>
              <w:pStyle w:val="ExhibitTextBullets"/>
              <w:rPr>
                <w:lang w:val="en-GB"/>
              </w:rPr>
            </w:pPr>
            <w:r w:rsidRPr="005633D9">
              <w:rPr>
                <w:lang w:val="en-GB"/>
              </w:rPr>
              <w:t>Smallholder’s sale price of maize: continuous variable measuring the final sale price of maize including any premiums passed on by aggregators</w:t>
            </w:r>
          </w:p>
          <w:p w:rsidR="00D85B6C" w:rsidRPr="005633D9" w:rsidRDefault="00D85B6C" w:rsidP="00BE4D6B">
            <w:pPr>
              <w:pStyle w:val="ExhibitTextBullets"/>
              <w:rPr>
                <w:lang w:val="en-GB"/>
              </w:rPr>
            </w:pPr>
            <w:r w:rsidRPr="005633D9">
              <w:rPr>
                <w:lang w:val="en-GB"/>
              </w:rPr>
              <w:t>Smallholder’s maize yields: continuous variable measuring the total volume of maize harvest divided by the total area planted</w:t>
            </w:r>
          </w:p>
          <w:p w:rsidR="00D85B6C" w:rsidRPr="005633D9" w:rsidRDefault="00D85B6C" w:rsidP="00BE4D6B">
            <w:pPr>
              <w:pStyle w:val="ExhibitTextBullets"/>
              <w:rPr>
                <w:lang w:val="en-GB"/>
              </w:rPr>
            </w:pPr>
            <w:r w:rsidRPr="005633D9">
              <w:rPr>
                <w:lang w:val="en-GB"/>
              </w:rPr>
              <w:t>Smallholder’s consumption of maize treated with Aflasafe: total volume of maize set aside for consumption divided by total number of household members; maize consumption per person by 24-hour recall</w:t>
            </w:r>
          </w:p>
          <w:p w:rsidR="00D85B6C" w:rsidRPr="005633D9" w:rsidRDefault="00D85B6C" w:rsidP="00BE4D6B">
            <w:pPr>
              <w:pStyle w:val="ExhibitTextBullets"/>
              <w:rPr>
                <w:lang w:val="en-GB"/>
              </w:rPr>
            </w:pPr>
            <w:r w:rsidRPr="005633D9">
              <w:rPr>
                <w:lang w:val="en-GB"/>
              </w:rPr>
              <w:t>Smallholders’ willingness to pay a premium for aflatoxin-free maize: willingness to pay a premium, and the premium that farmers are willing to pay</w:t>
            </w:r>
          </w:p>
          <w:p w:rsidR="00D85B6C" w:rsidRPr="005633D9" w:rsidRDefault="00D85B6C" w:rsidP="007310B9">
            <w:pPr>
              <w:pStyle w:val="ExhibitTextBullets"/>
              <w:rPr>
                <w:lang w:val="en-GB"/>
              </w:rPr>
            </w:pPr>
            <w:r w:rsidRPr="005633D9">
              <w:rPr>
                <w:lang w:val="en-GB"/>
              </w:rPr>
              <w:t>Value chain actors’ perception of the reliability of Aflasafe supply</w:t>
            </w:r>
          </w:p>
          <w:p w:rsidR="00D85B6C" w:rsidRPr="005633D9" w:rsidRDefault="00D85B6C" w:rsidP="00BE4D6B">
            <w:pPr>
              <w:pStyle w:val="ExhibitTextBullets"/>
              <w:rPr>
                <w:lang w:val="en-GB"/>
              </w:rPr>
            </w:pPr>
            <w:r w:rsidRPr="005633D9">
              <w:rPr>
                <w:lang w:val="en-GB"/>
              </w:rPr>
              <w:t>Value chain actors’ market linkages and interest in continued use of Aflasafe</w:t>
            </w:r>
          </w:p>
          <w:p w:rsidR="00D85B6C" w:rsidRPr="005633D9" w:rsidRDefault="00D85B6C" w:rsidP="00D85B6C">
            <w:pPr>
              <w:pStyle w:val="ExhibitTextBullets"/>
              <w:rPr>
                <w:lang w:val="en-GB"/>
              </w:rPr>
            </w:pPr>
            <w:r w:rsidRPr="005633D9">
              <w:rPr>
                <w:lang w:val="en-GB"/>
              </w:rPr>
              <w:t>Presence and enforcement of regulations on aflatoxins in maize</w:t>
            </w:r>
          </w:p>
        </w:tc>
      </w:tr>
    </w:tbl>
    <w:p w:rsidR="00F051F5" w:rsidRPr="005633D9" w:rsidRDefault="00F051F5" w:rsidP="00D139EC">
      <w:pPr>
        <w:rPr>
          <w:lang w:val="en-GB"/>
        </w:rPr>
      </w:pPr>
    </w:p>
    <w:p w:rsidR="00D139EC" w:rsidRPr="005633D9" w:rsidRDefault="00D139EC" w:rsidP="00503328">
      <w:pPr>
        <w:pStyle w:val="Heading2"/>
        <w:spacing w:after="120"/>
        <w:rPr>
          <w:lang w:val="en-GB"/>
        </w:rPr>
      </w:pPr>
      <w:bookmarkStart w:id="58" w:name="_Toc407700416"/>
      <w:r w:rsidRPr="005633D9">
        <w:rPr>
          <w:lang w:val="en-GB"/>
        </w:rPr>
        <w:t xml:space="preserve">Evaluation </w:t>
      </w:r>
      <w:r w:rsidR="002222A4" w:rsidRPr="005633D9">
        <w:rPr>
          <w:lang w:val="en-GB"/>
        </w:rPr>
        <w:t xml:space="preserve">question </w:t>
      </w:r>
      <w:r w:rsidRPr="005633D9">
        <w:rPr>
          <w:lang w:val="en-GB"/>
        </w:rPr>
        <w:t>6: What is the evidence on the scale of any effect on private sector investment and uptake, and the cost-effectiveness of AgResults as an approach?</w:t>
      </w:r>
      <w:bookmarkEnd w:id="58"/>
    </w:p>
    <w:p w:rsidR="00E63098" w:rsidRPr="005633D9" w:rsidRDefault="00E63098" w:rsidP="00E63098">
      <w:pPr>
        <w:rPr>
          <w:lang w:val="en-GB"/>
        </w:rPr>
      </w:pPr>
      <w:r w:rsidRPr="005633D9">
        <w:rPr>
          <w:lang w:val="en-GB"/>
        </w:rPr>
        <w:t xml:space="preserve">The SCP qualitative analysis, particularly the documentation of market structure, will inform the calculation of the scale of the pilot’s effect on private sector investment and uptake of Aflasafe (see Section </w:t>
      </w:r>
      <w:r w:rsidRPr="005633D9">
        <w:rPr>
          <w:lang w:val="en-GB"/>
        </w:rPr>
        <w:fldChar w:fldCharType="begin"/>
      </w:r>
      <w:r w:rsidRPr="005633D9">
        <w:rPr>
          <w:lang w:val="en-GB"/>
        </w:rPr>
        <w:instrText xml:space="preserve"> REF _Ref379462425 \w \h </w:instrText>
      </w:r>
      <w:r w:rsidRPr="005633D9">
        <w:rPr>
          <w:lang w:val="en-GB"/>
        </w:rPr>
      </w:r>
      <w:r w:rsidRPr="005633D9">
        <w:rPr>
          <w:lang w:val="en-GB"/>
        </w:rPr>
        <w:fldChar w:fldCharType="separate"/>
      </w:r>
      <w:r w:rsidR="00F33102">
        <w:rPr>
          <w:lang w:val="en-GB"/>
        </w:rPr>
        <w:t>3.1</w:t>
      </w:r>
      <w:r w:rsidRPr="005633D9">
        <w:rPr>
          <w:lang w:val="en-GB"/>
        </w:rPr>
        <w:fldChar w:fldCharType="end"/>
      </w:r>
      <w:r w:rsidRPr="005633D9">
        <w:rPr>
          <w:lang w:val="en-GB"/>
        </w:rPr>
        <w:t>). Documentation of the market structure will include estimates of the numbers and characteristics of market actors involved at different levels of the market, as well as volumes of aflatoxin-free maize transacted through different market channels.</w:t>
      </w:r>
    </w:p>
    <w:p w:rsidR="00D139EC" w:rsidRPr="005633D9" w:rsidRDefault="00D139EC" w:rsidP="00D139EC">
      <w:pPr>
        <w:pStyle w:val="BodyText"/>
      </w:pPr>
      <w:r w:rsidRPr="005633D9">
        <w:t xml:space="preserve">Here we discuss our approach to estimate the cost-effectiveness of AgResults, which we will complete in the endline when the total </w:t>
      </w:r>
      <w:r w:rsidR="009B6D74" w:rsidRPr="005633D9">
        <w:t xml:space="preserve">project </w:t>
      </w:r>
      <w:r w:rsidRPr="005633D9">
        <w:t>costs are known. Central to the motivation behind the use of incentive-based pull mechanisms is the expectation that they will be more cost</w:t>
      </w:r>
      <w:r w:rsidR="009B6D74" w:rsidRPr="005633D9">
        <w:t xml:space="preserve"> </w:t>
      </w:r>
      <w:r w:rsidRPr="005633D9">
        <w:t>effective than traditional development interventions</w:t>
      </w:r>
      <w:r w:rsidR="00E63098" w:rsidRPr="005633D9">
        <w:t>, and hence scalable</w:t>
      </w:r>
      <w:r w:rsidRPr="005633D9">
        <w:t>. The private sector, it is argued, can be closely attuned and responsive to the needs of agricultural markets if the</w:t>
      </w:r>
      <w:r w:rsidR="00FD683C">
        <w:t xml:space="preserve"> sector’s</w:t>
      </w:r>
      <w:r w:rsidRPr="005633D9">
        <w:t xml:space="preserve"> incentives can be aligned to support the development of those markets. At the same time, however, incentive-based mechanisms have not yet been applied to any significant extent in </w:t>
      </w:r>
      <w:r w:rsidRPr="005633D9">
        <w:lastRenderedPageBreak/>
        <w:t xml:space="preserve">agricultural development programming, so evidence about their cost effectiveness is as yet unavailable. </w:t>
      </w:r>
    </w:p>
    <w:p w:rsidR="00D139EC" w:rsidRPr="005633D9" w:rsidRDefault="00D139EC" w:rsidP="00D139EC">
      <w:pPr>
        <w:pStyle w:val="BodyText"/>
      </w:pPr>
      <w:r w:rsidRPr="005633D9">
        <w:t xml:space="preserve">A critical aspect of a cost-effectiveness study is to causally attribute the outcome or impact to the </w:t>
      </w:r>
      <w:r w:rsidR="009B6D74" w:rsidRPr="005633D9">
        <w:t>project</w:t>
      </w:r>
      <w:r w:rsidRPr="005633D9">
        <w:t xml:space="preserve">. </w:t>
      </w:r>
      <w:r w:rsidR="009B6D74" w:rsidRPr="005633D9">
        <w:t xml:space="preserve">We address this </w:t>
      </w:r>
      <w:r w:rsidRPr="005633D9">
        <w:t xml:space="preserve">aspect in evaluation approach described in </w:t>
      </w:r>
      <w:r w:rsidR="00DB4EEE" w:rsidRPr="005633D9">
        <w:t>S</w:t>
      </w:r>
      <w:r w:rsidR="006B1678" w:rsidRPr="005633D9">
        <w:t>ection</w:t>
      </w:r>
      <w:r w:rsidR="00523473" w:rsidRPr="005633D9">
        <w:t xml:space="preserve"> </w:t>
      </w:r>
      <w:r w:rsidR="00DB4EEE" w:rsidRPr="005633D9">
        <w:fldChar w:fldCharType="begin"/>
      </w:r>
      <w:r w:rsidR="00DB4EEE" w:rsidRPr="005633D9">
        <w:instrText xml:space="preserve"> REF _Ref403485699 \r \h </w:instrText>
      </w:r>
      <w:r w:rsidR="00DB4EEE" w:rsidRPr="005633D9">
        <w:fldChar w:fldCharType="separate"/>
      </w:r>
      <w:r w:rsidR="00F33102">
        <w:t>3.2</w:t>
      </w:r>
      <w:r w:rsidR="00DB4EEE" w:rsidRPr="005633D9">
        <w:fldChar w:fldCharType="end"/>
      </w:r>
      <w:r w:rsidRPr="005633D9">
        <w:t xml:space="preserve">. The second important component is obtaining the cost of the </w:t>
      </w:r>
      <w:r w:rsidR="009B6D74" w:rsidRPr="005633D9">
        <w:t>project</w:t>
      </w:r>
      <w:r w:rsidRPr="005633D9">
        <w:t>. Cost-effectiveness is the ratio that gives the cost per unit of impact. We will estimate this ratio per unit of increased technology adoption (number of farmers that adopt Aflasafe), per unit of increase in production of Aflasafe maize</w:t>
      </w:r>
      <w:r w:rsidR="009C4383">
        <w:t>,</w:t>
      </w:r>
      <w:r w:rsidRPr="005633D9">
        <w:t xml:space="preserve"> and per unit of increase in consumption of Aflasafe maize (kg/household). The cost-effectiveness analysis will calculate the gross and net cost of the Aflasafe </w:t>
      </w:r>
      <w:r w:rsidR="009C4383">
        <w:t xml:space="preserve">treatment </w:t>
      </w:r>
      <w:r w:rsidRPr="005633D9">
        <w:t xml:space="preserve">and use that as the numerator in a series of ratios where the denominator will be the measured impacts on </w:t>
      </w:r>
      <w:r w:rsidR="009B6D74" w:rsidRPr="005633D9">
        <w:t xml:space="preserve">project </w:t>
      </w:r>
      <w:r w:rsidRPr="005633D9">
        <w:t>outputs and outcomes as estimated by the evaluation.</w:t>
      </w:r>
      <w:r w:rsidR="00243735" w:rsidRPr="005633D9">
        <w:t xml:space="preserve"> </w:t>
      </w:r>
      <w:r w:rsidRPr="005633D9">
        <w:t xml:space="preserve">Accordingly, we summarize for the cost per metric ton of Aflasafe-treated maize sold, cost per farmer who adopts Aflasafe, cost per </w:t>
      </w:r>
      <w:r w:rsidR="00582DEE">
        <w:t>dollar</w:t>
      </w:r>
      <w:r w:rsidRPr="005633D9">
        <w:t xml:space="preserve"> of net farmer revenue, and cost per metric ton of Aflasafe-treated milled maize consumed by smallholder farmers and apply these unit costs to the impact estimates in the cognizant areas. The gross cost of the Aflatoxin-control pilot will cover pilot-specific expenditures—including the payments to aggregators and the Aflasafe verification expenditures—and a share of the project-wide administration and management costs.</w:t>
      </w:r>
      <w:r w:rsidR="00243735" w:rsidRPr="005633D9">
        <w:t xml:space="preserve"> </w:t>
      </w:r>
    </w:p>
    <w:p w:rsidR="00D139EC" w:rsidRPr="005633D9" w:rsidRDefault="00D139EC" w:rsidP="00D139EC">
      <w:pPr>
        <w:pStyle w:val="BodyText"/>
      </w:pPr>
      <w:r w:rsidRPr="005633D9">
        <w:t xml:space="preserve">The total impact of the estimate is the product of number of farmers in the treatment group and the impact estimate. For example, to estimate the total income impact we will multiply the total farmers in the treatment group with the average increase in net revenue estimated from </w:t>
      </w:r>
      <w:r w:rsidR="007735DB" w:rsidRPr="005633D9">
        <w:t>Equation [</w:t>
      </w:r>
      <w:r w:rsidRPr="005633D9">
        <w:t>1</w:t>
      </w:r>
      <w:r w:rsidR="007735DB" w:rsidRPr="005633D9">
        <w:t>]</w:t>
      </w:r>
      <w:r w:rsidR="00371C28" w:rsidRPr="005633D9">
        <w:t xml:space="preserve">. </w:t>
      </w:r>
      <w:r w:rsidRPr="005633D9">
        <w:t xml:space="preserve">We will divide this by the total cost of the </w:t>
      </w:r>
      <w:r w:rsidR="009B6D74" w:rsidRPr="005633D9">
        <w:t xml:space="preserve">project </w:t>
      </w:r>
      <w:r w:rsidRPr="005633D9">
        <w:t xml:space="preserve">attributed to the treatment group. If the specific cost is not estimable for the treatment group, we will take the total </w:t>
      </w:r>
      <w:r w:rsidR="009B6D74" w:rsidRPr="005633D9">
        <w:t xml:space="preserve">project </w:t>
      </w:r>
      <w:r w:rsidRPr="005633D9">
        <w:t xml:space="preserve">cost and multiply it </w:t>
      </w:r>
      <w:r w:rsidR="002B3468" w:rsidRPr="005633D9">
        <w:t xml:space="preserve">by </w:t>
      </w:r>
      <w:r w:rsidRPr="005633D9">
        <w:t xml:space="preserve">the ratio of smallholders in the treatment group to the total smallholders in the </w:t>
      </w:r>
      <w:r w:rsidR="009B6D74" w:rsidRPr="005633D9">
        <w:t>project</w:t>
      </w:r>
      <w:r w:rsidRPr="005633D9">
        <w:t>. The gross costs of each pilot will be based on actual project expenditures from the start of the project through its conclusion using project monitoring data.</w:t>
      </w:r>
      <w:r w:rsidR="00243735" w:rsidRPr="005633D9">
        <w:t xml:space="preserve"> </w:t>
      </w:r>
      <w:r w:rsidRPr="005633D9">
        <w:t>These expenditures will cover incentive payment</w:t>
      </w:r>
      <w:r w:rsidR="00FD2040" w:rsidRPr="005633D9">
        <w:t>s</w:t>
      </w:r>
      <w:r w:rsidRPr="005633D9">
        <w:t>, verification procedures, and a variety of other types of expenses for individual pilots.</w:t>
      </w:r>
      <w:r w:rsidR="00243735" w:rsidRPr="005633D9">
        <w:t xml:space="preserve"> </w:t>
      </w:r>
      <w:r w:rsidRPr="005633D9">
        <w:t>This accounting will also include pertinent AgResults project administration and management costs, which will be distributed over all of the pilots</w:t>
      </w:r>
      <w:r w:rsidR="00B577F2" w:rsidRPr="005633D9">
        <w:t xml:space="preserve"> and also discounted</w:t>
      </w:r>
      <w:r w:rsidRPr="005633D9">
        <w:t>.</w:t>
      </w:r>
      <w:r w:rsidR="00243735" w:rsidRPr="005633D9">
        <w:t xml:space="preserve"> </w:t>
      </w:r>
      <w:r w:rsidRPr="005633D9">
        <w:t xml:space="preserve">Thus, comparisons of AgResults cost-effectiveness results to the findings for other interventions should include discounting adjustments such that costs are expressed in terms of the same year. Net costs can be calculated as gross costs minus the tangible short-term economic output or savings generated by the pilot, which </w:t>
      </w:r>
      <w:r w:rsidR="001F5DFE" w:rsidRPr="005633D9">
        <w:t xml:space="preserve">we </w:t>
      </w:r>
      <w:r w:rsidRPr="005633D9">
        <w:t>will measure as part of the impact evaluation described above.</w:t>
      </w:r>
      <w:r w:rsidR="00243735" w:rsidRPr="005633D9">
        <w:t xml:space="preserve"> </w:t>
      </w:r>
      <w:r w:rsidR="004565EB" w:rsidRPr="005633D9">
        <w:t xml:space="preserve">We are also collecting information on income from other crops, so we can also assess the impact on total returns from </w:t>
      </w:r>
      <w:r w:rsidR="007A066D" w:rsidRPr="005633D9">
        <w:t>farm</w:t>
      </w:r>
      <w:r w:rsidR="001F5DFE" w:rsidRPr="005633D9">
        <w:t>s</w:t>
      </w:r>
      <w:r w:rsidR="007A066D" w:rsidRPr="005633D9">
        <w:t xml:space="preserve"> in case introduction of Afl</w:t>
      </w:r>
      <w:r w:rsidR="004565EB" w:rsidRPr="005633D9">
        <w:t>asafe impacts the crop allocation.</w:t>
      </w:r>
    </w:p>
    <w:p w:rsidR="00D139EC" w:rsidRPr="005633D9" w:rsidRDefault="001F5DFE" w:rsidP="00D139EC">
      <w:pPr>
        <w:pStyle w:val="BodyText"/>
      </w:pPr>
      <w:r w:rsidRPr="005633D9">
        <w:t>We will compare t</w:t>
      </w:r>
      <w:r w:rsidR="00D139EC" w:rsidRPr="005633D9">
        <w:t>he cost-effectiveness ratio of a given pilot to that of other</w:t>
      </w:r>
      <w:r w:rsidR="00B577F2" w:rsidRPr="005633D9">
        <w:t xml:space="preserve"> AgResults</w:t>
      </w:r>
      <w:r w:rsidR="00D139EC" w:rsidRPr="005633D9">
        <w:t xml:space="preserve"> pilots</w:t>
      </w:r>
      <w:r w:rsidR="00B577F2" w:rsidRPr="005633D9">
        <w:t xml:space="preserve"> in Kenya and Zambia</w:t>
      </w:r>
      <w:r w:rsidR="00D139EC" w:rsidRPr="005633D9">
        <w:t>. This will not be a cost-benefit analysis—that is, we will not assign a monetary value to technology adoption and will not compare the pilots’ overall value to their costs.</w:t>
      </w:r>
      <w:r w:rsidR="00243735" w:rsidRPr="005633D9">
        <w:t xml:space="preserve"> </w:t>
      </w:r>
      <w:r w:rsidR="00D139EC" w:rsidRPr="005633D9">
        <w:t>However, by calculating the net cost of the pilots (net of the increase in their returns) per smallholder adoption, as well as the gross cost per adoption, the proposed analysis will take account of the positive economic impacts of the pilots.</w:t>
      </w:r>
      <w:r w:rsidR="00243735" w:rsidRPr="005633D9">
        <w:t xml:space="preserve"> </w:t>
      </w:r>
      <w:r w:rsidR="00D139EC" w:rsidRPr="005633D9">
        <w:t>In addition, the cost-effec</w:t>
      </w:r>
      <w:r w:rsidR="007A64E8" w:rsidRPr="005633D9">
        <w:t xml:space="preserve">tiveness analysis will include </w:t>
      </w:r>
      <w:r w:rsidR="00D139EC" w:rsidRPr="005633D9">
        <w:t>sensitivity tests</w:t>
      </w:r>
      <w:r w:rsidR="007A64E8" w:rsidRPr="005633D9">
        <w:t xml:space="preserve"> for alternative discount rates.</w:t>
      </w:r>
      <w:r w:rsidR="00243735" w:rsidRPr="005633D9">
        <w:t xml:space="preserve"> </w:t>
      </w:r>
      <w:r w:rsidR="007A64E8" w:rsidRPr="005633D9">
        <w:t>We will also</w:t>
      </w:r>
      <w:r w:rsidR="00D139EC" w:rsidRPr="005633D9">
        <w:t xml:space="preserve"> distinguish costs </w:t>
      </w:r>
      <w:r w:rsidR="00D139EC" w:rsidRPr="005633D9">
        <w:lastRenderedPageBreak/>
        <w:t xml:space="preserve">and benefits from different analytical perspectives </w:t>
      </w:r>
      <w:r w:rsidR="007A64E8" w:rsidRPr="005633D9">
        <w:t xml:space="preserve">including that for </w:t>
      </w:r>
      <w:r w:rsidR="00D139EC" w:rsidRPr="005633D9">
        <w:t>smallholders</w:t>
      </w:r>
      <w:r w:rsidR="007A64E8" w:rsidRPr="005633D9">
        <w:t xml:space="preserve"> and aggregators</w:t>
      </w:r>
      <w:r w:rsidR="00D139EC" w:rsidRPr="005633D9">
        <w:t>.</w:t>
      </w:r>
      <w:r w:rsidR="00D139EC" w:rsidRPr="005633D9">
        <w:rPr>
          <w:rStyle w:val="FootnoteReference"/>
        </w:rPr>
        <w:footnoteReference w:id="16"/>
      </w:r>
    </w:p>
    <w:p w:rsidR="00D139EC" w:rsidRPr="005633D9" w:rsidRDefault="00D139EC" w:rsidP="00D139EC">
      <w:pPr>
        <w:pStyle w:val="BodyText"/>
      </w:pPr>
      <w:r w:rsidRPr="005633D9">
        <w:t xml:space="preserve">Finally, to compare the cost-effectiveness of the implemented </w:t>
      </w:r>
      <w:r w:rsidR="009B6D74" w:rsidRPr="005633D9">
        <w:t xml:space="preserve">projects </w:t>
      </w:r>
      <w:r w:rsidRPr="005633D9">
        <w:t>to counterfactu</w:t>
      </w:r>
      <w:r w:rsidR="009B6D74" w:rsidRPr="005633D9">
        <w:t>als (e.g.</w:t>
      </w:r>
      <w:r w:rsidRPr="005633D9">
        <w:t>, a subsidy scheme that lowers the technology cost by 50</w:t>
      </w:r>
      <w:r w:rsidR="007C2141" w:rsidRPr="005633D9">
        <w:t xml:space="preserve"> percent</w:t>
      </w:r>
      <w:r w:rsidRPr="005633D9">
        <w:t xml:space="preserve"> or a reward scheme that offers a premium equal to two times the typical market price for maize</w:t>
      </w:r>
      <w:r w:rsidR="009B6D74" w:rsidRPr="005633D9">
        <w:t>)</w:t>
      </w:r>
      <w:r w:rsidRPr="005633D9">
        <w:t xml:space="preserve">, we will use the estimates from the adoption regression equations estimated during our study of the impact on farmer </w:t>
      </w:r>
      <w:r w:rsidR="00DD4F85">
        <w:t>uptake</w:t>
      </w:r>
      <w:r w:rsidRPr="005633D9">
        <w:t>.</w:t>
      </w:r>
      <w:r w:rsidR="00243735" w:rsidRPr="005633D9">
        <w:t xml:space="preserve"> </w:t>
      </w:r>
      <w:r w:rsidRPr="005633D9">
        <w:t xml:space="preserve">One of the equations we estimate has market- and incentive-independent variables instead of the treatment/control independent variable, which allows us to “simulate” alternative incentive schemes and compare the cost effectiveness of those schemes to the cost effectiveness estimate for AgResults pilots. </w:t>
      </w:r>
      <w:r w:rsidR="00D34A19" w:rsidRPr="005633D9">
        <w:fldChar w:fldCharType="begin"/>
      </w:r>
      <w:r w:rsidR="00D34A19" w:rsidRPr="005633D9">
        <w:instrText xml:space="preserve"> REF _Ref403424177 \h </w:instrText>
      </w:r>
      <w:r w:rsidR="00D34A19" w:rsidRPr="005633D9">
        <w:fldChar w:fldCharType="separate"/>
      </w:r>
      <w:r w:rsidR="00F33102" w:rsidRPr="005633D9">
        <w:t xml:space="preserve">Table </w:t>
      </w:r>
      <w:r w:rsidR="00F33102">
        <w:rPr>
          <w:noProof/>
        </w:rPr>
        <w:t>3</w:t>
      </w:r>
      <w:r w:rsidR="00F33102" w:rsidRPr="005633D9">
        <w:noBreakHyphen/>
      </w:r>
      <w:r w:rsidR="00F33102">
        <w:rPr>
          <w:noProof/>
        </w:rPr>
        <w:t>9</w:t>
      </w:r>
      <w:r w:rsidR="00D34A19" w:rsidRPr="005633D9">
        <w:fldChar w:fldCharType="end"/>
      </w:r>
      <w:r w:rsidR="00D34A19" w:rsidRPr="005633D9">
        <w:t xml:space="preserve"> presents in summary the key evaluation method and the key outcome measures to answer evaluation question 6.</w:t>
      </w:r>
    </w:p>
    <w:p w:rsidR="00D34A19" w:rsidRPr="005633D9" w:rsidRDefault="00D34A19" w:rsidP="00D34A19">
      <w:pPr>
        <w:pStyle w:val="Caption"/>
        <w:rPr>
          <w:lang w:val="en-GB"/>
        </w:rPr>
      </w:pPr>
      <w:bookmarkStart w:id="59" w:name="_Ref403424177"/>
      <w:bookmarkStart w:id="60" w:name="_Toc407700441"/>
      <w:r w:rsidRPr="005633D9">
        <w:rPr>
          <w:lang w:val="en-GB"/>
        </w:rPr>
        <w:t xml:space="preserve">Table </w:t>
      </w:r>
      <w:r w:rsidR="002222A4" w:rsidRPr="005633D9">
        <w:rPr>
          <w:lang w:val="en-GB"/>
        </w:rPr>
        <w:fldChar w:fldCharType="begin"/>
      </w:r>
      <w:r w:rsidR="002222A4" w:rsidRPr="005633D9">
        <w:rPr>
          <w:lang w:val="en-GB"/>
        </w:rPr>
        <w:instrText xml:space="preserve"> STYLEREF 1 \s </w:instrText>
      </w:r>
      <w:r w:rsidR="002222A4" w:rsidRPr="005633D9">
        <w:rPr>
          <w:lang w:val="en-GB"/>
        </w:rPr>
        <w:fldChar w:fldCharType="separate"/>
      </w:r>
      <w:r w:rsidR="00F33102">
        <w:rPr>
          <w:noProof/>
          <w:lang w:val="en-GB"/>
        </w:rPr>
        <w:t>3</w:t>
      </w:r>
      <w:r w:rsidR="002222A4" w:rsidRPr="005633D9">
        <w:rPr>
          <w:lang w:val="en-GB"/>
        </w:rPr>
        <w:fldChar w:fldCharType="end"/>
      </w:r>
      <w:r w:rsidRPr="005633D9">
        <w:rPr>
          <w:lang w:val="en-GB"/>
        </w:rPr>
        <w:noBreakHyphen/>
      </w:r>
      <w:r w:rsidR="002222A4" w:rsidRPr="005633D9">
        <w:rPr>
          <w:lang w:val="en-GB"/>
        </w:rPr>
        <w:fldChar w:fldCharType="begin"/>
      </w:r>
      <w:r w:rsidR="002222A4" w:rsidRPr="005633D9">
        <w:rPr>
          <w:lang w:val="en-GB"/>
        </w:rPr>
        <w:instrText xml:space="preserve"> SEQ Table \* ARABIC \s 1 </w:instrText>
      </w:r>
      <w:r w:rsidR="002222A4" w:rsidRPr="005633D9">
        <w:rPr>
          <w:lang w:val="en-GB"/>
        </w:rPr>
        <w:fldChar w:fldCharType="separate"/>
      </w:r>
      <w:r w:rsidR="00F33102">
        <w:rPr>
          <w:noProof/>
          <w:lang w:val="en-GB"/>
        </w:rPr>
        <w:t>9</w:t>
      </w:r>
      <w:r w:rsidR="002222A4" w:rsidRPr="005633D9">
        <w:rPr>
          <w:lang w:val="en-GB"/>
        </w:rPr>
        <w:fldChar w:fldCharType="end"/>
      </w:r>
      <w:bookmarkEnd w:id="59"/>
      <w:r w:rsidRPr="005633D9">
        <w:rPr>
          <w:lang w:val="en-GB"/>
        </w:rPr>
        <w:t>.</w:t>
      </w:r>
      <w:r w:rsidR="00A43987" w:rsidRPr="005633D9">
        <w:rPr>
          <w:lang w:val="en-GB"/>
        </w:rPr>
        <w:tab/>
      </w:r>
      <w:r w:rsidRPr="005633D9">
        <w:rPr>
          <w:lang w:val="en-GB"/>
        </w:rPr>
        <w:t xml:space="preserve">Evaluation </w:t>
      </w:r>
      <w:r w:rsidR="000A26AA" w:rsidRPr="005633D9">
        <w:rPr>
          <w:lang w:val="en-GB"/>
        </w:rPr>
        <w:t xml:space="preserve">method and outcome measures for evaluation question </w:t>
      </w:r>
      <w:r w:rsidRPr="005633D9">
        <w:rPr>
          <w:lang w:val="en-GB"/>
        </w:rPr>
        <w:t>6</w:t>
      </w:r>
      <w:bookmarkEnd w:id="60"/>
    </w:p>
    <w:tbl>
      <w:tblPr>
        <w:tblStyle w:val="Abt"/>
        <w:tblW w:w="5000" w:type="pct"/>
        <w:tblLook w:val="04A0" w:firstRow="1" w:lastRow="0" w:firstColumn="1" w:lastColumn="0" w:noHBand="0" w:noVBand="1"/>
      </w:tblPr>
      <w:tblGrid>
        <w:gridCol w:w="4437"/>
        <w:gridCol w:w="5139"/>
      </w:tblGrid>
      <w:tr w:rsidR="00676016" w:rsidRPr="005633D9" w:rsidTr="00676016">
        <w:trPr>
          <w:cnfStyle w:val="100000000000" w:firstRow="1" w:lastRow="0" w:firstColumn="0" w:lastColumn="0" w:oddVBand="0" w:evenVBand="0" w:oddHBand="0" w:evenHBand="0" w:firstRowFirstColumn="0" w:firstRowLastColumn="0" w:lastRowFirstColumn="0" w:lastRowLastColumn="0"/>
          <w:tblHeader/>
        </w:trPr>
        <w:tc>
          <w:tcPr>
            <w:tcW w:w="9576" w:type="dxa"/>
            <w:gridSpan w:val="2"/>
          </w:tcPr>
          <w:p w:rsidR="00676016" w:rsidRPr="005633D9" w:rsidRDefault="00676016" w:rsidP="00676016">
            <w:pPr>
              <w:pStyle w:val="ExhibitColumnHead"/>
              <w:rPr>
                <w:b/>
                <w:lang w:val="en-GB"/>
              </w:rPr>
            </w:pPr>
            <w:r w:rsidRPr="005633D9">
              <w:rPr>
                <w:b/>
                <w:lang w:val="en-GB"/>
              </w:rPr>
              <w:t>Evaluation Question 6: What is the evidence on the scale of any effect on private sector investment and uptake, and the cost effectiveness of AgResults as an approach?</w:t>
            </w:r>
          </w:p>
        </w:tc>
      </w:tr>
      <w:tr w:rsidR="00676016" w:rsidRPr="005633D9" w:rsidTr="00676016">
        <w:trPr>
          <w:cnfStyle w:val="000000100000" w:firstRow="0" w:lastRow="0" w:firstColumn="0" w:lastColumn="0" w:oddVBand="0" w:evenVBand="0" w:oddHBand="1" w:evenHBand="0" w:firstRowFirstColumn="0" w:firstRowLastColumn="0" w:lastRowFirstColumn="0" w:lastRowLastColumn="0"/>
        </w:trPr>
        <w:tc>
          <w:tcPr>
            <w:tcW w:w="4437" w:type="dxa"/>
          </w:tcPr>
          <w:p w:rsidR="00676016" w:rsidRPr="005633D9" w:rsidRDefault="00676016" w:rsidP="00676016">
            <w:pPr>
              <w:pStyle w:val="ExhibitColumnHead"/>
              <w:rPr>
                <w:lang w:val="en-GB"/>
              </w:rPr>
            </w:pPr>
            <w:r w:rsidRPr="005633D9">
              <w:rPr>
                <w:lang w:val="en-GB"/>
              </w:rPr>
              <w:t>Evaluation Method</w:t>
            </w:r>
          </w:p>
        </w:tc>
        <w:tc>
          <w:tcPr>
            <w:tcW w:w="5139" w:type="dxa"/>
          </w:tcPr>
          <w:p w:rsidR="00676016" w:rsidRPr="005633D9" w:rsidRDefault="00676016" w:rsidP="00676016">
            <w:pPr>
              <w:pStyle w:val="ExhibitColumnHead"/>
              <w:rPr>
                <w:lang w:val="en-GB"/>
              </w:rPr>
            </w:pPr>
            <w:r w:rsidRPr="005633D9">
              <w:rPr>
                <w:lang w:val="en-GB"/>
              </w:rPr>
              <w:t>Outcome Measures</w:t>
            </w:r>
          </w:p>
        </w:tc>
      </w:tr>
      <w:tr w:rsidR="00676016" w:rsidRPr="005633D9" w:rsidTr="00676016">
        <w:trPr>
          <w:cnfStyle w:val="000000010000" w:firstRow="0" w:lastRow="0" w:firstColumn="0" w:lastColumn="0" w:oddVBand="0" w:evenVBand="0" w:oddHBand="0" w:evenHBand="1" w:firstRowFirstColumn="0" w:firstRowLastColumn="0" w:lastRowFirstColumn="0" w:lastRowLastColumn="0"/>
        </w:trPr>
        <w:tc>
          <w:tcPr>
            <w:tcW w:w="9576" w:type="dxa"/>
            <w:gridSpan w:val="2"/>
          </w:tcPr>
          <w:p w:rsidR="00676016" w:rsidRPr="005633D9" w:rsidRDefault="00676016" w:rsidP="00676016">
            <w:pPr>
              <w:pStyle w:val="ExhibitText"/>
              <w:rPr>
                <w:b/>
                <w:lang w:val="en-GB"/>
              </w:rPr>
            </w:pPr>
            <w:r w:rsidRPr="005633D9">
              <w:rPr>
                <w:b/>
                <w:lang w:val="en-GB"/>
              </w:rPr>
              <w:t>Cost effectiveness</w:t>
            </w:r>
          </w:p>
        </w:tc>
      </w:tr>
      <w:tr w:rsidR="00676016" w:rsidRPr="005633D9" w:rsidTr="00676016">
        <w:trPr>
          <w:cnfStyle w:val="000000100000" w:firstRow="0" w:lastRow="0" w:firstColumn="0" w:lastColumn="0" w:oddVBand="0" w:evenVBand="0" w:oddHBand="1" w:evenHBand="0" w:firstRowFirstColumn="0" w:firstRowLastColumn="0" w:lastRowFirstColumn="0" w:lastRowLastColumn="0"/>
        </w:trPr>
        <w:tc>
          <w:tcPr>
            <w:tcW w:w="4437" w:type="dxa"/>
            <w:shd w:val="clear" w:color="auto" w:fill="auto"/>
          </w:tcPr>
          <w:p w:rsidR="00676016" w:rsidRPr="005633D9" w:rsidRDefault="00676016" w:rsidP="00825FE2">
            <w:pPr>
              <w:pStyle w:val="ExhibitTextBullets"/>
              <w:rPr>
                <w:lang w:val="en-GB"/>
              </w:rPr>
            </w:pPr>
            <w:r w:rsidRPr="005633D9">
              <w:rPr>
                <w:lang w:val="en-GB"/>
              </w:rPr>
              <w:t>Cost-effectiveness analysis comparing cost against outcomes of the Nigeria pilot</w:t>
            </w:r>
          </w:p>
          <w:p w:rsidR="00676016" w:rsidRPr="005633D9" w:rsidRDefault="00676016" w:rsidP="00A72E6B">
            <w:pPr>
              <w:pStyle w:val="ExhibitTextBullets"/>
              <w:numPr>
                <w:ilvl w:val="0"/>
                <w:numId w:val="0"/>
              </w:numPr>
              <w:ind w:left="252"/>
              <w:rPr>
                <w:lang w:val="en-GB"/>
              </w:rPr>
            </w:pPr>
          </w:p>
        </w:tc>
        <w:tc>
          <w:tcPr>
            <w:tcW w:w="5139" w:type="dxa"/>
            <w:shd w:val="clear" w:color="auto" w:fill="auto"/>
          </w:tcPr>
          <w:p w:rsidR="00676016" w:rsidRPr="005633D9" w:rsidRDefault="00676016" w:rsidP="00825FE2">
            <w:pPr>
              <w:pStyle w:val="ExhibitTextBullets"/>
              <w:rPr>
                <w:lang w:val="en-GB"/>
              </w:rPr>
            </w:pPr>
            <w:r w:rsidRPr="005633D9">
              <w:rPr>
                <w:lang w:val="en-GB"/>
              </w:rPr>
              <w:t>Cost per kg of maize treated with Aflasafe</w:t>
            </w:r>
          </w:p>
          <w:p w:rsidR="00676016" w:rsidRPr="005633D9" w:rsidRDefault="00676016" w:rsidP="00825FE2">
            <w:pPr>
              <w:pStyle w:val="ExhibitTextBullets"/>
              <w:rPr>
                <w:lang w:val="en-GB"/>
              </w:rPr>
            </w:pPr>
            <w:r w:rsidRPr="005633D9">
              <w:rPr>
                <w:lang w:val="en-GB"/>
              </w:rPr>
              <w:t xml:space="preserve">Cost per kg of aflatoxin-free maize consumed </w:t>
            </w:r>
          </w:p>
          <w:p w:rsidR="00676016" w:rsidRPr="005633D9" w:rsidRDefault="00676016" w:rsidP="00825FE2">
            <w:pPr>
              <w:pStyle w:val="ExhibitTextBullets"/>
              <w:rPr>
                <w:lang w:val="en-GB"/>
              </w:rPr>
            </w:pPr>
            <w:r w:rsidRPr="005633D9">
              <w:rPr>
                <w:lang w:val="en-GB"/>
              </w:rPr>
              <w:t>Cost per smallholder who adopts Aflasafe</w:t>
            </w:r>
          </w:p>
          <w:p w:rsidR="00676016" w:rsidRPr="005633D9" w:rsidRDefault="00676016" w:rsidP="00582DEE">
            <w:pPr>
              <w:pStyle w:val="ExhibitTextBullets"/>
              <w:rPr>
                <w:lang w:val="en-GB"/>
              </w:rPr>
            </w:pPr>
            <w:r w:rsidRPr="005633D9">
              <w:rPr>
                <w:lang w:val="en-GB"/>
              </w:rPr>
              <w:t xml:space="preserve">Cost per </w:t>
            </w:r>
            <w:r w:rsidR="00582DEE">
              <w:rPr>
                <w:lang w:val="en-GB"/>
              </w:rPr>
              <w:t>dollar</w:t>
            </w:r>
            <w:r w:rsidRPr="005633D9">
              <w:rPr>
                <w:lang w:val="en-GB"/>
              </w:rPr>
              <w:t xml:space="preserve"> of increased smallholder income from maize</w:t>
            </w:r>
          </w:p>
        </w:tc>
      </w:tr>
      <w:tr w:rsidR="00676016" w:rsidRPr="005633D9" w:rsidTr="00676016">
        <w:trPr>
          <w:cnfStyle w:val="000000010000" w:firstRow="0" w:lastRow="0" w:firstColumn="0" w:lastColumn="0" w:oddVBand="0" w:evenVBand="0" w:oddHBand="0" w:evenHBand="1" w:firstRowFirstColumn="0" w:firstRowLastColumn="0" w:lastRowFirstColumn="0" w:lastRowLastColumn="0"/>
        </w:trPr>
        <w:tc>
          <w:tcPr>
            <w:tcW w:w="9576" w:type="dxa"/>
            <w:gridSpan w:val="2"/>
          </w:tcPr>
          <w:p w:rsidR="00676016" w:rsidRPr="005633D9" w:rsidRDefault="00676016" w:rsidP="00F117D7">
            <w:pPr>
              <w:pStyle w:val="ExhibitText"/>
              <w:rPr>
                <w:b/>
                <w:lang w:val="en-GB"/>
              </w:rPr>
            </w:pPr>
            <w:r w:rsidRPr="005633D9">
              <w:rPr>
                <w:b/>
                <w:lang w:val="en-GB"/>
              </w:rPr>
              <w:t>Scale of private sector investment and uptake</w:t>
            </w:r>
          </w:p>
        </w:tc>
      </w:tr>
      <w:tr w:rsidR="00676016" w:rsidRPr="005633D9" w:rsidTr="00676016">
        <w:trPr>
          <w:cnfStyle w:val="000000100000" w:firstRow="0" w:lastRow="0" w:firstColumn="0" w:lastColumn="0" w:oddVBand="0" w:evenVBand="0" w:oddHBand="1" w:evenHBand="0" w:firstRowFirstColumn="0" w:firstRowLastColumn="0" w:lastRowFirstColumn="0" w:lastRowLastColumn="0"/>
        </w:trPr>
        <w:tc>
          <w:tcPr>
            <w:tcW w:w="4437" w:type="dxa"/>
            <w:shd w:val="clear" w:color="auto" w:fill="auto"/>
          </w:tcPr>
          <w:p w:rsidR="00676016" w:rsidRPr="005633D9" w:rsidRDefault="00676016" w:rsidP="00825FE2">
            <w:pPr>
              <w:pStyle w:val="ExhibitTextBullets"/>
              <w:rPr>
                <w:lang w:val="en-GB"/>
              </w:rPr>
            </w:pPr>
            <w:r w:rsidRPr="005633D9">
              <w:rPr>
                <w:lang w:val="en-GB"/>
              </w:rPr>
              <w:t>Qualitative market surveys</w:t>
            </w:r>
          </w:p>
          <w:p w:rsidR="00676016" w:rsidRPr="005633D9" w:rsidRDefault="00676016" w:rsidP="00825FE2">
            <w:pPr>
              <w:pStyle w:val="ExhibitTextBullets"/>
              <w:rPr>
                <w:lang w:val="en-GB"/>
              </w:rPr>
            </w:pPr>
            <w:r w:rsidRPr="005633D9">
              <w:rPr>
                <w:lang w:val="en-GB"/>
              </w:rPr>
              <w:t>SCP market analysis</w:t>
            </w:r>
          </w:p>
          <w:p w:rsidR="00676016" w:rsidRPr="005633D9" w:rsidRDefault="00676016" w:rsidP="00825FE2">
            <w:pPr>
              <w:pStyle w:val="ExhibitTextBullets"/>
              <w:rPr>
                <w:lang w:val="en-GB"/>
              </w:rPr>
            </w:pPr>
            <w:r w:rsidRPr="005633D9">
              <w:rPr>
                <w:lang w:val="en-GB"/>
              </w:rPr>
              <w:t>Synthesis of qualitative results from all 3 pilots</w:t>
            </w:r>
          </w:p>
          <w:p w:rsidR="00676016" w:rsidRPr="005633D9" w:rsidRDefault="00676016" w:rsidP="00825FE2">
            <w:pPr>
              <w:pStyle w:val="ExhibitTextBullets"/>
              <w:numPr>
                <w:ilvl w:val="0"/>
                <w:numId w:val="0"/>
              </w:numPr>
              <w:ind w:left="252"/>
              <w:rPr>
                <w:lang w:val="en-GB"/>
              </w:rPr>
            </w:pPr>
          </w:p>
        </w:tc>
        <w:tc>
          <w:tcPr>
            <w:tcW w:w="5139" w:type="dxa"/>
            <w:shd w:val="clear" w:color="auto" w:fill="auto"/>
          </w:tcPr>
          <w:p w:rsidR="00676016" w:rsidRPr="005633D9" w:rsidRDefault="00676016" w:rsidP="00A72E6B">
            <w:pPr>
              <w:pStyle w:val="ExhibitTextBullets"/>
              <w:rPr>
                <w:lang w:val="en-GB"/>
              </w:rPr>
            </w:pPr>
            <w:r w:rsidRPr="005633D9">
              <w:rPr>
                <w:lang w:val="en-GB"/>
              </w:rPr>
              <w:t xml:space="preserve">Extent of involvement of value chain actors outside AgResults pilot in supply of aflatoxin-free maize </w:t>
            </w:r>
          </w:p>
          <w:p w:rsidR="00676016" w:rsidRPr="005633D9" w:rsidRDefault="00676016" w:rsidP="00A72E6B">
            <w:pPr>
              <w:pStyle w:val="ExhibitTextBullets"/>
              <w:rPr>
                <w:lang w:val="en-GB"/>
              </w:rPr>
            </w:pPr>
            <w:r w:rsidRPr="005633D9">
              <w:rPr>
                <w:lang w:val="en-GB"/>
              </w:rPr>
              <w:t>Perception of value chain actors (including those not directly engaged with AgResults) on the reliability of Aflasafe supply</w:t>
            </w:r>
          </w:p>
          <w:p w:rsidR="00676016" w:rsidRPr="005633D9" w:rsidRDefault="00676016" w:rsidP="00A72E6B">
            <w:pPr>
              <w:pStyle w:val="ExhibitTextBullets"/>
              <w:rPr>
                <w:lang w:val="en-GB"/>
              </w:rPr>
            </w:pPr>
            <w:r w:rsidRPr="005633D9">
              <w:rPr>
                <w:lang w:val="en-GB"/>
              </w:rPr>
              <w:t>Market linkages, interest, and investment in continued use of Aflasafe by value chain actors (including those not directly engaged with AgResults)</w:t>
            </w:r>
          </w:p>
          <w:p w:rsidR="00676016" w:rsidRPr="005633D9" w:rsidRDefault="00676016" w:rsidP="00D85B6C">
            <w:pPr>
              <w:pStyle w:val="ExhibitTextBullets"/>
              <w:rPr>
                <w:lang w:val="en-GB"/>
              </w:rPr>
            </w:pPr>
            <w:r w:rsidRPr="005633D9">
              <w:rPr>
                <w:lang w:val="en-GB"/>
              </w:rPr>
              <w:t>Presence and enforcement of regulations on aflatoxins in maize</w:t>
            </w:r>
          </w:p>
        </w:tc>
      </w:tr>
    </w:tbl>
    <w:p w:rsidR="00BE50B7" w:rsidRPr="005633D9" w:rsidRDefault="00BE50B7" w:rsidP="00D139EC">
      <w:pPr>
        <w:pStyle w:val="BodyText"/>
      </w:pPr>
    </w:p>
    <w:p w:rsidR="00D139EC" w:rsidRPr="005633D9" w:rsidRDefault="00D139EC" w:rsidP="00503328">
      <w:pPr>
        <w:pStyle w:val="Heading2"/>
        <w:rPr>
          <w:lang w:val="en-GB"/>
        </w:rPr>
      </w:pPr>
      <w:bookmarkStart w:id="61" w:name="_Toc375336139"/>
      <w:bookmarkStart w:id="62" w:name="_Toc407700417"/>
      <w:r w:rsidRPr="005633D9">
        <w:rPr>
          <w:lang w:val="en-GB"/>
        </w:rPr>
        <w:t xml:space="preserve">Evaluation </w:t>
      </w:r>
      <w:r w:rsidR="000A26AA" w:rsidRPr="005633D9">
        <w:rPr>
          <w:lang w:val="en-GB"/>
        </w:rPr>
        <w:t xml:space="preserve">question </w:t>
      </w:r>
      <w:r w:rsidR="009C4F0F" w:rsidRPr="005633D9">
        <w:rPr>
          <w:lang w:val="en-GB"/>
        </w:rPr>
        <w:t>7: What lessons can be learnt</w:t>
      </w:r>
      <w:r w:rsidRPr="005633D9">
        <w:rPr>
          <w:lang w:val="en-GB"/>
        </w:rPr>
        <w:t xml:space="preserve"> about best practices in the design and implementation of AgResults?</w:t>
      </w:r>
      <w:bookmarkEnd w:id="61"/>
      <w:bookmarkEnd w:id="62"/>
    </w:p>
    <w:p w:rsidR="0071037C" w:rsidRPr="005633D9" w:rsidRDefault="00D139EC" w:rsidP="0062673E">
      <w:pPr>
        <w:pStyle w:val="NormalWeb"/>
        <w:rPr>
          <w:lang w:val="en-GB"/>
        </w:rPr>
      </w:pPr>
      <w:r w:rsidRPr="005633D9">
        <w:rPr>
          <w:lang w:val="en-GB"/>
        </w:rPr>
        <w:t xml:space="preserve">Our evaluation of design effectiveness and identification of best practices is central to the evaluation and learning framework around the AgResults initiative. </w:t>
      </w:r>
      <w:r w:rsidR="00111F2D" w:rsidRPr="005633D9">
        <w:rPr>
          <w:lang w:val="en-GB"/>
        </w:rPr>
        <w:t>The most critical step for developing best practices is to identify what worked well</w:t>
      </w:r>
      <w:r w:rsidR="0071037C" w:rsidRPr="005633D9">
        <w:rPr>
          <w:lang w:val="en-GB"/>
        </w:rPr>
        <w:t xml:space="preserve"> </w:t>
      </w:r>
      <w:r w:rsidR="007A64E8" w:rsidRPr="005633D9">
        <w:rPr>
          <w:lang w:val="en-GB"/>
        </w:rPr>
        <w:t>in the pilot</w:t>
      </w:r>
      <w:r w:rsidR="005A11F2" w:rsidRPr="005633D9">
        <w:rPr>
          <w:lang w:val="en-GB"/>
        </w:rPr>
        <w:t>—</w:t>
      </w:r>
      <w:r w:rsidR="007A64E8" w:rsidRPr="005633D9">
        <w:rPr>
          <w:lang w:val="en-GB"/>
        </w:rPr>
        <w:t>specifically</w:t>
      </w:r>
      <w:r w:rsidR="002B4415" w:rsidRPr="005633D9">
        <w:rPr>
          <w:lang w:val="en-GB"/>
        </w:rPr>
        <w:t>,</w:t>
      </w:r>
      <w:r w:rsidR="007A64E8" w:rsidRPr="005633D9">
        <w:rPr>
          <w:lang w:val="en-GB"/>
        </w:rPr>
        <w:t xml:space="preserve"> objectives </w:t>
      </w:r>
      <w:r w:rsidR="007A64E8" w:rsidRPr="005633D9">
        <w:rPr>
          <w:lang w:val="en-GB"/>
        </w:rPr>
        <w:lastRenderedPageBreak/>
        <w:t>that the pilot achieved cost effectively</w:t>
      </w:r>
      <w:r w:rsidR="0071037C" w:rsidRPr="005633D9">
        <w:rPr>
          <w:lang w:val="en-GB"/>
        </w:rPr>
        <w:t xml:space="preserve">. </w:t>
      </w:r>
      <w:r w:rsidR="0062673E" w:rsidRPr="005633D9">
        <w:rPr>
          <w:lang w:val="en-GB"/>
        </w:rPr>
        <w:t xml:space="preserve">Therefore, as </w:t>
      </w:r>
      <w:r w:rsidR="00466537" w:rsidRPr="005633D9">
        <w:rPr>
          <w:lang w:val="en-GB"/>
        </w:rPr>
        <w:t xml:space="preserve">a first step of this analysis, we will synthesize the results of evaluation questions 1-6 </w:t>
      </w:r>
      <w:r w:rsidR="007A64E8" w:rsidRPr="005633D9">
        <w:rPr>
          <w:lang w:val="en-GB"/>
        </w:rPr>
        <w:t>to identify the specific o</w:t>
      </w:r>
      <w:r w:rsidR="000B4E54" w:rsidRPr="005633D9">
        <w:rPr>
          <w:lang w:val="en-GB"/>
        </w:rPr>
        <w:t xml:space="preserve">utcomes the pilot achieved cost </w:t>
      </w:r>
      <w:r w:rsidR="007A64E8" w:rsidRPr="005633D9">
        <w:rPr>
          <w:lang w:val="en-GB"/>
        </w:rPr>
        <w:t xml:space="preserve">effectively and those that it did not. </w:t>
      </w:r>
    </w:p>
    <w:p w:rsidR="007A64E8" w:rsidRPr="005633D9" w:rsidRDefault="0062673E" w:rsidP="007A64E8">
      <w:pPr>
        <w:pStyle w:val="NormalWeb"/>
        <w:rPr>
          <w:lang w:val="en-GB"/>
        </w:rPr>
      </w:pPr>
      <w:r w:rsidRPr="005633D9">
        <w:rPr>
          <w:lang w:val="en-GB"/>
        </w:rPr>
        <w:t xml:space="preserve">The next step is to identify the </w:t>
      </w:r>
      <w:r w:rsidR="00F11308" w:rsidRPr="005633D9">
        <w:rPr>
          <w:lang w:val="en-GB"/>
        </w:rPr>
        <w:t>“</w:t>
      </w:r>
      <w:r w:rsidRPr="005633D9">
        <w:rPr>
          <w:lang w:val="en-GB"/>
        </w:rPr>
        <w:t>practice</w:t>
      </w:r>
      <w:r w:rsidR="00F11308" w:rsidRPr="005633D9">
        <w:rPr>
          <w:lang w:val="en-GB"/>
        </w:rPr>
        <w:t>”</w:t>
      </w:r>
      <w:r w:rsidRPr="005633D9">
        <w:rPr>
          <w:lang w:val="en-GB"/>
        </w:rPr>
        <w:t xml:space="preserve"> that was instrumental in achieving the outcomes. The primary mechanism in a </w:t>
      </w:r>
      <w:r w:rsidR="007A64E8" w:rsidRPr="005633D9">
        <w:rPr>
          <w:lang w:val="en-GB"/>
        </w:rPr>
        <w:t>best</w:t>
      </w:r>
      <w:r w:rsidRPr="005633D9">
        <w:rPr>
          <w:lang w:val="en-GB"/>
        </w:rPr>
        <w:t xml:space="preserve"> practice is the ability or the means of achieving a goal in a cost-effective manner</w:t>
      </w:r>
      <w:r w:rsidR="005A11F2" w:rsidRPr="005633D9">
        <w:rPr>
          <w:lang w:val="en-GB"/>
        </w:rPr>
        <w:t>—</w:t>
      </w:r>
      <w:r w:rsidR="007A64E8" w:rsidRPr="005633D9">
        <w:rPr>
          <w:lang w:val="en-GB"/>
        </w:rPr>
        <w:t>in this case</w:t>
      </w:r>
      <w:r w:rsidR="002B4415" w:rsidRPr="005633D9">
        <w:rPr>
          <w:lang w:val="en-GB"/>
        </w:rPr>
        <w:t>,</w:t>
      </w:r>
      <w:r w:rsidR="007A64E8" w:rsidRPr="005633D9">
        <w:rPr>
          <w:lang w:val="en-GB"/>
        </w:rPr>
        <w:t xml:space="preserve"> the pull mechanism</w:t>
      </w:r>
      <w:r w:rsidRPr="005633D9">
        <w:rPr>
          <w:lang w:val="en-GB"/>
        </w:rPr>
        <w:t>. The secondary mechanisms include implementing features</w:t>
      </w:r>
      <w:r w:rsidR="007A64E8" w:rsidRPr="005633D9">
        <w:rPr>
          <w:lang w:val="en-GB"/>
        </w:rPr>
        <w:t xml:space="preserve"> (</w:t>
      </w:r>
      <w:r w:rsidR="00A04A54" w:rsidRPr="005633D9">
        <w:rPr>
          <w:lang w:val="en-GB"/>
        </w:rPr>
        <w:t xml:space="preserve">e.g., </w:t>
      </w:r>
      <w:r w:rsidR="007A64E8" w:rsidRPr="005633D9">
        <w:rPr>
          <w:lang w:val="en-GB"/>
        </w:rPr>
        <w:t>incentives for aggregators as opposed to other entities in the value chain)</w:t>
      </w:r>
      <w:r w:rsidR="000B4E54" w:rsidRPr="005633D9">
        <w:rPr>
          <w:lang w:val="en-GB"/>
        </w:rPr>
        <w:t>;</w:t>
      </w:r>
      <w:r w:rsidRPr="005633D9">
        <w:rPr>
          <w:lang w:val="en-GB"/>
        </w:rPr>
        <w:t xml:space="preserve"> supportive features </w:t>
      </w:r>
      <w:r w:rsidR="007A64E8" w:rsidRPr="005633D9">
        <w:rPr>
          <w:lang w:val="en-GB"/>
        </w:rPr>
        <w:t>(</w:t>
      </w:r>
      <w:r w:rsidR="00A04A54" w:rsidRPr="005633D9">
        <w:rPr>
          <w:lang w:val="en-GB"/>
        </w:rPr>
        <w:t xml:space="preserve">e.g., </w:t>
      </w:r>
      <w:r w:rsidR="007A64E8" w:rsidRPr="005633D9">
        <w:rPr>
          <w:lang w:val="en-GB"/>
        </w:rPr>
        <w:t>training for aggregators)</w:t>
      </w:r>
      <w:r w:rsidR="000B4E54" w:rsidRPr="005633D9">
        <w:rPr>
          <w:lang w:val="en-GB"/>
        </w:rPr>
        <w:t>;</w:t>
      </w:r>
      <w:r w:rsidR="007A64E8" w:rsidRPr="005633D9">
        <w:rPr>
          <w:lang w:val="en-GB"/>
        </w:rPr>
        <w:t xml:space="preserve"> </w:t>
      </w:r>
      <w:r w:rsidRPr="005633D9">
        <w:rPr>
          <w:lang w:val="en-GB"/>
        </w:rPr>
        <w:t>and optional features</w:t>
      </w:r>
      <w:r w:rsidR="007A64E8" w:rsidRPr="005633D9">
        <w:rPr>
          <w:lang w:val="en-GB"/>
        </w:rPr>
        <w:t xml:space="preserve"> (</w:t>
      </w:r>
      <w:r w:rsidR="00A04A54" w:rsidRPr="005633D9">
        <w:rPr>
          <w:lang w:val="en-GB"/>
        </w:rPr>
        <w:t xml:space="preserve">e.g., </w:t>
      </w:r>
      <w:r w:rsidR="007A64E8" w:rsidRPr="005633D9">
        <w:rPr>
          <w:lang w:val="en-GB"/>
        </w:rPr>
        <w:t>differences in contract arrangements between aggregators and farmers)</w:t>
      </w:r>
      <w:r w:rsidRPr="005633D9">
        <w:rPr>
          <w:lang w:val="en-GB"/>
        </w:rPr>
        <w:t xml:space="preserve">. It can be very complicated to separate the functions in getting the mechanism to work </w:t>
      </w:r>
      <w:r w:rsidR="00DD4F85">
        <w:rPr>
          <w:lang w:val="en-GB"/>
        </w:rPr>
        <w:t>from</w:t>
      </w:r>
      <w:r w:rsidR="00DD4F85" w:rsidRPr="005633D9">
        <w:rPr>
          <w:lang w:val="en-GB"/>
        </w:rPr>
        <w:t xml:space="preserve"> </w:t>
      </w:r>
      <w:r w:rsidRPr="005633D9">
        <w:rPr>
          <w:lang w:val="en-GB"/>
        </w:rPr>
        <w:t>the features that support those functions.</w:t>
      </w:r>
      <w:r w:rsidR="00243735" w:rsidRPr="005633D9">
        <w:rPr>
          <w:lang w:val="en-GB"/>
        </w:rPr>
        <w:t xml:space="preserve"> </w:t>
      </w:r>
      <w:r w:rsidRPr="005633D9">
        <w:rPr>
          <w:lang w:val="en-GB"/>
        </w:rPr>
        <w:t>Therefore, it is important to identify the core essence of the practice while allowing flexibility for how it is implemented so it remains sensitive to local conditions. This aspect of</w:t>
      </w:r>
      <w:r w:rsidR="007A64E8" w:rsidRPr="005633D9">
        <w:rPr>
          <w:lang w:val="en-GB"/>
        </w:rPr>
        <w:t xml:space="preserve"> identifying the best practices,</w:t>
      </w:r>
      <w:r w:rsidRPr="005633D9">
        <w:rPr>
          <w:lang w:val="en-GB"/>
        </w:rPr>
        <w:t xml:space="preserve"> what Bardach (2011) calls observing the practice</w:t>
      </w:r>
      <w:r w:rsidR="007A64E8" w:rsidRPr="005633D9">
        <w:rPr>
          <w:lang w:val="en-GB"/>
        </w:rPr>
        <w:t>,</w:t>
      </w:r>
      <w:r w:rsidRPr="005633D9">
        <w:rPr>
          <w:lang w:val="en-GB"/>
        </w:rPr>
        <w:t xml:space="preserve"> requires inputs from key stakeholders of the pilot</w:t>
      </w:r>
      <w:r w:rsidR="00400CCB" w:rsidRPr="005633D9">
        <w:rPr>
          <w:lang w:val="en-GB"/>
        </w:rPr>
        <w:t>—</w:t>
      </w:r>
      <w:r w:rsidRPr="005633D9">
        <w:rPr>
          <w:lang w:val="en-GB"/>
        </w:rPr>
        <w:t xml:space="preserve">the </w:t>
      </w:r>
      <w:r w:rsidR="00B748BA">
        <w:rPr>
          <w:lang w:val="en-GB"/>
        </w:rPr>
        <w:t>P</w:t>
      </w:r>
      <w:r w:rsidRPr="005633D9">
        <w:rPr>
          <w:lang w:val="en-GB"/>
        </w:rPr>
        <w:t xml:space="preserve">ilot </w:t>
      </w:r>
      <w:r w:rsidR="00B748BA">
        <w:rPr>
          <w:lang w:val="en-GB"/>
        </w:rPr>
        <w:t>M</w:t>
      </w:r>
      <w:r w:rsidRPr="005633D9">
        <w:rPr>
          <w:lang w:val="en-GB"/>
        </w:rPr>
        <w:t>anager, aggregators, verifiers</w:t>
      </w:r>
      <w:r w:rsidR="00400CCB" w:rsidRPr="005633D9">
        <w:rPr>
          <w:lang w:val="en-GB"/>
        </w:rPr>
        <w:t>,</w:t>
      </w:r>
      <w:r w:rsidRPr="005633D9">
        <w:rPr>
          <w:lang w:val="en-GB"/>
        </w:rPr>
        <w:t xml:space="preserve"> and farmers. As part of this analysis, it is also important to assess the implementation fidelity, the extent to which the </w:t>
      </w:r>
      <w:r w:rsidR="004E61F3" w:rsidRPr="005633D9">
        <w:rPr>
          <w:lang w:val="en-GB"/>
        </w:rPr>
        <w:t xml:space="preserve">programme </w:t>
      </w:r>
      <w:r w:rsidRPr="005633D9">
        <w:rPr>
          <w:lang w:val="en-GB"/>
        </w:rPr>
        <w:t>deviated from its plans, and if those deviations contributed to its success (or not).</w:t>
      </w:r>
      <w:r w:rsidR="00243735" w:rsidRPr="005633D9">
        <w:rPr>
          <w:lang w:val="en-GB"/>
        </w:rPr>
        <w:t xml:space="preserve"> </w:t>
      </w:r>
      <w:r w:rsidR="007A64E8" w:rsidRPr="005633D9">
        <w:rPr>
          <w:lang w:val="en-GB"/>
        </w:rPr>
        <w:t xml:space="preserve">Therefore, we will conduct a </w:t>
      </w:r>
      <w:r w:rsidRPr="005633D9">
        <w:rPr>
          <w:lang w:val="en-GB"/>
        </w:rPr>
        <w:t>final best practices workshop</w:t>
      </w:r>
      <w:r w:rsidR="007A64E8" w:rsidRPr="005633D9">
        <w:rPr>
          <w:lang w:val="en-GB"/>
        </w:rPr>
        <w:t xml:space="preserve"> in which we will draw the key elements of the pilot, its implementing features, </w:t>
      </w:r>
      <w:r w:rsidR="002B4415" w:rsidRPr="005633D9">
        <w:rPr>
          <w:lang w:val="en-GB"/>
        </w:rPr>
        <w:t xml:space="preserve">and </w:t>
      </w:r>
      <w:r w:rsidR="007A64E8" w:rsidRPr="005633D9">
        <w:rPr>
          <w:lang w:val="en-GB"/>
        </w:rPr>
        <w:t>supportive and optional features that made it successful.</w:t>
      </w:r>
      <w:r w:rsidR="00243735" w:rsidRPr="005633D9">
        <w:rPr>
          <w:lang w:val="en-GB"/>
        </w:rPr>
        <w:t xml:space="preserve"> </w:t>
      </w:r>
      <w:r w:rsidR="00F53DDC" w:rsidRPr="005633D9">
        <w:rPr>
          <w:lang w:val="en-GB"/>
        </w:rPr>
        <w:t xml:space="preserve">While examining carefully why the best practice might succeed, in this workshop we will also </w:t>
      </w:r>
      <w:r w:rsidR="00BF086B" w:rsidRPr="005633D9">
        <w:rPr>
          <w:lang w:val="en-GB"/>
        </w:rPr>
        <w:t xml:space="preserve">determine </w:t>
      </w:r>
      <w:r w:rsidR="00F53DDC" w:rsidRPr="005633D9">
        <w:rPr>
          <w:lang w:val="en-GB"/>
        </w:rPr>
        <w:t xml:space="preserve">the potential vulnerabilities that could lead the pull mechanism, as designed in the Aflasafe pilot, </w:t>
      </w:r>
      <w:r w:rsidR="00E30754" w:rsidRPr="005633D9">
        <w:rPr>
          <w:lang w:val="en-GB"/>
        </w:rPr>
        <w:t>to</w:t>
      </w:r>
      <w:r w:rsidR="004F1045" w:rsidRPr="005633D9">
        <w:rPr>
          <w:lang w:val="en-GB"/>
        </w:rPr>
        <w:t xml:space="preserve"> </w:t>
      </w:r>
      <w:r w:rsidR="00F53DDC" w:rsidRPr="005633D9">
        <w:rPr>
          <w:lang w:val="en-GB"/>
        </w:rPr>
        <w:t>fail. Following Bardach (2011), the vulnerabilities could be general</w:t>
      </w:r>
      <w:r w:rsidR="00400CCB" w:rsidRPr="005633D9">
        <w:rPr>
          <w:lang w:val="en-GB"/>
        </w:rPr>
        <w:t>,</w:t>
      </w:r>
      <w:r w:rsidR="00F53DDC" w:rsidRPr="005633D9">
        <w:rPr>
          <w:lang w:val="en-GB"/>
        </w:rPr>
        <w:t xml:space="preserve"> such as that the pilot requires high management capacity </w:t>
      </w:r>
      <w:r w:rsidR="00400CCB" w:rsidRPr="005633D9">
        <w:rPr>
          <w:lang w:val="en-GB"/>
        </w:rPr>
        <w:t xml:space="preserve">without </w:t>
      </w:r>
      <w:r w:rsidR="00F53DDC" w:rsidRPr="005633D9">
        <w:rPr>
          <w:lang w:val="en-GB"/>
        </w:rPr>
        <w:t xml:space="preserve">which </w:t>
      </w:r>
      <w:r w:rsidR="00F11308" w:rsidRPr="005633D9">
        <w:rPr>
          <w:lang w:val="en-GB"/>
        </w:rPr>
        <w:t>it</w:t>
      </w:r>
      <w:r w:rsidR="00F53DDC" w:rsidRPr="005633D9">
        <w:rPr>
          <w:lang w:val="en-GB"/>
        </w:rPr>
        <w:t xml:space="preserve"> may fail</w:t>
      </w:r>
      <w:r w:rsidR="00400CCB" w:rsidRPr="005633D9">
        <w:rPr>
          <w:lang w:val="en-GB"/>
        </w:rPr>
        <w:t>.</w:t>
      </w:r>
      <w:r w:rsidR="00F53DDC" w:rsidRPr="005633D9">
        <w:rPr>
          <w:lang w:val="en-GB"/>
        </w:rPr>
        <w:t xml:space="preserve"> </w:t>
      </w:r>
      <w:r w:rsidR="00400CCB" w:rsidRPr="005633D9">
        <w:rPr>
          <w:lang w:val="en-GB"/>
        </w:rPr>
        <w:t>T</w:t>
      </w:r>
      <w:r w:rsidR="00F53DDC" w:rsidRPr="005633D9">
        <w:rPr>
          <w:lang w:val="en-GB"/>
        </w:rPr>
        <w:t xml:space="preserve">he vulnerabilities could </w:t>
      </w:r>
      <w:r w:rsidR="00400CCB" w:rsidRPr="005633D9">
        <w:rPr>
          <w:lang w:val="en-GB"/>
        </w:rPr>
        <w:t xml:space="preserve">also </w:t>
      </w:r>
      <w:r w:rsidR="00F53DDC" w:rsidRPr="005633D9">
        <w:rPr>
          <w:lang w:val="en-GB"/>
        </w:rPr>
        <w:t>be inherent to the pull mechanism itself</w:t>
      </w:r>
      <w:r w:rsidR="00400CCB" w:rsidRPr="005633D9">
        <w:rPr>
          <w:lang w:val="en-GB"/>
        </w:rPr>
        <w:t>,</w:t>
      </w:r>
      <w:r w:rsidR="00F53DDC" w:rsidRPr="005633D9">
        <w:rPr>
          <w:lang w:val="en-GB"/>
        </w:rPr>
        <w:t xml:space="preserve"> such as the need for aflatoxin or Aflasafe testing capacity. </w:t>
      </w:r>
    </w:p>
    <w:p w:rsidR="00F53DDC" w:rsidRPr="005633D9" w:rsidRDefault="004F1045" w:rsidP="00F53DDC">
      <w:pPr>
        <w:pStyle w:val="NormalWeb"/>
        <w:rPr>
          <w:lang w:val="en-GB"/>
        </w:rPr>
      </w:pPr>
      <w:r w:rsidRPr="005633D9">
        <w:rPr>
          <w:lang w:val="en-GB"/>
        </w:rPr>
        <w:t>In addition, a</w:t>
      </w:r>
      <w:r w:rsidR="00F53DDC" w:rsidRPr="005633D9">
        <w:rPr>
          <w:lang w:val="en-GB"/>
        </w:rPr>
        <w:t>s part of the best practices workshop we will also assess the conditions of success</w:t>
      </w:r>
      <w:r w:rsidR="007E3D8E" w:rsidRPr="005633D9">
        <w:rPr>
          <w:lang w:val="en-GB"/>
        </w:rPr>
        <w:t xml:space="preserve"> that are necessary for the pilot to be successful in another context. The conditions of success may be </w:t>
      </w:r>
      <w:r w:rsidR="00F11308" w:rsidRPr="005633D9">
        <w:rPr>
          <w:lang w:val="en-GB"/>
        </w:rPr>
        <w:t>understood</w:t>
      </w:r>
      <w:r w:rsidR="007E3D8E" w:rsidRPr="005633D9">
        <w:rPr>
          <w:lang w:val="en-GB"/>
        </w:rPr>
        <w:t xml:space="preserve"> from local characteristics that vary within the pilot setting</w:t>
      </w:r>
      <w:r w:rsidR="002B4415" w:rsidRPr="005633D9">
        <w:rPr>
          <w:lang w:val="en-GB"/>
        </w:rPr>
        <w:t xml:space="preserve">, </w:t>
      </w:r>
      <w:r w:rsidR="007E3D8E" w:rsidRPr="005633D9">
        <w:rPr>
          <w:lang w:val="en-GB"/>
        </w:rPr>
        <w:t>such as varying levels of education of the aggregator, or the variation in the contractual arrangements</w:t>
      </w:r>
      <w:r w:rsidR="00E30754" w:rsidRPr="005633D9">
        <w:rPr>
          <w:lang w:val="en-GB"/>
        </w:rPr>
        <w:t xml:space="preserve"> between farmers and aggregators. </w:t>
      </w:r>
      <w:r w:rsidR="000C7AFC" w:rsidRPr="005633D9">
        <w:rPr>
          <w:lang w:val="en-GB"/>
        </w:rPr>
        <w:t>We may also examine t</w:t>
      </w:r>
      <w:r w:rsidR="00E30754" w:rsidRPr="005633D9">
        <w:rPr>
          <w:lang w:val="en-GB"/>
        </w:rPr>
        <w:t>he conditions for success through an analysis of characteristics</w:t>
      </w:r>
      <w:r w:rsidR="007E3D8E" w:rsidRPr="005633D9">
        <w:rPr>
          <w:lang w:val="en-GB"/>
        </w:rPr>
        <w:t xml:space="preserve"> that do not vary </w:t>
      </w:r>
      <w:r w:rsidR="00F11308" w:rsidRPr="005633D9">
        <w:rPr>
          <w:lang w:val="en-GB"/>
        </w:rPr>
        <w:t>within the pilot</w:t>
      </w:r>
      <w:r w:rsidR="000C7AFC" w:rsidRPr="005633D9">
        <w:rPr>
          <w:lang w:val="en-GB"/>
        </w:rPr>
        <w:t>,</w:t>
      </w:r>
      <w:r w:rsidR="00E30754" w:rsidRPr="005633D9">
        <w:rPr>
          <w:lang w:val="en-GB"/>
        </w:rPr>
        <w:t xml:space="preserve"> such as the generation of new markets or</w:t>
      </w:r>
      <w:r w:rsidR="007E3D8E" w:rsidRPr="005633D9">
        <w:rPr>
          <w:lang w:val="en-GB"/>
        </w:rPr>
        <w:t xml:space="preserve"> cultural norms that are common to the entire pilot region</w:t>
      </w:r>
      <w:r w:rsidR="00E30754" w:rsidRPr="005633D9">
        <w:rPr>
          <w:lang w:val="en-GB"/>
        </w:rPr>
        <w:t xml:space="preserve">. The analysis of market conditions will play a central role in assessing the success of each pilot individually and AgResults as a whole by showing </w:t>
      </w:r>
      <w:r w:rsidR="002D4B27" w:rsidRPr="005633D9">
        <w:rPr>
          <w:lang w:val="en-GB"/>
        </w:rPr>
        <w:t xml:space="preserve">whether or not pull mechanisms prove to be effective tools to address market failures. </w:t>
      </w:r>
      <w:r w:rsidR="007E3D8E" w:rsidRPr="005633D9">
        <w:rPr>
          <w:lang w:val="en-GB"/>
        </w:rPr>
        <w:t xml:space="preserve">This discussion can also reflect on the </w:t>
      </w:r>
      <w:r w:rsidR="00F53DDC" w:rsidRPr="005633D9">
        <w:rPr>
          <w:lang w:val="en-GB"/>
        </w:rPr>
        <w:t xml:space="preserve">support structures </w:t>
      </w:r>
      <w:r w:rsidR="007E3D8E" w:rsidRPr="005633D9">
        <w:rPr>
          <w:lang w:val="en-GB"/>
        </w:rPr>
        <w:t>that</w:t>
      </w:r>
      <w:r w:rsidR="002B4415" w:rsidRPr="005633D9">
        <w:rPr>
          <w:lang w:val="en-GB"/>
        </w:rPr>
        <w:t>,</w:t>
      </w:r>
      <w:r w:rsidR="007E3D8E" w:rsidRPr="005633D9">
        <w:rPr>
          <w:lang w:val="en-GB"/>
        </w:rPr>
        <w:t xml:space="preserve"> if </w:t>
      </w:r>
      <w:r w:rsidR="00F53DDC" w:rsidRPr="005633D9">
        <w:rPr>
          <w:lang w:val="en-GB"/>
        </w:rPr>
        <w:t>put in place</w:t>
      </w:r>
      <w:r w:rsidR="002B4415" w:rsidRPr="005633D9">
        <w:rPr>
          <w:lang w:val="en-GB"/>
        </w:rPr>
        <w:t>,</w:t>
      </w:r>
      <w:r w:rsidR="00F53DDC" w:rsidRPr="005633D9">
        <w:rPr>
          <w:lang w:val="en-GB"/>
        </w:rPr>
        <w:t xml:space="preserve"> maximize the likelihood of success</w:t>
      </w:r>
      <w:r w:rsidR="002D4B27" w:rsidRPr="005633D9">
        <w:rPr>
          <w:lang w:val="en-GB"/>
        </w:rPr>
        <w:t xml:space="preserve"> of pull mechanisms to remedy market failures</w:t>
      </w:r>
      <w:r w:rsidR="00F53DDC" w:rsidRPr="005633D9">
        <w:rPr>
          <w:lang w:val="en-GB"/>
        </w:rPr>
        <w:t xml:space="preserve">. </w:t>
      </w:r>
      <w:r w:rsidR="002C2E6E" w:rsidRPr="005633D9">
        <w:rPr>
          <w:lang w:val="en-GB"/>
        </w:rPr>
        <w:t xml:space="preserve">As part of this analysis we will assess whether the key market failures that have hindered the development of a market for aflatoxin-free maize were addressed by the pilot. </w:t>
      </w:r>
    </w:p>
    <w:p w:rsidR="0062673E" w:rsidRPr="005633D9" w:rsidRDefault="007E3D8E" w:rsidP="007A64E8">
      <w:pPr>
        <w:pStyle w:val="NormalWeb"/>
        <w:rPr>
          <w:lang w:val="en-GB"/>
        </w:rPr>
      </w:pPr>
      <w:r w:rsidRPr="005633D9">
        <w:rPr>
          <w:lang w:val="en-GB"/>
        </w:rPr>
        <w:t xml:space="preserve">If the pilot is not </w:t>
      </w:r>
      <w:r w:rsidR="004E43DD" w:rsidRPr="005633D9">
        <w:rPr>
          <w:lang w:val="en-GB"/>
        </w:rPr>
        <w:t xml:space="preserve">successful, or only partly successful, we will </w:t>
      </w:r>
      <w:r w:rsidR="00F11308" w:rsidRPr="005633D9">
        <w:rPr>
          <w:lang w:val="en-GB"/>
        </w:rPr>
        <w:t xml:space="preserve">still </w:t>
      </w:r>
      <w:r w:rsidR="004E43DD" w:rsidRPr="005633D9">
        <w:rPr>
          <w:lang w:val="en-GB"/>
        </w:rPr>
        <w:t xml:space="preserve">draw lessons learnt from the experience. At the workshop, we will </w:t>
      </w:r>
      <w:r w:rsidR="0062673E" w:rsidRPr="005633D9">
        <w:rPr>
          <w:lang w:val="en-GB"/>
        </w:rPr>
        <w:t xml:space="preserve">assess the reasons why </w:t>
      </w:r>
      <w:r w:rsidR="004E43DD" w:rsidRPr="005633D9">
        <w:rPr>
          <w:lang w:val="en-GB"/>
        </w:rPr>
        <w:t xml:space="preserve">certain aspects of the </w:t>
      </w:r>
      <w:r w:rsidR="004E61F3" w:rsidRPr="005633D9">
        <w:rPr>
          <w:lang w:val="en-GB"/>
        </w:rPr>
        <w:t xml:space="preserve">programme </w:t>
      </w:r>
      <w:r w:rsidR="004E43DD" w:rsidRPr="005633D9">
        <w:rPr>
          <w:lang w:val="en-GB"/>
        </w:rPr>
        <w:t xml:space="preserve">worked and reasons why certain aspects of it </w:t>
      </w:r>
      <w:r w:rsidR="0062673E" w:rsidRPr="005633D9">
        <w:rPr>
          <w:lang w:val="en-GB"/>
        </w:rPr>
        <w:t>did not work</w:t>
      </w:r>
      <w:r w:rsidR="000C7AFC" w:rsidRPr="005633D9">
        <w:rPr>
          <w:lang w:val="en-GB"/>
        </w:rPr>
        <w:t>,</w:t>
      </w:r>
      <w:r w:rsidR="0062673E" w:rsidRPr="005633D9">
        <w:rPr>
          <w:lang w:val="en-GB"/>
        </w:rPr>
        <w:t xml:space="preserve"> focusing on the following five potential causes of deviations from the intended pilot results: </w:t>
      </w:r>
    </w:p>
    <w:p w:rsidR="0062673E" w:rsidRPr="005633D9" w:rsidRDefault="0062673E" w:rsidP="0062673E">
      <w:pPr>
        <w:pStyle w:val="Bullets"/>
      </w:pPr>
      <w:r w:rsidRPr="005633D9">
        <w:lastRenderedPageBreak/>
        <w:t xml:space="preserve">Inaccuracies in conceptualization of the pilot (for example, mistaken assumptions about the nature of the market or anticipated </w:t>
      </w:r>
      <w:r w:rsidR="007C0210" w:rsidRPr="005633D9">
        <w:t>behaviour</w:t>
      </w:r>
      <w:r w:rsidRPr="005633D9">
        <w:t xml:space="preserve"> of market actors)</w:t>
      </w:r>
    </w:p>
    <w:p w:rsidR="0062673E" w:rsidRPr="005633D9" w:rsidRDefault="0062673E" w:rsidP="0062673E">
      <w:pPr>
        <w:pStyle w:val="Bullets"/>
      </w:pPr>
      <w:r w:rsidRPr="005633D9">
        <w:t>Issues arising from failure to implement the pilot as prescribed</w:t>
      </w:r>
    </w:p>
    <w:p w:rsidR="0062673E" w:rsidRPr="005633D9" w:rsidRDefault="0062673E" w:rsidP="0062673E">
      <w:pPr>
        <w:pStyle w:val="Bullets"/>
      </w:pPr>
      <w:r w:rsidRPr="005633D9">
        <w:t>Issues arising from failure to adjust pilot implementation to changing circumstances</w:t>
      </w:r>
    </w:p>
    <w:p w:rsidR="0062673E" w:rsidRPr="005633D9" w:rsidRDefault="0062673E" w:rsidP="0062673E">
      <w:pPr>
        <w:pStyle w:val="Bullets"/>
      </w:pPr>
      <w:r w:rsidRPr="005633D9">
        <w:t>Problems in capturing or communicating results resulting from the definition of the monitoring and evaluation agenda and tools</w:t>
      </w:r>
    </w:p>
    <w:p w:rsidR="0062673E" w:rsidRPr="005633D9" w:rsidRDefault="0062673E" w:rsidP="0062673E">
      <w:pPr>
        <w:pStyle w:val="Bullets"/>
      </w:pPr>
      <w:r w:rsidRPr="005633D9">
        <w:t xml:space="preserve">Deviations resulting from occurrences </w:t>
      </w:r>
      <w:r w:rsidR="000C7AFC" w:rsidRPr="005633D9">
        <w:t>that</w:t>
      </w:r>
      <w:r w:rsidRPr="005633D9">
        <w:t xml:space="preserve"> could not realistically be anticipated or planned for (</w:t>
      </w:r>
      <w:r w:rsidR="000C7AFC" w:rsidRPr="005633D9">
        <w:t>e.g.</w:t>
      </w:r>
      <w:r w:rsidRPr="005633D9">
        <w:t xml:space="preserve">, major shifts in policy that affect the market, agro-climatic issues such as severe drought </w:t>
      </w:r>
      <w:r w:rsidR="000C7AFC" w:rsidRPr="005633D9">
        <w:t xml:space="preserve">or </w:t>
      </w:r>
      <w:r w:rsidRPr="005633D9">
        <w:t xml:space="preserve">excessive rainfall, or disease outbreaks </w:t>
      </w:r>
      <w:r w:rsidR="000C7AFC" w:rsidRPr="005633D9">
        <w:t>that</w:t>
      </w:r>
      <w:r w:rsidRPr="005633D9">
        <w:t xml:space="preserve"> fall outside normal patterns for the implementation area).</w:t>
      </w:r>
    </w:p>
    <w:p w:rsidR="00DB4EEE" w:rsidRPr="005633D9" w:rsidRDefault="00466537" w:rsidP="00DB4EEE">
      <w:pPr>
        <w:pStyle w:val="BodyText"/>
      </w:pPr>
      <w:r w:rsidRPr="005633D9">
        <w:t>We will use “fidelity analysis” to compare the interventions that were planned to the interventions that were actually implemented. We will also examine how implementation of the interventions changes over time in response to managerial decisions based on issues arising from earlier implementation experience or in anticipation of changing contextual factors.</w:t>
      </w:r>
      <w:r w:rsidR="004E43DD" w:rsidRPr="005633D9">
        <w:t xml:space="preserve"> </w:t>
      </w:r>
      <w:r w:rsidR="00DB4EEE" w:rsidRPr="005633D9">
        <w:fldChar w:fldCharType="begin"/>
      </w:r>
      <w:r w:rsidR="00DB4EEE" w:rsidRPr="005633D9">
        <w:instrText xml:space="preserve"> REF _Ref403485896 \h </w:instrText>
      </w:r>
      <w:r w:rsidR="00DB4EEE" w:rsidRPr="005633D9">
        <w:fldChar w:fldCharType="separate"/>
      </w:r>
      <w:r w:rsidR="00F33102" w:rsidRPr="005633D9">
        <w:t xml:space="preserve">Table </w:t>
      </w:r>
      <w:r w:rsidR="00F33102">
        <w:rPr>
          <w:noProof/>
        </w:rPr>
        <w:t>3</w:t>
      </w:r>
      <w:r w:rsidR="00F33102" w:rsidRPr="005633D9">
        <w:noBreakHyphen/>
      </w:r>
      <w:r w:rsidR="00F33102">
        <w:rPr>
          <w:noProof/>
        </w:rPr>
        <w:t>10</w:t>
      </w:r>
      <w:r w:rsidR="00DB4EEE" w:rsidRPr="005633D9">
        <w:fldChar w:fldCharType="end"/>
      </w:r>
      <w:r w:rsidR="00DB4EEE" w:rsidRPr="005633D9">
        <w:t xml:space="preserve"> presents in summary the key evaluation method and the key outcome measures to answer evaluation question 7.</w:t>
      </w:r>
    </w:p>
    <w:p w:rsidR="00A43987" w:rsidRPr="005633D9" w:rsidRDefault="00A43987" w:rsidP="00A43987">
      <w:pPr>
        <w:pStyle w:val="Caption"/>
        <w:rPr>
          <w:lang w:val="en-GB"/>
        </w:rPr>
      </w:pPr>
      <w:bookmarkStart w:id="63" w:name="_Ref403485896"/>
      <w:bookmarkStart w:id="64" w:name="_Toc407700442"/>
      <w:r w:rsidRPr="005633D9">
        <w:rPr>
          <w:lang w:val="en-GB"/>
        </w:rPr>
        <w:t xml:space="preserve">Table </w:t>
      </w:r>
      <w:r w:rsidRPr="005633D9">
        <w:rPr>
          <w:lang w:val="en-GB"/>
        </w:rPr>
        <w:fldChar w:fldCharType="begin"/>
      </w:r>
      <w:r w:rsidRPr="005633D9">
        <w:rPr>
          <w:lang w:val="en-GB"/>
        </w:rPr>
        <w:instrText xml:space="preserve"> STYLEREF 1 \s </w:instrText>
      </w:r>
      <w:r w:rsidRPr="005633D9">
        <w:rPr>
          <w:lang w:val="en-GB"/>
        </w:rPr>
        <w:fldChar w:fldCharType="separate"/>
      </w:r>
      <w:r w:rsidR="00F33102">
        <w:rPr>
          <w:noProof/>
          <w:lang w:val="en-GB"/>
        </w:rPr>
        <w:t>3</w:t>
      </w:r>
      <w:r w:rsidRPr="005633D9">
        <w:rPr>
          <w:lang w:val="en-GB"/>
        </w:rPr>
        <w:fldChar w:fldCharType="end"/>
      </w:r>
      <w:r w:rsidRPr="005633D9">
        <w:rPr>
          <w:lang w:val="en-GB"/>
        </w:rPr>
        <w:noBreakHyphen/>
      </w:r>
      <w:r w:rsidRPr="005633D9">
        <w:rPr>
          <w:lang w:val="en-GB"/>
        </w:rPr>
        <w:fldChar w:fldCharType="begin"/>
      </w:r>
      <w:r w:rsidRPr="005633D9">
        <w:rPr>
          <w:lang w:val="en-GB"/>
        </w:rPr>
        <w:instrText xml:space="preserve"> SEQ Table \* ARABIC \s 1 </w:instrText>
      </w:r>
      <w:r w:rsidRPr="005633D9">
        <w:rPr>
          <w:lang w:val="en-GB"/>
        </w:rPr>
        <w:fldChar w:fldCharType="separate"/>
      </w:r>
      <w:r w:rsidR="00F33102">
        <w:rPr>
          <w:noProof/>
          <w:lang w:val="en-GB"/>
        </w:rPr>
        <w:t>10</w:t>
      </w:r>
      <w:r w:rsidRPr="005633D9">
        <w:rPr>
          <w:lang w:val="en-GB"/>
        </w:rPr>
        <w:fldChar w:fldCharType="end"/>
      </w:r>
      <w:bookmarkEnd w:id="63"/>
      <w:r w:rsidRPr="005633D9">
        <w:rPr>
          <w:lang w:val="en-GB"/>
        </w:rPr>
        <w:t>.</w:t>
      </w:r>
      <w:r w:rsidRPr="005633D9">
        <w:rPr>
          <w:lang w:val="en-GB"/>
        </w:rPr>
        <w:tab/>
        <w:t xml:space="preserve">Evaluation </w:t>
      </w:r>
      <w:r w:rsidR="000A26AA" w:rsidRPr="005633D9">
        <w:rPr>
          <w:lang w:val="en-GB"/>
        </w:rPr>
        <w:t xml:space="preserve">method and outcome measures for evaluation question </w:t>
      </w:r>
      <w:r w:rsidRPr="005633D9">
        <w:rPr>
          <w:lang w:val="en-GB"/>
        </w:rPr>
        <w:t>7</w:t>
      </w:r>
      <w:bookmarkEnd w:id="64"/>
    </w:p>
    <w:tbl>
      <w:tblPr>
        <w:tblStyle w:val="Abt"/>
        <w:tblW w:w="5000" w:type="pct"/>
        <w:tblLook w:val="04A0" w:firstRow="1" w:lastRow="0" w:firstColumn="1" w:lastColumn="0" w:noHBand="0" w:noVBand="1"/>
      </w:tblPr>
      <w:tblGrid>
        <w:gridCol w:w="4437"/>
        <w:gridCol w:w="5139"/>
      </w:tblGrid>
      <w:tr w:rsidR="00A0528C" w:rsidRPr="005633D9" w:rsidTr="00A0528C">
        <w:trPr>
          <w:cnfStyle w:val="100000000000" w:firstRow="1" w:lastRow="0" w:firstColumn="0" w:lastColumn="0" w:oddVBand="0" w:evenVBand="0" w:oddHBand="0" w:evenHBand="0" w:firstRowFirstColumn="0" w:firstRowLastColumn="0" w:lastRowFirstColumn="0" w:lastRowLastColumn="0"/>
        </w:trPr>
        <w:tc>
          <w:tcPr>
            <w:tcW w:w="7277" w:type="dxa"/>
            <w:gridSpan w:val="2"/>
          </w:tcPr>
          <w:p w:rsidR="00A0528C" w:rsidRPr="005633D9" w:rsidRDefault="00A0528C" w:rsidP="00A0528C">
            <w:pPr>
              <w:pStyle w:val="ExhibitColumnHead"/>
              <w:rPr>
                <w:b/>
                <w:lang w:val="en-GB"/>
              </w:rPr>
            </w:pPr>
            <w:r w:rsidRPr="005633D9">
              <w:rPr>
                <w:b/>
                <w:lang w:val="en-GB"/>
              </w:rPr>
              <w:t>Evaluation Question 7: What lessons can be learnt about best practices in the design and implementation of</w:t>
            </w:r>
            <w:r w:rsidR="001F34B4">
              <w:rPr>
                <w:b/>
                <w:lang w:val="en-GB"/>
              </w:rPr>
              <w:t xml:space="preserve"> </w:t>
            </w:r>
            <w:r w:rsidRPr="005633D9">
              <w:rPr>
                <w:b/>
                <w:lang w:val="en-GB"/>
              </w:rPr>
              <w:t>AgResults?</w:t>
            </w:r>
          </w:p>
        </w:tc>
      </w:tr>
      <w:tr w:rsidR="00A0528C" w:rsidRPr="005633D9" w:rsidTr="00A0528C">
        <w:trPr>
          <w:cnfStyle w:val="000000100000" w:firstRow="0" w:lastRow="0" w:firstColumn="0" w:lastColumn="0" w:oddVBand="0" w:evenVBand="0" w:oddHBand="1" w:evenHBand="0" w:firstRowFirstColumn="0" w:firstRowLastColumn="0" w:lastRowFirstColumn="0" w:lastRowLastColumn="0"/>
        </w:trPr>
        <w:tc>
          <w:tcPr>
            <w:tcW w:w="3372" w:type="dxa"/>
          </w:tcPr>
          <w:p w:rsidR="00A0528C" w:rsidRPr="005633D9" w:rsidRDefault="00A0528C" w:rsidP="00A0528C">
            <w:pPr>
              <w:pStyle w:val="ExhibitColumnHead"/>
              <w:rPr>
                <w:lang w:val="en-GB"/>
              </w:rPr>
            </w:pPr>
            <w:r w:rsidRPr="005633D9">
              <w:rPr>
                <w:lang w:val="en-GB"/>
              </w:rPr>
              <w:t>Evaluation Method</w:t>
            </w:r>
          </w:p>
        </w:tc>
        <w:tc>
          <w:tcPr>
            <w:tcW w:w="3905" w:type="dxa"/>
          </w:tcPr>
          <w:p w:rsidR="00A0528C" w:rsidRPr="005633D9" w:rsidRDefault="00A0528C" w:rsidP="00A0528C">
            <w:pPr>
              <w:pStyle w:val="ExhibitColumnHead"/>
              <w:rPr>
                <w:lang w:val="en-GB"/>
              </w:rPr>
            </w:pPr>
            <w:r w:rsidRPr="005633D9">
              <w:rPr>
                <w:lang w:val="en-GB"/>
              </w:rPr>
              <w:t>Outcome Measures</w:t>
            </w:r>
          </w:p>
        </w:tc>
      </w:tr>
      <w:tr w:rsidR="00A0528C" w:rsidRPr="005633D9" w:rsidTr="00A0528C">
        <w:trPr>
          <w:cnfStyle w:val="000000010000" w:firstRow="0" w:lastRow="0" w:firstColumn="0" w:lastColumn="0" w:oddVBand="0" w:evenVBand="0" w:oddHBand="0" w:evenHBand="1" w:firstRowFirstColumn="0" w:firstRowLastColumn="0" w:lastRowFirstColumn="0" w:lastRowLastColumn="0"/>
        </w:trPr>
        <w:tc>
          <w:tcPr>
            <w:tcW w:w="3372" w:type="dxa"/>
          </w:tcPr>
          <w:p w:rsidR="00A0528C" w:rsidRPr="005633D9" w:rsidRDefault="00A0528C" w:rsidP="00537FE4">
            <w:pPr>
              <w:pStyle w:val="ExhibitTextBullets"/>
              <w:rPr>
                <w:lang w:val="en-GB"/>
              </w:rPr>
            </w:pPr>
            <w:r w:rsidRPr="005633D9">
              <w:rPr>
                <w:lang w:val="en-GB"/>
              </w:rPr>
              <w:t xml:space="preserve">Process evaluation </w:t>
            </w:r>
          </w:p>
          <w:p w:rsidR="00A0528C" w:rsidRPr="005633D9" w:rsidRDefault="00A0528C" w:rsidP="00537FE4">
            <w:pPr>
              <w:pStyle w:val="ExhibitTextBullets"/>
              <w:rPr>
                <w:lang w:val="en-GB"/>
              </w:rPr>
            </w:pPr>
            <w:r w:rsidRPr="005633D9">
              <w:rPr>
                <w:lang w:val="en-GB"/>
              </w:rPr>
              <w:t>Implementation fidelity analysis</w:t>
            </w:r>
          </w:p>
        </w:tc>
        <w:tc>
          <w:tcPr>
            <w:tcW w:w="3905" w:type="dxa"/>
          </w:tcPr>
          <w:p w:rsidR="00A0528C" w:rsidRPr="005633D9" w:rsidRDefault="00B748BA" w:rsidP="009E7A2D">
            <w:pPr>
              <w:pStyle w:val="ExhibitTextBullets"/>
              <w:rPr>
                <w:lang w:val="en-GB"/>
              </w:rPr>
            </w:pPr>
            <w:r>
              <w:rPr>
                <w:lang w:val="en-GB"/>
              </w:rPr>
              <w:t xml:space="preserve">Perception of the </w:t>
            </w:r>
            <w:r w:rsidR="00A0528C" w:rsidRPr="005633D9">
              <w:rPr>
                <w:lang w:val="en-GB"/>
              </w:rPr>
              <w:t xml:space="preserve">Secretariat, </w:t>
            </w:r>
            <w:r w:rsidR="00317A6E">
              <w:rPr>
                <w:lang w:val="en-GB"/>
              </w:rPr>
              <w:t>P</w:t>
            </w:r>
            <w:r w:rsidR="00A0528C" w:rsidRPr="005633D9">
              <w:rPr>
                <w:lang w:val="en-GB"/>
              </w:rPr>
              <w:t xml:space="preserve">ilot </w:t>
            </w:r>
            <w:r w:rsidR="00317A6E">
              <w:rPr>
                <w:lang w:val="en-GB"/>
              </w:rPr>
              <w:t>M</w:t>
            </w:r>
            <w:r w:rsidR="00A0528C" w:rsidRPr="005633D9">
              <w:rPr>
                <w:lang w:val="en-GB"/>
              </w:rPr>
              <w:t>anager, aggregators, verifiers, and farmers of the pilot implementation and it</w:t>
            </w:r>
            <w:r w:rsidR="00A24FAE">
              <w:rPr>
                <w:lang w:val="en-GB"/>
              </w:rPr>
              <w:t>s</w:t>
            </w:r>
            <w:r w:rsidR="00A0528C" w:rsidRPr="005633D9">
              <w:rPr>
                <w:lang w:val="en-GB"/>
              </w:rPr>
              <w:t xml:space="preserve"> evolution from its original design</w:t>
            </w:r>
          </w:p>
          <w:p w:rsidR="00A0528C" w:rsidRPr="005633D9" w:rsidRDefault="00B748BA" w:rsidP="00DB2114">
            <w:pPr>
              <w:pStyle w:val="ExhibitTextBullets"/>
              <w:rPr>
                <w:lang w:val="en-GB"/>
              </w:rPr>
            </w:pPr>
            <w:r>
              <w:rPr>
                <w:lang w:val="en-GB"/>
              </w:rPr>
              <w:t xml:space="preserve">Perception of the </w:t>
            </w:r>
            <w:r w:rsidR="00A0528C" w:rsidRPr="005633D9">
              <w:rPr>
                <w:lang w:val="en-GB"/>
              </w:rPr>
              <w:t xml:space="preserve">Secretariat, </w:t>
            </w:r>
            <w:r w:rsidR="00317A6E">
              <w:rPr>
                <w:lang w:val="en-GB"/>
              </w:rPr>
              <w:t>P</w:t>
            </w:r>
            <w:r w:rsidR="00A0528C" w:rsidRPr="005633D9">
              <w:rPr>
                <w:lang w:val="en-GB"/>
              </w:rPr>
              <w:t xml:space="preserve">ilot </w:t>
            </w:r>
            <w:r w:rsidR="00317A6E">
              <w:rPr>
                <w:lang w:val="en-GB"/>
              </w:rPr>
              <w:t>M</w:t>
            </w:r>
            <w:r w:rsidR="00A0528C" w:rsidRPr="005633D9">
              <w:rPr>
                <w:lang w:val="en-GB"/>
              </w:rPr>
              <w:t xml:space="preserve">anager, aggregators, verifiers, and farmers about the success of the pilot in achieving each objective—smallholder impact, awareness generation among value chain actors, creation of markets for aflatoxin-free maize, addressing key market failures—and the best practices and/or lessons learnt </w:t>
            </w:r>
          </w:p>
          <w:p w:rsidR="00A0528C" w:rsidRPr="005633D9" w:rsidRDefault="00A0528C" w:rsidP="00DB4EEE">
            <w:pPr>
              <w:pStyle w:val="ExhibitTextBullets"/>
              <w:rPr>
                <w:lang w:val="en-GB"/>
              </w:rPr>
            </w:pPr>
            <w:r w:rsidRPr="005633D9">
              <w:rPr>
                <w:lang w:val="en-GB"/>
              </w:rPr>
              <w:t xml:space="preserve">Conditions of success for implementing this pilot in another geographical area or context </w:t>
            </w:r>
          </w:p>
        </w:tc>
      </w:tr>
    </w:tbl>
    <w:p w:rsidR="00BF086B" w:rsidRPr="005633D9" w:rsidRDefault="00BF086B" w:rsidP="00D920FA">
      <w:pPr>
        <w:pStyle w:val="Spacer"/>
      </w:pPr>
    </w:p>
    <w:p w:rsidR="00E7173F" w:rsidRPr="005633D9" w:rsidRDefault="00E7173F" w:rsidP="00E7173F">
      <w:pPr>
        <w:pStyle w:val="Heading1"/>
        <w:rPr>
          <w:noProof w:val="0"/>
          <w:lang w:val="en-GB"/>
        </w:rPr>
      </w:pPr>
      <w:bookmarkStart w:id="65" w:name="_Toc407700418"/>
      <w:r w:rsidRPr="005633D9">
        <w:rPr>
          <w:noProof w:val="0"/>
          <w:lang w:val="en-GB"/>
        </w:rPr>
        <w:lastRenderedPageBreak/>
        <w:t>Implementation</w:t>
      </w:r>
      <w:r w:rsidR="00AB2378" w:rsidRPr="005633D9">
        <w:rPr>
          <w:noProof w:val="0"/>
          <w:lang w:val="en-GB"/>
        </w:rPr>
        <w:t xml:space="preserve"> </w:t>
      </w:r>
      <w:r w:rsidR="000A26AA" w:rsidRPr="005633D9">
        <w:rPr>
          <w:noProof w:val="0"/>
          <w:lang w:val="en-GB"/>
        </w:rPr>
        <w:t>timeline and other considerations</w:t>
      </w:r>
      <w:bookmarkEnd w:id="65"/>
    </w:p>
    <w:p w:rsidR="008F64B0" w:rsidRPr="005633D9" w:rsidRDefault="008F64B0" w:rsidP="008F64B0">
      <w:pPr>
        <w:pStyle w:val="Heading2"/>
        <w:spacing w:after="120"/>
        <w:rPr>
          <w:lang w:val="en-GB"/>
        </w:rPr>
      </w:pPr>
      <w:bookmarkStart w:id="66" w:name="_Toc407700419"/>
      <w:r w:rsidRPr="005633D9">
        <w:rPr>
          <w:lang w:val="en-GB"/>
        </w:rPr>
        <w:t xml:space="preserve">Implementation </w:t>
      </w:r>
      <w:r w:rsidR="000A26AA" w:rsidRPr="005633D9">
        <w:rPr>
          <w:lang w:val="en-GB"/>
        </w:rPr>
        <w:t>timeline</w:t>
      </w:r>
      <w:bookmarkEnd w:id="66"/>
    </w:p>
    <w:p w:rsidR="008F64B0" w:rsidRPr="005633D9" w:rsidRDefault="008F64B0" w:rsidP="008F64B0">
      <w:pPr>
        <w:pStyle w:val="BodyText"/>
        <w:rPr>
          <w:szCs w:val="24"/>
        </w:rPr>
      </w:pPr>
      <w:r w:rsidRPr="005633D9">
        <w:t xml:space="preserve">Our approach to implementing the evaluation of AgResults consists of collecting baseline and endline data in order to assess the impacts of the pilot. </w:t>
      </w:r>
      <w:r w:rsidRPr="005633D9">
        <w:rPr>
          <w:szCs w:val="24"/>
        </w:rPr>
        <w:t>For both baseline and endline data collection, it is crucial to identify the ideal timing of data collection, which depends largely on the planting and harvest seasons. In order for the data collection to be most effective, there must be enough time to collect information on the entire maize harvesting, storage</w:t>
      </w:r>
      <w:r w:rsidR="00C55A48" w:rsidRPr="005633D9">
        <w:rPr>
          <w:szCs w:val="24"/>
        </w:rPr>
        <w:t>,</w:t>
      </w:r>
      <w:r w:rsidRPr="005633D9">
        <w:rPr>
          <w:szCs w:val="24"/>
        </w:rPr>
        <w:t xml:space="preserve"> and marketing process. The evaluation team has determined that </w:t>
      </w:r>
      <w:r w:rsidR="00C55A48" w:rsidRPr="005633D9">
        <w:rPr>
          <w:szCs w:val="24"/>
        </w:rPr>
        <w:t>one to two</w:t>
      </w:r>
      <w:r w:rsidRPr="005633D9">
        <w:rPr>
          <w:szCs w:val="24"/>
        </w:rPr>
        <w:t xml:space="preserve"> months would be a sufficient amount of time for farmers to harvest, process</w:t>
      </w:r>
      <w:r w:rsidR="00C55A48" w:rsidRPr="005633D9">
        <w:rPr>
          <w:szCs w:val="24"/>
        </w:rPr>
        <w:t>,</w:t>
      </w:r>
      <w:r w:rsidRPr="005633D9">
        <w:rPr>
          <w:szCs w:val="24"/>
        </w:rPr>
        <w:t xml:space="preserve"> and market their maize and also allows enough time for storage quality to be assessed. </w:t>
      </w:r>
    </w:p>
    <w:p w:rsidR="008F64B0" w:rsidRPr="005633D9" w:rsidRDefault="008F64B0" w:rsidP="008C360D">
      <w:pPr>
        <w:pStyle w:val="BodyText"/>
      </w:pPr>
      <w:r w:rsidRPr="005633D9">
        <w:t>However, after that point is reached, other fa</w:t>
      </w:r>
      <w:r w:rsidR="00661CFD" w:rsidRPr="005633D9">
        <w:t>ctors create the need for rapid</w:t>
      </w:r>
      <w:r w:rsidRPr="005633D9">
        <w:t xml:space="preserve"> data collection: we want to minimize recall problems regarding events that have occurred over the previous season, especially regarding preparation, plan</w:t>
      </w:r>
      <w:r w:rsidR="00661CFD" w:rsidRPr="005633D9">
        <w:t>t</w:t>
      </w:r>
      <w:r w:rsidRPr="005633D9">
        <w:t xml:space="preserve">ing, and in-field tending of crops </w:t>
      </w:r>
      <w:r w:rsidR="00661CFD" w:rsidRPr="005633D9">
        <w:t xml:space="preserve">at early stages of the season. </w:t>
      </w:r>
      <w:r w:rsidRPr="005633D9">
        <w:t xml:space="preserve">We </w:t>
      </w:r>
      <w:r w:rsidR="00C55A48" w:rsidRPr="005633D9">
        <w:t xml:space="preserve">will </w:t>
      </w:r>
      <w:r w:rsidRPr="005633D9">
        <w:t>also ensure that data collection occurs before AgResults intervention activities begin each year in the spring (April-May). Furthermore, we also want to avoid conducting the survey too close to the preparation and/or planting season so that we do</w:t>
      </w:r>
      <w:r w:rsidR="00C55A48" w:rsidRPr="005633D9">
        <w:t xml:space="preserve"> </w:t>
      </w:r>
      <w:r w:rsidRPr="005633D9">
        <w:t>n</w:t>
      </w:r>
      <w:r w:rsidR="00C55A48" w:rsidRPr="005633D9">
        <w:t>o</w:t>
      </w:r>
      <w:r w:rsidRPr="005633D9">
        <w:t>t interfere with pilot implementation and farmers have the time available to answer all survey questions.</w:t>
      </w:r>
      <w:r w:rsidR="00661CFD" w:rsidRPr="005633D9">
        <w:t xml:space="preserve"> </w:t>
      </w:r>
      <w:r w:rsidRPr="005633D9">
        <w:t xml:space="preserve">Most of the </w:t>
      </w:r>
      <w:r w:rsidR="00F93043">
        <w:t>aggregator</w:t>
      </w:r>
      <w:r w:rsidRPr="005633D9">
        <w:t xml:space="preserve">s have indicated that their farmers’ villages typically harvest their crop between October and December. The majority of sales occur between November and </w:t>
      </w:r>
      <w:r w:rsidR="005C6021" w:rsidRPr="005633D9">
        <w:t>February</w:t>
      </w:r>
      <w:r w:rsidRPr="005633D9">
        <w:t>.</w:t>
      </w:r>
      <w:r w:rsidR="008C360D" w:rsidRPr="005633D9">
        <w:t xml:space="preserve"> </w:t>
      </w:r>
      <w:r w:rsidR="00785E2D" w:rsidRPr="005633D9">
        <w:t>Therefore</w:t>
      </w:r>
      <w:r w:rsidR="005C6021">
        <w:t>,</w:t>
      </w:r>
      <w:r w:rsidR="00785E2D" w:rsidRPr="005633D9">
        <w:t xml:space="preserve"> a good window for data collection is January to March</w:t>
      </w:r>
      <w:r w:rsidR="00B065A0" w:rsidRPr="005633D9">
        <w:t xml:space="preserve">, with data collection beginning in areas with </w:t>
      </w:r>
      <w:r w:rsidR="00B47812">
        <w:t xml:space="preserve">an </w:t>
      </w:r>
      <w:r w:rsidR="00B065A0" w:rsidRPr="005633D9">
        <w:t xml:space="preserve">early planting season and moving to areas with </w:t>
      </w:r>
      <w:r w:rsidR="00B47812">
        <w:t xml:space="preserve">a </w:t>
      </w:r>
      <w:r w:rsidR="00B065A0" w:rsidRPr="005633D9">
        <w:t>later planting season so that there is no risk of implementation activities beginning</w:t>
      </w:r>
      <w:r w:rsidR="00785E2D" w:rsidRPr="005633D9">
        <w:t xml:space="preserve">. </w:t>
      </w:r>
      <w:r w:rsidR="00B065A0" w:rsidRPr="005633D9">
        <w:t xml:space="preserve">As noted above, Abt had initiated a baseline in 2014 before Cohort A implementation began but had to terminate that effort because of data quality concerns. </w:t>
      </w:r>
      <w:r w:rsidR="008C360D" w:rsidRPr="005633D9">
        <w:t xml:space="preserve">For the </w:t>
      </w:r>
      <w:r w:rsidR="00785E2D" w:rsidRPr="005633D9">
        <w:t xml:space="preserve">planned </w:t>
      </w:r>
      <w:r w:rsidR="008C360D" w:rsidRPr="005633D9">
        <w:t xml:space="preserve">baseline </w:t>
      </w:r>
      <w:r w:rsidR="00785E2D" w:rsidRPr="005633D9">
        <w:t>in 2015 before Cohort B implementation begins</w:t>
      </w:r>
      <w:r w:rsidR="008C360D" w:rsidRPr="005633D9">
        <w:t xml:space="preserve">, we </w:t>
      </w:r>
      <w:r w:rsidR="00785E2D" w:rsidRPr="005633D9">
        <w:t>also have to take into account</w:t>
      </w:r>
      <w:r w:rsidR="008C360D" w:rsidRPr="005633D9">
        <w:t xml:space="preserve"> presidential and local elections in February 2015</w:t>
      </w:r>
      <w:r w:rsidR="00785E2D" w:rsidRPr="005633D9">
        <w:t>, which will</w:t>
      </w:r>
      <w:r w:rsidR="008C360D" w:rsidRPr="005633D9">
        <w:t xml:space="preserve"> limit our abil</w:t>
      </w:r>
      <w:r w:rsidR="005C6021">
        <w:t>i</w:t>
      </w:r>
      <w:r w:rsidR="008C360D" w:rsidRPr="005633D9">
        <w:t>ty to collect data at that time. Therefore, taking into account all aspects</w:t>
      </w:r>
      <w:r w:rsidRPr="005633D9">
        <w:t xml:space="preserve">, we have identified </w:t>
      </w:r>
      <w:r w:rsidR="008C360D" w:rsidRPr="005633D9">
        <w:t xml:space="preserve">March </w:t>
      </w:r>
      <w:r w:rsidRPr="005633D9">
        <w:t>as the best time to conduct the baseline and endline surveys</w:t>
      </w:r>
      <w:r w:rsidR="008C360D" w:rsidRPr="005633D9">
        <w:t>, with in-field survey preparation work beginning in Jan</w:t>
      </w:r>
      <w:r w:rsidR="00B47812">
        <w:t>u</w:t>
      </w:r>
      <w:r w:rsidR="008C360D" w:rsidRPr="005633D9">
        <w:t>ary</w:t>
      </w:r>
      <w:r w:rsidRPr="005633D9">
        <w:t xml:space="preserve">. Under this timeframe </w:t>
      </w:r>
      <w:r w:rsidR="00C64889">
        <w:t xml:space="preserve">(see </w:t>
      </w:r>
      <w:r w:rsidR="00C64889">
        <w:fldChar w:fldCharType="begin"/>
      </w:r>
      <w:r w:rsidR="00C64889">
        <w:instrText xml:space="preserve"> REF _Ref403475226 \h </w:instrText>
      </w:r>
      <w:r w:rsidR="00C64889">
        <w:fldChar w:fldCharType="separate"/>
      </w:r>
      <w:r w:rsidR="00C64889" w:rsidRPr="005633D9">
        <w:t xml:space="preserve">Figure </w:t>
      </w:r>
      <w:r w:rsidR="00C64889">
        <w:rPr>
          <w:noProof/>
        </w:rPr>
        <w:t>4</w:t>
      </w:r>
      <w:r w:rsidR="00C64889" w:rsidRPr="005633D9">
        <w:noBreakHyphen/>
      </w:r>
      <w:r w:rsidR="00C64889">
        <w:rPr>
          <w:noProof/>
        </w:rPr>
        <w:t>1</w:t>
      </w:r>
      <w:r w:rsidR="00C64889">
        <w:fldChar w:fldCharType="end"/>
      </w:r>
      <w:r w:rsidR="00C64889">
        <w:t xml:space="preserve">) </w:t>
      </w:r>
      <w:r w:rsidRPr="005633D9">
        <w:t>we will be able to capture more accurate sales and harvest data, without encroaching on preparation act</w:t>
      </w:r>
      <w:r w:rsidR="00C55A48" w:rsidRPr="005633D9">
        <w:t>i</w:t>
      </w:r>
      <w:r w:rsidRPr="005633D9">
        <w:t>vities for the upcoming season</w:t>
      </w:r>
      <w:r w:rsidR="00B47812">
        <w:t>,</w:t>
      </w:r>
      <w:r w:rsidR="008C360D" w:rsidRPr="005633D9">
        <w:t xml:space="preserve"> and </w:t>
      </w:r>
      <w:r w:rsidR="00B47812">
        <w:t xml:space="preserve">we will </w:t>
      </w:r>
      <w:r w:rsidR="008C360D" w:rsidRPr="005633D9">
        <w:t xml:space="preserve">avoid </w:t>
      </w:r>
      <w:r w:rsidR="00785E2D" w:rsidRPr="005633D9">
        <w:t>collecting data during</w:t>
      </w:r>
      <w:r w:rsidR="008C360D" w:rsidRPr="005633D9">
        <w:t xml:space="preserve"> election time</w:t>
      </w:r>
      <w:r w:rsidRPr="005633D9">
        <w:t>.</w:t>
      </w:r>
      <w:r w:rsidR="00B065A0" w:rsidRPr="005633D9">
        <w:t xml:space="preserve"> </w:t>
      </w:r>
    </w:p>
    <w:p w:rsidR="008F64B0" w:rsidRPr="005633D9" w:rsidRDefault="008F64B0" w:rsidP="00C55A48">
      <w:pPr>
        <w:pStyle w:val="BodyText"/>
      </w:pPr>
      <w:r w:rsidRPr="005633D9">
        <w:t>When implementing the endline data collection, we intend to follow the same seasonal timing as the baseline survey in order to maximize the comparability of the data and mitigate any potential bias created by collecting data at different points in the harvest season.</w:t>
      </w:r>
    </w:p>
    <w:p w:rsidR="008F64B0" w:rsidRPr="005633D9" w:rsidRDefault="00565241" w:rsidP="00565241">
      <w:pPr>
        <w:pStyle w:val="Caption"/>
        <w:rPr>
          <w:szCs w:val="24"/>
          <w:lang w:val="en-GB"/>
        </w:rPr>
      </w:pPr>
      <w:bookmarkStart w:id="67" w:name="_Ref403475226"/>
      <w:bookmarkStart w:id="68" w:name="_Toc407700447"/>
      <w:r w:rsidRPr="005633D9">
        <w:rPr>
          <w:lang w:val="en-GB"/>
        </w:rPr>
        <w:lastRenderedPageBreak/>
        <w:t xml:space="preserve">Figure </w:t>
      </w:r>
      <w:r w:rsidRPr="005633D9">
        <w:rPr>
          <w:lang w:val="en-GB"/>
        </w:rPr>
        <w:fldChar w:fldCharType="begin"/>
      </w:r>
      <w:r w:rsidRPr="005633D9">
        <w:rPr>
          <w:lang w:val="en-GB"/>
        </w:rPr>
        <w:instrText xml:space="preserve"> STYLEREF 1 \s </w:instrText>
      </w:r>
      <w:r w:rsidRPr="005633D9">
        <w:rPr>
          <w:lang w:val="en-GB"/>
        </w:rPr>
        <w:fldChar w:fldCharType="separate"/>
      </w:r>
      <w:r w:rsidR="00F33102">
        <w:rPr>
          <w:noProof/>
          <w:lang w:val="en-GB"/>
        </w:rPr>
        <w:t>4</w:t>
      </w:r>
      <w:r w:rsidRPr="005633D9">
        <w:rPr>
          <w:lang w:val="en-GB"/>
        </w:rPr>
        <w:fldChar w:fldCharType="end"/>
      </w:r>
      <w:r w:rsidRPr="005633D9">
        <w:rPr>
          <w:lang w:val="en-GB"/>
        </w:rPr>
        <w:noBreakHyphen/>
      </w:r>
      <w:r w:rsidRPr="005633D9">
        <w:rPr>
          <w:lang w:val="en-GB"/>
        </w:rPr>
        <w:fldChar w:fldCharType="begin"/>
      </w:r>
      <w:r w:rsidRPr="005633D9">
        <w:rPr>
          <w:lang w:val="en-GB"/>
        </w:rPr>
        <w:instrText xml:space="preserve"> SEQ Figure \* ARABIC \s 1 </w:instrText>
      </w:r>
      <w:r w:rsidRPr="005633D9">
        <w:rPr>
          <w:lang w:val="en-GB"/>
        </w:rPr>
        <w:fldChar w:fldCharType="separate"/>
      </w:r>
      <w:r w:rsidR="00F33102">
        <w:rPr>
          <w:noProof/>
          <w:lang w:val="en-GB"/>
        </w:rPr>
        <w:t>1</w:t>
      </w:r>
      <w:r w:rsidRPr="005633D9">
        <w:rPr>
          <w:lang w:val="en-GB"/>
        </w:rPr>
        <w:fldChar w:fldCharType="end"/>
      </w:r>
      <w:bookmarkEnd w:id="67"/>
      <w:r w:rsidRPr="005633D9">
        <w:rPr>
          <w:lang w:val="en-GB"/>
        </w:rPr>
        <w:t>.</w:t>
      </w:r>
      <w:r w:rsidR="00CA29EC" w:rsidRPr="005633D9">
        <w:rPr>
          <w:lang w:val="en-GB"/>
        </w:rPr>
        <w:tab/>
      </w:r>
      <w:r w:rsidR="00C55A48" w:rsidRPr="005633D9">
        <w:rPr>
          <w:lang w:val="en-GB"/>
        </w:rPr>
        <w:t xml:space="preserve">Northern Nigeria </w:t>
      </w:r>
      <w:r w:rsidR="000A26AA" w:rsidRPr="005633D9">
        <w:rPr>
          <w:lang w:val="en-GB"/>
        </w:rPr>
        <w:t>planting and harvesting cycle</w:t>
      </w:r>
      <w:bookmarkEnd w:id="68"/>
    </w:p>
    <w:p w:rsidR="008F64B0" w:rsidRPr="005633D9" w:rsidRDefault="00756844" w:rsidP="008F64B0">
      <w:pPr>
        <w:jc w:val="center"/>
        <w:rPr>
          <w:szCs w:val="24"/>
          <w:lang w:val="en-GB"/>
        </w:rPr>
      </w:pPr>
      <w:r w:rsidRPr="005633D9">
        <w:rPr>
          <w:noProof/>
          <w:szCs w:val="24"/>
        </w:rPr>
        <w:drawing>
          <wp:inline distT="0" distB="0" distL="0" distR="0" wp14:anchorId="79F58033" wp14:editId="5A442DB8">
            <wp:extent cx="5943600" cy="2212286"/>
            <wp:effectExtent l="0" t="0" r="0" b="0"/>
            <wp:docPr id="1" name="Picture 1" descr="C:\Users\narayant\AppData\Local\Microsoft\Windows\Temporary Internet Files\Content.Outlook\VBT1DFG2\harvest timeline_nigeri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narayant\AppData\Local\Microsoft\Windows\Temporary Internet Files\Content.Outlook\VBT1DFG2\harvest timeline_nigeria.jp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943600" cy="2212286"/>
                    </a:xfrm>
                    <a:prstGeom prst="rect">
                      <a:avLst/>
                    </a:prstGeom>
                    <a:noFill/>
                    <a:ln>
                      <a:noFill/>
                    </a:ln>
                  </pic:spPr>
                </pic:pic>
              </a:graphicData>
            </a:graphic>
          </wp:inline>
        </w:drawing>
      </w:r>
    </w:p>
    <w:p w:rsidR="008F64B0" w:rsidRPr="005633D9" w:rsidRDefault="00D60AE2" w:rsidP="008F64B0">
      <w:pPr>
        <w:rPr>
          <w:szCs w:val="24"/>
          <w:lang w:val="en-GB"/>
        </w:rPr>
      </w:pPr>
      <w:r w:rsidRPr="005633D9">
        <w:rPr>
          <w:szCs w:val="24"/>
          <w:lang w:val="en-GB"/>
        </w:rPr>
        <w:t>The timing of the q</w:t>
      </w:r>
      <w:r w:rsidR="008F64B0" w:rsidRPr="005633D9">
        <w:rPr>
          <w:szCs w:val="24"/>
          <w:lang w:val="en-GB"/>
        </w:rPr>
        <w:t>ualitative baseline data collection on general market conditions need</w:t>
      </w:r>
      <w:r w:rsidRPr="005633D9">
        <w:rPr>
          <w:szCs w:val="24"/>
          <w:lang w:val="en-GB"/>
        </w:rPr>
        <w:t>s</w:t>
      </w:r>
      <w:r w:rsidR="008F64B0" w:rsidRPr="005633D9">
        <w:rPr>
          <w:szCs w:val="24"/>
          <w:lang w:val="en-GB"/>
        </w:rPr>
        <w:t xml:space="preserve"> </w:t>
      </w:r>
      <w:r w:rsidRPr="005633D9">
        <w:rPr>
          <w:szCs w:val="24"/>
          <w:lang w:val="en-GB"/>
        </w:rPr>
        <w:t>to</w:t>
      </w:r>
      <w:r w:rsidR="008F64B0" w:rsidRPr="005633D9">
        <w:rPr>
          <w:szCs w:val="24"/>
          <w:lang w:val="en-GB"/>
        </w:rPr>
        <w:t xml:space="preserve"> precede the time when pilot activities might impact the different market players and data sources consulted</w:t>
      </w:r>
      <w:r w:rsidRPr="005633D9">
        <w:rPr>
          <w:szCs w:val="24"/>
          <w:lang w:val="en-GB"/>
        </w:rPr>
        <w:t>, but does not have to be as precisely timed as the quantitative</w:t>
      </w:r>
      <w:r w:rsidR="003C3A44">
        <w:rPr>
          <w:szCs w:val="24"/>
          <w:lang w:val="en-GB"/>
        </w:rPr>
        <w:t xml:space="preserve"> data collection</w:t>
      </w:r>
      <w:r w:rsidR="008F64B0" w:rsidRPr="005633D9">
        <w:rPr>
          <w:szCs w:val="24"/>
          <w:lang w:val="en-GB"/>
        </w:rPr>
        <w:t>.</w:t>
      </w:r>
      <w:r w:rsidR="00243735" w:rsidRPr="005633D9">
        <w:rPr>
          <w:szCs w:val="24"/>
          <w:lang w:val="en-GB"/>
        </w:rPr>
        <w:t xml:space="preserve"> </w:t>
      </w:r>
      <w:r w:rsidR="008F64B0" w:rsidRPr="005633D9">
        <w:rPr>
          <w:szCs w:val="24"/>
          <w:lang w:val="en-GB"/>
        </w:rPr>
        <w:t>As of October 2014, the evaluation team has already fin</w:t>
      </w:r>
      <w:r w:rsidR="003C3A44">
        <w:rPr>
          <w:szCs w:val="24"/>
          <w:lang w:val="en-GB"/>
        </w:rPr>
        <w:t>i</w:t>
      </w:r>
      <w:r w:rsidR="008F64B0" w:rsidRPr="005633D9">
        <w:rPr>
          <w:szCs w:val="24"/>
          <w:lang w:val="en-GB"/>
        </w:rPr>
        <w:t>shed the Initial Qualitative Asses</w:t>
      </w:r>
      <w:r w:rsidR="003C3A44">
        <w:rPr>
          <w:szCs w:val="24"/>
          <w:lang w:val="en-GB"/>
        </w:rPr>
        <w:t>s</w:t>
      </w:r>
      <w:r w:rsidR="008F64B0" w:rsidRPr="005633D9">
        <w:rPr>
          <w:szCs w:val="24"/>
          <w:lang w:val="en-GB"/>
        </w:rPr>
        <w:t>ment (IQA)</w:t>
      </w:r>
      <w:r w:rsidRPr="005633D9">
        <w:rPr>
          <w:szCs w:val="24"/>
          <w:lang w:val="en-GB"/>
        </w:rPr>
        <w:t>, gathered some baseline qualitative data</w:t>
      </w:r>
      <w:r w:rsidR="003C3A44">
        <w:rPr>
          <w:szCs w:val="24"/>
          <w:lang w:val="en-GB"/>
        </w:rPr>
        <w:t>,</w:t>
      </w:r>
      <w:r w:rsidR="008F64B0" w:rsidRPr="005633D9">
        <w:rPr>
          <w:szCs w:val="24"/>
          <w:lang w:val="en-GB"/>
        </w:rPr>
        <w:t xml:space="preserve"> and conducted two evaluation workshops with key stakeholders. </w:t>
      </w:r>
    </w:p>
    <w:p w:rsidR="008F64B0" w:rsidRPr="005633D9" w:rsidRDefault="008F64B0" w:rsidP="008F64B0">
      <w:pPr>
        <w:rPr>
          <w:szCs w:val="24"/>
          <w:lang w:val="en-GB"/>
        </w:rPr>
      </w:pPr>
      <w:r w:rsidRPr="005633D9">
        <w:rPr>
          <w:szCs w:val="24"/>
          <w:lang w:val="en-GB"/>
        </w:rPr>
        <w:t xml:space="preserve">These two activities have allowed the market context and planned pilot implementation approach to inform decisions about evaluation design. The evaluation team has scheduled design workshop #3 as well as a smallholder survey instrument pretest in </w:t>
      </w:r>
      <w:r w:rsidR="00B065A0" w:rsidRPr="005633D9">
        <w:rPr>
          <w:szCs w:val="24"/>
          <w:lang w:val="en-GB"/>
        </w:rPr>
        <w:t>January</w:t>
      </w:r>
      <w:r w:rsidRPr="005633D9">
        <w:rPr>
          <w:szCs w:val="24"/>
          <w:lang w:val="en-GB"/>
        </w:rPr>
        <w:t xml:space="preserve"> 2015—before baseline data collection commences—in order to finalize randomization strategies with the </w:t>
      </w:r>
      <w:r w:rsidR="00F93043">
        <w:rPr>
          <w:szCs w:val="24"/>
          <w:lang w:val="en-GB"/>
        </w:rPr>
        <w:t>aggregator</w:t>
      </w:r>
      <w:r w:rsidRPr="005633D9">
        <w:rPr>
          <w:szCs w:val="24"/>
          <w:lang w:val="en-GB"/>
        </w:rPr>
        <w:t xml:space="preserve">s and to test the survey instrument’s ability to collect </w:t>
      </w:r>
      <w:r w:rsidR="00661CFD" w:rsidRPr="005633D9">
        <w:rPr>
          <w:szCs w:val="24"/>
          <w:lang w:val="en-GB"/>
        </w:rPr>
        <w:t>the required</w:t>
      </w:r>
      <w:r w:rsidRPr="005633D9">
        <w:rPr>
          <w:szCs w:val="24"/>
          <w:lang w:val="en-GB"/>
        </w:rPr>
        <w:t xml:space="preserve"> information. </w:t>
      </w:r>
      <w:r w:rsidR="00756844" w:rsidRPr="005633D9">
        <w:rPr>
          <w:lang w:val="en-GB"/>
        </w:rPr>
        <w:t>This is the earliest dat</w:t>
      </w:r>
      <w:r w:rsidR="003C3A44">
        <w:rPr>
          <w:lang w:val="en-GB"/>
        </w:rPr>
        <w:t>e</w:t>
      </w:r>
      <w:r w:rsidR="00756844" w:rsidRPr="005633D9">
        <w:rPr>
          <w:lang w:val="en-GB"/>
        </w:rPr>
        <w:t xml:space="preserve"> feasible because these workshops are not during harvest time</w:t>
      </w:r>
      <w:r w:rsidR="003C3A44">
        <w:rPr>
          <w:lang w:val="en-GB"/>
        </w:rPr>
        <w:t>,</w:t>
      </w:r>
      <w:r w:rsidR="00756844" w:rsidRPr="005633D9">
        <w:rPr>
          <w:lang w:val="en-GB"/>
        </w:rPr>
        <w:t xml:space="preserve"> which continues until end of December. </w:t>
      </w:r>
      <w:r w:rsidRPr="005633D9">
        <w:rPr>
          <w:szCs w:val="24"/>
          <w:lang w:val="en-GB"/>
        </w:rPr>
        <w:t>The following sections describe the key activ</w:t>
      </w:r>
      <w:r w:rsidR="003C3A44">
        <w:rPr>
          <w:szCs w:val="24"/>
          <w:lang w:val="en-GB"/>
        </w:rPr>
        <w:t>i</w:t>
      </w:r>
      <w:r w:rsidRPr="005633D9">
        <w:rPr>
          <w:szCs w:val="24"/>
          <w:lang w:val="en-GB"/>
        </w:rPr>
        <w:t xml:space="preserve">ties leading up to these baseline data collection activities and give an overview of the expected timeline for implementing subsequent qualitative and quantitative data collection for the evaluation. </w:t>
      </w:r>
    </w:p>
    <w:p w:rsidR="008F64B0" w:rsidRPr="005633D9" w:rsidRDefault="008F64B0" w:rsidP="000A26AA">
      <w:pPr>
        <w:pStyle w:val="Heading3"/>
        <w:rPr>
          <w:lang w:val="en-GB"/>
        </w:rPr>
      </w:pPr>
      <w:r w:rsidRPr="005633D9">
        <w:rPr>
          <w:lang w:val="en-GB"/>
        </w:rPr>
        <w:t>Initial qualitative assessment</w:t>
      </w:r>
    </w:p>
    <w:p w:rsidR="008F64B0" w:rsidRPr="005633D9" w:rsidRDefault="008F64B0" w:rsidP="008F64B0">
      <w:pPr>
        <w:pStyle w:val="BodyText"/>
      </w:pPr>
      <w:r w:rsidRPr="005633D9">
        <w:t xml:space="preserve">The evaluation team’s Qualitative Specialist </w:t>
      </w:r>
      <w:r w:rsidR="00565241" w:rsidRPr="005633D9">
        <w:t xml:space="preserve">conducted the first phase of the IQA </w:t>
      </w:r>
      <w:r w:rsidRPr="005633D9">
        <w:t>in September 2013. The IQA informed the evaluation design by assessing market conditions, characterizing the maize value chain, interviewing stakeholders</w:t>
      </w:r>
      <w:r w:rsidR="00565241" w:rsidRPr="005633D9">
        <w:t>,</w:t>
      </w:r>
      <w:r w:rsidRPr="005633D9">
        <w:t xml:space="preserve"> establishing key dates </w:t>
      </w:r>
      <w:r w:rsidR="00565241" w:rsidRPr="005633D9">
        <w:t xml:space="preserve">such as </w:t>
      </w:r>
      <w:r w:rsidRPr="005633D9">
        <w:t>harvest times</w:t>
      </w:r>
      <w:r w:rsidR="009244B9">
        <w:t>,</w:t>
      </w:r>
      <w:r w:rsidR="00F57DCC" w:rsidRPr="005633D9">
        <w:t xml:space="preserve"> and characterizing the </w:t>
      </w:r>
      <w:r w:rsidR="00E963A8">
        <w:t>planting and harvesting cycle</w:t>
      </w:r>
      <w:r w:rsidR="00F57DCC" w:rsidRPr="005633D9">
        <w:t xml:space="preserve"> depicted in </w:t>
      </w:r>
      <w:r w:rsidR="00C87AD1" w:rsidRPr="005633D9">
        <w:fldChar w:fldCharType="begin"/>
      </w:r>
      <w:r w:rsidR="00C87AD1" w:rsidRPr="005633D9">
        <w:instrText xml:space="preserve"> REF _Ref403475226 \h </w:instrText>
      </w:r>
      <w:r w:rsidR="00C87AD1" w:rsidRPr="005633D9">
        <w:fldChar w:fldCharType="separate"/>
      </w:r>
      <w:r w:rsidR="00F33102" w:rsidRPr="005633D9">
        <w:t xml:space="preserve">Figure </w:t>
      </w:r>
      <w:r w:rsidR="00F33102">
        <w:rPr>
          <w:noProof/>
        </w:rPr>
        <w:t>4</w:t>
      </w:r>
      <w:r w:rsidR="00F33102" w:rsidRPr="005633D9">
        <w:noBreakHyphen/>
      </w:r>
      <w:r w:rsidR="00F33102">
        <w:rPr>
          <w:noProof/>
        </w:rPr>
        <w:t>1</w:t>
      </w:r>
      <w:r w:rsidR="00C87AD1" w:rsidRPr="005633D9">
        <w:fldChar w:fldCharType="end"/>
      </w:r>
      <w:r w:rsidR="00C87AD1" w:rsidRPr="005633D9">
        <w:t>. T</w:t>
      </w:r>
      <w:r w:rsidRPr="005633D9">
        <w:t xml:space="preserve">he process of developing the evaluation design began </w:t>
      </w:r>
      <w:r w:rsidR="00C87AD1" w:rsidRPr="005633D9">
        <w:t xml:space="preserve">when the </w:t>
      </w:r>
      <w:r w:rsidR="00756844" w:rsidRPr="005633D9">
        <w:t xml:space="preserve">evaluation </w:t>
      </w:r>
      <w:r w:rsidR="00C87AD1" w:rsidRPr="005633D9">
        <w:t>team met</w:t>
      </w:r>
      <w:r w:rsidRPr="005633D9">
        <w:t xml:space="preserve"> with the Secretariat and Pilot Manager to determine when implementers will be chosen, what the geographical intervention zone would be, and when interventions would likely begin.</w:t>
      </w:r>
      <w:r w:rsidR="00243735" w:rsidRPr="005633D9">
        <w:t xml:space="preserve"> </w:t>
      </w:r>
      <w:r w:rsidRPr="005633D9">
        <w:t>The IQA also served to identify the key pilot stakeholders in order to invite them to the first evaluation design workshop.</w:t>
      </w:r>
      <w:r w:rsidR="00243735" w:rsidRPr="005633D9">
        <w:t xml:space="preserve"> </w:t>
      </w:r>
      <w:r w:rsidRPr="005633D9">
        <w:t xml:space="preserve">The second phase of </w:t>
      </w:r>
      <w:r w:rsidR="00661CFD" w:rsidRPr="005633D9">
        <w:t>the IQA took place in December 2</w:t>
      </w:r>
      <w:r w:rsidRPr="005633D9">
        <w:t>013, in conjunction with the first evaluation design workshop.</w:t>
      </w:r>
    </w:p>
    <w:p w:rsidR="008F64B0" w:rsidRPr="005633D9" w:rsidRDefault="008F64B0" w:rsidP="000A26AA">
      <w:pPr>
        <w:pStyle w:val="Heading3"/>
        <w:rPr>
          <w:lang w:val="en-GB"/>
        </w:rPr>
      </w:pPr>
      <w:r w:rsidRPr="005633D9">
        <w:rPr>
          <w:lang w:val="en-GB"/>
        </w:rPr>
        <w:t>Evaluation design workshop #1</w:t>
      </w:r>
    </w:p>
    <w:p w:rsidR="008F64B0" w:rsidRPr="005633D9" w:rsidRDefault="008F64B0" w:rsidP="00BD2962">
      <w:pPr>
        <w:pStyle w:val="BodyText"/>
      </w:pPr>
      <w:r w:rsidRPr="005633D9">
        <w:t xml:space="preserve">The first evaluation </w:t>
      </w:r>
      <w:r w:rsidR="00BD2962" w:rsidRPr="005633D9">
        <w:t>design</w:t>
      </w:r>
      <w:r w:rsidRPr="005633D9">
        <w:t xml:space="preserve"> workshop took place in Abuja, Nigeria, on 16 December, 2013. The purpose </w:t>
      </w:r>
      <w:r w:rsidR="00F57DCC" w:rsidRPr="005633D9">
        <w:t xml:space="preserve">of this workshop was to </w:t>
      </w:r>
      <w:r w:rsidRPr="005633D9">
        <w:t xml:space="preserve">present the evaluation team’s current understanding of the pilot </w:t>
      </w:r>
      <w:r w:rsidRPr="005633D9">
        <w:lastRenderedPageBreak/>
        <w:t xml:space="preserve">and, based on that understanding, explore how it could be </w:t>
      </w:r>
      <w:r w:rsidR="00F57DCC" w:rsidRPr="005633D9">
        <w:t>evaluated and present initial evaluation design ideas to key stakeholders</w:t>
      </w:r>
      <w:r w:rsidRPr="005633D9">
        <w:t xml:space="preserve">. </w:t>
      </w:r>
      <w:r w:rsidR="00F57DCC" w:rsidRPr="005633D9">
        <w:t>The workshop</w:t>
      </w:r>
      <w:r w:rsidRPr="005633D9">
        <w:t xml:space="preserve"> provided an opportun</w:t>
      </w:r>
      <w:r w:rsidR="00BD2962" w:rsidRPr="005633D9">
        <w:t>i</w:t>
      </w:r>
      <w:r w:rsidRPr="005633D9">
        <w:t>ty to check our understanding of the pilot</w:t>
      </w:r>
      <w:r w:rsidR="00EE5C2B">
        <w:t xml:space="preserve"> and</w:t>
      </w:r>
      <w:r w:rsidR="00EE5C2B" w:rsidRPr="005633D9">
        <w:t xml:space="preserve"> </w:t>
      </w:r>
      <w:r w:rsidR="00F57DCC" w:rsidRPr="005633D9">
        <w:t>understand the heterogeneity that exists in the implementation areas,</w:t>
      </w:r>
      <w:r w:rsidRPr="005633D9">
        <w:t xml:space="preserve"> as well as to obtain feedback and suggestions from potential </w:t>
      </w:r>
      <w:r w:rsidR="00F93043">
        <w:t>implementer</w:t>
      </w:r>
      <w:r w:rsidRPr="005633D9">
        <w:t>s and other actors in the value chain</w:t>
      </w:r>
      <w:r w:rsidR="00F57DCC" w:rsidRPr="005633D9">
        <w:t xml:space="preserve"> on the design and potential challenges</w:t>
      </w:r>
      <w:r w:rsidRPr="005633D9">
        <w:t xml:space="preserve">. </w:t>
      </w:r>
      <w:r w:rsidR="00F57DCC" w:rsidRPr="005633D9">
        <w:t xml:space="preserve">The workshop attendees </w:t>
      </w:r>
      <w:r w:rsidRPr="005633D9">
        <w:t xml:space="preserve">included the four pre-pilot implementers, verifiers, farmers, and IITA staff. </w:t>
      </w:r>
      <w:r w:rsidR="00F57DCC" w:rsidRPr="005633D9">
        <w:t>At this workshop</w:t>
      </w:r>
      <w:r w:rsidRPr="005633D9">
        <w:t xml:space="preserve"> </w:t>
      </w:r>
      <w:r w:rsidR="00786E86" w:rsidRPr="005633D9">
        <w:t>we were able to determine that</w:t>
      </w:r>
      <w:r w:rsidRPr="005633D9">
        <w:t xml:space="preserve"> </w:t>
      </w:r>
      <w:r w:rsidR="00786E86" w:rsidRPr="005633D9">
        <w:t xml:space="preserve">the phasing plan of implementers provided an opportunity to randomize and that </w:t>
      </w:r>
      <w:r w:rsidR="00EE5C2B">
        <w:t xml:space="preserve">the </w:t>
      </w:r>
      <w:r w:rsidR="00786E86" w:rsidRPr="005633D9">
        <w:t>majority of the</w:t>
      </w:r>
      <w:r w:rsidR="00BD2962" w:rsidRPr="005633D9">
        <w:t xml:space="preserve"> potential pilot implemen</w:t>
      </w:r>
      <w:r w:rsidRPr="005633D9">
        <w:t xml:space="preserve">ters were amenable to </w:t>
      </w:r>
      <w:r w:rsidR="00786E86" w:rsidRPr="005633D9">
        <w:t>randomizing the villages for different phases of implementation</w:t>
      </w:r>
      <w:r w:rsidRPr="005633D9">
        <w:t xml:space="preserve">. </w:t>
      </w:r>
    </w:p>
    <w:p w:rsidR="008F64B0" w:rsidRPr="005633D9" w:rsidRDefault="008F64B0" w:rsidP="000A26AA">
      <w:pPr>
        <w:pStyle w:val="Heading3"/>
        <w:rPr>
          <w:lang w:val="en-GB"/>
        </w:rPr>
      </w:pPr>
      <w:r w:rsidRPr="005633D9">
        <w:rPr>
          <w:lang w:val="en-GB"/>
        </w:rPr>
        <w:t>Evaluation design workshop #2</w:t>
      </w:r>
    </w:p>
    <w:p w:rsidR="008F64B0" w:rsidRPr="005633D9" w:rsidRDefault="008F64B0" w:rsidP="008F64B0">
      <w:pPr>
        <w:pStyle w:val="BodyText"/>
      </w:pPr>
      <w:r w:rsidRPr="005633D9">
        <w:t xml:space="preserve">The second evaluation design workshop was held from 3 March to 5 March, 2014, in Abuja, Nigeria, and focused on finalizing </w:t>
      </w:r>
      <w:r w:rsidR="00786E86" w:rsidRPr="005633D9">
        <w:t>randomization</w:t>
      </w:r>
      <w:r w:rsidRPr="005633D9">
        <w:t xml:space="preserve">. The evaluation team met individually with each implementer </w:t>
      </w:r>
      <w:r w:rsidR="00661CFD" w:rsidRPr="005633D9">
        <w:t>throughout</w:t>
      </w:r>
      <w:r w:rsidRPr="005633D9">
        <w:t xml:space="preserve"> a half-day workshop to explain the</w:t>
      </w:r>
      <w:r w:rsidR="00786E86" w:rsidRPr="005633D9">
        <w:t xml:space="preserve"> evaluation design, explain the randomization process</w:t>
      </w:r>
      <w:r w:rsidR="00EE5C2B">
        <w:t>,</w:t>
      </w:r>
      <w:r w:rsidRPr="005633D9">
        <w:t xml:space="preserve"> and </w:t>
      </w:r>
      <w:r w:rsidR="00661CFD" w:rsidRPr="005633D9">
        <w:t>implement our random sampling procedure</w:t>
      </w:r>
      <w:r w:rsidR="00BD2962" w:rsidRPr="005633D9">
        <w:t xml:space="preserve"> </w:t>
      </w:r>
      <w:r w:rsidR="00661CFD" w:rsidRPr="005633D9">
        <w:t>(a “lottery”</w:t>
      </w:r>
      <w:r w:rsidRPr="005633D9">
        <w:t xml:space="preserve"> to randomly </w:t>
      </w:r>
      <w:r w:rsidR="00786E86" w:rsidRPr="005633D9">
        <w:t>assign villages to Cohorts A, B</w:t>
      </w:r>
      <w:r w:rsidR="00EE5C2B">
        <w:t>,</w:t>
      </w:r>
      <w:r w:rsidR="00786E86" w:rsidRPr="005633D9">
        <w:t xml:space="preserve"> and C</w:t>
      </w:r>
      <w:r w:rsidR="00661CFD" w:rsidRPr="005633D9">
        <w:t>)</w:t>
      </w:r>
      <w:r w:rsidRPr="005633D9">
        <w:t xml:space="preserve">. Leading up to the workshop, we were in contact with all implementers to verify that they </w:t>
      </w:r>
      <w:r w:rsidR="00EE5C2B">
        <w:t>were</w:t>
      </w:r>
      <w:r w:rsidR="00EE5C2B" w:rsidRPr="005633D9">
        <w:t xml:space="preserve"> </w:t>
      </w:r>
      <w:r w:rsidRPr="005633D9">
        <w:t>willing to use a lottery to select villages and to determine the best way to implement the actual randomization process. Most implementers were in complete agreement with the lottery design and view</w:t>
      </w:r>
      <w:r w:rsidR="00DB1B08" w:rsidRPr="005633D9">
        <w:t>ed</w:t>
      </w:r>
      <w:r w:rsidRPr="005633D9">
        <w:t xml:space="preserve"> it as a helpful addition to their plans since it </w:t>
      </w:r>
      <w:r w:rsidR="00EE5C2B">
        <w:t xml:space="preserve">would </w:t>
      </w:r>
      <w:r w:rsidRPr="005633D9">
        <w:t xml:space="preserve">provide a sense of fairness </w:t>
      </w:r>
      <w:r w:rsidR="00DB1B08" w:rsidRPr="005633D9">
        <w:t>for village selection</w:t>
      </w:r>
      <w:r w:rsidRPr="005633D9">
        <w:t xml:space="preserve">. For </w:t>
      </w:r>
      <w:r w:rsidR="00F93043">
        <w:t>the QED implementer</w:t>
      </w:r>
      <w:r w:rsidRPr="005633D9">
        <w:t xml:space="preserve">, the one non-randomizing implementer, we used the half-day workshop to clearly establish their expected rollout plan and identify the criteria </w:t>
      </w:r>
      <w:r w:rsidR="00EE5C2B">
        <w:t>they</w:t>
      </w:r>
      <w:r w:rsidR="00EE5C2B" w:rsidRPr="005633D9">
        <w:t xml:space="preserve"> </w:t>
      </w:r>
      <w:r w:rsidRPr="005633D9">
        <w:t>will use for selecting future AgResults villages. This helped the evaluation team understand where viable counterfactual areas could be located to form the impact analysis comparison group.</w:t>
      </w:r>
      <w:r w:rsidR="00602E71" w:rsidRPr="005633D9">
        <w:t xml:space="preserve"> During this visit we also we vetted the counterfactual areas with all the implementers and key stakeholders.</w:t>
      </w:r>
    </w:p>
    <w:p w:rsidR="008F64B0" w:rsidRPr="005633D9" w:rsidRDefault="008F64B0" w:rsidP="000A26AA">
      <w:pPr>
        <w:pStyle w:val="Heading3"/>
        <w:rPr>
          <w:lang w:val="en-GB"/>
        </w:rPr>
      </w:pPr>
      <w:r w:rsidRPr="005633D9">
        <w:rPr>
          <w:lang w:val="en-GB"/>
        </w:rPr>
        <w:t xml:space="preserve">Evaluation design workshop #3 </w:t>
      </w:r>
    </w:p>
    <w:p w:rsidR="008F64B0" w:rsidRPr="005633D9" w:rsidRDefault="008F64B0" w:rsidP="008F64B0">
      <w:pPr>
        <w:rPr>
          <w:szCs w:val="24"/>
          <w:lang w:val="en-GB"/>
        </w:rPr>
      </w:pPr>
      <w:r w:rsidRPr="005633D9">
        <w:rPr>
          <w:szCs w:val="24"/>
          <w:lang w:val="en-GB"/>
        </w:rPr>
        <w:t xml:space="preserve">The third evaluation design workshop will be held during </w:t>
      </w:r>
      <w:r w:rsidR="00614769" w:rsidRPr="005633D9">
        <w:rPr>
          <w:szCs w:val="24"/>
          <w:lang w:val="en-GB"/>
        </w:rPr>
        <w:t>January 2015</w:t>
      </w:r>
      <w:r w:rsidRPr="005633D9">
        <w:rPr>
          <w:szCs w:val="24"/>
          <w:lang w:val="en-GB"/>
        </w:rPr>
        <w:t>, in Abuja, Nigeria</w:t>
      </w:r>
      <w:r w:rsidR="00BD2962" w:rsidRPr="005633D9">
        <w:rPr>
          <w:szCs w:val="24"/>
          <w:lang w:val="en-GB"/>
        </w:rPr>
        <w:t>,</w:t>
      </w:r>
      <w:r w:rsidR="00B36DA7" w:rsidRPr="005633D9">
        <w:rPr>
          <w:szCs w:val="24"/>
          <w:lang w:val="en-GB"/>
        </w:rPr>
        <w:t xml:space="preserve"> to finalize</w:t>
      </w:r>
      <w:r w:rsidRPr="005633D9">
        <w:rPr>
          <w:szCs w:val="24"/>
          <w:lang w:val="en-GB"/>
        </w:rPr>
        <w:t xml:space="preserve"> the randomization of villages for the quantitative analysis of each AgResults implemente</w:t>
      </w:r>
      <w:r w:rsidR="00602E71" w:rsidRPr="005633D9">
        <w:rPr>
          <w:szCs w:val="24"/>
          <w:lang w:val="en-GB"/>
        </w:rPr>
        <w:t>r</w:t>
      </w:r>
      <w:r w:rsidRPr="005633D9">
        <w:rPr>
          <w:szCs w:val="24"/>
          <w:lang w:val="en-GB"/>
        </w:rPr>
        <w:t>. As a result</w:t>
      </w:r>
      <w:r w:rsidR="00BD2962" w:rsidRPr="005633D9">
        <w:rPr>
          <w:szCs w:val="24"/>
          <w:lang w:val="en-GB"/>
        </w:rPr>
        <w:t xml:space="preserve"> of some implementers not adher</w:t>
      </w:r>
      <w:r w:rsidRPr="005633D9">
        <w:rPr>
          <w:szCs w:val="24"/>
          <w:lang w:val="en-GB"/>
        </w:rPr>
        <w:t xml:space="preserve">ing, </w:t>
      </w:r>
      <w:r w:rsidR="001C75A0" w:rsidRPr="005633D9">
        <w:rPr>
          <w:szCs w:val="24"/>
          <w:lang w:val="en-GB"/>
        </w:rPr>
        <w:t xml:space="preserve">in </w:t>
      </w:r>
      <w:r w:rsidRPr="005633D9">
        <w:rPr>
          <w:szCs w:val="24"/>
          <w:lang w:val="en-GB"/>
        </w:rPr>
        <w:t xml:space="preserve">this workshop </w:t>
      </w:r>
      <w:r w:rsidR="001C75A0" w:rsidRPr="005633D9">
        <w:rPr>
          <w:szCs w:val="24"/>
          <w:lang w:val="en-GB"/>
        </w:rPr>
        <w:t xml:space="preserve">we </w:t>
      </w:r>
      <w:r w:rsidRPr="005633D9">
        <w:rPr>
          <w:szCs w:val="24"/>
          <w:lang w:val="en-GB"/>
        </w:rPr>
        <w:t>will conduct the same activit</w:t>
      </w:r>
      <w:r w:rsidR="00BD2962" w:rsidRPr="005633D9">
        <w:rPr>
          <w:szCs w:val="24"/>
          <w:lang w:val="en-GB"/>
        </w:rPr>
        <w:t>i</w:t>
      </w:r>
      <w:r w:rsidRPr="005633D9">
        <w:rPr>
          <w:szCs w:val="24"/>
          <w:lang w:val="en-GB"/>
        </w:rPr>
        <w:t>es as workshop #2, but with updated lists from those implementers who were not able to adhere</w:t>
      </w:r>
      <w:r w:rsidR="00B36DA7" w:rsidRPr="005633D9">
        <w:rPr>
          <w:szCs w:val="24"/>
          <w:lang w:val="en-GB"/>
        </w:rPr>
        <w:t xml:space="preserve"> to re-randomize their Cohort B and Cohort C villages</w:t>
      </w:r>
      <w:r w:rsidRPr="005633D9">
        <w:rPr>
          <w:szCs w:val="24"/>
          <w:lang w:val="en-GB"/>
        </w:rPr>
        <w:t xml:space="preserve">. </w:t>
      </w:r>
      <w:r w:rsidR="00602E71" w:rsidRPr="005633D9">
        <w:rPr>
          <w:szCs w:val="24"/>
          <w:lang w:val="en-GB"/>
        </w:rPr>
        <w:t>W</w:t>
      </w:r>
      <w:r w:rsidR="000A69D1" w:rsidRPr="005633D9">
        <w:rPr>
          <w:szCs w:val="24"/>
          <w:lang w:val="en-GB"/>
        </w:rPr>
        <w:t xml:space="preserve">e will use this workshop as an opportunity to see if implementers are willing to delay the implementation in their </w:t>
      </w:r>
      <w:r w:rsidR="00836FD2" w:rsidRPr="005633D9">
        <w:rPr>
          <w:szCs w:val="24"/>
          <w:lang w:val="en-GB"/>
        </w:rPr>
        <w:t>Cohort C</w:t>
      </w:r>
      <w:r w:rsidR="000A69D1" w:rsidRPr="005633D9">
        <w:rPr>
          <w:szCs w:val="24"/>
          <w:lang w:val="en-GB"/>
        </w:rPr>
        <w:t xml:space="preserve"> villages by </w:t>
      </w:r>
      <w:r w:rsidR="002C1801" w:rsidRPr="005633D9">
        <w:rPr>
          <w:szCs w:val="24"/>
          <w:lang w:val="en-GB"/>
        </w:rPr>
        <w:t>one</w:t>
      </w:r>
      <w:r w:rsidR="000A69D1" w:rsidRPr="005633D9">
        <w:rPr>
          <w:szCs w:val="24"/>
          <w:lang w:val="en-GB"/>
        </w:rPr>
        <w:t xml:space="preserve"> year in order to conduct the endline survey in 2017 (instead of 2016). At this point, we will take into account their willingness to do so and determine if a 2017 endline survey is possible. </w:t>
      </w:r>
      <w:r w:rsidRPr="005633D9">
        <w:rPr>
          <w:szCs w:val="24"/>
          <w:lang w:val="en-GB"/>
        </w:rPr>
        <w:t xml:space="preserve">This workshop will also address the reasons why implementers did not adhere and work with them to ensure </w:t>
      </w:r>
      <w:r w:rsidR="002C1801" w:rsidRPr="005633D9">
        <w:rPr>
          <w:szCs w:val="24"/>
          <w:lang w:val="en-GB"/>
        </w:rPr>
        <w:t xml:space="preserve">that </w:t>
      </w:r>
      <w:r w:rsidRPr="005633D9">
        <w:rPr>
          <w:szCs w:val="24"/>
          <w:lang w:val="en-GB"/>
        </w:rPr>
        <w:t>the same problems do not recur during the 2015 planting season.</w:t>
      </w:r>
    </w:p>
    <w:p w:rsidR="008F64B0" w:rsidRPr="005633D9" w:rsidRDefault="008F64B0" w:rsidP="000A26AA">
      <w:pPr>
        <w:pStyle w:val="Heading3"/>
        <w:rPr>
          <w:lang w:val="en-GB"/>
        </w:rPr>
      </w:pPr>
      <w:r w:rsidRPr="005633D9">
        <w:rPr>
          <w:lang w:val="en-GB"/>
        </w:rPr>
        <w:t>Smallholder survey instrument pretest</w:t>
      </w:r>
    </w:p>
    <w:p w:rsidR="008F64B0" w:rsidRPr="005633D9" w:rsidRDefault="00602E71" w:rsidP="008F64B0">
      <w:pPr>
        <w:rPr>
          <w:szCs w:val="24"/>
          <w:lang w:val="en-GB"/>
        </w:rPr>
      </w:pPr>
      <w:r w:rsidRPr="005633D9">
        <w:rPr>
          <w:szCs w:val="24"/>
          <w:lang w:val="en-GB"/>
        </w:rPr>
        <w:t>Abt’s core evaluation team and the</w:t>
      </w:r>
      <w:r w:rsidR="002C1801" w:rsidRPr="005633D9">
        <w:rPr>
          <w:szCs w:val="24"/>
          <w:lang w:val="en-GB"/>
        </w:rPr>
        <w:t xml:space="preserve"> Nigeria-based survey firm will conduct </w:t>
      </w:r>
      <w:r w:rsidRPr="005633D9">
        <w:rPr>
          <w:szCs w:val="24"/>
          <w:lang w:val="en-GB"/>
        </w:rPr>
        <w:t xml:space="preserve">a </w:t>
      </w:r>
      <w:r w:rsidR="008F64B0" w:rsidRPr="005633D9">
        <w:rPr>
          <w:szCs w:val="24"/>
          <w:lang w:val="en-GB"/>
        </w:rPr>
        <w:t xml:space="preserve">pretest of the baseline survey instrument prior to the start of field survey work. </w:t>
      </w:r>
      <w:r w:rsidR="002C1801" w:rsidRPr="005633D9">
        <w:rPr>
          <w:szCs w:val="24"/>
          <w:lang w:val="en-GB"/>
        </w:rPr>
        <w:t xml:space="preserve">We </w:t>
      </w:r>
      <w:r w:rsidR="00E4447F">
        <w:rPr>
          <w:szCs w:val="24"/>
          <w:lang w:val="en-GB"/>
        </w:rPr>
        <w:t>have</w:t>
      </w:r>
      <w:r w:rsidR="00E4447F" w:rsidRPr="005633D9">
        <w:rPr>
          <w:szCs w:val="24"/>
          <w:lang w:val="en-GB"/>
        </w:rPr>
        <w:t xml:space="preserve"> </w:t>
      </w:r>
      <w:r w:rsidR="002C1801" w:rsidRPr="005633D9">
        <w:rPr>
          <w:szCs w:val="24"/>
          <w:lang w:val="en-GB"/>
        </w:rPr>
        <w:t>select</w:t>
      </w:r>
      <w:r w:rsidR="00E4447F">
        <w:rPr>
          <w:szCs w:val="24"/>
          <w:lang w:val="en-GB"/>
        </w:rPr>
        <w:t>ed</w:t>
      </w:r>
      <w:r w:rsidR="002C1801" w:rsidRPr="005633D9">
        <w:rPr>
          <w:szCs w:val="24"/>
          <w:lang w:val="en-GB"/>
        </w:rPr>
        <w:t xml:space="preserve"> t</w:t>
      </w:r>
      <w:r w:rsidR="008F64B0" w:rsidRPr="005633D9">
        <w:rPr>
          <w:szCs w:val="24"/>
          <w:lang w:val="en-GB"/>
        </w:rPr>
        <w:t xml:space="preserve">he survey firm </w:t>
      </w:r>
      <w:r w:rsidR="00E4447F">
        <w:rPr>
          <w:szCs w:val="24"/>
          <w:lang w:val="en-GB"/>
        </w:rPr>
        <w:t xml:space="preserve">(MRC) </w:t>
      </w:r>
      <w:r w:rsidR="008F64B0" w:rsidRPr="005633D9">
        <w:rPr>
          <w:szCs w:val="24"/>
          <w:lang w:val="en-GB"/>
        </w:rPr>
        <w:t>from among several candidate organisations through a competitive process.</w:t>
      </w:r>
      <w:r w:rsidR="008F64B0" w:rsidRPr="005633D9">
        <w:rPr>
          <w:rStyle w:val="FootnoteReference"/>
          <w:szCs w:val="24"/>
          <w:lang w:val="en-GB"/>
        </w:rPr>
        <w:footnoteReference w:id="17"/>
      </w:r>
      <w:r w:rsidR="00841EC4" w:rsidRPr="005633D9">
        <w:rPr>
          <w:szCs w:val="24"/>
          <w:lang w:val="en-GB"/>
        </w:rPr>
        <w:t xml:space="preserve"> The pre</w:t>
      </w:r>
      <w:r w:rsidR="008F64B0" w:rsidRPr="005633D9">
        <w:rPr>
          <w:szCs w:val="24"/>
          <w:lang w:val="en-GB"/>
        </w:rPr>
        <w:t xml:space="preserve">test questionnaire will be translated into Hausa and be electronically scripted into </w:t>
      </w:r>
      <w:r w:rsidR="00841EC4" w:rsidRPr="005633D9">
        <w:rPr>
          <w:szCs w:val="24"/>
          <w:lang w:val="en-GB"/>
        </w:rPr>
        <w:t xml:space="preserve">the firm’s </w:t>
      </w:r>
      <w:r w:rsidR="00841EC4" w:rsidRPr="005633D9">
        <w:rPr>
          <w:szCs w:val="24"/>
          <w:lang w:val="en-GB"/>
        </w:rPr>
        <w:lastRenderedPageBreak/>
        <w:t>smart</w:t>
      </w:r>
      <w:r w:rsidR="008F64B0" w:rsidRPr="005633D9">
        <w:rPr>
          <w:szCs w:val="24"/>
          <w:lang w:val="en-GB"/>
        </w:rPr>
        <w:t xml:space="preserve">phone software. The main objective of the pretest is to identify any weaknesses in the survey questionnaire design and to train enumerators in implementing the survey and field sampling methodology. To ensure </w:t>
      </w:r>
      <w:r w:rsidR="00841EC4" w:rsidRPr="005633D9">
        <w:rPr>
          <w:szCs w:val="24"/>
          <w:lang w:val="en-GB"/>
        </w:rPr>
        <w:t>quality and efficacy of the pre</w:t>
      </w:r>
      <w:r w:rsidR="008F64B0" w:rsidRPr="005633D9">
        <w:rPr>
          <w:szCs w:val="24"/>
          <w:lang w:val="en-GB"/>
        </w:rPr>
        <w:t xml:space="preserve">test, </w:t>
      </w:r>
      <w:r w:rsidRPr="005633D9">
        <w:rPr>
          <w:szCs w:val="24"/>
          <w:lang w:val="en-GB"/>
        </w:rPr>
        <w:t>the Abt home office team will accompany</w:t>
      </w:r>
      <w:r w:rsidR="001F34B4">
        <w:rPr>
          <w:szCs w:val="24"/>
          <w:lang w:val="en-GB"/>
        </w:rPr>
        <w:t xml:space="preserve"> </w:t>
      </w:r>
      <w:r w:rsidR="008F64B0" w:rsidRPr="005633D9">
        <w:rPr>
          <w:szCs w:val="24"/>
          <w:lang w:val="en-GB"/>
        </w:rPr>
        <w:t xml:space="preserve">the survey firm during both </w:t>
      </w:r>
      <w:r w:rsidR="000A69D1" w:rsidRPr="005633D9">
        <w:rPr>
          <w:szCs w:val="24"/>
          <w:lang w:val="en-GB"/>
        </w:rPr>
        <w:t>activities</w:t>
      </w:r>
      <w:r w:rsidR="00B36DA7" w:rsidRPr="005633D9">
        <w:rPr>
          <w:szCs w:val="24"/>
          <w:lang w:val="en-GB"/>
        </w:rPr>
        <w:t xml:space="preserve">. If security concerns do </w:t>
      </w:r>
      <w:r w:rsidR="00F65938" w:rsidRPr="005633D9">
        <w:rPr>
          <w:szCs w:val="24"/>
          <w:lang w:val="en-GB"/>
        </w:rPr>
        <w:t>not allow a trip to the n</w:t>
      </w:r>
      <w:r w:rsidR="00B36DA7" w:rsidRPr="005633D9">
        <w:rPr>
          <w:szCs w:val="24"/>
          <w:lang w:val="en-GB"/>
        </w:rPr>
        <w:t>orthern states by Abt staff, we will conduct the</w:t>
      </w:r>
      <w:r w:rsidR="00841EC4" w:rsidRPr="005633D9">
        <w:rPr>
          <w:szCs w:val="24"/>
          <w:lang w:val="en-GB"/>
        </w:rPr>
        <w:t xml:space="preserve"> pre</w:t>
      </w:r>
      <w:r w:rsidR="00B36DA7" w:rsidRPr="005633D9">
        <w:rPr>
          <w:szCs w:val="24"/>
          <w:lang w:val="en-GB"/>
        </w:rPr>
        <w:t xml:space="preserve">test in areas where these security concerns do not limit our travel. </w:t>
      </w:r>
      <w:r w:rsidR="008F64B0" w:rsidRPr="005633D9">
        <w:rPr>
          <w:szCs w:val="24"/>
          <w:lang w:val="en-GB"/>
        </w:rPr>
        <w:t xml:space="preserve">This will allow the Abt team to respond to any problems encountered and ensure </w:t>
      </w:r>
      <w:r w:rsidR="002C1801" w:rsidRPr="005633D9">
        <w:rPr>
          <w:szCs w:val="24"/>
          <w:lang w:val="en-GB"/>
        </w:rPr>
        <w:t xml:space="preserve">that </w:t>
      </w:r>
      <w:r w:rsidR="008F64B0" w:rsidRPr="005633D9">
        <w:rPr>
          <w:szCs w:val="24"/>
          <w:lang w:val="en-GB"/>
        </w:rPr>
        <w:t xml:space="preserve">the enumerators are interpreting the survey questions correctly. </w:t>
      </w:r>
      <w:r w:rsidRPr="005633D9">
        <w:rPr>
          <w:szCs w:val="24"/>
          <w:lang w:val="en-GB"/>
        </w:rPr>
        <w:t xml:space="preserve">Based on our experience with our 2014 baseline attempt, this will be critical to ensuring quality of data. </w:t>
      </w:r>
      <w:r w:rsidR="008F64B0" w:rsidRPr="005633D9">
        <w:rPr>
          <w:szCs w:val="24"/>
          <w:lang w:val="en-GB"/>
        </w:rPr>
        <w:t>Ultimately, we will use the results of the pretest to finalize the survey instrument. The enumerators will then continue with the finalized version of the instrument for the remainder of the training</w:t>
      </w:r>
      <w:r w:rsidR="00DB1B08" w:rsidRPr="005633D9">
        <w:rPr>
          <w:szCs w:val="24"/>
          <w:lang w:val="en-GB"/>
        </w:rPr>
        <w:t xml:space="preserve"> and fieldwork</w:t>
      </w:r>
      <w:r w:rsidRPr="005633D9">
        <w:rPr>
          <w:szCs w:val="24"/>
          <w:lang w:val="en-GB"/>
        </w:rPr>
        <w:t xml:space="preserve"> under the guidance of Abt’s in-country </w:t>
      </w:r>
      <w:r w:rsidR="00860756" w:rsidRPr="005633D9">
        <w:rPr>
          <w:szCs w:val="24"/>
          <w:lang w:val="en-GB"/>
        </w:rPr>
        <w:t>Survey Manager</w:t>
      </w:r>
      <w:r w:rsidRPr="005633D9">
        <w:rPr>
          <w:szCs w:val="24"/>
          <w:lang w:val="en-GB"/>
        </w:rPr>
        <w:t>.</w:t>
      </w:r>
    </w:p>
    <w:p w:rsidR="008F64B0" w:rsidRPr="005633D9" w:rsidRDefault="008F64B0" w:rsidP="000A26AA">
      <w:pPr>
        <w:pStyle w:val="Heading3"/>
        <w:rPr>
          <w:lang w:val="en-GB"/>
        </w:rPr>
      </w:pPr>
      <w:r w:rsidRPr="005633D9">
        <w:rPr>
          <w:lang w:val="en-GB"/>
        </w:rPr>
        <w:t>Baseline data collection—quantitative and qualitative</w:t>
      </w:r>
    </w:p>
    <w:p w:rsidR="008F64B0" w:rsidRPr="005633D9" w:rsidRDefault="008F64B0" w:rsidP="008F64B0">
      <w:pPr>
        <w:rPr>
          <w:szCs w:val="24"/>
          <w:lang w:val="en-GB"/>
        </w:rPr>
      </w:pPr>
      <w:r w:rsidRPr="005633D9">
        <w:rPr>
          <w:szCs w:val="24"/>
          <w:lang w:val="en-GB"/>
        </w:rPr>
        <w:t xml:space="preserve">As mentioned above, we anticipate fieldwork for the baseline smallholder survey to commence </w:t>
      </w:r>
      <w:r w:rsidR="00602E71" w:rsidRPr="005633D9">
        <w:rPr>
          <w:szCs w:val="24"/>
          <w:lang w:val="en-GB"/>
        </w:rPr>
        <w:t>in March</w:t>
      </w:r>
      <w:r w:rsidRPr="005633D9">
        <w:rPr>
          <w:szCs w:val="24"/>
          <w:lang w:val="en-GB"/>
        </w:rPr>
        <w:t xml:space="preserve"> and expect it to last </w:t>
      </w:r>
      <w:r w:rsidR="00DB1B08" w:rsidRPr="005633D9">
        <w:rPr>
          <w:szCs w:val="24"/>
          <w:lang w:val="en-GB"/>
        </w:rPr>
        <w:t>four to five</w:t>
      </w:r>
      <w:r w:rsidRPr="005633D9">
        <w:rPr>
          <w:szCs w:val="24"/>
          <w:lang w:val="en-GB"/>
        </w:rPr>
        <w:t xml:space="preserve"> weeks. The evaluation team </w:t>
      </w:r>
      <w:r w:rsidR="00602E71" w:rsidRPr="005633D9">
        <w:rPr>
          <w:szCs w:val="24"/>
          <w:lang w:val="en-GB"/>
        </w:rPr>
        <w:t xml:space="preserve">and the in-country </w:t>
      </w:r>
      <w:r w:rsidR="00860756" w:rsidRPr="005633D9">
        <w:rPr>
          <w:szCs w:val="24"/>
          <w:lang w:val="en-GB"/>
        </w:rPr>
        <w:t xml:space="preserve">Survey Manager </w:t>
      </w:r>
      <w:r w:rsidRPr="005633D9">
        <w:rPr>
          <w:szCs w:val="24"/>
          <w:lang w:val="en-GB"/>
        </w:rPr>
        <w:t xml:space="preserve">will work closely with the survey firm to establish clear data management, processing, and cleaning plans, as well as create materials </w:t>
      </w:r>
      <w:r w:rsidR="00602E71" w:rsidRPr="005633D9">
        <w:rPr>
          <w:szCs w:val="24"/>
          <w:lang w:val="en-GB"/>
        </w:rPr>
        <w:t>for</w:t>
      </w:r>
      <w:r w:rsidRPr="005633D9">
        <w:rPr>
          <w:szCs w:val="24"/>
          <w:lang w:val="en-GB"/>
        </w:rPr>
        <w:t xml:space="preserve"> train</w:t>
      </w:r>
      <w:r w:rsidR="00602E71" w:rsidRPr="005633D9">
        <w:rPr>
          <w:szCs w:val="24"/>
          <w:lang w:val="en-GB"/>
        </w:rPr>
        <w:t>ing</w:t>
      </w:r>
      <w:r w:rsidRPr="005633D9">
        <w:rPr>
          <w:szCs w:val="24"/>
          <w:lang w:val="en-GB"/>
        </w:rPr>
        <w:t xml:space="preserve"> enumerators and implement</w:t>
      </w:r>
      <w:r w:rsidR="00602E71" w:rsidRPr="005633D9">
        <w:rPr>
          <w:szCs w:val="24"/>
          <w:lang w:val="en-GB"/>
        </w:rPr>
        <w:t>ing</w:t>
      </w:r>
      <w:r w:rsidRPr="005633D9">
        <w:rPr>
          <w:szCs w:val="24"/>
          <w:lang w:val="en-GB"/>
        </w:rPr>
        <w:t xml:space="preserve"> quality c</w:t>
      </w:r>
      <w:r w:rsidR="009C4F0F" w:rsidRPr="005633D9">
        <w:rPr>
          <w:szCs w:val="24"/>
          <w:lang w:val="en-GB"/>
        </w:rPr>
        <w:t>ontrol measures. Lessons learnt</w:t>
      </w:r>
      <w:r w:rsidRPr="005633D9">
        <w:rPr>
          <w:szCs w:val="24"/>
          <w:lang w:val="en-GB"/>
        </w:rPr>
        <w:t xml:space="preserve"> from the pretest will be incorporated into the survey instrument and field administration procedures to ensure the highest quality data collection possible in the main survey. </w:t>
      </w:r>
      <w:r w:rsidR="00602E71" w:rsidRPr="005633D9">
        <w:rPr>
          <w:szCs w:val="24"/>
          <w:lang w:val="en-GB"/>
        </w:rPr>
        <w:t xml:space="preserve">Based on our the lessons learnt from our 2014 baseline survey attempt, we propose </w:t>
      </w:r>
      <w:r w:rsidR="00674057">
        <w:rPr>
          <w:szCs w:val="24"/>
          <w:lang w:val="en-GB"/>
        </w:rPr>
        <w:t>that</w:t>
      </w:r>
      <w:r w:rsidR="00602E71" w:rsidRPr="005633D9">
        <w:rPr>
          <w:szCs w:val="24"/>
          <w:lang w:val="en-GB"/>
        </w:rPr>
        <w:t xml:space="preserve"> Abt team staff be in the field at the beginning of survey activities</w:t>
      </w:r>
      <w:r w:rsidR="00C353B8" w:rsidRPr="005633D9">
        <w:rPr>
          <w:szCs w:val="24"/>
          <w:lang w:val="en-GB"/>
        </w:rPr>
        <w:t xml:space="preserve"> to </w:t>
      </w:r>
      <w:r w:rsidR="00674057">
        <w:rPr>
          <w:szCs w:val="24"/>
          <w:lang w:val="en-GB"/>
        </w:rPr>
        <w:t>take</w:t>
      </w:r>
      <w:r w:rsidR="00674057" w:rsidRPr="005633D9">
        <w:rPr>
          <w:szCs w:val="24"/>
          <w:lang w:val="en-GB"/>
        </w:rPr>
        <w:t xml:space="preserve"> </w:t>
      </w:r>
      <w:r w:rsidR="00C353B8" w:rsidRPr="005633D9">
        <w:rPr>
          <w:szCs w:val="24"/>
          <w:lang w:val="en-GB"/>
        </w:rPr>
        <w:t xml:space="preserve">part </w:t>
      </w:r>
      <w:r w:rsidR="00674057">
        <w:rPr>
          <w:szCs w:val="24"/>
          <w:lang w:val="en-GB"/>
        </w:rPr>
        <w:t>in</w:t>
      </w:r>
      <w:r w:rsidR="00674057" w:rsidRPr="005633D9">
        <w:rPr>
          <w:szCs w:val="24"/>
          <w:lang w:val="en-GB"/>
        </w:rPr>
        <w:t xml:space="preserve"> </w:t>
      </w:r>
      <w:r w:rsidR="00C353B8" w:rsidRPr="005633D9">
        <w:rPr>
          <w:szCs w:val="24"/>
          <w:lang w:val="en-GB"/>
        </w:rPr>
        <w:t xml:space="preserve">enumerator training and </w:t>
      </w:r>
      <w:r w:rsidR="00674057">
        <w:rPr>
          <w:szCs w:val="24"/>
          <w:lang w:val="en-GB"/>
        </w:rPr>
        <w:t xml:space="preserve">the </w:t>
      </w:r>
      <w:r w:rsidR="00C353B8" w:rsidRPr="005633D9">
        <w:rPr>
          <w:szCs w:val="24"/>
          <w:lang w:val="en-GB"/>
        </w:rPr>
        <w:t>first wave of data collection. During the entire data collection process</w:t>
      </w:r>
      <w:r w:rsidR="00674057">
        <w:rPr>
          <w:szCs w:val="24"/>
          <w:lang w:val="en-GB"/>
        </w:rPr>
        <w:t>,</w:t>
      </w:r>
      <w:r w:rsidR="00C353B8" w:rsidRPr="005633D9">
        <w:rPr>
          <w:szCs w:val="24"/>
          <w:lang w:val="en-GB"/>
        </w:rPr>
        <w:t xml:space="preserve"> the in-country </w:t>
      </w:r>
      <w:r w:rsidR="00860756" w:rsidRPr="005633D9">
        <w:rPr>
          <w:szCs w:val="24"/>
          <w:lang w:val="en-GB"/>
        </w:rPr>
        <w:t xml:space="preserve">Survey Manager </w:t>
      </w:r>
      <w:r w:rsidR="00C353B8" w:rsidRPr="005633D9">
        <w:rPr>
          <w:szCs w:val="24"/>
          <w:lang w:val="en-GB"/>
        </w:rPr>
        <w:t>will manage all aspects of data collection and be in close coordination with the Abt team</w:t>
      </w:r>
      <w:r w:rsidR="00674057">
        <w:rPr>
          <w:szCs w:val="24"/>
          <w:lang w:val="en-GB"/>
        </w:rPr>
        <w:t>,</w:t>
      </w:r>
      <w:r w:rsidR="00C353B8" w:rsidRPr="005633D9">
        <w:rPr>
          <w:szCs w:val="24"/>
          <w:lang w:val="en-GB"/>
        </w:rPr>
        <w:t xml:space="preserve"> providing weekly updates.</w:t>
      </w:r>
      <w:r w:rsidR="001F34B4">
        <w:rPr>
          <w:szCs w:val="24"/>
          <w:lang w:val="en-GB"/>
        </w:rPr>
        <w:t xml:space="preserve"> </w:t>
      </w:r>
    </w:p>
    <w:p w:rsidR="008F64B0" w:rsidRPr="005633D9" w:rsidRDefault="008F64B0" w:rsidP="008F64B0">
      <w:pPr>
        <w:rPr>
          <w:szCs w:val="24"/>
          <w:lang w:val="en-GB"/>
        </w:rPr>
      </w:pPr>
      <w:r w:rsidRPr="005633D9">
        <w:rPr>
          <w:szCs w:val="24"/>
          <w:lang w:val="en-GB"/>
        </w:rPr>
        <w:t xml:space="preserve">Qualitative baseline data collection has started and </w:t>
      </w:r>
      <w:r w:rsidR="00997B5D">
        <w:rPr>
          <w:szCs w:val="24"/>
          <w:lang w:val="en-GB"/>
        </w:rPr>
        <w:t xml:space="preserve">is </w:t>
      </w:r>
      <w:r w:rsidR="00C353B8" w:rsidRPr="005633D9">
        <w:rPr>
          <w:szCs w:val="24"/>
          <w:lang w:val="en-GB"/>
        </w:rPr>
        <w:t>expected to finish by December 2014</w:t>
      </w:r>
      <w:r w:rsidRPr="005633D9">
        <w:rPr>
          <w:szCs w:val="24"/>
          <w:lang w:val="en-GB"/>
        </w:rPr>
        <w:t xml:space="preserve">. The qualitative data collection will follow the protocol outlined in Section </w:t>
      </w:r>
      <w:r w:rsidR="00060631" w:rsidRPr="005633D9">
        <w:rPr>
          <w:szCs w:val="24"/>
          <w:lang w:val="en-GB"/>
        </w:rPr>
        <w:fldChar w:fldCharType="begin"/>
      </w:r>
      <w:r w:rsidR="00060631" w:rsidRPr="005633D9">
        <w:rPr>
          <w:szCs w:val="24"/>
          <w:lang w:val="en-GB"/>
        </w:rPr>
        <w:instrText xml:space="preserve"> REF _Ref381360855 \r \h </w:instrText>
      </w:r>
      <w:r w:rsidR="00060631" w:rsidRPr="005633D9">
        <w:rPr>
          <w:szCs w:val="24"/>
          <w:lang w:val="en-GB"/>
        </w:rPr>
      </w:r>
      <w:r w:rsidR="00060631" w:rsidRPr="005633D9">
        <w:rPr>
          <w:szCs w:val="24"/>
          <w:lang w:val="en-GB"/>
        </w:rPr>
        <w:fldChar w:fldCharType="separate"/>
      </w:r>
      <w:r w:rsidR="00F33102">
        <w:rPr>
          <w:szCs w:val="24"/>
          <w:lang w:val="en-GB"/>
        </w:rPr>
        <w:t>3.4.2</w:t>
      </w:r>
      <w:r w:rsidR="00060631" w:rsidRPr="005633D9">
        <w:rPr>
          <w:szCs w:val="24"/>
          <w:lang w:val="en-GB"/>
        </w:rPr>
        <w:fldChar w:fldCharType="end"/>
      </w:r>
      <w:r w:rsidRPr="005633D9">
        <w:rPr>
          <w:szCs w:val="24"/>
          <w:lang w:val="en-GB"/>
        </w:rPr>
        <w:t xml:space="preserve"> of this document and involve semi-structured interviews with a variety of actors in the maize value chain as described in those sections. </w:t>
      </w:r>
      <w:r w:rsidR="00422CC3" w:rsidRPr="005633D9">
        <w:rPr>
          <w:szCs w:val="24"/>
          <w:lang w:val="en-GB"/>
        </w:rPr>
        <w:t>We will report t</w:t>
      </w:r>
      <w:r w:rsidRPr="005633D9">
        <w:rPr>
          <w:szCs w:val="24"/>
          <w:lang w:val="en-GB"/>
        </w:rPr>
        <w:t>he results from both data collection efforts in our baseline survey and qualitative assessment report</w:t>
      </w:r>
      <w:r w:rsidR="00422CC3" w:rsidRPr="005633D9">
        <w:rPr>
          <w:szCs w:val="24"/>
          <w:lang w:val="en-GB"/>
        </w:rPr>
        <w:t>, which we will</w:t>
      </w:r>
      <w:r w:rsidRPr="005633D9">
        <w:rPr>
          <w:szCs w:val="24"/>
          <w:lang w:val="en-GB"/>
        </w:rPr>
        <w:t xml:space="preserve"> submit to DFID in mid-2015.</w:t>
      </w:r>
    </w:p>
    <w:p w:rsidR="008F64B0" w:rsidRPr="005633D9" w:rsidRDefault="008F64B0" w:rsidP="000A26AA">
      <w:pPr>
        <w:pStyle w:val="Heading3"/>
        <w:rPr>
          <w:lang w:val="en-GB"/>
        </w:rPr>
      </w:pPr>
      <w:r w:rsidRPr="005633D9">
        <w:rPr>
          <w:lang w:val="en-GB"/>
        </w:rPr>
        <w:t>Ongoing qualitative assessment</w:t>
      </w:r>
    </w:p>
    <w:p w:rsidR="008F64B0" w:rsidRPr="005633D9" w:rsidRDefault="008F64B0" w:rsidP="008F64B0">
      <w:pPr>
        <w:rPr>
          <w:szCs w:val="24"/>
          <w:lang w:val="en-GB"/>
        </w:rPr>
      </w:pPr>
      <w:r w:rsidRPr="005633D9">
        <w:rPr>
          <w:lang w:val="en-GB"/>
        </w:rPr>
        <w:t>Following baseline data collection, the evaluation team will continually monitor the pilot implementation as part of our ongoing qualitative assessment. This will consist of regular communications with the Pilot Manager, the Secretariat, DFID, and the Steering Committee to keep track of any issues that arise, their importance to the pilot’s implementation, and how they are eventually resolved.</w:t>
      </w:r>
      <w:r w:rsidR="00243735" w:rsidRPr="005633D9">
        <w:rPr>
          <w:lang w:val="en-GB"/>
        </w:rPr>
        <w:t xml:space="preserve"> </w:t>
      </w:r>
      <w:r w:rsidRPr="005633D9">
        <w:rPr>
          <w:lang w:val="en-GB"/>
        </w:rPr>
        <w:t>This will continue up to the point of endline data.</w:t>
      </w:r>
    </w:p>
    <w:p w:rsidR="008F64B0" w:rsidRPr="005633D9" w:rsidRDefault="008F64B0" w:rsidP="000A26AA">
      <w:pPr>
        <w:pStyle w:val="Heading3"/>
        <w:rPr>
          <w:lang w:val="en-GB"/>
        </w:rPr>
      </w:pPr>
      <w:r w:rsidRPr="005633D9">
        <w:rPr>
          <w:lang w:val="en-GB"/>
        </w:rPr>
        <w:t>Endline data collection</w:t>
      </w:r>
    </w:p>
    <w:p w:rsidR="008F64B0" w:rsidRPr="005633D9" w:rsidRDefault="000A69D1" w:rsidP="008F64B0">
      <w:pPr>
        <w:pStyle w:val="BodyText"/>
      </w:pPr>
      <w:r w:rsidRPr="005633D9">
        <w:t>As discussed abo</w:t>
      </w:r>
      <w:r w:rsidR="002F305F" w:rsidRPr="005633D9">
        <w:t>v</w:t>
      </w:r>
      <w:r w:rsidRPr="005633D9">
        <w:t xml:space="preserve">e, the timing of the endline is yet to be determined, as it requires close </w:t>
      </w:r>
      <w:r w:rsidR="001C15C9" w:rsidRPr="005633D9">
        <w:t>coordination</w:t>
      </w:r>
      <w:r w:rsidRPr="005633D9">
        <w:t xml:space="preserve"> with the implementers (which will occur during workshop #3). Given this uncertainty, we </w:t>
      </w:r>
      <w:r w:rsidR="008F64B0" w:rsidRPr="005633D9">
        <w:t>will conduct the endline data collection in</w:t>
      </w:r>
      <w:r w:rsidRPr="005633D9">
        <w:t xml:space="preserve"> either March 2016 or March 2017, depending on the ability of implementers to change the sequencing of their implementation</w:t>
      </w:r>
      <w:r w:rsidR="008F64B0" w:rsidRPr="005633D9">
        <w:t xml:space="preserve">. </w:t>
      </w:r>
      <w:r w:rsidR="001C15C9" w:rsidRPr="005633D9">
        <w:t>Regardless of the year, s</w:t>
      </w:r>
      <w:r w:rsidR="00DB1B08" w:rsidRPr="005633D9">
        <w:t>urvey implementation</w:t>
      </w:r>
      <w:r w:rsidR="008F64B0" w:rsidRPr="005633D9">
        <w:t xml:space="preserve"> will correspond to the baseline data collection timeframe to eliminate bias that might arise in collecting farmers’ responses at different points in the planting and harvest cycle. Endline data collection must occur before</w:t>
      </w:r>
      <w:r w:rsidR="00243735" w:rsidRPr="005633D9">
        <w:t xml:space="preserve"> </w:t>
      </w:r>
      <w:r w:rsidR="008F64B0" w:rsidRPr="005633D9">
        <w:t>implementation begins</w:t>
      </w:r>
      <w:r w:rsidR="001C15C9" w:rsidRPr="005633D9">
        <w:t xml:space="preserve"> in Cohort C</w:t>
      </w:r>
      <w:r w:rsidR="008F64B0" w:rsidRPr="005633D9">
        <w:t xml:space="preserve">, since our impact analysis design relies on </w:t>
      </w:r>
      <w:r w:rsidR="001C15C9" w:rsidRPr="005633D9">
        <w:t>Cohort C</w:t>
      </w:r>
      <w:r w:rsidR="008F64B0" w:rsidRPr="005633D9">
        <w:t xml:space="preserve"> villages as the control group.</w:t>
      </w:r>
      <w:r w:rsidR="002B2B01" w:rsidRPr="005633D9">
        <w:t xml:space="preserve"> </w:t>
      </w:r>
      <w:r w:rsidR="00DB1B08" w:rsidRPr="005633D9">
        <w:lastRenderedPageBreak/>
        <w:t xml:space="preserve">We will also ensure </w:t>
      </w:r>
      <w:r w:rsidR="00422CC3" w:rsidRPr="005633D9">
        <w:t xml:space="preserve">that </w:t>
      </w:r>
      <w:r w:rsidR="00DB1B08" w:rsidRPr="005633D9">
        <w:t xml:space="preserve">the same training materials and data collection methodologies are used during the endline </w:t>
      </w:r>
      <w:r w:rsidR="00422CC3" w:rsidRPr="005633D9">
        <w:t xml:space="preserve">survey </w:t>
      </w:r>
      <w:r w:rsidR="00DB1B08" w:rsidRPr="005633D9">
        <w:t xml:space="preserve">in order to </w:t>
      </w:r>
      <w:r w:rsidR="00422CC3" w:rsidRPr="005633D9">
        <w:t xml:space="preserve">ensure </w:t>
      </w:r>
      <w:r w:rsidR="00DB1B08" w:rsidRPr="005633D9">
        <w:t>comparability across surveys. Ideally, the same survey firm will conduct the endline survey to mitigate any potential bias.</w:t>
      </w:r>
    </w:p>
    <w:p w:rsidR="008F64B0" w:rsidRPr="005633D9" w:rsidRDefault="008F64B0" w:rsidP="00CC5F98">
      <w:pPr>
        <w:pStyle w:val="Heading2"/>
        <w:rPr>
          <w:lang w:val="en-GB"/>
        </w:rPr>
      </w:pPr>
      <w:bookmarkStart w:id="69" w:name="_Toc407700420"/>
      <w:r w:rsidRPr="005633D9">
        <w:rPr>
          <w:lang w:val="en-GB"/>
        </w:rPr>
        <w:t xml:space="preserve">Deliverables and </w:t>
      </w:r>
      <w:r w:rsidR="00422CC3" w:rsidRPr="005633D9">
        <w:rPr>
          <w:lang w:val="en-GB"/>
        </w:rPr>
        <w:t>c</w:t>
      </w:r>
      <w:r w:rsidR="000E698B" w:rsidRPr="005633D9">
        <w:rPr>
          <w:lang w:val="en-GB"/>
        </w:rPr>
        <w:t xml:space="preserve">ommunication </w:t>
      </w:r>
      <w:r w:rsidRPr="005633D9">
        <w:rPr>
          <w:lang w:val="en-GB"/>
        </w:rPr>
        <w:t>plan</w:t>
      </w:r>
      <w:bookmarkEnd w:id="69"/>
    </w:p>
    <w:p w:rsidR="008F64B0" w:rsidRPr="005633D9" w:rsidRDefault="00355325" w:rsidP="008F64B0">
      <w:pPr>
        <w:pStyle w:val="BodyText"/>
      </w:pPr>
      <w:r w:rsidRPr="005633D9">
        <w:t>The</w:t>
      </w:r>
      <w:r w:rsidR="000A00D2" w:rsidRPr="005633D9">
        <w:t xml:space="preserve"> evaluation</w:t>
      </w:r>
      <w:r w:rsidR="007319D9" w:rsidRPr="005633D9">
        <w:t xml:space="preserve"> design and other details will be made public through</w:t>
      </w:r>
      <w:r w:rsidR="000A00D2" w:rsidRPr="005633D9">
        <w:t xml:space="preserve"> several channels</w:t>
      </w:r>
      <w:r w:rsidR="000B5C3E" w:rsidRPr="005633D9">
        <w:t xml:space="preserve">: </w:t>
      </w:r>
      <w:r w:rsidR="000A00D2" w:rsidRPr="005633D9">
        <w:t xml:space="preserve">we </w:t>
      </w:r>
      <w:r w:rsidR="00C353B8" w:rsidRPr="005633D9">
        <w:t xml:space="preserve">expect to </w:t>
      </w:r>
      <w:r w:rsidR="000A00D2" w:rsidRPr="005633D9">
        <w:t>register the design on</w:t>
      </w:r>
      <w:r w:rsidR="007319D9" w:rsidRPr="005633D9">
        <w:t xml:space="preserve"> the American Economic Association registry of Randomized Control Trials</w:t>
      </w:r>
      <w:r w:rsidR="000A00D2" w:rsidRPr="005633D9">
        <w:t xml:space="preserve"> and post all evaluation updates and reports updates </w:t>
      </w:r>
      <w:r w:rsidR="00B36DA7" w:rsidRPr="005633D9">
        <w:t xml:space="preserve">at the AgResults website, and where relevant </w:t>
      </w:r>
      <w:r w:rsidR="000B5C3E" w:rsidRPr="005633D9">
        <w:t xml:space="preserve">on the </w:t>
      </w:r>
      <w:r w:rsidR="000A00D2" w:rsidRPr="005633D9">
        <w:t>Abt Associates website and social media (</w:t>
      </w:r>
      <w:r w:rsidR="000B5C3E" w:rsidRPr="005633D9">
        <w:t xml:space="preserve">e.g., </w:t>
      </w:r>
      <w:r w:rsidR="000A00D2" w:rsidRPr="005633D9">
        <w:t>Facebook, Twitter)</w:t>
      </w:r>
      <w:r w:rsidR="00B36DA7" w:rsidRPr="005633D9">
        <w:t>. We will also provide updates on the evaluation at Steering Committee meetings.</w:t>
      </w:r>
      <w:r w:rsidR="00422CC3" w:rsidRPr="005633D9">
        <w:t xml:space="preserve"> </w:t>
      </w:r>
      <w:r w:rsidR="000B5C3E" w:rsidRPr="005633D9">
        <w:t>We will submit t</w:t>
      </w:r>
      <w:r w:rsidR="00623EBC" w:rsidRPr="005633D9">
        <w:t xml:space="preserve">he final </w:t>
      </w:r>
      <w:r w:rsidR="000A00D2" w:rsidRPr="005633D9">
        <w:t>baseline and endline reports to DFID for formal review</w:t>
      </w:r>
      <w:r w:rsidR="000B5C3E" w:rsidRPr="005633D9">
        <w:t>,</w:t>
      </w:r>
      <w:r w:rsidR="000A00D2" w:rsidRPr="005633D9">
        <w:t xml:space="preserve"> </w:t>
      </w:r>
      <w:r w:rsidR="00C353B8" w:rsidRPr="005633D9">
        <w:t>after which they</w:t>
      </w:r>
      <w:r w:rsidR="000B5C3E" w:rsidRPr="005633D9">
        <w:t xml:space="preserve"> </w:t>
      </w:r>
      <w:r w:rsidR="000A00D2" w:rsidRPr="005633D9">
        <w:t>will be posted on the DFID external website. As part of the evaluation results dissemination, the Abt team will also</w:t>
      </w:r>
      <w:r w:rsidR="00623EBC" w:rsidRPr="005633D9">
        <w:t xml:space="preserve"> </w:t>
      </w:r>
      <w:r w:rsidR="000A00D2" w:rsidRPr="005633D9">
        <w:t>pre</w:t>
      </w:r>
      <w:r w:rsidR="009C4F0F" w:rsidRPr="005633D9">
        <w:t>sent the salient lessons learnt</w:t>
      </w:r>
      <w:r w:rsidR="000A00D2" w:rsidRPr="005633D9">
        <w:t xml:space="preserve"> to the </w:t>
      </w:r>
      <w:r w:rsidR="006D2E05" w:rsidRPr="005633D9">
        <w:t>S</w:t>
      </w:r>
      <w:r w:rsidR="000A00D2" w:rsidRPr="005633D9">
        <w:t xml:space="preserve">teering </w:t>
      </w:r>
      <w:r w:rsidR="006D2E05" w:rsidRPr="005633D9">
        <w:t>C</w:t>
      </w:r>
      <w:r w:rsidR="000A00D2" w:rsidRPr="005633D9">
        <w:t>ommittee as a part of the dissemination workshop</w:t>
      </w:r>
      <w:r w:rsidR="00623EBC" w:rsidRPr="005633D9">
        <w:t>.</w:t>
      </w:r>
      <w:r w:rsidR="000A00D2" w:rsidRPr="005633D9">
        <w:t xml:space="preserve"> The content of this dissemination workshop will </w:t>
      </w:r>
      <w:r w:rsidR="000B5C3E" w:rsidRPr="005633D9">
        <w:t>be summarized in a one-</w:t>
      </w:r>
      <w:r w:rsidR="000A00D2" w:rsidRPr="005633D9">
        <w:t xml:space="preserve">page technical project summary, which will also be available on the Abt website and used as a tool to assist the </w:t>
      </w:r>
      <w:r w:rsidR="006D2E05" w:rsidRPr="005633D9">
        <w:t>S</w:t>
      </w:r>
      <w:r w:rsidR="000A00D2" w:rsidRPr="005633D9">
        <w:t>ecretariat</w:t>
      </w:r>
      <w:r w:rsidR="000B5C3E" w:rsidRPr="005633D9">
        <w:t>’s efforts</w:t>
      </w:r>
      <w:r w:rsidR="000A00D2" w:rsidRPr="005633D9">
        <w:t xml:space="preserve"> to further disseminate the evaluation results.</w:t>
      </w:r>
      <w:r w:rsidR="00623EBC" w:rsidRPr="005633D9">
        <w:t xml:space="preserve"> </w:t>
      </w:r>
      <w:r w:rsidR="000B5C3E" w:rsidRPr="005633D9">
        <w:t xml:space="preserve">We will submit </w:t>
      </w:r>
      <w:r w:rsidR="007319D9" w:rsidRPr="005633D9">
        <w:t>evaluation reports to DFID on the approximate dates</w:t>
      </w:r>
      <w:r w:rsidR="008B74CF" w:rsidRPr="005633D9">
        <w:t xml:space="preserve"> shown in </w:t>
      </w:r>
      <w:r w:rsidR="008B74CF" w:rsidRPr="005633D9">
        <w:fldChar w:fldCharType="begin"/>
      </w:r>
      <w:r w:rsidR="008B74CF" w:rsidRPr="005633D9">
        <w:instrText xml:space="preserve"> REF _Ref403489185 \h </w:instrText>
      </w:r>
      <w:r w:rsidR="008B74CF" w:rsidRPr="005633D9">
        <w:fldChar w:fldCharType="separate"/>
      </w:r>
      <w:r w:rsidR="00F33102" w:rsidRPr="005633D9">
        <w:t xml:space="preserve">Table </w:t>
      </w:r>
      <w:r w:rsidR="00F33102">
        <w:rPr>
          <w:noProof/>
        </w:rPr>
        <w:t>4</w:t>
      </w:r>
      <w:r w:rsidR="00F33102" w:rsidRPr="005633D9">
        <w:noBreakHyphen/>
      </w:r>
      <w:r w:rsidR="00F33102">
        <w:rPr>
          <w:noProof/>
        </w:rPr>
        <w:t>1</w:t>
      </w:r>
      <w:r w:rsidR="008B74CF" w:rsidRPr="005633D9">
        <w:fldChar w:fldCharType="end"/>
      </w:r>
      <w:r w:rsidR="008B74CF" w:rsidRPr="005633D9">
        <w:t>.</w:t>
      </w:r>
    </w:p>
    <w:p w:rsidR="008B74CF" w:rsidRPr="005633D9" w:rsidRDefault="008B74CF" w:rsidP="000B5C3E">
      <w:pPr>
        <w:pStyle w:val="Caption"/>
        <w:rPr>
          <w:lang w:val="en-GB"/>
        </w:rPr>
      </w:pPr>
      <w:bookmarkStart w:id="70" w:name="_Ref403489185"/>
      <w:bookmarkStart w:id="71" w:name="_Toc407700443"/>
      <w:r w:rsidRPr="005633D9">
        <w:rPr>
          <w:lang w:val="en-GB"/>
        </w:rPr>
        <w:t xml:space="preserve">Table </w:t>
      </w:r>
      <w:r w:rsidR="002222A4" w:rsidRPr="005633D9">
        <w:rPr>
          <w:lang w:val="en-GB"/>
        </w:rPr>
        <w:fldChar w:fldCharType="begin"/>
      </w:r>
      <w:r w:rsidR="002222A4" w:rsidRPr="005633D9">
        <w:rPr>
          <w:lang w:val="en-GB"/>
        </w:rPr>
        <w:instrText xml:space="preserve"> STYLEREF 1 \s </w:instrText>
      </w:r>
      <w:r w:rsidR="002222A4" w:rsidRPr="005633D9">
        <w:rPr>
          <w:lang w:val="en-GB"/>
        </w:rPr>
        <w:fldChar w:fldCharType="separate"/>
      </w:r>
      <w:r w:rsidR="00F33102">
        <w:rPr>
          <w:noProof/>
          <w:lang w:val="en-GB"/>
        </w:rPr>
        <w:t>4</w:t>
      </w:r>
      <w:r w:rsidR="002222A4" w:rsidRPr="005633D9">
        <w:rPr>
          <w:lang w:val="en-GB"/>
        </w:rPr>
        <w:fldChar w:fldCharType="end"/>
      </w:r>
      <w:r w:rsidRPr="005633D9">
        <w:rPr>
          <w:lang w:val="en-GB"/>
        </w:rPr>
        <w:noBreakHyphen/>
      </w:r>
      <w:r w:rsidR="002222A4" w:rsidRPr="005633D9">
        <w:rPr>
          <w:lang w:val="en-GB"/>
        </w:rPr>
        <w:fldChar w:fldCharType="begin"/>
      </w:r>
      <w:r w:rsidR="002222A4" w:rsidRPr="005633D9">
        <w:rPr>
          <w:lang w:val="en-GB"/>
        </w:rPr>
        <w:instrText xml:space="preserve"> SEQ Table \* ARABIC \s 1 </w:instrText>
      </w:r>
      <w:r w:rsidR="002222A4" w:rsidRPr="005633D9">
        <w:rPr>
          <w:lang w:val="en-GB"/>
        </w:rPr>
        <w:fldChar w:fldCharType="separate"/>
      </w:r>
      <w:r w:rsidR="00F33102">
        <w:rPr>
          <w:noProof/>
          <w:lang w:val="en-GB"/>
        </w:rPr>
        <w:t>1</w:t>
      </w:r>
      <w:r w:rsidR="002222A4" w:rsidRPr="005633D9">
        <w:rPr>
          <w:lang w:val="en-GB"/>
        </w:rPr>
        <w:fldChar w:fldCharType="end"/>
      </w:r>
      <w:bookmarkEnd w:id="70"/>
      <w:r w:rsidR="00A43987" w:rsidRPr="005633D9">
        <w:rPr>
          <w:lang w:val="en-GB"/>
        </w:rPr>
        <w:t>.</w:t>
      </w:r>
      <w:r w:rsidR="00A43987" w:rsidRPr="005633D9">
        <w:rPr>
          <w:lang w:val="en-GB"/>
        </w:rPr>
        <w:tab/>
      </w:r>
      <w:r w:rsidR="000B5C3E" w:rsidRPr="005633D9">
        <w:rPr>
          <w:lang w:val="en-GB"/>
        </w:rPr>
        <w:t xml:space="preserve">Projected </w:t>
      </w:r>
      <w:r w:rsidR="000A26AA" w:rsidRPr="005633D9">
        <w:rPr>
          <w:lang w:val="en-GB"/>
        </w:rPr>
        <w:t xml:space="preserve">submission dates </w:t>
      </w:r>
      <w:r w:rsidR="000B5C3E" w:rsidRPr="005633D9">
        <w:rPr>
          <w:lang w:val="en-GB"/>
        </w:rPr>
        <w:t xml:space="preserve">of AgResults </w:t>
      </w:r>
      <w:r w:rsidR="000A26AA" w:rsidRPr="005633D9">
        <w:rPr>
          <w:lang w:val="en-GB"/>
        </w:rPr>
        <w:t>evaluation reports</w:t>
      </w:r>
      <w:bookmarkEnd w:id="71"/>
    </w:p>
    <w:tbl>
      <w:tblPr>
        <w:tblStyle w:val="Abt"/>
        <w:tblW w:w="5000" w:type="pct"/>
        <w:tblLook w:val="04A0" w:firstRow="1" w:lastRow="0" w:firstColumn="1" w:lastColumn="0" w:noHBand="0" w:noVBand="1"/>
      </w:tblPr>
      <w:tblGrid>
        <w:gridCol w:w="4788"/>
        <w:gridCol w:w="4788"/>
      </w:tblGrid>
      <w:tr w:rsidR="008F64B0" w:rsidRPr="005633D9" w:rsidTr="001C75A0">
        <w:trPr>
          <w:cnfStyle w:val="100000000000" w:firstRow="1" w:lastRow="0" w:firstColumn="0" w:lastColumn="0" w:oddVBand="0" w:evenVBand="0" w:oddHBand="0" w:evenHBand="0" w:firstRowFirstColumn="0" w:firstRowLastColumn="0" w:lastRowFirstColumn="0" w:lastRowLastColumn="0"/>
        </w:trPr>
        <w:tc>
          <w:tcPr>
            <w:tcW w:w="3192" w:type="dxa"/>
          </w:tcPr>
          <w:p w:rsidR="008F64B0" w:rsidRPr="005633D9" w:rsidRDefault="008F64B0" w:rsidP="008F64B0">
            <w:pPr>
              <w:pStyle w:val="BodyText"/>
            </w:pPr>
            <w:r w:rsidRPr="005633D9">
              <w:t>Deliverable</w:t>
            </w:r>
          </w:p>
        </w:tc>
        <w:tc>
          <w:tcPr>
            <w:tcW w:w="3192" w:type="dxa"/>
          </w:tcPr>
          <w:p w:rsidR="008F64B0" w:rsidRPr="005633D9" w:rsidRDefault="001C75A0" w:rsidP="008F64B0">
            <w:pPr>
              <w:pStyle w:val="BodyText"/>
            </w:pPr>
            <w:r w:rsidRPr="005633D9">
              <w:t xml:space="preserve">Projected </w:t>
            </w:r>
            <w:r w:rsidR="00886354" w:rsidRPr="005633D9">
              <w:t>submission date</w:t>
            </w:r>
          </w:p>
        </w:tc>
      </w:tr>
      <w:tr w:rsidR="008F64B0" w:rsidRPr="005633D9" w:rsidTr="001C75A0">
        <w:trPr>
          <w:cnfStyle w:val="000000100000" w:firstRow="0" w:lastRow="0" w:firstColumn="0" w:lastColumn="0" w:oddVBand="0" w:evenVBand="0" w:oddHBand="1" w:evenHBand="0" w:firstRowFirstColumn="0" w:firstRowLastColumn="0" w:lastRowFirstColumn="0" w:lastRowLastColumn="0"/>
        </w:trPr>
        <w:tc>
          <w:tcPr>
            <w:tcW w:w="3192" w:type="dxa"/>
          </w:tcPr>
          <w:p w:rsidR="008F64B0" w:rsidRPr="005633D9" w:rsidRDefault="00886354" w:rsidP="008F64B0">
            <w:pPr>
              <w:pStyle w:val="BodyText"/>
            </w:pPr>
            <w:r w:rsidRPr="005633D9">
              <w:t>Baseline report</w:t>
            </w:r>
          </w:p>
        </w:tc>
        <w:tc>
          <w:tcPr>
            <w:tcW w:w="3192" w:type="dxa"/>
          </w:tcPr>
          <w:p w:rsidR="008F64B0" w:rsidRPr="005633D9" w:rsidRDefault="008F64B0" w:rsidP="008F64B0">
            <w:pPr>
              <w:pStyle w:val="BodyText"/>
            </w:pPr>
            <w:r w:rsidRPr="005633D9">
              <w:t>July 2015</w:t>
            </w:r>
          </w:p>
        </w:tc>
      </w:tr>
      <w:tr w:rsidR="008F64B0" w:rsidRPr="005633D9" w:rsidTr="001C75A0">
        <w:trPr>
          <w:cnfStyle w:val="000000010000" w:firstRow="0" w:lastRow="0" w:firstColumn="0" w:lastColumn="0" w:oddVBand="0" w:evenVBand="0" w:oddHBand="0" w:evenHBand="1" w:firstRowFirstColumn="0" w:firstRowLastColumn="0" w:lastRowFirstColumn="0" w:lastRowLastColumn="0"/>
        </w:trPr>
        <w:tc>
          <w:tcPr>
            <w:tcW w:w="3192" w:type="dxa"/>
          </w:tcPr>
          <w:p w:rsidR="008F64B0" w:rsidRPr="005633D9" w:rsidRDefault="00886354" w:rsidP="008F64B0">
            <w:pPr>
              <w:pStyle w:val="BodyText"/>
            </w:pPr>
            <w:r w:rsidRPr="005633D9">
              <w:t>Endline report</w:t>
            </w:r>
          </w:p>
        </w:tc>
        <w:tc>
          <w:tcPr>
            <w:tcW w:w="3192" w:type="dxa"/>
          </w:tcPr>
          <w:p w:rsidR="008F64B0" w:rsidRPr="005633D9" w:rsidRDefault="008F64B0" w:rsidP="008F64B0">
            <w:pPr>
              <w:pStyle w:val="BodyText"/>
            </w:pPr>
            <w:r w:rsidRPr="005633D9">
              <w:t>July 2017</w:t>
            </w:r>
          </w:p>
        </w:tc>
      </w:tr>
      <w:tr w:rsidR="00623EBC" w:rsidRPr="005633D9" w:rsidTr="001C75A0">
        <w:trPr>
          <w:cnfStyle w:val="000000100000" w:firstRow="0" w:lastRow="0" w:firstColumn="0" w:lastColumn="0" w:oddVBand="0" w:evenVBand="0" w:oddHBand="1" w:evenHBand="0" w:firstRowFirstColumn="0" w:firstRowLastColumn="0" w:lastRowFirstColumn="0" w:lastRowLastColumn="0"/>
        </w:trPr>
        <w:tc>
          <w:tcPr>
            <w:tcW w:w="3192" w:type="dxa"/>
          </w:tcPr>
          <w:p w:rsidR="00623EBC" w:rsidRPr="005633D9" w:rsidRDefault="002531CA" w:rsidP="008F64B0">
            <w:pPr>
              <w:pStyle w:val="BodyText"/>
            </w:pPr>
            <w:r w:rsidRPr="005633D9">
              <w:t>Dissemination</w:t>
            </w:r>
            <w:r w:rsidR="00886354" w:rsidRPr="005633D9">
              <w:t xml:space="preserve"> workshop report</w:t>
            </w:r>
          </w:p>
        </w:tc>
        <w:tc>
          <w:tcPr>
            <w:tcW w:w="3192" w:type="dxa"/>
          </w:tcPr>
          <w:p w:rsidR="00623EBC" w:rsidRPr="005633D9" w:rsidRDefault="002D7212" w:rsidP="00AC1804">
            <w:pPr>
              <w:pStyle w:val="BodyText"/>
              <w:tabs>
                <w:tab w:val="left" w:pos="638"/>
              </w:tabs>
            </w:pPr>
            <w:r w:rsidRPr="005633D9">
              <w:t>TBD</w:t>
            </w:r>
          </w:p>
        </w:tc>
      </w:tr>
    </w:tbl>
    <w:p w:rsidR="00210B61" w:rsidRPr="005633D9" w:rsidRDefault="00210B61" w:rsidP="008F64B0">
      <w:pPr>
        <w:pStyle w:val="BodyText"/>
      </w:pPr>
    </w:p>
    <w:p w:rsidR="000E698B" w:rsidRPr="005633D9" w:rsidRDefault="006D2E05" w:rsidP="008F64B0">
      <w:pPr>
        <w:pStyle w:val="BodyText"/>
      </w:pPr>
      <w:r w:rsidRPr="005633D9">
        <w:t>We will f</w:t>
      </w:r>
      <w:r w:rsidR="00210B61" w:rsidRPr="005633D9">
        <w:t>urther disseminat</w:t>
      </w:r>
      <w:r w:rsidRPr="005633D9">
        <w:t>e</w:t>
      </w:r>
      <w:r w:rsidR="00210B61" w:rsidRPr="005633D9">
        <w:t xml:space="preserve"> </w:t>
      </w:r>
      <w:r w:rsidRPr="005633D9">
        <w:t xml:space="preserve">project progress and results </w:t>
      </w:r>
      <w:r w:rsidR="00210B61" w:rsidRPr="005633D9">
        <w:t>through presentations, academic papers</w:t>
      </w:r>
      <w:r w:rsidRPr="005633D9">
        <w:t>,</w:t>
      </w:r>
      <w:r w:rsidR="00210B61" w:rsidRPr="005633D9">
        <w:t xml:space="preserve"> or other means </w:t>
      </w:r>
      <w:r w:rsidR="000E698B" w:rsidRPr="005633D9">
        <w:t>when opportunities arise</w:t>
      </w:r>
      <w:r w:rsidR="00210B61" w:rsidRPr="005633D9">
        <w:t>, as deemed appropriate by both the evaluation team and DFID.</w:t>
      </w:r>
      <w:r w:rsidR="000E698B" w:rsidRPr="005633D9">
        <w:t xml:space="preserve"> </w:t>
      </w:r>
      <w:r w:rsidR="000A00D2" w:rsidRPr="005633D9">
        <w:t xml:space="preserve">After completing the baseline survey and report, </w:t>
      </w:r>
      <w:r w:rsidRPr="005633D9">
        <w:t xml:space="preserve">the evaluation team will closely monitor </w:t>
      </w:r>
      <w:r w:rsidR="000A00D2" w:rsidRPr="005633D9">
        <w:t>the progress of pilot implementation and randomization adherence. In order to maintain frequent communication with the implementers, we will hold a brief meeting in Abuja, Nigeria</w:t>
      </w:r>
      <w:r w:rsidRPr="005633D9">
        <w:t>,</w:t>
      </w:r>
      <w:r w:rsidR="000A00D2" w:rsidRPr="005633D9">
        <w:t xml:space="preserve"> to ensure </w:t>
      </w:r>
      <w:r w:rsidRPr="005633D9">
        <w:t xml:space="preserve">adherence to </w:t>
      </w:r>
      <w:r w:rsidR="000A00D2" w:rsidRPr="005633D9">
        <w:t xml:space="preserve">randomization and to address any issues the implementers might be facing in regard to the randomization or the pilot in general. Throughout the pilot, </w:t>
      </w:r>
      <w:r w:rsidRPr="005633D9">
        <w:t xml:space="preserve">we will communicate </w:t>
      </w:r>
      <w:r w:rsidR="000A00D2" w:rsidRPr="005633D9">
        <w:t xml:space="preserve">evaluation updates to the Steering Committee on a biannual basis. </w:t>
      </w:r>
    </w:p>
    <w:p w:rsidR="008F64B0" w:rsidRPr="005633D9" w:rsidRDefault="008F64B0" w:rsidP="00691D3E">
      <w:pPr>
        <w:pStyle w:val="Heading2"/>
        <w:rPr>
          <w:lang w:val="en-GB"/>
        </w:rPr>
      </w:pPr>
      <w:bookmarkStart w:id="72" w:name="_Toc407700421"/>
      <w:r w:rsidRPr="005633D9">
        <w:rPr>
          <w:lang w:val="en-GB"/>
        </w:rPr>
        <w:t xml:space="preserve">Evaluation </w:t>
      </w:r>
      <w:r w:rsidR="00575C0C" w:rsidRPr="005633D9">
        <w:rPr>
          <w:lang w:val="en-GB"/>
        </w:rPr>
        <w:t>risks and mitigation approach</w:t>
      </w:r>
      <w:bookmarkEnd w:id="72"/>
    </w:p>
    <w:p w:rsidR="008F64B0" w:rsidRPr="005633D9" w:rsidRDefault="008F64B0" w:rsidP="008F64B0">
      <w:pPr>
        <w:pStyle w:val="BodyText"/>
      </w:pPr>
      <w:r w:rsidRPr="005633D9">
        <w:t>The risks associated with the evaluation of AgResults primarily apply to the quantitative protocol</w:t>
      </w:r>
      <w:r w:rsidR="00787823" w:rsidRPr="005633D9">
        <w:t>,</w:t>
      </w:r>
      <w:r w:rsidRPr="005633D9">
        <w:t xml:space="preserve"> as the qualitative survey is more flexible and therefore presents fewer technical risks. The </w:t>
      </w:r>
      <w:r w:rsidR="007E6A18" w:rsidRPr="005633D9">
        <w:t>one</w:t>
      </w:r>
      <w:r w:rsidRPr="005633D9">
        <w:t xml:space="preserve"> overarching risk to both the qualitative and quantitative surveys is the security situation in Northern Nigeria. Security concerns during baseline surveys can delay our work and increase the risk that implementation occurs before the baseline surveys are completed. Any changes in implementation because of security concerns after </w:t>
      </w:r>
      <w:r w:rsidR="00787823" w:rsidRPr="005633D9">
        <w:t xml:space="preserve">the </w:t>
      </w:r>
      <w:r w:rsidRPr="005633D9">
        <w:t xml:space="preserve">baseline survey is completed will reduce the number of usable observations for our analysis. </w:t>
      </w:r>
      <w:r w:rsidR="00836FD2" w:rsidRPr="005633D9">
        <w:t>The</w:t>
      </w:r>
      <w:r w:rsidRPr="005633D9">
        <w:t xml:space="preserve"> spread of Ebola </w:t>
      </w:r>
      <w:r w:rsidR="00787823" w:rsidRPr="005633D9">
        <w:t xml:space="preserve">virus </w:t>
      </w:r>
      <w:r w:rsidRPr="005633D9">
        <w:t>ha</w:t>
      </w:r>
      <w:r w:rsidR="00836FD2" w:rsidRPr="005633D9">
        <w:t>d</w:t>
      </w:r>
      <w:r w:rsidRPr="005633D9">
        <w:t xml:space="preserve"> begun to present health risks</w:t>
      </w:r>
      <w:r w:rsidR="00F81E8B" w:rsidRPr="005633D9">
        <w:t>,</w:t>
      </w:r>
      <w:r w:rsidRPr="005633D9">
        <w:t xml:space="preserve"> </w:t>
      </w:r>
      <w:r w:rsidR="00836FD2" w:rsidRPr="005633D9">
        <w:t>but on October 20, 2014</w:t>
      </w:r>
      <w:r w:rsidR="00F81E8B" w:rsidRPr="005633D9">
        <w:t>,</w:t>
      </w:r>
      <w:r w:rsidR="00836FD2" w:rsidRPr="005633D9">
        <w:t xml:space="preserve"> Nigeria was declared Ebola free</w:t>
      </w:r>
      <w:r w:rsidRPr="005633D9">
        <w:t xml:space="preserve">. </w:t>
      </w:r>
      <w:r w:rsidR="00F81E8B" w:rsidRPr="005633D9">
        <w:t>Although t</w:t>
      </w:r>
      <w:r w:rsidRPr="005633D9">
        <w:t>he spread of the virus</w:t>
      </w:r>
      <w:r w:rsidR="00836FD2" w:rsidRPr="005633D9">
        <w:t xml:space="preserve"> </w:t>
      </w:r>
      <w:r w:rsidRPr="005633D9">
        <w:t xml:space="preserve">is currently not </w:t>
      </w:r>
      <w:r w:rsidR="00836FD2" w:rsidRPr="005633D9">
        <w:t>a concern</w:t>
      </w:r>
      <w:r w:rsidRPr="005633D9">
        <w:t xml:space="preserve">, </w:t>
      </w:r>
      <w:r w:rsidR="00836FD2" w:rsidRPr="005633D9">
        <w:t>the</w:t>
      </w:r>
      <w:r w:rsidRPr="005633D9">
        <w:t xml:space="preserve"> Abt team will monitor the situation closely.</w:t>
      </w:r>
    </w:p>
    <w:p w:rsidR="004910F0" w:rsidRPr="005633D9" w:rsidRDefault="0085043E" w:rsidP="008F64B0">
      <w:pPr>
        <w:pStyle w:val="BodyText"/>
      </w:pPr>
      <w:r w:rsidRPr="005633D9">
        <w:rPr>
          <w:b/>
        </w:rPr>
        <w:lastRenderedPageBreak/>
        <w:t xml:space="preserve">Risk of Non-Adherence to Randomization: </w:t>
      </w:r>
      <w:r w:rsidR="008F64B0" w:rsidRPr="005633D9">
        <w:t xml:space="preserve">Aside from changes in the scope of implementation, the most significant risk to the quantitative protocol is the potential of implementers compromising the integrity of the random assignment. Our approach leverages </w:t>
      </w:r>
      <w:r w:rsidR="004910F0" w:rsidRPr="005633D9">
        <w:t xml:space="preserve">the </w:t>
      </w:r>
      <w:r w:rsidR="008F64B0" w:rsidRPr="005633D9">
        <w:t>implementers</w:t>
      </w:r>
      <w:r w:rsidR="004910F0" w:rsidRPr="005633D9">
        <w:t>’</w:t>
      </w:r>
      <w:r w:rsidR="008F64B0" w:rsidRPr="005633D9">
        <w:t xml:space="preserve"> phasing plan, and implies that implementers commence the programs in the mutually agreed sequence. </w:t>
      </w:r>
      <w:r w:rsidR="004910F0" w:rsidRPr="005633D9">
        <w:t xml:space="preserve">We </w:t>
      </w:r>
      <w:r w:rsidR="001C75A0" w:rsidRPr="005633D9">
        <w:t xml:space="preserve">have and </w:t>
      </w:r>
      <w:r w:rsidR="004910F0" w:rsidRPr="005633D9">
        <w:t xml:space="preserve">will </w:t>
      </w:r>
      <w:r w:rsidR="001C75A0" w:rsidRPr="005633D9">
        <w:t xml:space="preserve">continue to </w:t>
      </w:r>
      <w:r w:rsidR="004910F0" w:rsidRPr="005633D9">
        <w:t>identify t</w:t>
      </w:r>
      <w:r w:rsidR="008F64B0" w:rsidRPr="005633D9">
        <w:t xml:space="preserve">he sequence of villages in close coordination with each implementer by identifying lists of villages they expect to work with over the next </w:t>
      </w:r>
      <w:r w:rsidR="007E6A18" w:rsidRPr="005633D9">
        <w:t>three</w:t>
      </w:r>
      <w:r w:rsidR="001C15C9" w:rsidRPr="005633D9">
        <w:t xml:space="preserve"> </w:t>
      </w:r>
      <w:r w:rsidR="008F64B0" w:rsidRPr="005633D9">
        <w:t xml:space="preserve">years. </w:t>
      </w:r>
    </w:p>
    <w:p w:rsidR="001C75A0" w:rsidRPr="005633D9" w:rsidRDefault="008F64B0" w:rsidP="008F64B0">
      <w:pPr>
        <w:pStyle w:val="BodyText"/>
      </w:pPr>
      <w:r w:rsidRPr="005633D9">
        <w:t xml:space="preserve">We employ several mechanisms to mitigate </w:t>
      </w:r>
      <w:r w:rsidR="004910F0" w:rsidRPr="005633D9">
        <w:t xml:space="preserve">the </w:t>
      </w:r>
      <w:r w:rsidRPr="005633D9">
        <w:t>risk</w:t>
      </w:r>
      <w:r w:rsidR="004910F0" w:rsidRPr="005633D9">
        <w:t xml:space="preserve"> of non-adherence to randomization</w:t>
      </w:r>
      <w:r w:rsidRPr="005633D9">
        <w:t>: First, we will ensure that all implementers clearly underst</w:t>
      </w:r>
      <w:r w:rsidR="007E6A18" w:rsidRPr="005633D9">
        <w:t>and</w:t>
      </w:r>
      <w:r w:rsidRPr="005633D9">
        <w:t xml:space="preserve"> our approach, are completely comfortable with the plan</w:t>
      </w:r>
      <w:r w:rsidR="004910F0" w:rsidRPr="005633D9">
        <w:t>,</w:t>
      </w:r>
      <w:r w:rsidRPr="005633D9">
        <w:t xml:space="preserve"> and understand the alternative options if this approach does not work for them. Second, during our initial discussion we ran example randomizations to explain how village randomization works, and what it would mean when executed. Third, we are sharing the list of sampled farmers with the </w:t>
      </w:r>
      <w:r w:rsidR="00E162A5" w:rsidRPr="005633D9">
        <w:t xml:space="preserve">Pilot Manager </w:t>
      </w:r>
      <w:r w:rsidRPr="005633D9">
        <w:t xml:space="preserve">and the implementers so that they have clear documentation </w:t>
      </w:r>
      <w:r w:rsidR="00E162A5" w:rsidRPr="005633D9">
        <w:t>showing</w:t>
      </w:r>
      <w:r w:rsidRPr="005633D9">
        <w:t xml:space="preserve"> which farmers belong to which group; </w:t>
      </w:r>
      <w:r w:rsidR="00E162A5" w:rsidRPr="005633D9">
        <w:t>and thus</w:t>
      </w:r>
      <w:r w:rsidRPr="005633D9">
        <w:t xml:space="preserve"> know </w:t>
      </w:r>
      <w:r w:rsidR="00E162A5" w:rsidRPr="005633D9">
        <w:t xml:space="preserve">not </w:t>
      </w:r>
      <w:r w:rsidRPr="005633D9">
        <w:t xml:space="preserve">to intervene with </w:t>
      </w:r>
      <w:r w:rsidR="00836FD2" w:rsidRPr="005633D9">
        <w:t>Cohort C</w:t>
      </w:r>
      <w:r w:rsidRPr="005633D9">
        <w:t xml:space="preserve"> farmers until year 3</w:t>
      </w:r>
      <w:r w:rsidR="001C15C9" w:rsidRPr="005633D9">
        <w:t xml:space="preserve"> (or year 4, depending on the timing of the endline)</w:t>
      </w:r>
      <w:r w:rsidRPr="005633D9">
        <w:t xml:space="preserve">. Lastly, we have designed our sampling to purposefully oversample the control villages. This will protect against the risk of losing any control villages due to non-adherence. </w:t>
      </w:r>
      <w:r w:rsidR="001C75A0" w:rsidRPr="005633D9">
        <w:t>In addition, as a last measure</w:t>
      </w:r>
      <w:r w:rsidR="007E6A18" w:rsidRPr="005633D9">
        <w:t xml:space="preserve"> should—in the extreme—</w:t>
      </w:r>
      <w:r w:rsidR="001C75A0" w:rsidRPr="005633D9">
        <w:t xml:space="preserve">no implementers adhere to the randomization, we have expanded the sample of comparison villages from LGAs that the AgResults pilot will not work in and </w:t>
      </w:r>
      <w:r w:rsidR="007E6A18" w:rsidRPr="005633D9">
        <w:t>would</w:t>
      </w:r>
      <w:r w:rsidR="001C75A0" w:rsidRPr="005633D9">
        <w:t xml:space="preserve"> use these villages to implement a </w:t>
      </w:r>
      <w:r w:rsidR="007E6A18" w:rsidRPr="005633D9">
        <w:t>quasi-experimental analysis of impact in this contingency</w:t>
      </w:r>
      <w:r w:rsidR="001C75A0" w:rsidRPr="005633D9">
        <w:t xml:space="preserve">. </w:t>
      </w:r>
    </w:p>
    <w:p w:rsidR="008F64B0" w:rsidRPr="005633D9" w:rsidRDefault="008F64B0" w:rsidP="008F64B0">
      <w:pPr>
        <w:pStyle w:val="BodyText"/>
      </w:pPr>
      <w:r w:rsidRPr="005633D9">
        <w:t xml:space="preserve">Even when implementers adhere to the randomized sequence of villages, there is a risk that they could begin implementation before the baseline occurs, as the planting season depends on rain. Early rains in some regions have led us to adjust the scheduling of our survey in order to prioritize those villages whose planting season has come earlier than expected. For this reason, we have decided to conduct the baseline as early as possible, in order to avoid this risk completely. Additionally, our baseline survey data analysis will conduct a check to see if responses from these farmers indicate that any AgResults interventions had begun before the data </w:t>
      </w:r>
      <w:r w:rsidR="009920B9" w:rsidRPr="005633D9">
        <w:t>were</w:t>
      </w:r>
      <w:r w:rsidRPr="005633D9">
        <w:t xml:space="preserve"> collected. </w:t>
      </w:r>
    </w:p>
    <w:p w:rsidR="008F64B0" w:rsidRPr="005633D9" w:rsidRDefault="007E6A18" w:rsidP="008F64B0">
      <w:pPr>
        <w:pStyle w:val="BodyText"/>
      </w:pPr>
      <w:r w:rsidRPr="005633D9">
        <w:rPr>
          <w:b/>
          <w:szCs w:val="24"/>
        </w:rPr>
        <w:t xml:space="preserve">Survey Data Collection Risks: </w:t>
      </w:r>
      <w:r w:rsidRPr="005633D9">
        <w:t>O</w:t>
      </w:r>
      <w:r w:rsidR="008F64B0" w:rsidRPr="005633D9">
        <w:t>nce the villages and farmers are randomized, survey firms may find it hard to locate the farmers on the lists. In the ongoing field operations</w:t>
      </w:r>
      <w:r w:rsidR="003148B6" w:rsidRPr="005633D9">
        <w:t>,</w:t>
      </w:r>
      <w:r w:rsidR="008F64B0" w:rsidRPr="005633D9">
        <w:t xml:space="preserve"> this issue has arisen several times. This risk is being mitigated by contractually obligating the survey firm to coordinate with the implementers before beginning the survey in a given village. This communication is meant to verify the farmer lists and also ensure that the appropriate village authorities are aware of our survey team’s arrival. For the endline, the same risks apply since we must contact the same farmers for a follow</w:t>
      </w:r>
      <w:r w:rsidR="003148B6" w:rsidRPr="005633D9">
        <w:t>-</w:t>
      </w:r>
      <w:r w:rsidR="008F64B0" w:rsidRPr="005633D9">
        <w:t xml:space="preserve">up survey. To mitigate this risk, we </w:t>
      </w:r>
      <w:r w:rsidRPr="005633D9">
        <w:t>will</w:t>
      </w:r>
      <w:r w:rsidR="003148B6" w:rsidRPr="005633D9">
        <w:t xml:space="preserve"> collect </w:t>
      </w:r>
      <w:r w:rsidR="00F65938" w:rsidRPr="005633D9">
        <w:t xml:space="preserve">mobile </w:t>
      </w:r>
      <w:r w:rsidR="008F64B0" w:rsidRPr="005633D9">
        <w:t xml:space="preserve">phone numbers </w:t>
      </w:r>
      <w:r w:rsidRPr="005633D9">
        <w:t>of baseline respondents where</w:t>
      </w:r>
      <w:r w:rsidR="008F64B0" w:rsidRPr="005633D9">
        <w:t xml:space="preserve"> possible. For all respondents, we are collecting GPS coordinates, which should significantly reduce the risks of high attrition.</w:t>
      </w:r>
    </w:p>
    <w:p w:rsidR="008F64B0" w:rsidRPr="005633D9" w:rsidRDefault="0085043E" w:rsidP="008F64B0">
      <w:pPr>
        <w:rPr>
          <w:szCs w:val="24"/>
          <w:lang w:val="en-GB"/>
        </w:rPr>
      </w:pPr>
      <w:r w:rsidRPr="005633D9">
        <w:rPr>
          <w:szCs w:val="24"/>
          <w:lang w:val="en-GB"/>
        </w:rPr>
        <w:t xml:space="preserve">Several risks can undermine collection of quality data. </w:t>
      </w:r>
      <w:r w:rsidR="008F64B0" w:rsidRPr="005633D9">
        <w:rPr>
          <w:szCs w:val="24"/>
          <w:lang w:val="en-GB"/>
        </w:rPr>
        <w:t xml:space="preserve">The timing of </w:t>
      </w:r>
      <w:r w:rsidRPr="005633D9">
        <w:rPr>
          <w:szCs w:val="24"/>
          <w:lang w:val="en-GB"/>
        </w:rPr>
        <w:t xml:space="preserve">the </w:t>
      </w:r>
      <w:r w:rsidR="008F64B0" w:rsidRPr="005633D9">
        <w:rPr>
          <w:szCs w:val="24"/>
          <w:lang w:val="en-GB"/>
        </w:rPr>
        <w:t xml:space="preserve">survey presents some risks. Given the timeline for the implementation (begins during planting season, as opposed to harvest season); our </w:t>
      </w:r>
      <w:r w:rsidRPr="005633D9">
        <w:rPr>
          <w:szCs w:val="24"/>
          <w:lang w:val="en-GB"/>
        </w:rPr>
        <w:t>surveys have</w:t>
      </w:r>
      <w:r w:rsidR="008F64B0" w:rsidRPr="005633D9">
        <w:rPr>
          <w:szCs w:val="24"/>
          <w:lang w:val="en-GB"/>
        </w:rPr>
        <w:t xml:space="preserve"> to rely on farmer recall of the previous ye</w:t>
      </w:r>
      <w:r w:rsidR="00F65938" w:rsidRPr="005633D9">
        <w:rPr>
          <w:szCs w:val="24"/>
          <w:lang w:val="en-GB"/>
        </w:rPr>
        <w:t>ar’s harvest. Insofar as farmer</w:t>
      </w:r>
      <w:r w:rsidR="008F64B0" w:rsidRPr="005633D9">
        <w:rPr>
          <w:szCs w:val="24"/>
          <w:lang w:val="en-GB"/>
        </w:rPr>
        <w:t>s</w:t>
      </w:r>
      <w:r w:rsidR="00F65938" w:rsidRPr="005633D9">
        <w:rPr>
          <w:szCs w:val="24"/>
          <w:lang w:val="en-GB"/>
        </w:rPr>
        <w:t>’</w:t>
      </w:r>
      <w:r w:rsidR="008F64B0" w:rsidRPr="005633D9">
        <w:rPr>
          <w:szCs w:val="24"/>
          <w:lang w:val="en-GB"/>
        </w:rPr>
        <w:t xml:space="preserve"> recall of harvest quantities deteriorates over time, it presents a risk in the accuracy of responses.</w:t>
      </w:r>
      <w:r w:rsidR="00243735" w:rsidRPr="005633D9">
        <w:rPr>
          <w:szCs w:val="24"/>
          <w:lang w:val="en-GB"/>
        </w:rPr>
        <w:t xml:space="preserve"> </w:t>
      </w:r>
      <w:r w:rsidR="008F64B0" w:rsidRPr="005633D9">
        <w:rPr>
          <w:szCs w:val="24"/>
          <w:lang w:val="en-GB"/>
        </w:rPr>
        <w:t xml:space="preserve">Conducting the survey in </w:t>
      </w:r>
      <w:r w:rsidR="009973F8" w:rsidRPr="005633D9">
        <w:rPr>
          <w:szCs w:val="24"/>
          <w:lang w:val="en-GB"/>
        </w:rPr>
        <w:t xml:space="preserve">March </w:t>
      </w:r>
      <w:r w:rsidR="008F64B0" w:rsidRPr="005633D9">
        <w:rPr>
          <w:szCs w:val="24"/>
          <w:lang w:val="en-GB"/>
        </w:rPr>
        <w:t>mitigates this risk</w:t>
      </w:r>
      <w:r w:rsidR="009973F8" w:rsidRPr="005633D9">
        <w:rPr>
          <w:szCs w:val="24"/>
          <w:lang w:val="en-GB"/>
        </w:rPr>
        <w:t xml:space="preserve"> somewhat</w:t>
      </w:r>
      <w:r w:rsidR="008F64B0" w:rsidRPr="005633D9">
        <w:rPr>
          <w:szCs w:val="24"/>
          <w:lang w:val="en-GB"/>
        </w:rPr>
        <w:t>, since farmers will only h</w:t>
      </w:r>
      <w:r w:rsidR="00F65938" w:rsidRPr="005633D9">
        <w:rPr>
          <w:szCs w:val="24"/>
          <w:lang w:val="en-GB"/>
        </w:rPr>
        <w:t>ave to recall harvest numbers f</w:t>
      </w:r>
      <w:r w:rsidR="008F64B0" w:rsidRPr="005633D9">
        <w:rPr>
          <w:szCs w:val="24"/>
          <w:lang w:val="en-GB"/>
        </w:rPr>
        <w:t>r</w:t>
      </w:r>
      <w:r w:rsidR="00F65938" w:rsidRPr="005633D9">
        <w:rPr>
          <w:szCs w:val="24"/>
          <w:lang w:val="en-GB"/>
        </w:rPr>
        <w:t>o</w:t>
      </w:r>
      <w:r w:rsidR="008F64B0" w:rsidRPr="005633D9">
        <w:rPr>
          <w:szCs w:val="24"/>
          <w:lang w:val="en-GB"/>
        </w:rPr>
        <w:t xml:space="preserve">m </w:t>
      </w:r>
      <w:r w:rsidR="009973F8" w:rsidRPr="005633D9">
        <w:rPr>
          <w:szCs w:val="24"/>
          <w:lang w:val="en-GB"/>
        </w:rPr>
        <w:t xml:space="preserve">four </w:t>
      </w:r>
      <w:r w:rsidR="008F64B0" w:rsidRPr="005633D9">
        <w:rPr>
          <w:szCs w:val="24"/>
          <w:lang w:val="en-GB"/>
        </w:rPr>
        <w:t xml:space="preserve">months prior, and most sales </w:t>
      </w:r>
      <w:r w:rsidR="009973F8" w:rsidRPr="005633D9">
        <w:rPr>
          <w:szCs w:val="24"/>
          <w:lang w:val="en-GB"/>
        </w:rPr>
        <w:t>would have take</w:t>
      </w:r>
      <w:r w:rsidR="008C7D5F">
        <w:rPr>
          <w:szCs w:val="24"/>
          <w:lang w:val="en-GB"/>
        </w:rPr>
        <w:t>n</w:t>
      </w:r>
      <w:r w:rsidR="009973F8" w:rsidRPr="005633D9">
        <w:rPr>
          <w:szCs w:val="24"/>
          <w:lang w:val="en-GB"/>
        </w:rPr>
        <w:t xml:space="preserve"> place recently</w:t>
      </w:r>
      <w:r w:rsidR="008F64B0" w:rsidRPr="005633D9">
        <w:rPr>
          <w:szCs w:val="24"/>
          <w:lang w:val="en-GB"/>
        </w:rPr>
        <w:t xml:space="preserve">. The biggest risk of </w:t>
      </w:r>
      <w:r w:rsidRPr="005633D9">
        <w:rPr>
          <w:szCs w:val="24"/>
          <w:lang w:val="en-GB"/>
        </w:rPr>
        <w:t xml:space="preserve">the baseline survey </w:t>
      </w:r>
      <w:r w:rsidR="008F64B0" w:rsidRPr="005633D9">
        <w:rPr>
          <w:szCs w:val="24"/>
          <w:lang w:val="en-GB"/>
        </w:rPr>
        <w:t xml:space="preserve">is that fieldwork </w:t>
      </w:r>
      <w:r w:rsidR="009973F8" w:rsidRPr="005633D9">
        <w:rPr>
          <w:szCs w:val="24"/>
          <w:lang w:val="en-GB"/>
        </w:rPr>
        <w:t xml:space="preserve">cannot be done in February </w:t>
      </w:r>
      <w:r w:rsidR="009973F8" w:rsidRPr="005633D9">
        <w:rPr>
          <w:szCs w:val="24"/>
          <w:lang w:val="en-GB"/>
        </w:rPr>
        <w:lastRenderedPageBreak/>
        <w:t xml:space="preserve">because of </w:t>
      </w:r>
      <w:r w:rsidR="008F64B0" w:rsidRPr="005633D9">
        <w:rPr>
          <w:szCs w:val="24"/>
          <w:lang w:val="en-GB"/>
        </w:rPr>
        <w:t xml:space="preserve">the elections in mid-February. We anticipate increased political volatility and potential for violence in the northern states during the few days surrounding the election, and do not want to put our team at risk by conducting fieldwork during that time. </w:t>
      </w:r>
      <w:r w:rsidR="009973F8" w:rsidRPr="005633D9">
        <w:rPr>
          <w:szCs w:val="24"/>
          <w:lang w:val="en-GB"/>
        </w:rPr>
        <w:t xml:space="preserve">Conducting </w:t>
      </w:r>
      <w:r w:rsidR="008C7D5F">
        <w:rPr>
          <w:szCs w:val="24"/>
          <w:lang w:val="en-GB"/>
        </w:rPr>
        <w:t xml:space="preserve">the </w:t>
      </w:r>
      <w:r w:rsidR="009973F8" w:rsidRPr="005633D9">
        <w:rPr>
          <w:szCs w:val="24"/>
          <w:lang w:val="en-GB"/>
        </w:rPr>
        <w:t>survey in March does</w:t>
      </w:r>
      <w:r w:rsidR="008F64B0" w:rsidRPr="005633D9">
        <w:rPr>
          <w:szCs w:val="24"/>
          <w:lang w:val="en-GB"/>
        </w:rPr>
        <w:t xml:space="preserve"> not affect the data quality or suffer from increased recall bias, but does have a slightly higher risk of </w:t>
      </w:r>
      <w:r w:rsidR="009973F8" w:rsidRPr="005633D9">
        <w:rPr>
          <w:szCs w:val="24"/>
          <w:lang w:val="en-GB"/>
        </w:rPr>
        <w:t xml:space="preserve">us pushing against </w:t>
      </w:r>
      <w:r w:rsidR="008F64B0" w:rsidRPr="005633D9">
        <w:rPr>
          <w:szCs w:val="24"/>
          <w:lang w:val="en-GB"/>
        </w:rPr>
        <w:t>the planting season</w:t>
      </w:r>
      <w:r w:rsidR="009973F8" w:rsidRPr="005633D9">
        <w:rPr>
          <w:szCs w:val="24"/>
          <w:lang w:val="en-GB"/>
        </w:rPr>
        <w:t xml:space="preserve"> and therefore </w:t>
      </w:r>
      <w:r w:rsidR="008C7D5F">
        <w:rPr>
          <w:szCs w:val="24"/>
          <w:lang w:val="en-GB"/>
        </w:rPr>
        <w:t xml:space="preserve">the </w:t>
      </w:r>
      <w:r w:rsidR="009973F8" w:rsidRPr="005633D9">
        <w:rPr>
          <w:szCs w:val="24"/>
          <w:lang w:val="en-GB"/>
        </w:rPr>
        <w:t>beginning of implementation</w:t>
      </w:r>
      <w:r w:rsidR="008F64B0" w:rsidRPr="005633D9">
        <w:rPr>
          <w:szCs w:val="24"/>
          <w:lang w:val="en-GB"/>
        </w:rPr>
        <w:t>. Whatever point in time we finally conduct the baseline survey, we will conduct the endline survey during the exact same time</w:t>
      </w:r>
      <w:r w:rsidR="001D7812" w:rsidRPr="005633D9">
        <w:rPr>
          <w:szCs w:val="24"/>
          <w:lang w:val="en-GB"/>
        </w:rPr>
        <w:t xml:space="preserve"> of year</w:t>
      </w:r>
      <w:r w:rsidR="008F64B0" w:rsidRPr="005633D9">
        <w:rPr>
          <w:szCs w:val="24"/>
          <w:lang w:val="en-GB"/>
        </w:rPr>
        <w:t xml:space="preserve">, in order to minimize any bias resulting from seasonality. </w:t>
      </w:r>
    </w:p>
    <w:p w:rsidR="006E4D5B" w:rsidRDefault="009973F8" w:rsidP="008F64B0">
      <w:pPr>
        <w:rPr>
          <w:szCs w:val="24"/>
          <w:lang w:val="en-GB"/>
        </w:rPr>
      </w:pPr>
      <w:r w:rsidRPr="005633D9">
        <w:rPr>
          <w:szCs w:val="24"/>
          <w:lang w:val="en-GB"/>
        </w:rPr>
        <w:t>In addition, there are risks associated with the quality of data if enumerators and their supervisors do not understand the survey instrument, make mistakes in interpretation</w:t>
      </w:r>
      <w:r w:rsidR="008C7D5F">
        <w:rPr>
          <w:szCs w:val="24"/>
          <w:lang w:val="en-GB"/>
        </w:rPr>
        <w:t>,</w:t>
      </w:r>
      <w:r w:rsidRPr="005633D9">
        <w:rPr>
          <w:szCs w:val="24"/>
          <w:lang w:val="en-GB"/>
        </w:rPr>
        <w:t xml:space="preserve"> or simply do not conduct the interview and enter fake data. To mitigate this risk, as part of our quality control protocol we will participate in enumerator training by convening the enumerators in a place where Abt staff can travel. We will also travel to the field to conduct </w:t>
      </w:r>
      <w:r w:rsidR="00A0528C" w:rsidRPr="005633D9">
        <w:rPr>
          <w:szCs w:val="24"/>
          <w:lang w:val="en-GB"/>
        </w:rPr>
        <w:t xml:space="preserve">the </w:t>
      </w:r>
      <w:r w:rsidRPr="005633D9">
        <w:rPr>
          <w:szCs w:val="24"/>
          <w:lang w:val="en-GB"/>
        </w:rPr>
        <w:t xml:space="preserve">pretest at a location where security </w:t>
      </w:r>
      <w:r w:rsidR="00B42A07" w:rsidRPr="005633D9">
        <w:rPr>
          <w:szCs w:val="24"/>
          <w:lang w:val="en-GB"/>
        </w:rPr>
        <w:t>is not a concern. Overall,</w:t>
      </w:r>
      <w:r w:rsidR="001F34B4">
        <w:rPr>
          <w:szCs w:val="24"/>
          <w:lang w:val="en-GB"/>
        </w:rPr>
        <w:t xml:space="preserve"> </w:t>
      </w:r>
      <w:r w:rsidR="00B42A07" w:rsidRPr="005633D9">
        <w:rPr>
          <w:szCs w:val="24"/>
          <w:lang w:val="en-GB"/>
        </w:rPr>
        <w:t>we will implement</w:t>
      </w:r>
      <w:r w:rsidR="008F64B0" w:rsidRPr="005633D9">
        <w:rPr>
          <w:szCs w:val="24"/>
          <w:lang w:val="en-GB"/>
        </w:rPr>
        <w:t xml:space="preserve"> a data quality control plan that the evaluation team </w:t>
      </w:r>
      <w:r w:rsidR="001D7812" w:rsidRPr="005633D9">
        <w:rPr>
          <w:szCs w:val="24"/>
          <w:lang w:val="en-GB"/>
        </w:rPr>
        <w:t xml:space="preserve">designed </w:t>
      </w:r>
      <w:r w:rsidR="008F64B0" w:rsidRPr="005633D9">
        <w:rPr>
          <w:szCs w:val="24"/>
          <w:lang w:val="en-GB"/>
        </w:rPr>
        <w:t xml:space="preserve">and integrated into the terms of reference for the survey. This plan lays out our expectations of how the survey firm will ensure that the data collected </w:t>
      </w:r>
      <w:r w:rsidR="00C96892" w:rsidRPr="005633D9">
        <w:rPr>
          <w:szCs w:val="24"/>
          <w:lang w:val="en-GB"/>
        </w:rPr>
        <w:t>are</w:t>
      </w:r>
      <w:r w:rsidR="008F64B0" w:rsidRPr="005633D9">
        <w:rPr>
          <w:szCs w:val="24"/>
          <w:lang w:val="en-GB"/>
        </w:rPr>
        <w:t xml:space="preserve"> of high quality by implementing various quality control measures, the most important being survey back-checks: we are back-checking </w:t>
      </w:r>
      <w:r w:rsidR="00C96892" w:rsidRPr="005633D9">
        <w:rPr>
          <w:szCs w:val="24"/>
          <w:lang w:val="en-GB"/>
        </w:rPr>
        <w:t>20</w:t>
      </w:r>
      <w:r w:rsidR="008F64B0" w:rsidRPr="005633D9">
        <w:rPr>
          <w:szCs w:val="24"/>
          <w:lang w:val="en-GB"/>
        </w:rPr>
        <w:t xml:space="preserve"> percent of all surveys in addition to the back-checks conducted by the survey firm. During the back-checks, we are ensuring that the data </w:t>
      </w:r>
      <w:r w:rsidR="00222BCF" w:rsidRPr="005633D9">
        <w:rPr>
          <w:szCs w:val="24"/>
          <w:lang w:val="en-GB"/>
        </w:rPr>
        <w:t>were</w:t>
      </w:r>
      <w:r w:rsidR="008F64B0" w:rsidRPr="005633D9">
        <w:rPr>
          <w:szCs w:val="24"/>
          <w:lang w:val="en-GB"/>
        </w:rPr>
        <w:t xml:space="preserve"> not falsified or entered incorrectly. The survey firm is required to provide the evaluation team with weekly written updates, as well as the quantitative findings of all back-checks as well as other data quality controls implemented (</w:t>
      </w:r>
      <w:r w:rsidR="00A04A54" w:rsidRPr="005633D9">
        <w:rPr>
          <w:szCs w:val="24"/>
          <w:lang w:val="en-GB"/>
        </w:rPr>
        <w:t>e.</w:t>
      </w:r>
      <w:r w:rsidR="001472C4" w:rsidRPr="005633D9">
        <w:rPr>
          <w:szCs w:val="24"/>
          <w:lang w:val="en-GB"/>
        </w:rPr>
        <w:t>g.</w:t>
      </w:r>
      <w:r w:rsidR="00A04A54" w:rsidRPr="005633D9">
        <w:rPr>
          <w:szCs w:val="24"/>
          <w:lang w:val="en-GB"/>
        </w:rPr>
        <w:t xml:space="preserve">, </w:t>
      </w:r>
      <w:r w:rsidR="008F64B0" w:rsidRPr="005633D9">
        <w:rPr>
          <w:szCs w:val="24"/>
          <w:lang w:val="en-GB"/>
        </w:rPr>
        <w:t>documenting all data cleaning, corrections to questionnaires)</w:t>
      </w:r>
      <w:r w:rsidR="001472C4" w:rsidRPr="005633D9">
        <w:rPr>
          <w:szCs w:val="24"/>
          <w:lang w:val="en-GB"/>
        </w:rPr>
        <w:t>.</w:t>
      </w:r>
      <w:r w:rsidR="008F64B0" w:rsidRPr="005633D9">
        <w:rPr>
          <w:szCs w:val="24"/>
          <w:lang w:val="en-GB"/>
        </w:rPr>
        <w:t xml:space="preserve"> The evaluation team </w:t>
      </w:r>
      <w:r w:rsidR="00B42A07" w:rsidRPr="005633D9">
        <w:rPr>
          <w:szCs w:val="24"/>
          <w:lang w:val="en-GB"/>
        </w:rPr>
        <w:t>will work with</w:t>
      </w:r>
      <w:r w:rsidR="008F64B0" w:rsidRPr="005633D9">
        <w:rPr>
          <w:szCs w:val="24"/>
          <w:lang w:val="en-GB"/>
        </w:rPr>
        <w:t xml:space="preserve"> the survey firm </w:t>
      </w:r>
      <w:r w:rsidR="00B42A07" w:rsidRPr="005633D9">
        <w:rPr>
          <w:szCs w:val="24"/>
          <w:lang w:val="en-GB"/>
        </w:rPr>
        <w:t>so they can meet our</w:t>
      </w:r>
      <w:r w:rsidR="008F64B0" w:rsidRPr="005633D9">
        <w:rPr>
          <w:szCs w:val="24"/>
          <w:lang w:val="en-GB"/>
        </w:rPr>
        <w:t xml:space="preserve"> rigorous data quality requirements and will encourage constant communications from the field to ensure we are able to respond to any quality issues in real time. </w:t>
      </w:r>
    </w:p>
    <w:p w:rsidR="008F64B0" w:rsidRPr="005633D9" w:rsidRDefault="008F64B0" w:rsidP="008F64B0">
      <w:pPr>
        <w:rPr>
          <w:szCs w:val="24"/>
          <w:lang w:val="en-GB"/>
        </w:rPr>
      </w:pPr>
      <w:r w:rsidRPr="005633D9">
        <w:rPr>
          <w:szCs w:val="24"/>
          <w:lang w:val="en-GB"/>
        </w:rPr>
        <w:t>Given the importance of the baseline to the overall evaluation, data quality (in its various forms) represents a large risk and therefore is our highest priority.</w:t>
      </w:r>
      <w:r w:rsidR="00B42A07" w:rsidRPr="005633D9">
        <w:rPr>
          <w:szCs w:val="24"/>
          <w:lang w:val="en-GB"/>
        </w:rPr>
        <w:t xml:space="preserve"> Collecting data using </w:t>
      </w:r>
      <w:r w:rsidR="00F81E8B" w:rsidRPr="005633D9">
        <w:rPr>
          <w:szCs w:val="24"/>
          <w:lang w:val="en-GB"/>
        </w:rPr>
        <w:t xml:space="preserve">an </w:t>
      </w:r>
      <w:r w:rsidR="00B42A07" w:rsidRPr="005633D9">
        <w:rPr>
          <w:szCs w:val="24"/>
          <w:lang w:val="en-GB"/>
        </w:rPr>
        <w:t xml:space="preserve">electronic medium is both an advantage and a risk. Electronic data collection allows us to seamlessly review the data as </w:t>
      </w:r>
      <w:r w:rsidR="00F81E8B" w:rsidRPr="005633D9">
        <w:rPr>
          <w:szCs w:val="24"/>
          <w:lang w:val="en-GB"/>
        </w:rPr>
        <w:t>they</w:t>
      </w:r>
      <w:r w:rsidR="00B42A07" w:rsidRPr="005633D9">
        <w:rPr>
          <w:szCs w:val="24"/>
          <w:lang w:val="en-GB"/>
        </w:rPr>
        <w:t xml:space="preserve"> come </w:t>
      </w:r>
      <w:r w:rsidR="00F81E8B" w:rsidRPr="005633D9">
        <w:rPr>
          <w:szCs w:val="24"/>
          <w:lang w:val="en-GB"/>
        </w:rPr>
        <w:t xml:space="preserve">and </w:t>
      </w:r>
      <w:r w:rsidR="00B42A07" w:rsidRPr="005633D9">
        <w:rPr>
          <w:szCs w:val="24"/>
          <w:lang w:val="en-GB"/>
        </w:rPr>
        <w:t>verify that the survey is proceeding as planned</w:t>
      </w:r>
      <w:r w:rsidR="00F81E8B" w:rsidRPr="005633D9">
        <w:rPr>
          <w:szCs w:val="24"/>
          <w:lang w:val="en-GB"/>
        </w:rPr>
        <w:t>,</w:t>
      </w:r>
      <w:r w:rsidR="00B42A07" w:rsidRPr="005633D9">
        <w:rPr>
          <w:szCs w:val="24"/>
          <w:lang w:val="en-GB"/>
        </w:rPr>
        <w:t xml:space="preserve"> and makes it easy to conduct quality checks remotely. However, if the electronic data system does not work accurately it can lead to systematic data issues. To mitigate this risk, we plan to carefully review </w:t>
      </w:r>
      <w:r w:rsidR="00F81E8B" w:rsidRPr="005633D9">
        <w:rPr>
          <w:szCs w:val="24"/>
          <w:lang w:val="en-GB"/>
        </w:rPr>
        <w:t>whether</w:t>
      </w:r>
      <w:r w:rsidR="00B42A07" w:rsidRPr="005633D9">
        <w:rPr>
          <w:szCs w:val="24"/>
          <w:lang w:val="en-GB"/>
        </w:rPr>
        <w:t xml:space="preserve"> the survey firm has capacity to deploy an electronic data collection system and has </w:t>
      </w:r>
      <w:r w:rsidR="00F81E8B" w:rsidRPr="005633D9">
        <w:rPr>
          <w:szCs w:val="24"/>
          <w:lang w:val="en-GB"/>
        </w:rPr>
        <w:t>done so</w:t>
      </w:r>
      <w:r w:rsidR="00B42A07" w:rsidRPr="005633D9">
        <w:rPr>
          <w:szCs w:val="24"/>
          <w:lang w:val="en-GB"/>
        </w:rPr>
        <w:t xml:space="preserve"> in the past. We expect to mitigate this risk by conducting the pretest in electronic format, and by being in the field during the initial wave of the survey.</w:t>
      </w:r>
    </w:p>
    <w:p w:rsidR="008F64B0" w:rsidRPr="005633D9" w:rsidRDefault="008F64B0" w:rsidP="00CC5F98">
      <w:pPr>
        <w:pStyle w:val="Heading2"/>
        <w:rPr>
          <w:lang w:val="en-GB"/>
        </w:rPr>
      </w:pPr>
      <w:bookmarkStart w:id="73" w:name="_Toc407700422"/>
      <w:r w:rsidRPr="005633D9">
        <w:rPr>
          <w:lang w:val="en-GB"/>
        </w:rPr>
        <w:t xml:space="preserve">Ethical </w:t>
      </w:r>
      <w:r w:rsidR="000A26AA" w:rsidRPr="005633D9">
        <w:rPr>
          <w:lang w:val="en-GB"/>
        </w:rPr>
        <w:t>considerations</w:t>
      </w:r>
      <w:bookmarkEnd w:id="73"/>
    </w:p>
    <w:p w:rsidR="008F64B0" w:rsidRPr="005633D9" w:rsidRDefault="00222BCF" w:rsidP="008F64B0">
      <w:pPr>
        <w:pStyle w:val="BodyText"/>
      </w:pPr>
      <w:r w:rsidRPr="005633D9">
        <w:t>T</w:t>
      </w:r>
      <w:r w:rsidR="008F64B0" w:rsidRPr="005633D9">
        <w:t xml:space="preserve">o ensure </w:t>
      </w:r>
      <w:r w:rsidRPr="005633D9">
        <w:t xml:space="preserve">that </w:t>
      </w:r>
      <w:r w:rsidR="008F64B0" w:rsidRPr="005633D9">
        <w:t xml:space="preserve">data collection is conducted in an ethical and responsible way, the team has submitted the data collection instrument and draft design report to Abt’s Internal </w:t>
      </w:r>
      <w:r w:rsidRPr="005633D9">
        <w:t>R</w:t>
      </w:r>
      <w:r w:rsidR="008F64B0" w:rsidRPr="005633D9">
        <w:t xml:space="preserve">eview Board (IRB), which approved </w:t>
      </w:r>
      <w:r w:rsidRPr="005633D9">
        <w:t xml:space="preserve">them </w:t>
      </w:r>
      <w:r w:rsidR="008F64B0" w:rsidRPr="005633D9">
        <w:t xml:space="preserve">and deemed </w:t>
      </w:r>
      <w:r w:rsidRPr="005633D9">
        <w:t>them</w:t>
      </w:r>
      <w:r w:rsidR="008F64B0" w:rsidRPr="005633D9">
        <w:t xml:space="preserve"> appropriate. As the design document becomes finalized and the survey firm is contracted, we will continually check in with the IRB via the project’s data security plan. This is a continually updated document that tracks how data will be handled</w:t>
      </w:r>
      <w:r w:rsidRPr="005633D9">
        <w:t xml:space="preserve"> and</w:t>
      </w:r>
      <w:r w:rsidR="008F64B0" w:rsidRPr="005633D9">
        <w:t xml:space="preserve"> by whom</w:t>
      </w:r>
      <w:r w:rsidRPr="005633D9">
        <w:t>,</w:t>
      </w:r>
      <w:r w:rsidR="008F64B0" w:rsidRPr="005633D9">
        <w:t xml:space="preserve"> and what security measures are taken in order to maintain respondent confidentiality. </w:t>
      </w:r>
    </w:p>
    <w:p w:rsidR="008F64B0" w:rsidRPr="005633D9" w:rsidRDefault="008F64B0" w:rsidP="00CC5F98">
      <w:pPr>
        <w:pStyle w:val="Heading2"/>
        <w:rPr>
          <w:lang w:val="en-GB"/>
        </w:rPr>
      </w:pPr>
      <w:bookmarkStart w:id="74" w:name="_Toc407700423"/>
      <w:r w:rsidRPr="005633D9">
        <w:rPr>
          <w:lang w:val="en-GB"/>
        </w:rPr>
        <w:lastRenderedPageBreak/>
        <w:t xml:space="preserve">Quality </w:t>
      </w:r>
      <w:r w:rsidR="000A26AA" w:rsidRPr="005633D9">
        <w:rPr>
          <w:lang w:val="en-GB"/>
        </w:rPr>
        <w:t>assurance</w:t>
      </w:r>
      <w:bookmarkEnd w:id="74"/>
    </w:p>
    <w:p w:rsidR="008F64B0" w:rsidRPr="005633D9" w:rsidRDefault="00F04A96" w:rsidP="008F64B0">
      <w:pPr>
        <w:pStyle w:val="BodyText"/>
      </w:pPr>
      <w:r w:rsidRPr="005633D9">
        <w:t>Quality assurance is an integral part of our evaluation. W</w:t>
      </w:r>
      <w:r w:rsidR="008F64B0" w:rsidRPr="005633D9">
        <w:t>e will employ both internal and external quality assurance to review the data collection instruments, the study design</w:t>
      </w:r>
      <w:r w:rsidR="00222BCF" w:rsidRPr="005633D9">
        <w:t>,</w:t>
      </w:r>
      <w:r w:rsidR="008F64B0" w:rsidRPr="005633D9">
        <w:t xml:space="preserve"> and all results. The Abt </w:t>
      </w:r>
      <w:r w:rsidR="00222BCF" w:rsidRPr="005633D9">
        <w:t>t</w:t>
      </w:r>
      <w:r w:rsidR="008F64B0" w:rsidRPr="005633D9">
        <w:t>eam has contract</w:t>
      </w:r>
      <w:r w:rsidR="0085043E" w:rsidRPr="005633D9">
        <w:t>ed</w:t>
      </w:r>
      <w:r w:rsidR="00F77BA9" w:rsidRPr="005633D9">
        <w:t xml:space="preserve"> three external evaluators</w:t>
      </w:r>
      <w:r w:rsidR="00222BCF" w:rsidRPr="005633D9">
        <w:t>:</w:t>
      </w:r>
      <w:r w:rsidR="00F77BA9" w:rsidRPr="005633D9">
        <w:t xml:space="preserve"> Dr</w:t>
      </w:r>
      <w:r w:rsidR="008F64B0" w:rsidRPr="005633D9">
        <w:t xml:space="preserve"> Kelsey Ja</w:t>
      </w:r>
      <w:r w:rsidR="00F77BA9" w:rsidRPr="005633D9">
        <w:t>ck from Tufts University</w:t>
      </w:r>
      <w:r w:rsidR="00222BCF" w:rsidRPr="005633D9">
        <w:t>,</w:t>
      </w:r>
      <w:r w:rsidR="00F77BA9" w:rsidRPr="005633D9">
        <w:t xml:space="preserve"> Dr</w:t>
      </w:r>
      <w:r w:rsidR="008F64B0" w:rsidRPr="005633D9">
        <w:t xml:space="preserve"> Mushfiq Moba</w:t>
      </w:r>
      <w:r w:rsidR="00F77BA9" w:rsidRPr="005633D9">
        <w:t>rak from Yale University</w:t>
      </w:r>
      <w:r w:rsidR="00222BCF" w:rsidRPr="005633D9">
        <w:t>,</w:t>
      </w:r>
      <w:r w:rsidR="00F77BA9" w:rsidRPr="005633D9">
        <w:t xml:space="preserve"> and Dr</w:t>
      </w:r>
      <w:r w:rsidR="008F64B0" w:rsidRPr="005633D9">
        <w:t xml:space="preserve"> James Mbata from the World Bank to review the evaluation methodology and results. F</w:t>
      </w:r>
      <w:r w:rsidR="00F77BA9" w:rsidRPr="005633D9">
        <w:t>or internal quality control, Dr</w:t>
      </w:r>
      <w:r w:rsidR="008F64B0" w:rsidRPr="005633D9">
        <w:t xml:space="preserve"> Stephen Bell</w:t>
      </w:r>
      <w:r w:rsidR="007E6A18" w:rsidRPr="005633D9">
        <w:t>—an Abt vice president and senior fellow—</w:t>
      </w:r>
      <w:r w:rsidR="008F64B0" w:rsidRPr="005633D9">
        <w:t>will be the team member responsible for the quality assurance of all evaluation documentation and methodologies.</w:t>
      </w:r>
      <w:r w:rsidR="001F34B4">
        <w:t xml:space="preserve"> </w:t>
      </w:r>
      <w:r w:rsidRPr="005633D9">
        <w:t>In addition, within our team we conduct cross-reviews of our work so that a more detailed level review occurs of our programs and analysis.</w:t>
      </w:r>
      <w:r w:rsidR="001F34B4">
        <w:t xml:space="preserve"> </w:t>
      </w:r>
      <w:r w:rsidR="0085043E" w:rsidRPr="005633D9">
        <w:t>In addition</w:t>
      </w:r>
      <w:r w:rsidRPr="005633D9">
        <w:t>, Abt’</w:t>
      </w:r>
      <w:r w:rsidR="007E6A18" w:rsidRPr="005633D9">
        <w:t>s</w:t>
      </w:r>
      <w:r w:rsidRPr="005633D9">
        <w:t xml:space="preserve"> Evaluation Method Center facilitates Evaluation Design Seminars where Abt’s leading evaluation experts review </w:t>
      </w:r>
      <w:r w:rsidR="0085043E" w:rsidRPr="005633D9">
        <w:t>our evaluation design protocols.</w:t>
      </w:r>
      <w:r w:rsidR="001F34B4">
        <w:t xml:space="preserve"> </w:t>
      </w:r>
      <w:r w:rsidRPr="005633D9">
        <w:t>Another seminar series</w:t>
      </w:r>
      <w:r w:rsidR="006E4D5B" w:rsidRPr="005633D9">
        <w:t>—</w:t>
      </w:r>
      <w:r w:rsidRPr="005633D9">
        <w:t>the Journal Author Support Group</w:t>
      </w:r>
      <w:r w:rsidR="006E4D5B" w:rsidRPr="005633D9">
        <w:t>—</w:t>
      </w:r>
      <w:r w:rsidRPr="005633D9">
        <w:t xml:space="preserve">convenes experts to review our evaluation results and also helps prepare the results for publication. </w:t>
      </w:r>
    </w:p>
    <w:p w:rsidR="00EB23DF" w:rsidRPr="005633D9" w:rsidRDefault="00D139EC" w:rsidP="008F64B0">
      <w:pPr>
        <w:pStyle w:val="Heading1"/>
        <w:numPr>
          <w:ilvl w:val="0"/>
          <w:numId w:val="0"/>
        </w:numPr>
        <w:ind w:left="720" w:hanging="720"/>
        <w:rPr>
          <w:noProof w:val="0"/>
          <w:lang w:val="en-GB"/>
        </w:rPr>
      </w:pPr>
      <w:bookmarkStart w:id="75" w:name="_Toc407700424"/>
      <w:r w:rsidRPr="005633D9">
        <w:rPr>
          <w:noProof w:val="0"/>
          <w:lang w:val="en-GB"/>
        </w:rPr>
        <w:lastRenderedPageBreak/>
        <w:t>References</w:t>
      </w:r>
      <w:bookmarkStart w:id="76" w:name="References"/>
      <w:bookmarkEnd w:id="76"/>
      <w:bookmarkEnd w:id="75"/>
    </w:p>
    <w:p w:rsidR="00EB23DF" w:rsidRPr="005633D9" w:rsidRDefault="00EB23DF" w:rsidP="00DC3EF7">
      <w:pPr>
        <w:pStyle w:val="BodyText"/>
        <w:ind w:left="360" w:hanging="360"/>
      </w:pPr>
      <w:r w:rsidRPr="005633D9">
        <w:t>Abt Associates (2014). AgResults Nigeria Household Survey.</w:t>
      </w:r>
    </w:p>
    <w:p w:rsidR="00492795" w:rsidRPr="005633D9" w:rsidRDefault="00492795" w:rsidP="00492795">
      <w:pPr>
        <w:pStyle w:val="BodyText"/>
        <w:ind w:left="360" w:hanging="360"/>
      </w:pPr>
      <w:r w:rsidRPr="005633D9">
        <w:t>Adebajo L.O. and Idowu A.A. (1994). Mycoflora and aflatoxins in a West African maize-groundnut based convenience food. Mycopathologia. 126, 21-26</w:t>
      </w:r>
    </w:p>
    <w:p w:rsidR="00492795" w:rsidRPr="005633D9" w:rsidRDefault="00492795" w:rsidP="00492795">
      <w:pPr>
        <w:pStyle w:val="BodyText"/>
        <w:ind w:left="360" w:hanging="360"/>
      </w:pPr>
      <w:r w:rsidRPr="005633D9">
        <w:t>Atehnkeng J, Ojiambo PS, Donner M, Ikotun T, Sikora RA,Cotty PJ, Bandyopadhyay R. 2008. Distribution and toxigenicity of Aspergillus species isolated from maize kernels from three agro-ecological zones in Nigeria. Int J Food Microbiol. 122:74–84.</w:t>
      </w:r>
    </w:p>
    <w:p w:rsidR="00D139EC" w:rsidRPr="005633D9" w:rsidRDefault="00D139EC" w:rsidP="00DC3EF7">
      <w:pPr>
        <w:pStyle w:val="BodyText"/>
        <w:ind w:left="360" w:hanging="360"/>
      </w:pPr>
      <w:r w:rsidRPr="005633D9">
        <w:t>Badu-Apraku B., Fakorede M., Menkir A., and Sanogo D. (2012)</w:t>
      </w:r>
      <w:r w:rsidR="00492795" w:rsidRPr="005633D9">
        <w:t>.</w:t>
      </w:r>
      <w:r w:rsidRPr="005633D9">
        <w:t xml:space="preserve"> Conduct and Management of Maize Field Trials. International Institute of Tropical Agriculture.</w:t>
      </w:r>
      <w:r w:rsidR="002B2B01" w:rsidRPr="005633D9">
        <w:t xml:space="preserve"> </w:t>
      </w:r>
    </w:p>
    <w:p w:rsidR="00492795" w:rsidRPr="005633D9" w:rsidRDefault="00492795" w:rsidP="00492795">
      <w:pPr>
        <w:pStyle w:val="BodyText"/>
        <w:ind w:left="360" w:hanging="360"/>
      </w:pPr>
      <w:r w:rsidRPr="005633D9">
        <w:t>Bandyopadhyay A, Blakeslee JJ, Lee OR, et al. Interactions of PIN and PGP auxin transport mechanisms. Biochemical Society Transactions 2007;35:137-141.</w:t>
      </w:r>
    </w:p>
    <w:p w:rsidR="00492795" w:rsidRPr="005633D9" w:rsidRDefault="00492795" w:rsidP="00492795">
      <w:pPr>
        <w:pStyle w:val="BodyText"/>
        <w:ind w:left="360" w:hanging="360"/>
      </w:pPr>
      <w:r w:rsidRPr="005633D9">
        <w:t>Bankole, S.A., Mabekoje, O.O., &amp; Enikuomehin, O.A. (2003) Fusarium spp. And fumonisin B1 in stored maize from Ogun State Nigeria. Tropical Science ,43, 76-79.</w:t>
      </w:r>
    </w:p>
    <w:p w:rsidR="002C2E6E" w:rsidRPr="005633D9" w:rsidRDefault="00400295" w:rsidP="00DC3EF7">
      <w:pPr>
        <w:pStyle w:val="BodyText"/>
        <w:ind w:left="360" w:hanging="360"/>
        <w:rPr>
          <w:rStyle w:val="reference-text"/>
          <w:szCs w:val="24"/>
        </w:rPr>
      </w:pPr>
      <w:r w:rsidRPr="005633D9">
        <w:rPr>
          <w:rStyle w:val="reference-text"/>
          <w:szCs w:val="24"/>
        </w:rPr>
        <w:t xml:space="preserve">Bardach, Eugene (2011). </w:t>
      </w:r>
      <w:r w:rsidRPr="005633D9">
        <w:rPr>
          <w:rStyle w:val="reference-text"/>
          <w:iCs/>
          <w:szCs w:val="24"/>
        </w:rPr>
        <w:t>A Practical Guide for Policy Analysis: The Eightfold Path to More Effective Problem Solving.</w:t>
      </w:r>
      <w:r w:rsidRPr="005633D9">
        <w:rPr>
          <w:rStyle w:val="reference-text"/>
          <w:szCs w:val="24"/>
        </w:rPr>
        <w:t xml:space="preserve"> Thousand Oaks, CA: Sage.</w:t>
      </w:r>
    </w:p>
    <w:p w:rsidR="00D139EC" w:rsidRPr="005633D9" w:rsidRDefault="00D139EC" w:rsidP="00DC3EF7">
      <w:pPr>
        <w:pStyle w:val="BodyText"/>
        <w:ind w:left="360" w:hanging="360"/>
      </w:pPr>
      <w:r w:rsidRPr="005633D9">
        <w:t>Caves, R. (1987). American Industry: Structure, Conduct, Performance.</w:t>
      </w:r>
    </w:p>
    <w:p w:rsidR="00D139EC" w:rsidRPr="005633D9" w:rsidRDefault="00D139EC" w:rsidP="00DC3EF7">
      <w:pPr>
        <w:pStyle w:val="BodyText"/>
        <w:ind w:left="360" w:hanging="360"/>
      </w:pPr>
      <w:r w:rsidRPr="005633D9">
        <w:t>Dahlberg (2012). Agricultural Pull Mechanism: Aflasafe(TM) Pilot. World Bank.</w:t>
      </w:r>
    </w:p>
    <w:p w:rsidR="00355325" w:rsidRPr="005633D9" w:rsidRDefault="00355325" w:rsidP="00DC3EF7">
      <w:pPr>
        <w:ind w:left="360" w:hanging="360"/>
        <w:rPr>
          <w:lang w:val="en-GB"/>
        </w:rPr>
      </w:pPr>
      <w:r w:rsidRPr="005633D9">
        <w:rPr>
          <w:lang w:val="en-GB" w:eastAsia="fr-FR"/>
        </w:rPr>
        <w:t>De Allegri, Manuela et al. (2008)</w:t>
      </w:r>
      <w:r w:rsidR="009E6538" w:rsidRPr="005633D9">
        <w:rPr>
          <w:lang w:val="en-GB" w:eastAsia="fr-FR"/>
        </w:rPr>
        <w:t>.</w:t>
      </w:r>
      <w:r w:rsidRPr="005633D9">
        <w:rPr>
          <w:lang w:val="en-GB" w:eastAsia="fr-FR"/>
        </w:rPr>
        <w:t xml:space="preserve"> Step-wedge Cluster-Randomized Community-Based Trials : An Application to the Study of the Impact of Community Health Insurance.</w:t>
      </w:r>
      <w:r w:rsidR="00243735" w:rsidRPr="005633D9">
        <w:rPr>
          <w:lang w:val="en-GB" w:eastAsia="fr-FR"/>
        </w:rPr>
        <w:t xml:space="preserve"> </w:t>
      </w:r>
      <w:r w:rsidRPr="005633D9">
        <w:rPr>
          <w:lang w:val="en-GB" w:eastAsia="fr-FR"/>
        </w:rPr>
        <w:t>Health Research Policy Systems.</w:t>
      </w:r>
      <w:r w:rsidR="00243735" w:rsidRPr="005633D9">
        <w:rPr>
          <w:lang w:val="en-GB" w:eastAsia="fr-FR"/>
        </w:rPr>
        <w:t xml:space="preserve"> </w:t>
      </w:r>
      <w:r w:rsidRPr="005633D9">
        <w:rPr>
          <w:lang w:val="en-GB" w:eastAsia="fr-FR"/>
        </w:rPr>
        <w:t>Volume 6, No. 10</w:t>
      </w:r>
    </w:p>
    <w:p w:rsidR="00D139EC" w:rsidRPr="005633D9" w:rsidRDefault="00D139EC" w:rsidP="00DC3EF7">
      <w:pPr>
        <w:pStyle w:val="BodyText"/>
        <w:ind w:left="360" w:hanging="360"/>
      </w:pPr>
      <w:r w:rsidRPr="005633D9">
        <w:t>Holtzman, J. S. (2003). Using Subsector Analysis to Assess the Impact of Policy Reform. Does Agricultural Policy Reform Work? The Impact on Egypt’s Agriculture 1996-2002. G. Ender and J. S. Holtzman, Abt Associates, Inc.: 111–134.</w:t>
      </w:r>
    </w:p>
    <w:p w:rsidR="00D139EC" w:rsidRPr="005633D9" w:rsidRDefault="00D139EC" w:rsidP="00DC3EF7">
      <w:pPr>
        <w:pStyle w:val="BodyText"/>
        <w:ind w:left="360" w:hanging="360"/>
      </w:pPr>
      <w:r w:rsidRPr="005633D9">
        <w:t>Kibet, N., Lagat, J.K., Obare, G.A.</w:t>
      </w:r>
      <w:r w:rsidR="002B2B01" w:rsidRPr="005633D9">
        <w:t xml:space="preserve"> </w:t>
      </w:r>
      <w:r w:rsidRPr="005633D9">
        <w:t>(2011)</w:t>
      </w:r>
      <w:r w:rsidR="009E6538" w:rsidRPr="005633D9">
        <w:t>.</w:t>
      </w:r>
      <w:r w:rsidRPr="005633D9">
        <w:t xml:space="preserve"> Identifying Efficient and Profitable Farm Enterprises in Uasin-Gishu County in Kenya.</w:t>
      </w:r>
      <w:r w:rsidR="002B2B01" w:rsidRPr="005633D9">
        <w:t xml:space="preserve"> </w:t>
      </w:r>
      <w:r w:rsidRPr="005633D9">
        <w:t>Mimeo.</w:t>
      </w:r>
      <w:r w:rsidR="00243735" w:rsidRPr="005633D9">
        <w:t xml:space="preserve"> </w:t>
      </w:r>
      <w:r w:rsidRPr="005633D9">
        <w:t>Department of Agricultural Economics and Business Management, Egerton University, Kenya.</w:t>
      </w:r>
    </w:p>
    <w:p w:rsidR="00355325" w:rsidRPr="005633D9" w:rsidRDefault="00355325" w:rsidP="00DC3EF7">
      <w:pPr>
        <w:ind w:left="360" w:hanging="360"/>
        <w:rPr>
          <w:lang w:val="en-GB" w:eastAsia="fr-FR"/>
        </w:rPr>
      </w:pPr>
      <w:r w:rsidRPr="005633D9">
        <w:rPr>
          <w:lang w:val="en-GB" w:eastAsia="fr-FR"/>
        </w:rPr>
        <w:t>Morris, Saul Sutkover (2000)</w:t>
      </w:r>
      <w:r w:rsidR="009E6538" w:rsidRPr="005633D9">
        <w:rPr>
          <w:lang w:val="en-GB" w:eastAsia="fr-FR"/>
        </w:rPr>
        <w:t>. Targeting Urban Malnutrition</w:t>
      </w:r>
      <w:r w:rsidRPr="005633D9">
        <w:rPr>
          <w:lang w:val="en-GB" w:eastAsia="fr-FR"/>
        </w:rPr>
        <w:t>: A Multicity Analysis of the Spatial Distribution of Childhood Nutritional Status.</w:t>
      </w:r>
      <w:r w:rsidR="00243735" w:rsidRPr="005633D9">
        <w:rPr>
          <w:lang w:val="en-GB" w:eastAsia="fr-FR"/>
        </w:rPr>
        <w:t xml:space="preserve"> </w:t>
      </w:r>
      <w:r w:rsidRPr="005633D9">
        <w:rPr>
          <w:lang w:val="en-GB" w:eastAsia="fr-FR"/>
        </w:rPr>
        <w:t>International Food Policy Research Institute.</w:t>
      </w:r>
      <w:r w:rsidR="00243735" w:rsidRPr="005633D9">
        <w:rPr>
          <w:lang w:val="en-GB" w:eastAsia="fr-FR"/>
        </w:rPr>
        <w:t xml:space="preserve"> </w:t>
      </w:r>
      <w:r w:rsidRPr="005633D9">
        <w:rPr>
          <w:lang w:val="en-GB" w:eastAsia="fr-FR"/>
        </w:rPr>
        <w:t>Food Consumption and Nutrition Division Discussion Paper No. 94</w:t>
      </w:r>
      <w:r w:rsidR="009E6538" w:rsidRPr="005633D9">
        <w:rPr>
          <w:lang w:val="en-GB" w:eastAsia="fr-FR"/>
        </w:rPr>
        <w:t>.</w:t>
      </w:r>
    </w:p>
    <w:p w:rsidR="00D139EC" w:rsidRPr="005633D9" w:rsidRDefault="00D139EC" w:rsidP="00DC3EF7">
      <w:pPr>
        <w:pStyle w:val="BodyText"/>
        <w:ind w:left="360" w:hanging="360"/>
      </w:pPr>
      <w:r w:rsidRPr="005633D9">
        <w:t xml:space="preserve">Narayan, T., A. Stene, </w:t>
      </w:r>
      <w:r w:rsidR="00C52175" w:rsidRPr="005633D9">
        <w:t xml:space="preserve">A. </w:t>
      </w:r>
      <w:r w:rsidRPr="005633D9">
        <w:t xml:space="preserve">Belova, </w:t>
      </w:r>
      <w:r w:rsidR="00C52175" w:rsidRPr="005633D9">
        <w:t xml:space="preserve">J. </w:t>
      </w:r>
      <w:r w:rsidRPr="005633D9">
        <w:t>Haskell, Folsade and Atanda (2013). Country Assessment for Aflatoxin Contamination and Control in Nigeria.</w:t>
      </w:r>
    </w:p>
    <w:p w:rsidR="00D139EC" w:rsidRPr="005633D9" w:rsidRDefault="00D139EC" w:rsidP="00DC3EF7">
      <w:pPr>
        <w:pStyle w:val="BodyText"/>
        <w:ind w:left="360" w:hanging="360"/>
      </w:pPr>
      <w:r w:rsidRPr="005633D9">
        <w:t>North, D. C. (1990). Institutions, Institutional Change and Economic Performance. New York, Cambridge University Press.</w:t>
      </w:r>
    </w:p>
    <w:p w:rsidR="00D139EC" w:rsidRPr="005633D9" w:rsidRDefault="00D139EC" w:rsidP="00DC3EF7">
      <w:pPr>
        <w:pStyle w:val="BodyText"/>
        <w:ind w:left="360" w:hanging="360"/>
      </w:pPr>
      <w:r w:rsidRPr="005633D9">
        <w:t>Oladejo J., Lapido O.</w:t>
      </w:r>
      <w:r w:rsidR="00243735" w:rsidRPr="005633D9">
        <w:t xml:space="preserve"> </w:t>
      </w:r>
      <w:r w:rsidRPr="005633D9">
        <w:t>(2012) Supply analysis for maize in Oyo and Osun States of Nigeria.</w:t>
      </w:r>
      <w:r w:rsidR="00243735" w:rsidRPr="005633D9">
        <w:t xml:space="preserve"> </w:t>
      </w:r>
      <w:r w:rsidRPr="005633D9">
        <w:t>International Journal of Life Sciences and Pharma Research. Volume 2(2).</w:t>
      </w:r>
      <w:r w:rsidR="002B2B01" w:rsidRPr="005633D9">
        <w:t xml:space="preserve"> </w:t>
      </w:r>
      <w:r w:rsidRPr="005633D9">
        <w:t>L8-L18.</w:t>
      </w:r>
      <w:r w:rsidR="00243735" w:rsidRPr="005633D9">
        <w:t xml:space="preserve"> </w:t>
      </w:r>
    </w:p>
    <w:p w:rsidR="00D139EC" w:rsidRPr="005633D9" w:rsidRDefault="00D139EC" w:rsidP="00DC3EF7">
      <w:pPr>
        <w:pStyle w:val="BodyText"/>
        <w:ind w:left="360" w:hanging="360"/>
      </w:pPr>
      <w:r w:rsidRPr="005633D9">
        <w:lastRenderedPageBreak/>
        <w:t>Olarinde, L, Manyong, V., Akintola, J.</w:t>
      </w:r>
      <w:r w:rsidR="00243735" w:rsidRPr="005633D9">
        <w:t xml:space="preserve"> </w:t>
      </w:r>
      <w:r w:rsidRPr="005633D9">
        <w:t>(2007) Attitudes towards risk among maize farmers in the dry savanna zones of Nigeria: some prospective policies for improving food production.</w:t>
      </w:r>
      <w:r w:rsidR="00243735" w:rsidRPr="005633D9">
        <w:t xml:space="preserve"> </w:t>
      </w:r>
      <w:r w:rsidRPr="005633D9">
        <w:t>African Journal of Agricultural Research.</w:t>
      </w:r>
      <w:r w:rsidR="00243735" w:rsidRPr="005633D9">
        <w:t xml:space="preserve"> </w:t>
      </w:r>
      <w:r w:rsidRPr="005633D9">
        <w:t>Vol. 2(8).</w:t>
      </w:r>
      <w:r w:rsidR="002B2B01" w:rsidRPr="005633D9">
        <w:t xml:space="preserve"> </w:t>
      </w:r>
      <w:r w:rsidRPr="005633D9">
        <w:t>399-408.</w:t>
      </w:r>
    </w:p>
    <w:p w:rsidR="00492795" w:rsidRPr="005633D9" w:rsidRDefault="00492795" w:rsidP="00492795">
      <w:pPr>
        <w:pStyle w:val="BodyText"/>
        <w:ind w:left="360" w:hanging="360"/>
      </w:pPr>
      <w:r w:rsidRPr="005633D9">
        <w:t>Oluwafemi, F and Ibeh, I. N. Microbial contamination of seven major weaning foods in Nigeria. </w:t>
      </w:r>
      <w:r w:rsidRPr="005633D9">
        <w:rPr>
          <w:i/>
          <w:iCs/>
        </w:rPr>
        <w:t>Journal of Health Population and Nutrition,</w:t>
      </w:r>
      <w:r w:rsidRPr="005633D9">
        <w:t xml:space="preserve"> 2011; 29(4). [Online]. Available: </w:t>
      </w:r>
      <w:hyperlink r:id="rId17" w:history="1">
        <w:r w:rsidRPr="005633D9">
          <w:rPr>
            <w:rStyle w:val="Hyperlink"/>
          </w:rPr>
          <w:t>www.questia.com/library/1G1-267133538</w:t>
        </w:r>
      </w:hyperlink>
    </w:p>
    <w:p w:rsidR="00492795" w:rsidRPr="005633D9" w:rsidRDefault="00492795" w:rsidP="00492795">
      <w:pPr>
        <w:pStyle w:val="BodyText"/>
        <w:ind w:left="360" w:hanging="360"/>
      </w:pPr>
      <w:r w:rsidRPr="005633D9">
        <w:t>Oyelami OA, Maxwell SM, Adelusola KA, Aladekoma TA, Oyelese AO. (1996). Aflatoxins in the autopsy brain tissue of children in Nigeria. Mycopathologia, 132, 35–38.</w:t>
      </w:r>
    </w:p>
    <w:p w:rsidR="00D139EC" w:rsidRPr="005633D9" w:rsidRDefault="00D139EC" w:rsidP="00DC3EF7">
      <w:pPr>
        <w:pStyle w:val="BodyText"/>
        <w:ind w:left="360" w:hanging="360"/>
      </w:pPr>
      <w:r w:rsidRPr="005633D9">
        <w:t>Scherer, F. M. and D. Ross (1990). Industrial Market Structure and Economic Performance. Chicago, Rand McNally &amp; Co.</w:t>
      </w:r>
    </w:p>
    <w:p w:rsidR="00492795" w:rsidRPr="005633D9" w:rsidRDefault="00D139EC" w:rsidP="00DC3EF7">
      <w:pPr>
        <w:pStyle w:val="BodyText"/>
        <w:ind w:left="360" w:hanging="360"/>
      </w:pPr>
      <w:r w:rsidRPr="005633D9">
        <w:t>Schochet, Peter Z. (2005) Statistical Power for Random Assignment Evaluations of Education Programs.</w:t>
      </w:r>
      <w:r w:rsidR="00243735" w:rsidRPr="005633D9">
        <w:t xml:space="preserve"> </w:t>
      </w:r>
      <w:r w:rsidRPr="005633D9">
        <w:t>Mathematic Policy Research, Inc. 6046-310 for the U.S. Department of Education’s Institute for Education Science Contract No. ED-01-CO-0038-0009.</w:t>
      </w:r>
    </w:p>
    <w:p w:rsidR="000111ED" w:rsidRPr="005633D9" w:rsidRDefault="00492795" w:rsidP="001C356F">
      <w:pPr>
        <w:pStyle w:val="BodyText"/>
        <w:ind w:left="360" w:hanging="360"/>
      </w:pPr>
      <w:r w:rsidRPr="005633D9">
        <w:t>Strosnider H, Azziz-Baumgartner E, Banziger M, Bhat RV, Breiman R, Brune M, DeCock K, Dilley A, Groopman J, Hell K, Henry SH, Jeffers D, Jolly C, Jolly P, Kibata GN, Lewis L, Liu X, Luber G, McCoy L, Mensah P, Miraglia M, Misore A, Njapau H, Ong C, Onsongo MTK, Page SW, Park D, Patel M, Phillips T, Pineiro M, Pronczuk J, Schurz Rogers H, Rubin C, Sabino M, Schaafsma A, Shephard G, Stroka J, Wild C, Williams JT, Wilson D (2006). “Workgroup Report: Public Health Strategies for Reducing Aflatoxin Exposure in Developing Countries</w:t>
      </w:r>
      <w:r w:rsidR="004F2CBF" w:rsidRPr="005633D9">
        <w:t>”.</w:t>
      </w:r>
      <w:r w:rsidRPr="005633D9">
        <w:t xml:space="preserve"> Environmental Health Perspectives, 114:1989-1903.</w:t>
      </w:r>
    </w:p>
    <w:p w:rsidR="001C356F" w:rsidRDefault="001C356F" w:rsidP="00492795">
      <w:pPr>
        <w:pStyle w:val="BodyText"/>
        <w:ind w:left="360" w:hanging="360"/>
      </w:pPr>
      <w:r>
        <w:t>Sutton, J. (1992). Sunk Costs and Market Structure: Price Competition, Advertising, and the Evolution of Concentration. Cambridge, MA: The MIT Press.</w:t>
      </w:r>
    </w:p>
    <w:p w:rsidR="00492795" w:rsidRDefault="00F71EA4" w:rsidP="00492795">
      <w:pPr>
        <w:pStyle w:val="BodyText"/>
        <w:ind w:left="360" w:hanging="360"/>
      </w:pPr>
      <w:r>
        <w:t>U</w:t>
      </w:r>
      <w:r w:rsidRPr="005633D9">
        <w:t>do</w:t>
      </w:r>
      <w:r>
        <w:t>h</w:t>
      </w:r>
      <w:r w:rsidR="00492795" w:rsidRPr="005633D9">
        <w:t>, J.M, Cardwelol, K.F. &amp; Ikotun, T. (2000) Storage structures and aflatoxin content of maize in five agro ecological zones of Nigeria. Journal of Stored Products Research 36: 187-201</w:t>
      </w:r>
      <w:r w:rsidR="000111ED" w:rsidRPr="005633D9">
        <w:t>.</w:t>
      </w:r>
    </w:p>
    <w:p w:rsidR="00C7347E" w:rsidRPr="005633D9" w:rsidRDefault="00C7347E" w:rsidP="00492795">
      <w:pPr>
        <w:pStyle w:val="BodyText"/>
        <w:ind w:left="360" w:hanging="360"/>
      </w:pPr>
      <w:r>
        <w:t>Yin, R. K. (2003). Case Study Research: Design and Methods. Thousand Oaks, Calif.: Sage Publications.</w:t>
      </w:r>
    </w:p>
    <w:p w:rsidR="009C6902" w:rsidRPr="005633D9" w:rsidRDefault="009C6902" w:rsidP="00DC3EF7">
      <w:pPr>
        <w:pStyle w:val="BodyText"/>
        <w:ind w:left="360" w:hanging="360"/>
      </w:pPr>
      <w:r w:rsidRPr="005633D9">
        <w:br w:type="page"/>
      </w:r>
    </w:p>
    <w:p w:rsidR="00D34D9B" w:rsidRPr="005633D9" w:rsidRDefault="00D34D9B" w:rsidP="00D34D9B">
      <w:pPr>
        <w:pStyle w:val="Heading1"/>
        <w:numPr>
          <w:ilvl w:val="0"/>
          <w:numId w:val="0"/>
        </w:numPr>
        <w:ind w:left="720" w:hanging="720"/>
        <w:rPr>
          <w:noProof w:val="0"/>
          <w:lang w:val="en-GB"/>
        </w:rPr>
      </w:pPr>
      <w:bookmarkStart w:id="77" w:name="_Toc375336145"/>
      <w:bookmarkStart w:id="78" w:name="_Toc407700425"/>
      <w:bookmarkStart w:id="79" w:name="_Toc375336141"/>
      <w:r w:rsidRPr="005633D9">
        <w:rPr>
          <w:noProof w:val="0"/>
          <w:lang w:val="en-GB"/>
        </w:rPr>
        <w:lastRenderedPageBreak/>
        <w:t xml:space="preserve">Appendix </w:t>
      </w:r>
      <w:r>
        <w:rPr>
          <w:noProof w:val="0"/>
          <w:lang w:val="en-GB"/>
        </w:rPr>
        <w:t>A</w:t>
      </w:r>
      <w:r w:rsidRPr="005633D9">
        <w:rPr>
          <w:noProof w:val="0"/>
          <w:lang w:val="en-GB"/>
        </w:rPr>
        <w:t xml:space="preserve">: </w:t>
      </w:r>
      <w:bookmarkEnd w:id="77"/>
      <w:r w:rsidRPr="005633D9">
        <w:rPr>
          <w:noProof w:val="0"/>
          <w:lang w:val="en-GB"/>
        </w:rPr>
        <w:t>Mapping of evaluation questions to survey instruments</w:t>
      </w:r>
      <w:bookmarkEnd w:id="78"/>
    </w:p>
    <w:tbl>
      <w:tblPr>
        <w:tblStyle w:val="AbtFinal"/>
        <w:tblW w:w="9195" w:type="dxa"/>
        <w:tblLayout w:type="fixed"/>
        <w:tblLook w:val="04A0" w:firstRow="1" w:lastRow="0" w:firstColumn="1" w:lastColumn="0" w:noHBand="0" w:noVBand="1"/>
      </w:tblPr>
      <w:tblGrid>
        <w:gridCol w:w="378"/>
        <w:gridCol w:w="4313"/>
        <w:gridCol w:w="3229"/>
        <w:gridCol w:w="1275"/>
      </w:tblGrid>
      <w:tr w:rsidR="00D34D9B" w:rsidRPr="005633D9" w:rsidTr="00B65D18">
        <w:trPr>
          <w:cnfStyle w:val="100000000000" w:firstRow="1" w:lastRow="0" w:firstColumn="0" w:lastColumn="0" w:oddVBand="0" w:evenVBand="0" w:oddHBand="0" w:evenHBand="0" w:firstRowFirstColumn="0" w:firstRowLastColumn="0" w:lastRowFirstColumn="0" w:lastRowLastColumn="0"/>
          <w:trHeight w:val="442"/>
        </w:trPr>
        <w:tc>
          <w:tcPr>
            <w:tcW w:w="378" w:type="dxa"/>
          </w:tcPr>
          <w:p w:rsidR="00D34D9B" w:rsidRPr="005633D9" w:rsidRDefault="00D34D9B" w:rsidP="00B65D18">
            <w:pPr>
              <w:pStyle w:val="Bullets"/>
              <w:numPr>
                <w:ilvl w:val="0"/>
                <w:numId w:val="0"/>
              </w:numPr>
            </w:pPr>
            <w:r w:rsidRPr="005633D9">
              <w:t>#</w:t>
            </w:r>
          </w:p>
        </w:tc>
        <w:tc>
          <w:tcPr>
            <w:tcW w:w="4313" w:type="dxa"/>
          </w:tcPr>
          <w:p w:rsidR="00D34D9B" w:rsidRPr="005633D9" w:rsidRDefault="00D34D9B" w:rsidP="00B65D18">
            <w:pPr>
              <w:pStyle w:val="Bullets"/>
              <w:numPr>
                <w:ilvl w:val="0"/>
                <w:numId w:val="0"/>
              </w:numPr>
            </w:pPr>
            <w:r w:rsidRPr="005633D9">
              <w:t>Evaluation Question</w:t>
            </w:r>
          </w:p>
        </w:tc>
        <w:tc>
          <w:tcPr>
            <w:tcW w:w="3229" w:type="dxa"/>
          </w:tcPr>
          <w:p w:rsidR="00D34D9B" w:rsidRPr="005633D9" w:rsidRDefault="00D34D9B" w:rsidP="00B65D18">
            <w:pPr>
              <w:rPr>
                <w:lang w:val="en-GB"/>
              </w:rPr>
            </w:pPr>
            <w:r w:rsidRPr="005633D9">
              <w:rPr>
                <w:lang w:val="en-GB"/>
              </w:rPr>
              <w:t>Module</w:t>
            </w:r>
          </w:p>
        </w:tc>
        <w:tc>
          <w:tcPr>
            <w:tcW w:w="1275" w:type="dxa"/>
          </w:tcPr>
          <w:p w:rsidR="00D34D9B" w:rsidRPr="005633D9" w:rsidRDefault="00D34D9B" w:rsidP="00B65D18">
            <w:pPr>
              <w:rPr>
                <w:lang w:val="en-GB"/>
              </w:rPr>
            </w:pPr>
            <w:r w:rsidRPr="005633D9">
              <w:rPr>
                <w:lang w:val="en-GB"/>
              </w:rPr>
              <w:t>Variables</w:t>
            </w:r>
          </w:p>
        </w:tc>
      </w:tr>
      <w:tr w:rsidR="00D34D9B" w:rsidRPr="005633D9" w:rsidTr="00B65D18">
        <w:trPr>
          <w:cnfStyle w:val="000000100000" w:firstRow="0" w:lastRow="0" w:firstColumn="0" w:lastColumn="0" w:oddVBand="0" w:evenVBand="0" w:oddHBand="1" w:evenHBand="0" w:firstRowFirstColumn="0" w:firstRowLastColumn="0" w:lastRowFirstColumn="0" w:lastRowLastColumn="0"/>
          <w:trHeight w:val="1260"/>
        </w:trPr>
        <w:tc>
          <w:tcPr>
            <w:tcW w:w="378" w:type="dxa"/>
          </w:tcPr>
          <w:p w:rsidR="00D34D9B" w:rsidRPr="005633D9" w:rsidRDefault="00D34D9B" w:rsidP="00B65D18">
            <w:pPr>
              <w:pStyle w:val="Bullets"/>
              <w:numPr>
                <w:ilvl w:val="0"/>
                <w:numId w:val="0"/>
              </w:numPr>
            </w:pPr>
            <w:r w:rsidRPr="005633D9">
              <w:t>1</w:t>
            </w:r>
          </w:p>
        </w:tc>
        <w:tc>
          <w:tcPr>
            <w:tcW w:w="4313" w:type="dxa"/>
          </w:tcPr>
          <w:p w:rsidR="00D34D9B" w:rsidRPr="005633D9" w:rsidRDefault="00D34D9B" w:rsidP="00B65D18">
            <w:pPr>
              <w:pStyle w:val="Bullets"/>
              <w:numPr>
                <w:ilvl w:val="0"/>
                <w:numId w:val="0"/>
              </w:numPr>
            </w:pPr>
            <w:r w:rsidRPr="005633D9">
              <w:t>What has been the impact of the AgResults project/pilot on private sector engagement in the development and uptake of agricultural innovations?</w:t>
            </w:r>
          </w:p>
        </w:tc>
        <w:tc>
          <w:tcPr>
            <w:tcW w:w="4504" w:type="dxa"/>
            <w:gridSpan w:val="2"/>
          </w:tcPr>
          <w:p w:rsidR="00D34D9B" w:rsidRPr="005633D9" w:rsidRDefault="00D34D9B" w:rsidP="00B65D18">
            <w:pPr>
              <w:jc w:val="center"/>
              <w:rPr>
                <w:lang w:val="en-GB"/>
              </w:rPr>
            </w:pPr>
            <w:r w:rsidRPr="005633D9">
              <w:rPr>
                <w:lang w:val="en-GB"/>
              </w:rPr>
              <w:t>Qualitative Instruments</w:t>
            </w:r>
          </w:p>
        </w:tc>
      </w:tr>
      <w:tr w:rsidR="00D34D9B" w:rsidRPr="005633D9" w:rsidTr="00B65D18">
        <w:trPr>
          <w:cnfStyle w:val="000000010000" w:firstRow="0" w:lastRow="0" w:firstColumn="0" w:lastColumn="0" w:oddVBand="0" w:evenVBand="0" w:oddHBand="0" w:evenHBand="1" w:firstRowFirstColumn="0" w:firstRowLastColumn="0" w:lastRowFirstColumn="0" w:lastRowLastColumn="0"/>
          <w:trHeight w:val="992"/>
        </w:trPr>
        <w:tc>
          <w:tcPr>
            <w:tcW w:w="378" w:type="dxa"/>
          </w:tcPr>
          <w:p w:rsidR="00D34D9B" w:rsidRPr="005633D9" w:rsidRDefault="00D34D9B" w:rsidP="00B65D18">
            <w:pPr>
              <w:pStyle w:val="Bullets"/>
              <w:numPr>
                <w:ilvl w:val="0"/>
                <w:numId w:val="0"/>
              </w:numPr>
            </w:pPr>
            <w:r w:rsidRPr="005633D9">
              <w:t>2</w:t>
            </w:r>
          </w:p>
        </w:tc>
        <w:tc>
          <w:tcPr>
            <w:tcW w:w="4313" w:type="dxa"/>
          </w:tcPr>
          <w:p w:rsidR="00D34D9B" w:rsidRPr="005633D9" w:rsidRDefault="00D34D9B" w:rsidP="00B65D18">
            <w:pPr>
              <w:pStyle w:val="Bullets"/>
              <w:numPr>
                <w:ilvl w:val="0"/>
                <w:numId w:val="0"/>
              </w:numPr>
            </w:pPr>
            <w:r w:rsidRPr="005633D9">
              <w:t>What has been the impact of the AgResults project/pilot on smallholders’ uptake of Aflasafe?</w:t>
            </w:r>
          </w:p>
        </w:tc>
        <w:tc>
          <w:tcPr>
            <w:tcW w:w="3229" w:type="dxa"/>
          </w:tcPr>
          <w:p w:rsidR="00D34D9B" w:rsidRPr="005633D9" w:rsidRDefault="00D34D9B" w:rsidP="00B65D18">
            <w:pPr>
              <w:rPr>
                <w:lang w:val="en-GB"/>
              </w:rPr>
            </w:pPr>
            <w:r w:rsidRPr="005633D9">
              <w:rPr>
                <w:lang w:val="en-GB"/>
              </w:rPr>
              <w:t>Section 8: Aflasafe usage for maize</w:t>
            </w:r>
          </w:p>
        </w:tc>
        <w:tc>
          <w:tcPr>
            <w:tcW w:w="1275" w:type="dxa"/>
          </w:tcPr>
          <w:p w:rsidR="00D34D9B" w:rsidRPr="005633D9" w:rsidRDefault="00D34D9B" w:rsidP="00B65D18">
            <w:pPr>
              <w:rPr>
                <w:lang w:val="en-GB"/>
              </w:rPr>
            </w:pPr>
            <w:r w:rsidRPr="005633D9">
              <w:rPr>
                <w:lang w:val="en-GB"/>
              </w:rPr>
              <w:t>Q2,Q3,Q4</w:t>
            </w:r>
          </w:p>
        </w:tc>
      </w:tr>
      <w:tr w:rsidR="00D34D9B" w:rsidRPr="005633D9" w:rsidTr="00B65D18">
        <w:trPr>
          <w:cnfStyle w:val="000000100000" w:firstRow="0" w:lastRow="0" w:firstColumn="0" w:lastColumn="0" w:oddVBand="0" w:evenVBand="0" w:oddHBand="1" w:evenHBand="0" w:firstRowFirstColumn="0" w:firstRowLastColumn="0" w:lastRowFirstColumn="0" w:lastRowLastColumn="0"/>
          <w:trHeight w:val="219"/>
        </w:trPr>
        <w:tc>
          <w:tcPr>
            <w:tcW w:w="378" w:type="dxa"/>
            <w:vMerge w:val="restart"/>
          </w:tcPr>
          <w:p w:rsidR="00D34D9B" w:rsidRPr="005633D9" w:rsidRDefault="00D34D9B" w:rsidP="00B65D18">
            <w:pPr>
              <w:pStyle w:val="Bullets"/>
              <w:numPr>
                <w:ilvl w:val="0"/>
                <w:numId w:val="0"/>
              </w:numPr>
            </w:pPr>
            <w:r w:rsidRPr="005633D9">
              <w:t>3</w:t>
            </w:r>
          </w:p>
        </w:tc>
        <w:tc>
          <w:tcPr>
            <w:tcW w:w="4313" w:type="dxa"/>
            <w:vMerge w:val="restart"/>
          </w:tcPr>
          <w:p w:rsidR="00D34D9B" w:rsidRPr="005633D9" w:rsidRDefault="00D34D9B" w:rsidP="00B65D18">
            <w:pPr>
              <w:pStyle w:val="Bullets"/>
              <w:numPr>
                <w:ilvl w:val="0"/>
                <w:numId w:val="0"/>
              </w:numPr>
            </w:pPr>
            <w:r w:rsidRPr="005633D9">
              <w:t>What has been the impact of the AgResults project/pilot on smallholders’ incomes?</w:t>
            </w:r>
          </w:p>
        </w:tc>
        <w:tc>
          <w:tcPr>
            <w:tcW w:w="3229" w:type="dxa"/>
          </w:tcPr>
          <w:p w:rsidR="00D34D9B" w:rsidRPr="005633D9" w:rsidRDefault="00D34D9B" w:rsidP="00B65D18">
            <w:pPr>
              <w:rPr>
                <w:lang w:val="en-GB"/>
              </w:rPr>
            </w:pPr>
            <w:r w:rsidRPr="005633D9">
              <w:rPr>
                <w:lang w:val="en-GB"/>
              </w:rPr>
              <w:t>Section 9: Maize Harvest and Marketing</w:t>
            </w:r>
          </w:p>
        </w:tc>
        <w:tc>
          <w:tcPr>
            <w:tcW w:w="1275" w:type="dxa"/>
          </w:tcPr>
          <w:p w:rsidR="00D34D9B" w:rsidRPr="005633D9" w:rsidRDefault="00D34D9B" w:rsidP="00B65D18">
            <w:pPr>
              <w:rPr>
                <w:lang w:val="en-GB"/>
              </w:rPr>
            </w:pPr>
            <w:r w:rsidRPr="005633D9">
              <w:rPr>
                <w:lang w:val="en-GB"/>
              </w:rPr>
              <w:t>Q14, Q16</w:t>
            </w:r>
          </w:p>
        </w:tc>
      </w:tr>
      <w:tr w:rsidR="00D34D9B" w:rsidRPr="005633D9" w:rsidTr="00B65D18">
        <w:trPr>
          <w:cnfStyle w:val="000000010000" w:firstRow="0" w:lastRow="0" w:firstColumn="0" w:lastColumn="0" w:oddVBand="0" w:evenVBand="0" w:oddHBand="0" w:evenHBand="1" w:firstRowFirstColumn="0" w:firstRowLastColumn="0" w:lastRowFirstColumn="0" w:lastRowLastColumn="0"/>
          <w:trHeight w:val="219"/>
        </w:trPr>
        <w:tc>
          <w:tcPr>
            <w:tcW w:w="378" w:type="dxa"/>
            <w:vMerge/>
          </w:tcPr>
          <w:p w:rsidR="00D34D9B" w:rsidRPr="005633D9" w:rsidRDefault="00D34D9B" w:rsidP="00B65D18">
            <w:pPr>
              <w:pStyle w:val="Bullets"/>
              <w:numPr>
                <w:ilvl w:val="0"/>
                <w:numId w:val="0"/>
              </w:numPr>
            </w:pPr>
          </w:p>
        </w:tc>
        <w:tc>
          <w:tcPr>
            <w:tcW w:w="4313" w:type="dxa"/>
            <w:vMerge/>
          </w:tcPr>
          <w:p w:rsidR="00D34D9B" w:rsidRPr="005633D9" w:rsidRDefault="00D34D9B" w:rsidP="00B65D18">
            <w:pPr>
              <w:pStyle w:val="Bullets"/>
              <w:numPr>
                <w:ilvl w:val="0"/>
                <w:numId w:val="0"/>
              </w:numPr>
            </w:pPr>
          </w:p>
        </w:tc>
        <w:tc>
          <w:tcPr>
            <w:tcW w:w="3229" w:type="dxa"/>
            <w:shd w:val="clear" w:color="auto" w:fill="E7E8E8" w:themeFill="accent2" w:themeFillTint="33"/>
          </w:tcPr>
          <w:p w:rsidR="00D34D9B" w:rsidRPr="005633D9" w:rsidRDefault="00D34D9B" w:rsidP="00B65D18">
            <w:pPr>
              <w:rPr>
                <w:lang w:val="en-GB"/>
              </w:rPr>
            </w:pPr>
            <w:r w:rsidRPr="005633D9">
              <w:rPr>
                <w:lang w:val="en-GB"/>
              </w:rPr>
              <w:t>Section 12: Other Harvest and Marketing</w:t>
            </w:r>
          </w:p>
        </w:tc>
        <w:tc>
          <w:tcPr>
            <w:tcW w:w="1275" w:type="dxa"/>
            <w:shd w:val="clear" w:color="auto" w:fill="E7E8E8" w:themeFill="accent2" w:themeFillTint="33"/>
          </w:tcPr>
          <w:p w:rsidR="00D34D9B" w:rsidRPr="005633D9" w:rsidRDefault="00D34D9B" w:rsidP="00B65D18">
            <w:pPr>
              <w:rPr>
                <w:lang w:val="en-GB"/>
              </w:rPr>
            </w:pPr>
            <w:r w:rsidRPr="005633D9">
              <w:rPr>
                <w:lang w:val="en-GB"/>
              </w:rPr>
              <w:t>Q3</w:t>
            </w:r>
          </w:p>
        </w:tc>
      </w:tr>
      <w:tr w:rsidR="00D34D9B" w:rsidRPr="005633D9" w:rsidTr="00B65D18">
        <w:trPr>
          <w:cnfStyle w:val="000000100000" w:firstRow="0" w:lastRow="0" w:firstColumn="0" w:lastColumn="0" w:oddVBand="0" w:evenVBand="0" w:oddHBand="1" w:evenHBand="0" w:firstRowFirstColumn="0" w:firstRowLastColumn="0" w:lastRowFirstColumn="0" w:lastRowLastColumn="0"/>
          <w:trHeight w:val="219"/>
        </w:trPr>
        <w:tc>
          <w:tcPr>
            <w:tcW w:w="378" w:type="dxa"/>
            <w:vMerge/>
          </w:tcPr>
          <w:p w:rsidR="00D34D9B" w:rsidRPr="005633D9" w:rsidRDefault="00D34D9B" w:rsidP="00B65D18">
            <w:pPr>
              <w:pStyle w:val="Bullets"/>
              <w:numPr>
                <w:ilvl w:val="0"/>
                <w:numId w:val="0"/>
              </w:numPr>
            </w:pPr>
          </w:p>
        </w:tc>
        <w:tc>
          <w:tcPr>
            <w:tcW w:w="4313" w:type="dxa"/>
            <w:vMerge/>
          </w:tcPr>
          <w:p w:rsidR="00D34D9B" w:rsidRPr="005633D9" w:rsidRDefault="00D34D9B" w:rsidP="00B65D18">
            <w:pPr>
              <w:pStyle w:val="Bullets"/>
              <w:numPr>
                <w:ilvl w:val="0"/>
                <w:numId w:val="0"/>
              </w:numPr>
            </w:pPr>
          </w:p>
        </w:tc>
        <w:tc>
          <w:tcPr>
            <w:tcW w:w="3229" w:type="dxa"/>
          </w:tcPr>
          <w:p w:rsidR="00D34D9B" w:rsidRPr="005633D9" w:rsidRDefault="00D34D9B" w:rsidP="00B65D18">
            <w:pPr>
              <w:rPr>
                <w:lang w:val="en-GB"/>
              </w:rPr>
            </w:pPr>
            <w:r w:rsidRPr="005633D9">
              <w:rPr>
                <w:lang w:val="en-GB"/>
              </w:rPr>
              <w:t>Section 14: Non-Farm Income</w:t>
            </w:r>
          </w:p>
        </w:tc>
        <w:tc>
          <w:tcPr>
            <w:tcW w:w="1275" w:type="dxa"/>
          </w:tcPr>
          <w:p w:rsidR="00D34D9B" w:rsidRPr="005633D9" w:rsidRDefault="00D34D9B" w:rsidP="00B65D18">
            <w:pPr>
              <w:rPr>
                <w:lang w:val="en-GB"/>
              </w:rPr>
            </w:pPr>
            <w:r w:rsidRPr="005633D9">
              <w:rPr>
                <w:lang w:val="en-GB"/>
              </w:rPr>
              <w:t>Q4</w:t>
            </w:r>
          </w:p>
        </w:tc>
      </w:tr>
      <w:tr w:rsidR="00D34D9B" w:rsidRPr="005633D9" w:rsidTr="00B65D18">
        <w:trPr>
          <w:cnfStyle w:val="000000010000" w:firstRow="0" w:lastRow="0" w:firstColumn="0" w:lastColumn="0" w:oddVBand="0" w:evenVBand="0" w:oddHBand="0" w:evenHBand="1" w:firstRowFirstColumn="0" w:firstRowLastColumn="0" w:lastRowFirstColumn="0" w:lastRowLastColumn="0"/>
          <w:trHeight w:val="576"/>
        </w:trPr>
        <w:tc>
          <w:tcPr>
            <w:tcW w:w="378" w:type="dxa"/>
            <w:vMerge w:val="restart"/>
          </w:tcPr>
          <w:p w:rsidR="00D34D9B" w:rsidRPr="005633D9" w:rsidRDefault="00D34D9B" w:rsidP="00B65D18">
            <w:pPr>
              <w:pStyle w:val="Bullets"/>
              <w:numPr>
                <w:ilvl w:val="0"/>
                <w:numId w:val="0"/>
              </w:numPr>
            </w:pPr>
            <w:r w:rsidRPr="005633D9">
              <w:t>4</w:t>
            </w:r>
          </w:p>
        </w:tc>
        <w:tc>
          <w:tcPr>
            <w:tcW w:w="4313" w:type="dxa"/>
            <w:vMerge w:val="restart"/>
          </w:tcPr>
          <w:p w:rsidR="00D34D9B" w:rsidRPr="005633D9" w:rsidRDefault="00D34D9B" w:rsidP="00B65D18">
            <w:pPr>
              <w:pStyle w:val="Bullets"/>
              <w:numPr>
                <w:ilvl w:val="0"/>
                <w:numId w:val="0"/>
              </w:numPr>
            </w:pPr>
            <w:r w:rsidRPr="005633D9">
              <w:t>What has been the impact of the AgResults project/pilot on poor consumers’ demand for derivative food products, i.e., aflatoxin-free maize?</w:t>
            </w:r>
          </w:p>
        </w:tc>
        <w:tc>
          <w:tcPr>
            <w:tcW w:w="3229" w:type="dxa"/>
          </w:tcPr>
          <w:p w:rsidR="00D34D9B" w:rsidRPr="005633D9" w:rsidRDefault="00D34D9B" w:rsidP="00B65D18">
            <w:pPr>
              <w:rPr>
                <w:lang w:val="en-GB"/>
              </w:rPr>
            </w:pPr>
            <w:r w:rsidRPr="005633D9">
              <w:rPr>
                <w:lang w:val="en-GB"/>
              </w:rPr>
              <w:t>Section 17: Consumption of Aflasafe-Treated Maize</w:t>
            </w:r>
          </w:p>
        </w:tc>
        <w:tc>
          <w:tcPr>
            <w:tcW w:w="1275" w:type="dxa"/>
          </w:tcPr>
          <w:p w:rsidR="00D34D9B" w:rsidRPr="005633D9" w:rsidRDefault="00D34D9B" w:rsidP="00B65D18">
            <w:pPr>
              <w:rPr>
                <w:lang w:val="en-GB"/>
              </w:rPr>
            </w:pPr>
            <w:r w:rsidRPr="005633D9">
              <w:rPr>
                <w:lang w:val="en-GB"/>
              </w:rPr>
              <w:t>Q1-Q6</w:t>
            </w:r>
          </w:p>
        </w:tc>
      </w:tr>
      <w:tr w:rsidR="00D34D9B" w:rsidRPr="005633D9" w:rsidTr="00B65D18">
        <w:trPr>
          <w:cnfStyle w:val="000000100000" w:firstRow="0" w:lastRow="0" w:firstColumn="0" w:lastColumn="0" w:oddVBand="0" w:evenVBand="0" w:oddHBand="1" w:evenHBand="0" w:firstRowFirstColumn="0" w:firstRowLastColumn="0" w:lastRowFirstColumn="0" w:lastRowLastColumn="0"/>
          <w:trHeight w:val="576"/>
        </w:trPr>
        <w:tc>
          <w:tcPr>
            <w:tcW w:w="378" w:type="dxa"/>
            <w:vMerge/>
          </w:tcPr>
          <w:p w:rsidR="00D34D9B" w:rsidRPr="005633D9" w:rsidRDefault="00D34D9B" w:rsidP="00B65D18">
            <w:pPr>
              <w:pStyle w:val="Bullets"/>
              <w:numPr>
                <w:ilvl w:val="0"/>
                <w:numId w:val="0"/>
              </w:numPr>
            </w:pPr>
          </w:p>
        </w:tc>
        <w:tc>
          <w:tcPr>
            <w:tcW w:w="4313" w:type="dxa"/>
            <w:vMerge/>
          </w:tcPr>
          <w:p w:rsidR="00D34D9B" w:rsidRPr="005633D9" w:rsidRDefault="00D34D9B" w:rsidP="00B65D18">
            <w:pPr>
              <w:pStyle w:val="Bullets"/>
              <w:numPr>
                <w:ilvl w:val="0"/>
                <w:numId w:val="0"/>
              </w:numPr>
            </w:pPr>
          </w:p>
        </w:tc>
        <w:tc>
          <w:tcPr>
            <w:tcW w:w="4504" w:type="dxa"/>
            <w:gridSpan w:val="2"/>
            <w:shd w:val="clear" w:color="auto" w:fill="auto"/>
          </w:tcPr>
          <w:p w:rsidR="00D34D9B" w:rsidRPr="005633D9" w:rsidRDefault="00D34D9B" w:rsidP="00B65D18">
            <w:pPr>
              <w:jc w:val="center"/>
              <w:rPr>
                <w:lang w:val="en-GB"/>
              </w:rPr>
            </w:pPr>
            <w:r w:rsidRPr="005633D9">
              <w:rPr>
                <w:lang w:val="en-GB"/>
              </w:rPr>
              <w:t>Qualitative Instruments</w:t>
            </w:r>
          </w:p>
        </w:tc>
      </w:tr>
      <w:tr w:rsidR="00D34D9B" w:rsidRPr="005633D9" w:rsidTr="00B65D18">
        <w:trPr>
          <w:cnfStyle w:val="000000010000" w:firstRow="0" w:lastRow="0" w:firstColumn="0" w:lastColumn="0" w:oddVBand="0" w:evenVBand="0" w:oddHBand="0" w:evenHBand="1" w:firstRowFirstColumn="0" w:firstRowLastColumn="0" w:lastRowFirstColumn="0" w:lastRowLastColumn="0"/>
          <w:trHeight w:val="992"/>
        </w:trPr>
        <w:tc>
          <w:tcPr>
            <w:tcW w:w="378" w:type="dxa"/>
            <w:shd w:val="clear" w:color="auto" w:fill="E7E8E8" w:themeFill="accent2" w:themeFillTint="33"/>
          </w:tcPr>
          <w:p w:rsidR="00D34D9B" w:rsidRPr="005633D9" w:rsidRDefault="00D34D9B" w:rsidP="00B65D18">
            <w:pPr>
              <w:pStyle w:val="Bullets"/>
              <w:numPr>
                <w:ilvl w:val="0"/>
                <w:numId w:val="0"/>
              </w:numPr>
            </w:pPr>
            <w:r w:rsidRPr="005633D9">
              <w:t>5</w:t>
            </w:r>
          </w:p>
        </w:tc>
        <w:tc>
          <w:tcPr>
            <w:tcW w:w="4313" w:type="dxa"/>
            <w:shd w:val="clear" w:color="auto" w:fill="E7E8E8" w:themeFill="accent2" w:themeFillTint="33"/>
          </w:tcPr>
          <w:p w:rsidR="00D34D9B" w:rsidRPr="005633D9" w:rsidRDefault="00D34D9B" w:rsidP="00B65D18">
            <w:pPr>
              <w:pStyle w:val="Bullets"/>
              <w:numPr>
                <w:ilvl w:val="0"/>
                <w:numId w:val="0"/>
              </w:numPr>
            </w:pPr>
            <w:r w:rsidRPr="005633D9">
              <w:t>What evidence exists that the AgResults pilot is scalable and that its effect will be sustainable in the medium to long term?</w:t>
            </w:r>
          </w:p>
        </w:tc>
        <w:tc>
          <w:tcPr>
            <w:tcW w:w="4504" w:type="dxa"/>
            <w:gridSpan w:val="2"/>
            <w:shd w:val="clear" w:color="auto" w:fill="E7E8E8" w:themeFill="accent2" w:themeFillTint="33"/>
          </w:tcPr>
          <w:p w:rsidR="00D34D9B" w:rsidRPr="005633D9" w:rsidRDefault="00D34D9B" w:rsidP="00B65D18">
            <w:pPr>
              <w:jc w:val="center"/>
              <w:rPr>
                <w:lang w:val="en-GB"/>
              </w:rPr>
            </w:pPr>
            <w:r w:rsidRPr="005633D9">
              <w:rPr>
                <w:lang w:val="en-GB"/>
              </w:rPr>
              <w:t>Qualitative Instruments</w:t>
            </w:r>
          </w:p>
        </w:tc>
      </w:tr>
      <w:tr w:rsidR="00D34D9B" w:rsidRPr="005633D9" w:rsidTr="00B65D18">
        <w:trPr>
          <w:cnfStyle w:val="000000100000" w:firstRow="0" w:lastRow="0" w:firstColumn="0" w:lastColumn="0" w:oddVBand="0" w:evenVBand="0" w:oddHBand="1" w:evenHBand="0" w:firstRowFirstColumn="0" w:firstRowLastColumn="0" w:lastRowFirstColumn="0" w:lastRowLastColumn="0"/>
          <w:trHeight w:val="1260"/>
        </w:trPr>
        <w:tc>
          <w:tcPr>
            <w:tcW w:w="378" w:type="dxa"/>
            <w:shd w:val="clear" w:color="auto" w:fill="auto"/>
          </w:tcPr>
          <w:p w:rsidR="00D34D9B" w:rsidRPr="005633D9" w:rsidRDefault="00D34D9B" w:rsidP="00B65D18">
            <w:pPr>
              <w:pStyle w:val="Bullets"/>
              <w:numPr>
                <w:ilvl w:val="0"/>
                <w:numId w:val="0"/>
              </w:numPr>
            </w:pPr>
            <w:r w:rsidRPr="005633D9">
              <w:t>6</w:t>
            </w:r>
          </w:p>
        </w:tc>
        <w:tc>
          <w:tcPr>
            <w:tcW w:w="4313" w:type="dxa"/>
            <w:shd w:val="clear" w:color="auto" w:fill="auto"/>
          </w:tcPr>
          <w:p w:rsidR="00D34D9B" w:rsidRPr="005633D9" w:rsidRDefault="00D34D9B" w:rsidP="00B65D18">
            <w:pPr>
              <w:pStyle w:val="Bullets"/>
              <w:numPr>
                <w:ilvl w:val="0"/>
                <w:numId w:val="0"/>
              </w:numPr>
            </w:pPr>
            <w:r w:rsidRPr="005633D9">
              <w:t>What is the evidence on the scale of any effect on private sector investment and uptake and on the cost-effectiveness of AgResults as an approach?</w:t>
            </w:r>
          </w:p>
        </w:tc>
        <w:tc>
          <w:tcPr>
            <w:tcW w:w="4504" w:type="dxa"/>
            <w:gridSpan w:val="2"/>
            <w:shd w:val="clear" w:color="auto" w:fill="auto"/>
          </w:tcPr>
          <w:p w:rsidR="00D34D9B" w:rsidRPr="005633D9" w:rsidRDefault="00D34D9B" w:rsidP="00B65D18">
            <w:pPr>
              <w:jc w:val="center"/>
              <w:rPr>
                <w:lang w:val="en-GB"/>
              </w:rPr>
            </w:pPr>
            <w:r w:rsidRPr="005633D9">
              <w:rPr>
                <w:lang w:val="en-GB"/>
              </w:rPr>
              <w:t>Qualitative Instruments</w:t>
            </w:r>
          </w:p>
        </w:tc>
      </w:tr>
      <w:tr w:rsidR="00D34D9B" w:rsidRPr="005633D9" w:rsidTr="00B65D18">
        <w:trPr>
          <w:cnfStyle w:val="000000010000" w:firstRow="0" w:lastRow="0" w:firstColumn="0" w:lastColumn="0" w:oddVBand="0" w:evenVBand="0" w:oddHBand="0" w:evenHBand="1" w:firstRowFirstColumn="0" w:firstRowLastColumn="0" w:lastRowFirstColumn="0" w:lastRowLastColumn="0"/>
          <w:trHeight w:val="1006"/>
        </w:trPr>
        <w:tc>
          <w:tcPr>
            <w:tcW w:w="378" w:type="dxa"/>
            <w:shd w:val="clear" w:color="auto" w:fill="E7E8E8" w:themeFill="accent2" w:themeFillTint="33"/>
          </w:tcPr>
          <w:p w:rsidR="00D34D9B" w:rsidRPr="005633D9" w:rsidRDefault="00D34D9B" w:rsidP="00B65D18">
            <w:pPr>
              <w:rPr>
                <w:lang w:val="en-GB"/>
              </w:rPr>
            </w:pPr>
            <w:r w:rsidRPr="005633D9">
              <w:rPr>
                <w:lang w:val="en-GB"/>
              </w:rPr>
              <w:t>7</w:t>
            </w:r>
          </w:p>
        </w:tc>
        <w:tc>
          <w:tcPr>
            <w:tcW w:w="4313" w:type="dxa"/>
            <w:shd w:val="clear" w:color="auto" w:fill="E7E8E8" w:themeFill="accent2" w:themeFillTint="33"/>
          </w:tcPr>
          <w:p w:rsidR="00D34D9B" w:rsidRPr="005633D9" w:rsidRDefault="00D34D9B" w:rsidP="00B65D18">
            <w:pPr>
              <w:rPr>
                <w:lang w:val="en-GB"/>
              </w:rPr>
            </w:pPr>
            <w:r w:rsidRPr="005633D9">
              <w:rPr>
                <w:lang w:val="en-GB"/>
              </w:rPr>
              <w:t>What lessons can be learnt about best practices in the design and implementation of agricultural pull mechanisms?</w:t>
            </w:r>
          </w:p>
        </w:tc>
        <w:tc>
          <w:tcPr>
            <w:tcW w:w="4504" w:type="dxa"/>
            <w:gridSpan w:val="2"/>
            <w:shd w:val="clear" w:color="auto" w:fill="E7E8E8" w:themeFill="accent2" w:themeFillTint="33"/>
          </w:tcPr>
          <w:p w:rsidR="00D34D9B" w:rsidRPr="005633D9" w:rsidRDefault="00D34D9B" w:rsidP="00B65D18">
            <w:pPr>
              <w:jc w:val="center"/>
              <w:rPr>
                <w:lang w:val="en-GB"/>
              </w:rPr>
            </w:pPr>
            <w:r w:rsidRPr="005633D9">
              <w:rPr>
                <w:lang w:val="en-GB"/>
              </w:rPr>
              <w:t>Compilation of results from all AgResults Pilot evaluations</w:t>
            </w:r>
          </w:p>
        </w:tc>
      </w:tr>
    </w:tbl>
    <w:p w:rsidR="00D34D9B" w:rsidRPr="005633D9" w:rsidRDefault="00D34D9B" w:rsidP="00D34D9B">
      <w:pPr>
        <w:pStyle w:val="BodyText"/>
      </w:pPr>
    </w:p>
    <w:p w:rsidR="00D34D9B" w:rsidRPr="005633D9" w:rsidRDefault="00D34D9B" w:rsidP="00D34D9B">
      <w:pPr>
        <w:spacing w:after="0"/>
        <w:rPr>
          <w:lang w:val="en-GB"/>
        </w:rPr>
      </w:pPr>
      <w:r w:rsidRPr="005633D9">
        <w:rPr>
          <w:lang w:val="en-GB"/>
        </w:rPr>
        <w:br w:type="page"/>
      </w:r>
    </w:p>
    <w:p w:rsidR="00F71E0C" w:rsidRPr="005633D9" w:rsidRDefault="009C785F" w:rsidP="00D139EC">
      <w:pPr>
        <w:pStyle w:val="Heading1"/>
        <w:numPr>
          <w:ilvl w:val="0"/>
          <w:numId w:val="0"/>
        </w:numPr>
        <w:ind w:left="720" w:hanging="720"/>
        <w:rPr>
          <w:noProof w:val="0"/>
          <w:lang w:val="en-GB"/>
        </w:rPr>
      </w:pPr>
      <w:bookmarkStart w:id="80" w:name="_Toc407700426"/>
      <w:r w:rsidRPr="005633D9">
        <w:rPr>
          <w:noProof w:val="0"/>
          <w:lang w:val="en-GB"/>
        </w:rPr>
        <w:lastRenderedPageBreak/>
        <w:t xml:space="preserve">Appendix </w:t>
      </w:r>
      <w:r w:rsidR="00D34D9B">
        <w:rPr>
          <w:noProof w:val="0"/>
          <w:lang w:val="en-GB"/>
        </w:rPr>
        <w:t>B</w:t>
      </w:r>
      <w:r w:rsidR="00D139EC" w:rsidRPr="005633D9">
        <w:rPr>
          <w:noProof w:val="0"/>
          <w:lang w:val="en-GB"/>
        </w:rPr>
        <w:t xml:space="preserve">: </w:t>
      </w:r>
      <w:r w:rsidR="00F71E0C" w:rsidRPr="005633D9">
        <w:rPr>
          <w:noProof w:val="0"/>
          <w:lang w:val="en-GB"/>
        </w:rPr>
        <w:t xml:space="preserve">Qualitative </w:t>
      </w:r>
      <w:r w:rsidR="000A26AA" w:rsidRPr="005633D9">
        <w:rPr>
          <w:noProof w:val="0"/>
          <w:lang w:val="en-GB"/>
        </w:rPr>
        <w:t>survey instruments</w:t>
      </w:r>
      <w:bookmarkEnd w:id="80"/>
    </w:p>
    <w:bookmarkEnd w:id="79"/>
    <w:p w:rsidR="00D139EC" w:rsidRPr="005633D9" w:rsidRDefault="00D139EC" w:rsidP="00D139EC">
      <w:pPr>
        <w:rPr>
          <w:b/>
          <w:lang w:val="en-GB"/>
        </w:rPr>
      </w:pPr>
      <w:r w:rsidRPr="005633D9">
        <w:rPr>
          <w:b/>
          <w:lang w:val="en-GB"/>
        </w:rPr>
        <w:t xml:space="preserve">Data to be collected from </w:t>
      </w:r>
      <w:r w:rsidR="00F93043">
        <w:rPr>
          <w:b/>
          <w:lang w:val="en-GB"/>
        </w:rPr>
        <w:t>implementer</w:t>
      </w:r>
      <w:r w:rsidRPr="005633D9">
        <w:rPr>
          <w:b/>
          <w:lang w:val="en-GB"/>
        </w:rPr>
        <w:t>s</w:t>
      </w:r>
      <w:r w:rsidR="009C6902" w:rsidRPr="005633D9">
        <w:rPr>
          <w:b/>
          <w:lang w:val="en-GB"/>
        </w:rPr>
        <w:t xml:space="preserve"> (via secretariat)</w:t>
      </w:r>
    </w:p>
    <w:p w:rsidR="00D139EC" w:rsidRPr="005633D9" w:rsidRDefault="00D139EC" w:rsidP="00D139EC">
      <w:pPr>
        <w:pStyle w:val="Bullets"/>
      </w:pPr>
      <w:r w:rsidRPr="005633D9">
        <w:t xml:space="preserve">Information on sales and firms that purchase aflatoxin-free maize from </w:t>
      </w:r>
      <w:r w:rsidR="00F93043">
        <w:t>implementer</w:t>
      </w:r>
      <w:r w:rsidRPr="005633D9">
        <w:t>s</w:t>
      </w:r>
    </w:p>
    <w:p w:rsidR="00D139EC" w:rsidRPr="005633D9" w:rsidRDefault="00D139EC" w:rsidP="00D139EC">
      <w:pPr>
        <w:pStyle w:val="Bullet2"/>
        <w:rPr>
          <w:lang w:val="en-GB"/>
        </w:rPr>
      </w:pPr>
      <w:r w:rsidRPr="005633D9">
        <w:rPr>
          <w:lang w:val="en-GB"/>
        </w:rPr>
        <w:t>Type of firm</w:t>
      </w:r>
    </w:p>
    <w:p w:rsidR="00D139EC" w:rsidRPr="005633D9" w:rsidRDefault="00D139EC" w:rsidP="00D139EC">
      <w:pPr>
        <w:pStyle w:val="Bullet2"/>
        <w:rPr>
          <w:lang w:val="en-GB"/>
        </w:rPr>
      </w:pPr>
      <w:r w:rsidRPr="005633D9">
        <w:rPr>
          <w:lang w:val="en-GB"/>
        </w:rPr>
        <w:t>Firm name</w:t>
      </w:r>
    </w:p>
    <w:p w:rsidR="00D139EC" w:rsidRPr="005633D9" w:rsidRDefault="00D139EC" w:rsidP="00D139EC">
      <w:pPr>
        <w:pStyle w:val="Bullet2"/>
        <w:rPr>
          <w:lang w:val="en-GB"/>
        </w:rPr>
      </w:pPr>
      <w:r w:rsidRPr="005633D9">
        <w:rPr>
          <w:lang w:val="en-GB"/>
        </w:rPr>
        <w:t>Volume transacted</w:t>
      </w:r>
    </w:p>
    <w:p w:rsidR="00D139EC" w:rsidRPr="005633D9" w:rsidRDefault="00D139EC" w:rsidP="00D139EC">
      <w:pPr>
        <w:pStyle w:val="Bullet2"/>
        <w:rPr>
          <w:lang w:val="en-GB"/>
        </w:rPr>
      </w:pPr>
      <w:r w:rsidRPr="005633D9">
        <w:rPr>
          <w:lang w:val="en-GB"/>
        </w:rPr>
        <w:t>Transaction price</w:t>
      </w:r>
    </w:p>
    <w:p w:rsidR="00D139EC" w:rsidRPr="005633D9" w:rsidRDefault="00D139EC" w:rsidP="00D139EC">
      <w:pPr>
        <w:pStyle w:val="Bullet2"/>
        <w:rPr>
          <w:lang w:val="en-GB"/>
        </w:rPr>
      </w:pPr>
      <w:r w:rsidRPr="005633D9">
        <w:rPr>
          <w:lang w:val="en-GB"/>
        </w:rPr>
        <w:t>Contact information</w:t>
      </w:r>
    </w:p>
    <w:p w:rsidR="00D139EC" w:rsidRPr="005633D9" w:rsidRDefault="00D139EC" w:rsidP="00F52CB7">
      <w:pPr>
        <w:pStyle w:val="ListParagraph"/>
        <w:numPr>
          <w:ilvl w:val="0"/>
          <w:numId w:val="7"/>
        </w:numPr>
        <w:rPr>
          <w:lang w:val="en-GB"/>
        </w:rPr>
      </w:pPr>
      <w:r w:rsidRPr="005633D9">
        <w:rPr>
          <w:lang w:val="en-GB"/>
        </w:rPr>
        <w:br w:type="page"/>
      </w:r>
    </w:p>
    <w:p w:rsidR="00D139EC" w:rsidRPr="005633D9" w:rsidRDefault="00D139EC" w:rsidP="00F04A96">
      <w:pPr>
        <w:pStyle w:val="Heading2"/>
        <w:numPr>
          <w:ilvl w:val="0"/>
          <w:numId w:val="0"/>
        </w:numPr>
        <w:ind w:left="720" w:hanging="720"/>
        <w:rPr>
          <w:lang w:val="en-GB"/>
        </w:rPr>
      </w:pPr>
      <w:bookmarkStart w:id="81" w:name="_Toc375336142"/>
      <w:bookmarkStart w:id="82" w:name="_Toc407700427"/>
      <w:r w:rsidRPr="005633D9">
        <w:rPr>
          <w:lang w:val="en-GB"/>
        </w:rPr>
        <w:lastRenderedPageBreak/>
        <w:t>Maize sector expert questionnaire</w:t>
      </w:r>
      <w:bookmarkEnd w:id="81"/>
      <w:bookmarkEnd w:id="82"/>
    </w:p>
    <w:p w:rsidR="001B3A7F" w:rsidRPr="005633D9" w:rsidRDefault="001B3A7F" w:rsidP="001B3A7F">
      <w:pPr>
        <w:spacing w:after="0"/>
        <w:rPr>
          <w:b/>
          <w:lang w:val="en-GB"/>
        </w:rPr>
      </w:pPr>
      <w:r w:rsidRPr="005633D9">
        <w:rPr>
          <w:b/>
          <w:lang w:val="en-GB"/>
        </w:rPr>
        <w:t>Awareness of and perspective on aflatoxins</w:t>
      </w:r>
    </w:p>
    <w:p w:rsidR="001B3A7F" w:rsidRPr="005633D9" w:rsidRDefault="001B3A7F" w:rsidP="00F52CB7">
      <w:pPr>
        <w:pStyle w:val="ListParagraph"/>
        <w:numPr>
          <w:ilvl w:val="0"/>
          <w:numId w:val="11"/>
        </w:numPr>
        <w:spacing w:after="0"/>
        <w:rPr>
          <w:rFonts w:ascii="Times New Roman" w:eastAsia="Times New Roman" w:hAnsi="Times New Roman" w:cs="Times New Roman"/>
          <w:szCs w:val="20"/>
          <w:lang w:val="en-GB"/>
        </w:rPr>
      </w:pPr>
      <w:r w:rsidRPr="005633D9">
        <w:rPr>
          <w:rFonts w:ascii="Times New Roman" w:eastAsia="Times New Roman" w:hAnsi="Times New Roman" w:cs="Times New Roman"/>
          <w:szCs w:val="20"/>
          <w:lang w:val="en-GB"/>
        </w:rPr>
        <w:t xml:space="preserve">Are you familiar with aflatoxins as an issue affecting maize markets in Nigeria? </w:t>
      </w:r>
    </w:p>
    <w:p w:rsidR="001B3A7F" w:rsidRPr="005633D9" w:rsidRDefault="001B3A7F" w:rsidP="00F52CB7">
      <w:pPr>
        <w:pStyle w:val="ListParagraph"/>
        <w:numPr>
          <w:ilvl w:val="1"/>
          <w:numId w:val="11"/>
        </w:numPr>
        <w:spacing w:after="0"/>
        <w:rPr>
          <w:rFonts w:ascii="Times New Roman" w:eastAsia="Times New Roman" w:hAnsi="Times New Roman" w:cs="Times New Roman"/>
          <w:szCs w:val="20"/>
          <w:lang w:val="en-GB"/>
        </w:rPr>
      </w:pPr>
      <w:r w:rsidRPr="005633D9">
        <w:rPr>
          <w:rFonts w:ascii="Times New Roman" w:eastAsia="Times New Roman" w:hAnsi="Times New Roman" w:cs="Times New Roman"/>
          <w:szCs w:val="20"/>
          <w:lang w:val="en-GB"/>
        </w:rPr>
        <w:t>If so, please characterize your understanding of the issue and its influence on Nigeria’s maize economy.</w:t>
      </w:r>
    </w:p>
    <w:p w:rsidR="001B3A7F" w:rsidRPr="005633D9" w:rsidRDefault="001B3A7F" w:rsidP="00F52CB7">
      <w:pPr>
        <w:pStyle w:val="ListParagraph"/>
        <w:numPr>
          <w:ilvl w:val="0"/>
          <w:numId w:val="11"/>
        </w:numPr>
        <w:spacing w:after="0"/>
        <w:rPr>
          <w:rFonts w:ascii="Times New Roman" w:eastAsia="Times New Roman" w:hAnsi="Times New Roman" w:cs="Times New Roman"/>
          <w:szCs w:val="20"/>
          <w:lang w:val="en-GB"/>
        </w:rPr>
      </w:pPr>
      <w:r w:rsidRPr="005633D9">
        <w:rPr>
          <w:rFonts w:ascii="Times New Roman" w:eastAsia="Times New Roman" w:hAnsi="Times New Roman" w:cs="Times New Roman"/>
          <w:szCs w:val="20"/>
          <w:lang w:val="en-GB"/>
        </w:rPr>
        <w:t xml:space="preserve">Are you aware of any maize being marketed in Nigeria that is advertised to be “aflatoxin-free” or similar? </w:t>
      </w:r>
    </w:p>
    <w:p w:rsidR="001B3A7F" w:rsidRPr="005633D9" w:rsidRDefault="001B3A7F" w:rsidP="00F52CB7">
      <w:pPr>
        <w:pStyle w:val="ListParagraph"/>
        <w:numPr>
          <w:ilvl w:val="1"/>
          <w:numId w:val="11"/>
        </w:numPr>
        <w:spacing w:after="0"/>
        <w:rPr>
          <w:rFonts w:ascii="Times New Roman" w:eastAsia="Times New Roman" w:hAnsi="Times New Roman" w:cs="Times New Roman"/>
          <w:szCs w:val="20"/>
          <w:lang w:val="en-GB"/>
        </w:rPr>
      </w:pPr>
      <w:r w:rsidRPr="005633D9">
        <w:rPr>
          <w:rFonts w:ascii="Times New Roman" w:eastAsia="Times New Roman" w:hAnsi="Times New Roman" w:cs="Times New Roman"/>
          <w:szCs w:val="20"/>
          <w:lang w:val="en-GB"/>
        </w:rPr>
        <w:t>If so, please characterize (what organisations/projects if any are involved, location of such markets, who are suppliers, who are traders, who are buyers, contacts if available).</w:t>
      </w:r>
    </w:p>
    <w:p w:rsidR="001B3A7F" w:rsidRPr="005633D9" w:rsidRDefault="001B3A7F" w:rsidP="00F52CB7">
      <w:pPr>
        <w:pStyle w:val="ListParagraph"/>
        <w:numPr>
          <w:ilvl w:val="1"/>
          <w:numId w:val="11"/>
        </w:numPr>
        <w:spacing w:after="0"/>
        <w:rPr>
          <w:rFonts w:ascii="Times New Roman" w:eastAsia="Times New Roman" w:hAnsi="Times New Roman" w:cs="Times New Roman"/>
          <w:szCs w:val="20"/>
          <w:lang w:val="en-GB"/>
        </w:rPr>
      </w:pPr>
      <w:r w:rsidRPr="005633D9">
        <w:rPr>
          <w:rFonts w:ascii="Times New Roman" w:eastAsia="Times New Roman" w:hAnsi="Times New Roman" w:cs="Times New Roman"/>
          <w:szCs w:val="20"/>
          <w:lang w:val="en-GB"/>
        </w:rPr>
        <w:t>Is a premium paid for aflatoxin-free maize? If yes</w:t>
      </w:r>
    </w:p>
    <w:p w:rsidR="001B3A7F" w:rsidRPr="005633D9" w:rsidRDefault="001B3A7F" w:rsidP="00F52CB7">
      <w:pPr>
        <w:pStyle w:val="ListParagraph"/>
        <w:numPr>
          <w:ilvl w:val="2"/>
          <w:numId w:val="11"/>
        </w:numPr>
        <w:spacing w:after="0"/>
        <w:rPr>
          <w:rFonts w:ascii="Times New Roman" w:eastAsia="Times New Roman" w:hAnsi="Times New Roman" w:cs="Times New Roman"/>
          <w:szCs w:val="20"/>
          <w:lang w:val="en-GB"/>
        </w:rPr>
      </w:pPr>
      <w:r w:rsidRPr="005633D9">
        <w:rPr>
          <w:rFonts w:ascii="Times New Roman" w:eastAsia="Times New Roman" w:hAnsi="Times New Roman" w:cs="Times New Roman"/>
          <w:szCs w:val="20"/>
          <w:lang w:val="en-GB"/>
        </w:rPr>
        <w:t xml:space="preserve">How much is the premium? </w:t>
      </w:r>
    </w:p>
    <w:p w:rsidR="001B3A7F" w:rsidRPr="005633D9" w:rsidRDefault="001B3A7F" w:rsidP="00F52CB7">
      <w:pPr>
        <w:pStyle w:val="ListParagraph"/>
        <w:numPr>
          <w:ilvl w:val="2"/>
          <w:numId w:val="11"/>
        </w:numPr>
        <w:spacing w:after="0"/>
        <w:rPr>
          <w:rFonts w:ascii="Times New Roman" w:eastAsia="Times New Roman" w:hAnsi="Times New Roman" w:cs="Times New Roman"/>
          <w:szCs w:val="20"/>
          <w:lang w:val="en-GB"/>
        </w:rPr>
      </w:pPr>
      <w:r w:rsidRPr="005633D9">
        <w:rPr>
          <w:rFonts w:ascii="Times New Roman" w:eastAsia="Times New Roman" w:hAnsi="Times New Roman" w:cs="Times New Roman"/>
          <w:szCs w:val="20"/>
          <w:lang w:val="en-GB"/>
        </w:rPr>
        <w:t>Whose participation does the premium attract?</w:t>
      </w:r>
    </w:p>
    <w:p w:rsidR="001B3A7F" w:rsidRPr="005633D9" w:rsidRDefault="001B3A7F" w:rsidP="00F52CB7">
      <w:pPr>
        <w:pStyle w:val="ListParagraph"/>
        <w:numPr>
          <w:ilvl w:val="2"/>
          <w:numId w:val="11"/>
        </w:numPr>
        <w:spacing w:after="0"/>
        <w:rPr>
          <w:rFonts w:ascii="Times New Roman" w:eastAsia="Times New Roman" w:hAnsi="Times New Roman" w:cs="Times New Roman"/>
          <w:szCs w:val="20"/>
          <w:lang w:val="en-GB"/>
        </w:rPr>
      </w:pPr>
      <w:r w:rsidRPr="005633D9">
        <w:rPr>
          <w:rFonts w:ascii="Times New Roman" w:eastAsia="Times New Roman" w:hAnsi="Times New Roman" w:cs="Times New Roman"/>
          <w:szCs w:val="20"/>
          <w:lang w:val="en-GB"/>
        </w:rPr>
        <w:t>Is the premium too large for any buyers? Which?</w:t>
      </w:r>
    </w:p>
    <w:p w:rsidR="001B3A7F" w:rsidRPr="005633D9" w:rsidRDefault="001B3A7F" w:rsidP="00F52CB7">
      <w:pPr>
        <w:pStyle w:val="ListParagraph"/>
        <w:numPr>
          <w:ilvl w:val="0"/>
          <w:numId w:val="11"/>
        </w:numPr>
        <w:spacing w:after="0"/>
        <w:rPr>
          <w:rFonts w:ascii="Times New Roman" w:eastAsia="Times New Roman" w:hAnsi="Times New Roman" w:cs="Times New Roman"/>
          <w:szCs w:val="20"/>
          <w:lang w:val="en-GB"/>
        </w:rPr>
      </w:pPr>
      <w:r w:rsidRPr="005633D9">
        <w:rPr>
          <w:rFonts w:ascii="Times New Roman" w:eastAsia="Times New Roman" w:hAnsi="Times New Roman" w:cs="Times New Roman"/>
          <w:szCs w:val="20"/>
          <w:lang w:val="en-GB"/>
        </w:rPr>
        <w:t>Do you think there is potential for a commercially viable market for aflatoxin-free maize to develop? If yes</w:t>
      </w:r>
    </w:p>
    <w:p w:rsidR="001B3A7F" w:rsidRPr="005633D9" w:rsidRDefault="001B3A7F" w:rsidP="00F52CB7">
      <w:pPr>
        <w:pStyle w:val="ListParagraph"/>
        <w:numPr>
          <w:ilvl w:val="1"/>
          <w:numId w:val="11"/>
        </w:numPr>
        <w:spacing w:after="0"/>
        <w:rPr>
          <w:rFonts w:ascii="Times New Roman" w:eastAsia="Times New Roman" w:hAnsi="Times New Roman" w:cs="Times New Roman"/>
          <w:szCs w:val="20"/>
          <w:lang w:val="en-GB"/>
        </w:rPr>
      </w:pPr>
      <w:r w:rsidRPr="005633D9">
        <w:rPr>
          <w:rFonts w:ascii="Times New Roman" w:eastAsia="Times New Roman" w:hAnsi="Times New Roman" w:cs="Times New Roman"/>
          <w:szCs w:val="20"/>
          <w:lang w:val="en-GB"/>
        </w:rPr>
        <w:t xml:space="preserve">What would such a market look like? (who would buy and sell, how would they organize their transactions) </w:t>
      </w:r>
    </w:p>
    <w:p w:rsidR="001B3A7F" w:rsidRPr="005633D9" w:rsidRDefault="001B3A7F" w:rsidP="00F52CB7">
      <w:pPr>
        <w:pStyle w:val="ListParagraph"/>
        <w:numPr>
          <w:ilvl w:val="1"/>
          <w:numId w:val="11"/>
        </w:numPr>
        <w:spacing w:after="0"/>
        <w:rPr>
          <w:rFonts w:ascii="Times New Roman" w:eastAsia="Times New Roman" w:hAnsi="Times New Roman" w:cs="Times New Roman"/>
          <w:szCs w:val="20"/>
          <w:lang w:val="en-GB"/>
        </w:rPr>
      </w:pPr>
      <w:r w:rsidRPr="005633D9">
        <w:rPr>
          <w:rFonts w:ascii="Times New Roman" w:eastAsia="Times New Roman" w:hAnsi="Times New Roman" w:cs="Times New Roman"/>
          <w:szCs w:val="20"/>
          <w:lang w:val="en-GB"/>
        </w:rPr>
        <w:t xml:space="preserve">Is there sufficient demand for aflatoxin-free maize? </w:t>
      </w:r>
    </w:p>
    <w:p w:rsidR="001B3A7F" w:rsidRPr="005633D9" w:rsidRDefault="001B3A7F" w:rsidP="00F52CB7">
      <w:pPr>
        <w:pStyle w:val="ListParagraph"/>
        <w:numPr>
          <w:ilvl w:val="2"/>
          <w:numId w:val="11"/>
        </w:numPr>
        <w:spacing w:after="0"/>
        <w:rPr>
          <w:rFonts w:ascii="Times New Roman" w:eastAsia="Times New Roman" w:hAnsi="Times New Roman" w:cs="Times New Roman"/>
          <w:szCs w:val="20"/>
          <w:lang w:val="en-GB"/>
        </w:rPr>
      </w:pPr>
      <w:r w:rsidRPr="005633D9">
        <w:rPr>
          <w:rFonts w:ascii="Times New Roman" w:eastAsia="Times New Roman" w:hAnsi="Times New Roman" w:cs="Times New Roman"/>
          <w:szCs w:val="20"/>
          <w:lang w:val="en-GB"/>
        </w:rPr>
        <w:t>Who are the best buyers? Why?</w:t>
      </w:r>
    </w:p>
    <w:p w:rsidR="001B3A7F" w:rsidRPr="005633D9" w:rsidRDefault="001B3A7F" w:rsidP="00F52CB7">
      <w:pPr>
        <w:pStyle w:val="ListParagraph"/>
        <w:numPr>
          <w:ilvl w:val="1"/>
          <w:numId w:val="11"/>
        </w:numPr>
        <w:spacing w:after="0"/>
        <w:rPr>
          <w:rFonts w:ascii="Times New Roman" w:eastAsia="Times New Roman" w:hAnsi="Times New Roman" w:cs="Times New Roman"/>
          <w:szCs w:val="20"/>
          <w:lang w:val="en-GB"/>
        </w:rPr>
      </w:pPr>
      <w:r w:rsidRPr="005633D9">
        <w:rPr>
          <w:rFonts w:ascii="Times New Roman" w:eastAsia="Times New Roman" w:hAnsi="Times New Roman" w:cs="Times New Roman"/>
          <w:szCs w:val="20"/>
          <w:lang w:val="en-GB"/>
        </w:rPr>
        <w:t xml:space="preserve">Is there adequate supply? </w:t>
      </w:r>
    </w:p>
    <w:p w:rsidR="001B3A7F" w:rsidRPr="005633D9" w:rsidRDefault="001B3A7F" w:rsidP="00F52CB7">
      <w:pPr>
        <w:pStyle w:val="ListParagraph"/>
        <w:numPr>
          <w:ilvl w:val="2"/>
          <w:numId w:val="11"/>
        </w:numPr>
        <w:spacing w:after="0"/>
        <w:rPr>
          <w:rFonts w:ascii="Times New Roman" w:eastAsia="Times New Roman" w:hAnsi="Times New Roman" w:cs="Times New Roman"/>
          <w:szCs w:val="20"/>
          <w:lang w:val="en-GB"/>
        </w:rPr>
      </w:pPr>
      <w:r w:rsidRPr="005633D9">
        <w:rPr>
          <w:rFonts w:ascii="Times New Roman" w:eastAsia="Times New Roman" w:hAnsi="Times New Roman" w:cs="Times New Roman"/>
          <w:szCs w:val="20"/>
          <w:lang w:val="en-GB"/>
        </w:rPr>
        <w:t>Who are the best suppliers? Why?</w:t>
      </w:r>
    </w:p>
    <w:p w:rsidR="001B3A7F" w:rsidRPr="005633D9" w:rsidRDefault="001B3A7F" w:rsidP="00F52CB7">
      <w:pPr>
        <w:pStyle w:val="ListParagraph"/>
        <w:numPr>
          <w:ilvl w:val="1"/>
          <w:numId w:val="11"/>
        </w:numPr>
        <w:spacing w:after="0"/>
        <w:rPr>
          <w:rFonts w:ascii="Times New Roman" w:eastAsia="Times New Roman" w:hAnsi="Times New Roman" w:cs="Times New Roman"/>
          <w:szCs w:val="20"/>
          <w:lang w:val="en-GB"/>
        </w:rPr>
      </w:pPr>
      <w:r w:rsidRPr="005633D9">
        <w:rPr>
          <w:rFonts w:ascii="Times New Roman" w:eastAsia="Times New Roman" w:hAnsi="Times New Roman" w:cs="Times New Roman"/>
          <w:szCs w:val="20"/>
          <w:lang w:val="en-GB"/>
        </w:rPr>
        <w:t xml:space="preserve">What challenges would exist to the development of the market, and how could they be addressed? </w:t>
      </w:r>
    </w:p>
    <w:p w:rsidR="001B3A7F" w:rsidRPr="005633D9" w:rsidRDefault="001B3A7F" w:rsidP="00F52CB7">
      <w:pPr>
        <w:pStyle w:val="ListParagraph"/>
        <w:numPr>
          <w:ilvl w:val="0"/>
          <w:numId w:val="11"/>
        </w:numPr>
        <w:spacing w:after="0"/>
        <w:rPr>
          <w:rFonts w:ascii="Times New Roman" w:eastAsia="Times New Roman" w:hAnsi="Times New Roman" w:cs="Times New Roman"/>
          <w:szCs w:val="20"/>
          <w:lang w:val="en-GB"/>
        </w:rPr>
      </w:pPr>
      <w:r w:rsidRPr="005633D9">
        <w:rPr>
          <w:rFonts w:ascii="Times New Roman" w:eastAsia="Times New Roman" w:hAnsi="Times New Roman" w:cs="Times New Roman"/>
          <w:szCs w:val="20"/>
          <w:lang w:val="en-GB"/>
        </w:rPr>
        <w:t>If respondent is aware of aflatoxins as an issue</w:t>
      </w:r>
    </w:p>
    <w:p w:rsidR="001B3A7F" w:rsidRPr="005633D9" w:rsidRDefault="001B3A7F" w:rsidP="00F52CB7">
      <w:pPr>
        <w:pStyle w:val="ListParagraph"/>
        <w:numPr>
          <w:ilvl w:val="1"/>
          <w:numId w:val="11"/>
        </w:numPr>
        <w:spacing w:after="0"/>
        <w:rPr>
          <w:rFonts w:ascii="Times New Roman" w:eastAsia="Times New Roman" w:hAnsi="Times New Roman" w:cs="Times New Roman"/>
          <w:szCs w:val="20"/>
          <w:lang w:val="en-GB"/>
        </w:rPr>
      </w:pPr>
      <w:r w:rsidRPr="005633D9">
        <w:rPr>
          <w:rFonts w:ascii="Times New Roman" w:eastAsia="Times New Roman" w:hAnsi="Times New Roman" w:cs="Times New Roman"/>
          <w:szCs w:val="20"/>
          <w:lang w:val="en-GB"/>
        </w:rPr>
        <w:t xml:space="preserve">What means are available to verify aflatoxin-levels in maize in the market? </w:t>
      </w:r>
    </w:p>
    <w:p w:rsidR="001B3A7F" w:rsidRPr="005633D9" w:rsidRDefault="001B3A7F" w:rsidP="00F52CB7">
      <w:pPr>
        <w:pStyle w:val="ListParagraph"/>
        <w:numPr>
          <w:ilvl w:val="2"/>
          <w:numId w:val="11"/>
        </w:numPr>
        <w:spacing w:after="0"/>
        <w:rPr>
          <w:rFonts w:ascii="Times New Roman" w:eastAsia="Times New Roman" w:hAnsi="Times New Roman" w:cs="Times New Roman"/>
          <w:szCs w:val="20"/>
          <w:lang w:val="en-GB"/>
        </w:rPr>
      </w:pPr>
      <w:r w:rsidRPr="005633D9">
        <w:rPr>
          <w:rFonts w:ascii="Times New Roman" w:eastAsia="Times New Roman" w:hAnsi="Times New Roman" w:cs="Times New Roman"/>
          <w:szCs w:val="20"/>
          <w:lang w:val="en-GB"/>
        </w:rPr>
        <w:t xml:space="preserve">Which of these means are in use and by whom? </w:t>
      </w:r>
    </w:p>
    <w:p w:rsidR="001B3A7F" w:rsidRPr="005633D9" w:rsidRDefault="001B3A7F" w:rsidP="00F52CB7">
      <w:pPr>
        <w:pStyle w:val="ListParagraph"/>
        <w:numPr>
          <w:ilvl w:val="2"/>
          <w:numId w:val="11"/>
        </w:numPr>
        <w:spacing w:after="0"/>
        <w:rPr>
          <w:rFonts w:ascii="Times New Roman" w:eastAsia="Times New Roman" w:hAnsi="Times New Roman" w:cs="Times New Roman"/>
          <w:szCs w:val="20"/>
          <w:lang w:val="en-GB"/>
        </w:rPr>
      </w:pPr>
      <w:r w:rsidRPr="005633D9">
        <w:rPr>
          <w:rFonts w:ascii="Times New Roman" w:eastAsia="Times New Roman" w:hAnsi="Times New Roman" w:cs="Times New Roman"/>
          <w:szCs w:val="20"/>
          <w:lang w:val="en-GB"/>
        </w:rPr>
        <w:t>What is availability, technical requirements, and cost?</w:t>
      </w:r>
    </w:p>
    <w:p w:rsidR="001B3A7F" w:rsidRPr="005633D9" w:rsidRDefault="001B3A7F" w:rsidP="00F52CB7">
      <w:pPr>
        <w:pStyle w:val="ListParagraph"/>
        <w:numPr>
          <w:ilvl w:val="2"/>
          <w:numId w:val="11"/>
        </w:numPr>
        <w:spacing w:after="0"/>
        <w:rPr>
          <w:rFonts w:ascii="Times New Roman" w:eastAsia="Times New Roman" w:hAnsi="Times New Roman" w:cs="Times New Roman"/>
          <w:szCs w:val="20"/>
          <w:lang w:val="en-GB"/>
        </w:rPr>
      </w:pPr>
      <w:r w:rsidRPr="005633D9">
        <w:rPr>
          <w:rFonts w:ascii="Times New Roman" w:eastAsia="Times New Roman" w:hAnsi="Times New Roman" w:cs="Times New Roman"/>
          <w:szCs w:val="20"/>
          <w:lang w:val="en-GB"/>
        </w:rPr>
        <w:t>Are these means effective in giving buyers confidence that the maize is truly aflatoxin-free?</w:t>
      </w:r>
    </w:p>
    <w:p w:rsidR="001B3A7F" w:rsidRPr="005633D9" w:rsidRDefault="001B3A7F" w:rsidP="00F52CB7">
      <w:pPr>
        <w:pStyle w:val="ListParagraph"/>
        <w:numPr>
          <w:ilvl w:val="1"/>
          <w:numId w:val="11"/>
        </w:numPr>
        <w:spacing w:after="0"/>
        <w:rPr>
          <w:rFonts w:ascii="Times New Roman" w:eastAsia="Times New Roman" w:hAnsi="Times New Roman" w:cs="Times New Roman"/>
          <w:szCs w:val="20"/>
          <w:lang w:val="en-GB"/>
        </w:rPr>
      </w:pPr>
      <w:r w:rsidRPr="005633D9">
        <w:rPr>
          <w:rFonts w:ascii="Times New Roman" w:eastAsia="Times New Roman" w:hAnsi="Times New Roman" w:cs="Times New Roman"/>
          <w:szCs w:val="20"/>
          <w:lang w:val="en-GB"/>
        </w:rPr>
        <w:t xml:space="preserve">Is there any institution or organisation that certifies the aflatoxin-free status of maize? </w:t>
      </w:r>
    </w:p>
    <w:p w:rsidR="001B3A7F" w:rsidRPr="005633D9" w:rsidRDefault="001B3A7F" w:rsidP="00F52CB7">
      <w:pPr>
        <w:pStyle w:val="ListParagraph"/>
        <w:numPr>
          <w:ilvl w:val="2"/>
          <w:numId w:val="11"/>
        </w:numPr>
        <w:spacing w:after="0"/>
        <w:rPr>
          <w:rFonts w:ascii="Times New Roman" w:eastAsia="Times New Roman" w:hAnsi="Times New Roman" w:cs="Times New Roman"/>
          <w:szCs w:val="20"/>
          <w:lang w:val="en-GB"/>
        </w:rPr>
      </w:pPr>
      <w:r w:rsidRPr="005633D9">
        <w:rPr>
          <w:rFonts w:ascii="Times New Roman" w:eastAsia="Times New Roman" w:hAnsi="Times New Roman" w:cs="Times New Roman"/>
          <w:szCs w:val="20"/>
          <w:lang w:val="en-GB"/>
        </w:rPr>
        <w:t xml:space="preserve">To what extent is this certification employed? </w:t>
      </w:r>
    </w:p>
    <w:p w:rsidR="001B3A7F" w:rsidRPr="005633D9" w:rsidRDefault="001B3A7F" w:rsidP="00F52CB7">
      <w:pPr>
        <w:pStyle w:val="ListParagraph"/>
        <w:numPr>
          <w:ilvl w:val="2"/>
          <w:numId w:val="11"/>
        </w:numPr>
        <w:spacing w:after="0"/>
        <w:rPr>
          <w:rFonts w:ascii="Times New Roman" w:eastAsia="Times New Roman" w:hAnsi="Times New Roman" w:cs="Times New Roman"/>
          <w:szCs w:val="20"/>
          <w:lang w:val="en-GB"/>
        </w:rPr>
      </w:pPr>
      <w:r w:rsidRPr="005633D9">
        <w:rPr>
          <w:rFonts w:ascii="Times New Roman" w:eastAsia="Times New Roman" w:hAnsi="Times New Roman" w:cs="Times New Roman"/>
          <w:szCs w:val="20"/>
          <w:lang w:val="en-GB"/>
        </w:rPr>
        <w:t>What is involved in obtaining and maintaining certification?</w:t>
      </w:r>
    </w:p>
    <w:p w:rsidR="001B3A7F" w:rsidRPr="005633D9" w:rsidRDefault="001B3A7F" w:rsidP="00F52CB7">
      <w:pPr>
        <w:pStyle w:val="ListParagraph"/>
        <w:numPr>
          <w:ilvl w:val="2"/>
          <w:numId w:val="11"/>
        </w:numPr>
        <w:spacing w:after="0"/>
        <w:rPr>
          <w:rFonts w:ascii="Times New Roman" w:eastAsia="Times New Roman" w:hAnsi="Times New Roman" w:cs="Times New Roman"/>
          <w:szCs w:val="20"/>
          <w:lang w:val="en-GB"/>
        </w:rPr>
      </w:pPr>
      <w:r w:rsidRPr="005633D9">
        <w:rPr>
          <w:rFonts w:ascii="Times New Roman" w:eastAsia="Times New Roman" w:hAnsi="Times New Roman" w:cs="Times New Roman"/>
          <w:szCs w:val="20"/>
          <w:lang w:val="en-GB"/>
        </w:rPr>
        <w:t xml:space="preserve">What is the cost? </w:t>
      </w:r>
    </w:p>
    <w:p w:rsidR="001B3A7F" w:rsidRPr="005633D9" w:rsidRDefault="001B3A7F" w:rsidP="00F52CB7">
      <w:pPr>
        <w:pStyle w:val="ListParagraph"/>
        <w:numPr>
          <w:ilvl w:val="2"/>
          <w:numId w:val="11"/>
        </w:numPr>
        <w:spacing w:after="0"/>
        <w:rPr>
          <w:rFonts w:ascii="Times New Roman" w:eastAsia="Times New Roman" w:hAnsi="Times New Roman" w:cs="Times New Roman"/>
          <w:szCs w:val="20"/>
          <w:lang w:val="en-GB"/>
        </w:rPr>
      </w:pPr>
      <w:r w:rsidRPr="005633D9">
        <w:rPr>
          <w:rFonts w:ascii="Times New Roman" w:eastAsia="Times New Roman" w:hAnsi="Times New Roman" w:cs="Times New Roman"/>
          <w:szCs w:val="20"/>
          <w:lang w:val="en-GB"/>
        </w:rPr>
        <w:t>Are these certification programs effective in giving buyers confidence that the maize is truly aflatoxin-free?</w:t>
      </w:r>
    </w:p>
    <w:p w:rsidR="001B3A7F" w:rsidRPr="005633D9" w:rsidRDefault="001B3A7F" w:rsidP="001B3A7F">
      <w:pPr>
        <w:spacing w:after="0"/>
        <w:rPr>
          <w:lang w:val="en-GB"/>
        </w:rPr>
      </w:pPr>
    </w:p>
    <w:p w:rsidR="001B3A7F" w:rsidRPr="005633D9" w:rsidRDefault="001B3A7F" w:rsidP="001B3A7F">
      <w:pPr>
        <w:spacing w:after="0"/>
        <w:rPr>
          <w:b/>
          <w:lang w:val="en-GB"/>
        </w:rPr>
      </w:pPr>
      <w:r w:rsidRPr="005633D9">
        <w:rPr>
          <w:b/>
          <w:lang w:val="en-GB"/>
        </w:rPr>
        <w:t>Awareness of and perspective on Aflasafe</w:t>
      </w:r>
    </w:p>
    <w:p w:rsidR="001B3A7F" w:rsidRPr="005633D9" w:rsidRDefault="001B3A7F" w:rsidP="001B3A7F">
      <w:pPr>
        <w:spacing w:after="0"/>
        <w:rPr>
          <w:lang w:val="en-GB"/>
        </w:rPr>
      </w:pPr>
      <w:r w:rsidRPr="005633D9">
        <w:rPr>
          <w:lang w:val="en-GB"/>
        </w:rPr>
        <w:t>Do you know of a product called Aflasafe? (Aflasafe is a biological agent that is applied on maize fields during crop growth; it has been shown to reduce aflatoxin levels by an average of 80</w:t>
      </w:r>
      <w:r w:rsidR="007C2141" w:rsidRPr="005633D9">
        <w:rPr>
          <w:lang w:val="en-GB"/>
        </w:rPr>
        <w:t xml:space="preserve"> percent</w:t>
      </w:r>
      <w:r w:rsidRPr="005633D9">
        <w:rPr>
          <w:lang w:val="en-GB"/>
        </w:rPr>
        <w:t>.) If yes,</w:t>
      </w:r>
    </w:p>
    <w:p w:rsidR="001B3A7F" w:rsidRPr="005633D9" w:rsidRDefault="001B3A7F" w:rsidP="00F52CB7">
      <w:pPr>
        <w:pStyle w:val="ListParagraph"/>
        <w:numPr>
          <w:ilvl w:val="0"/>
          <w:numId w:val="11"/>
        </w:numPr>
        <w:spacing w:after="0"/>
        <w:rPr>
          <w:rFonts w:ascii="Times New Roman" w:eastAsia="Times New Roman" w:hAnsi="Times New Roman" w:cs="Times New Roman"/>
          <w:szCs w:val="20"/>
          <w:lang w:val="en-GB"/>
        </w:rPr>
      </w:pPr>
      <w:r w:rsidRPr="005633D9">
        <w:rPr>
          <w:rFonts w:ascii="Times New Roman" w:eastAsia="Times New Roman" w:hAnsi="Times New Roman" w:cs="Times New Roman"/>
          <w:szCs w:val="20"/>
          <w:lang w:val="en-GB"/>
        </w:rPr>
        <w:t>Please share what you know about Aflasafe.</w:t>
      </w:r>
    </w:p>
    <w:p w:rsidR="001B3A7F" w:rsidRPr="005633D9" w:rsidRDefault="001B3A7F" w:rsidP="00F52CB7">
      <w:pPr>
        <w:pStyle w:val="ListParagraph"/>
        <w:numPr>
          <w:ilvl w:val="0"/>
          <w:numId w:val="11"/>
        </w:numPr>
        <w:spacing w:after="0"/>
        <w:rPr>
          <w:rFonts w:ascii="Times New Roman" w:eastAsia="Times New Roman" w:hAnsi="Times New Roman" w:cs="Times New Roman"/>
          <w:szCs w:val="20"/>
          <w:lang w:val="en-GB"/>
        </w:rPr>
      </w:pPr>
      <w:r w:rsidRPr="005633D9">
        <w:rPr>
          <w:rFonts w:ascii="Times New Roman" w:eastAsia="Times New Roman" w:hAnsi="Times New Roman" w:cs="Times New Roman"/>
          <w:szCs w:val="20"/>
          <w:lang w:val="en-GB"/>
        </w:rPr>
        <w:t xml:space="preserve">Are you aware of any agricultural development projects that use or promote Aflasafe? </w:t>
      </w:r>
    </w:p>
    <w:p w:rsidR="001B3A7F" w:rsidRPr="005633D9" w:rsidRDefault="001B3A7F" w:rsidP="00F52CB7">
      <w:pPr>
        <w:pStyle w:val="ListParagraph"/>
        <w:numPr>
          <w:ilvl w:val="1"/>
          <w:numId w:val="11"/>
        </w:numPr>
        <w:spacing w:after="0"/>
        <w:rPr>
          <w:rFonts w:ascii="Times New Roman" w:eastAsia="Times New Roman" w:hAnsi="Times New Roman" w:cs="Times New Roman"/>
          <w:szCs w:val="20"/>
          <w:lang w:val="en-GB"/>
        </w:rPr>
      </w:pPr>
      <w:r w:rsidRPr="005633D9">
        <w:rPr>
          <w:rFonts w:ascii="Times New Roman" w:eastAsia="Times New Roman" w:hAnsi="Times New Roman" w:cs="Times New Roman"/>
          <w:szCs w:val="20"/>
          <w:lang w:val="en-GB"/>
        </w:rPr>
        <w:lastRenderedPageBreak/>
        <w:t>If so, please characterize (name and sponsor of projects, geographic scope and target beneficiaries, information on farm and market-level activities, contact information if available).</w:t>
      </w:r>
    </w:p>
    <w:p w:rsidR="001B3A7F" w:rsidRPr="005633D9" w:rsidRDefault="001B3A7F" w:rsidP="00F52CB7">
      <w:pPr>
        <w:pStyle w:val="ListParagraph"/>
        <w:numPr>
          <w:ilvl w:val="0"/>
          <w:numId w:val="11"/>
        </w:numPr>
        <w:spacing w:after="0"/>
        <w:rPr>
          <w:rFonts w:ascii="Times New Roman" w:eastAsia="Times New Roman" w:hAnsi="Times New Roman" w:cs="Times New Roman"/>
          <w:szCs w:val="20"/>
          <w:lang w:val="en-GB"/>
        </w:rPr>
      </w:pPr>
      <w:r w:rsidRPr="005633D9">
        <w:rPr>
          <w:rFonts w:ascii="Times New Roman" w:eastAsia="Times New Roman" w:hAnsi="Times New Roman" w:cs="Times New Roman"/>
          <w:szCs w:val="20"/>
          <w:lang w:val="en-GB"/>
        </w:rPr>
        <w:t xml:space="preserve">Do you know of any agricultural input dealers that sell Aflasafe? </w:t>
      </w:r>
    </w:p>
    <w:p w:rsidR="001B3A7F" w:rsidRPr="005633D9" w:rsidRDefault="001B3A7F" w:rsidP="00F52CB7">
      <w:pPr>
        <w:pStyle w:val="ListParagraph"/>
        <w:numPr>
          <w:ilvl w:val="1"/>
          <w:numId w:val="11"/>
        </w:numPr>
        <w:spacing w:after="0"/>
        <w:rPr>
          <w:rFonts w:ascii="Times New Roman" w:eastAsia="Times New Roman" w:hAnsi="Times New Roman" w:cs="Times New Roman"/>
          <w:szCs w:val="20"/>
          <w:lang w:val="en-GB"/>
        </w:rPr>
      </w:pPr>
      <w:r w:rsidRPr="005633D9">
        <w:rPr>
          <w:rFonts w:ascii="Times New Roman" w:eastAsia="Times New Roman" w:hAnsi="Times New Roman" w:cs="Times New Roman"/>
          <w:szCs w:val="20"/>
          <w:lang w:val="en-GB"/>
        </w:rPr>
        <w:t>If yes, characterize and obtain contact information if available.</w:t>
      </w:r>
    </w:p>
    <w:p w:rsidR="001B3A7F" w:rsidRPr="005633D9" w:rsidRDefault="001B3A7F" w:rsidP="00F52CB7">
      <w:pPr>
        <w:pStyle w:val="ListParagraph"/>
        <w:numPr>
          <w:ilvl w:val="0"/>
          <w:numId w:val="11"/>
        </w:numPr>
        <w:spacing w:after="0"/>
        <w:rPr>
          <w:rFonts w:ascii="Times New Roman" w:eastAsia="Times New Roman" w:hAnsi="Times New Roman" w:cs="Times New Roman"/>
          <w:szCs w:val="20"/>
          <w:lang w:val="en-GB"/>
        </w:rPr>
      </w:pPr>
      <w:r w:rsidRPr="005633D9">
        <w:rPr>
          <w:rFonts w:ascii="Times New Roman" w:eastAsia="Times New Roman" w:hAnsi="Times New Roman" w:cs="Times New Roman"/>
          <w:szCs w:val="20"/>
          <w:lang w:val="en-GB"/>
        </w:rPr>
        <w:t>Given that Aflasafe can reduce aflatoxins in maize by 80</w:t>
      </w:r>
      <w:r w:rsidR="007C2141" w:rsidRPr="005633D9">
        <w:rPr>
          <w:rFonts w:ascii="Times New Roman" w:eastAsia="Times New Roman" w:hAnsi="Times New Roman" w:cs="Times New Roman"/>
          <w:szCs w:val="20"/>
          <w:lang w:val="en-GB"/>
        </w:rPr>
        <w:t xml:space="preserve"> percent</w:t>
      </w:r>
      <w:r w:rsidRPr="005633D9">
        <w:rPr>
          <w:rFonts w:ascii="Times New Roman" w:eastAsia="Times New Roman" w:hAnsi="Times New Roman" w:cs="Times New Roman"/>
          <w:szCs w:val="20"/>
          <w:lang w:val="en-GB"/>
        </w:rPr>
        <w:t xml:space="preserve"> or more, do you think that Aflasafe could contribute to the development of a market for aflatoxin-free maize? </w:t>
      </w:r>
    </w:p>
    <w:p w:rsidR="001B3A7F" w:rsidRPr="005633D9" w:rsidRDefault="001B3A7F" w:rsidP="00F52CB7">
      <w:pPr>
        <w:pStyle w:val="ListParagraph"/>
        <w:numPr>
          <w:ilvl w:val="1"/>
          <w:numId w:val="11"/>
        </w:numPr>
        <w:spacing w:after="0"/>
        <w:rPr>
          <w:rFonts w:ascii="Times New Roman" w:eastAsia="Times New Roman" w:hAnsi="Times New Roman" w:cs="Times New Roman"/>
          <w:szCs w:val="20"/>
          <w:lang w:val="en-GB"/>
        </w:rPr>
      </w:pPr>
      <w:r w:rsidRPr="005633D9">
        <w:rPr>
          <w:rFonts w:ascii="Times New Roman" w:eastAsia="Times New Roman" w:hAnsi="Times New Roman" w:cs="Times New Roman"/>
          <w:szCs w:val="20"/>
          <w:lang w:val="en-GB"/>
        </w:rPr>
        <w:t>Why or why not?</w:t>
      </w:r>
    </w:p>
    <w:p w:rsidR="001B3A7F" w:rsidRPr="005633D9" w:rsidRDefault="001B3A7F" w:rsidP="00F52CB7">
      <w:pPr>
        <w:pStyle w:val="ListParagraph"/>
        <w:numPr>
          <w:ilvl w:val="1"/>
          <w:numId w:val="11"/>
        </w:numPr>
        <w:spacing w:after="0"/>
        <w:rPr>
          <w:rFonts w:ascii="Times New Roman" w:eastAsia="Times New Roman" w:hAnsi="Times New Roman" w:cs="Times New Roman"/>
          <w:szCs w:val="20"/>
          <w:lang w:val="en-GB"/>
        </w:rPr>
      </w:pPr>
      <w:r w:rsidRPr="005633D9">
        <w:rPr>
          <w:rFonts w:ascii="Times New Roman" w:eastAsia="Times New Roman" w:hAnsi="Times New Roman" w:cs="Times New Roman"/>
          <w:szCs w:val="20"/>
          <w:lang w:val="en-GB"/>
        </w:rPr>
        <w:t>If yes,</w:t>
      </w:r>
    </w:p>
    <w:p w:rsidR="001B3A7F" w:rsidRPr="005633D9" w:rsidRDefault="001B3A7F" w:rsidP="00F52CB7">
      <w:pPr>
        <w:pStyle w:val="ListParagraph"/>
        <w:numPr>
          <w:ilvl w:val="2"/>
          <w:numId w:val="11"/>
        </w:numPr>
        <w:spacing w:after="0"/>
        <w:rPr>
          <w:rFonts w:ascii="Times New Roman" w:eastAsia="Times New Roman" w:hAnsi="Times New Roman" w:cs="Times New Roman"/>
          <w:szCs w:val="20"/>
          <w:lang w:val="en-GB"/>
        </w:rPr>
      </w:pPr>
      <w:r w:rsidRPr="005633D9">
        <w:rPr>
          <w:rFonts w:ascii="Times New Roman" w:eastAsia="Times New Roman" w:hAnsi="Times New Roman" w:cs="Times New Roman"/>
          <w:szCs w:val="20"/>
          <w:lang w:val="en-GB"/>
        </w:rPr>
        <w:t xml:space="preserve">Who would you expect to participate as suppliers or buyers? </w:t>
      </w:r>
    </w:p>
    <w:p w:rsidR="001B3A7F" w:rsidRPr="005633D9" w:rsidRDefault="001B3A7F" w:rsidP="00F52CB7">
      <w:pPr>
        <w:pStyle w:val="ListParagraph"/>
        <w:numPr>
          <w:ilvl w:val="2"/>
          <w:numId w:val="11"/>
        </w:numPr>
        <w:spacing w:after="0"/>
        <w:rPr>
          <w:rFonts w:ascii="Times New Roman" w:eastAsia="Times New Roman" w:hAnsi="Times New Roman" w:cs="Times New Roman"/>
          <w:szCs w:val="20"/>
          <w:lang w:val="en-GB"/>
        </w:rPr>
      </w:pPr>
      <w:r w:rsidRPr="005633D9">
        <w:rPr>
          <w:rFonts w:ascii="Times New Roman" w:eastAsia="Times New Roman" w:hAnsi="Times New Roman" w:cs="Times New Roman"/>
          <w:szCs w:val="20"/>
          <w:lang w:val="en-GB"/>
        </w:rPr>
        <w:t xml:space="preserve">What challenges would exist and how could they be addressed? </w:t>
      </w:r>
    </w:p>
    <w:p w:rsidR="001B3A7F" w:rsidRPr="005633D9" w:rsidRDefault="001B3A7F" w:rsidP="00F52CB7">
      <w:pPr>
        <w:pStyle w:val="ListParagraph"/>
        <w:numPr>
          <w:ilvl w:val="0"/>
          <w:numId w:val="11"/>
        </w:numPr>
        <w:spacing w:after="0"/>
        <w:rPr>
          <w:rFonts w:ascii="Times New Roman" w:eastAsia="Times New Roman" w:hAnsi="Times New Roman" w:cs="Times New Roman"/>
          <w:szCs w:val="20"/>
          <w:lang w:val="en-GB"/>
        </w:rPr>
      </w:pPr>
      <w:r w:rsidRPr="005633D9">
        <w:rPr>
          <w:rFonts w:ascii="Times New Roman" w:eastAsia="Times New Roman" w:hAnsi="Times New Roman" w:cs="Times New Roman"/>
          <w:szCs w:val="20"/>
          <w:lang w:val="en-GB"/>
        </w:rPr>
        <w:t>If respondent is aware of Aflasafe:</w:t>
      </w:r>
    </w:p>
    <w:p w:rsidR="001B3A7F" w:rsidRPr="005633D9" w:rsidRDefault="001B3A7F" w:rsidP="00F52CB7">
      <w:pPr>
        <w:pStyle w:val="ListParagraph"/>
        <w:numPr>
          <w:ilvl w:val="1"/>
          <w:numId w:val="11"/>
        </w:numPr>
        <w:spacing w:after="0"/>
        <w:rPr>
          <w:rFonts w:ascii="Times New Roman" w:eastAsia="Times New Roman" w:hAnsi="Times New Roman" w:cs="Times New Roman"/>
          <w:szCs w:val="20"/>
          <w:lang w:val="en-GB"/>
        </w:rPr>
      </w:pPr>
      <w:r w:rsidRPr="005633D9">
        <w:rPr>
          <w:rFonts w:ascii="Times New Roman" w:eastAsia="Times New Roman" w:hAnsi="Times New Roman" w:cs="Times New Roman"/>
          <w:szCs w:val="20"/>
          <w:lang w:val="en-GB"/>
        </w:rPr>
        <w:t xml:space="preserve">What means are available to verify whether Aflasafe has been used on a maize crop? </w:t>
      </w:r>
    </w:p>
    <w:p w:rsidR="001B3A7F" w:rsidRPr="005633D9" w:rsidRDefault="001B3A7F" w:rsidP="00F52CB7">
      <w:pPr>
        <w:pStyle w:val="ListParagraph"/>
        <w:numPr>
          <w:ilvl w:val="1"/>
          <w:numId w:val="11"/>
        </w:numPr>
        <w:spacing w:after="0"/>
        <w:rPr>
          <w:rFonts w:ascii="Times New Roman" w:eastAsia="Times New Roman" w:hAnsi="Times New Roman" w:cs="Times New Roman"/>
          <w:szCs w:val="20"/>
          <w:lang w:val="en-GB"/>
        </w:rPr>
      </w:pPr>
      <w:r w:rsidRPr="005633D9">
        <w:rPr>
          <w:rFonts w:ascii="Times New Roman" w:eastAsia="Times New Roman" w:hAnsi="Times New Roman" w:cs="Times New Roman"/>
          <w:szCs w:val="20"/>
          <w:lang w:val="en-GB"/>
        </w:rPr>
        <w:t xml:space="preserve">Which of these means is in use and by whom? </w:t>
      </w:r>
    </w:p>
    <w:p w:rsidR="001B3A7F" w:rsidRPr="005633D9" w:rsidRDefault="001B3A7F" w:rsidP="00F52CB7">
      <w:pPr>
        <w:pStyle w:val="ListParagraph"/>
        <w:numPr>
          <w:ilvl w:val="1"/>
          <w:numId w:val="11"/>
        </w:numPr>
        <w:spacing w:after="0"/>
        <w:rPr>
          <w:rFonts w:ascii="Times New Roman" w:eastAsia="Times New Roman" w:hAnsi="Times New Roman" w:cs="Times New Roman"/>
          <w:szCs w:val="20"/>
          <w:lang w:val="en-GB"/>
        </w:rPr>
      </w:pPr>
      <w:r w:rsidRPr="005633D9">
        <w:rPr>
          <w:rFonts w:ascii="Times New Roman" w:eastAsia="Times New Roman" w:hAnsi="Times New Roman" w:cs="Times New Roman"/>
          <w:szCs w:val="20"/>
          <w:lang w:val="en-GB"/>
        </w:rPr>
        <w:t>What is availability, technical requirements, and cost?</w:t>
      </w:r>
    </w:p>
    <w:p w:rsidR="001B3A7F" w:rsidRPr="005633D9" w:rsidRDefault="001B3A7F" w:rsidP="00F52CB7">
      <w:pPr>
        <w:pStyle w:val="ListParagraph"/>
        <w:numPr>
          <w:ilvl w:val="1"/>
          <w:numId w:val="11"/>
        </w:numPr>
        <w:spacing w:after="0"/>
        <w:rPr>
          <w:rFonts w:ascii="Times New Roman" w:eastAsia="Times New Roman" w:hAnsi="Times New Roman" w:cs="Times New Roman"/>
          <w:szCs w:val="20"/>
          <w:lang w:val="en-GB"/>
        </w:rPr>
      </w:pPr>
      <w:r w:rsidRPr="005633D9">
        <w:rPr>
          <w:rFonts w:ascii="Times New Roman" w:eastAsia="Times New Roman" w:hAnsi="Times New Roman" w:cs="Times New Roman"/>
          <w:szCs w:val="20"/>
          <w:lang w:val="en-GB"/>
        </w:rPr>
        <w:t>Are these means adequate for buyers to have confidence that a crop was treated with Aflasafe?</w:t>
      </w:r>
    </w:p>
    <w:p w:rsidR="001B3A7F" w:rsidRPr="005633D9" w:rsidRDefault="001B3A7F" w:rsidP="00F52CB7">
      <w:pPr>
        <w:pStyle w:val="ListParagraph"/>
        <w:numPr>
          <w:ilvl w:val="1"/>
          <w:numId w:val="11"/>
        </w:numPr>
        <w:spacing w:after="0"/>
        <w:rPr>
          <w:rFonts w:ascii="Times New Roman" w:eastAsia="Times New Roman" w:hAnsi="Times New Roman" w:cs="Times New Roman"/>
          <w:szCs w:val="20"/>
          <w:lang w:val="en-GB"/>
        </w:rPr>
      </w:pPr>
      <w:r w:rsidRPr="005633D9">
        <w:rPr>
          <w:rFonts w:ascii="Times New Roman" w:eastAsia="Times New Roman" w:hAnsi="Times New Roman" w:cs="Times New Roman"/>
          <w:szCs w:val="20"/>
          <w:lang w:val="en-GB"/>
        </w:rPr>
        <w:t>Would it be more effective to test for/certify utilization of Aflasafe on maize or to test for/certify aflatoxin-free status? Why</w:t>
      </w:r>
    </w:p>
    <w:p w:rsidR="001B3A7F" w:rsidRPr="005633D9" w:rsidRDefault="001B3A7F" w:rsidP="001B3A7F">
      <w:pPr>
        <w:spacing w:after="0"/>
        <w:rPr>
          <w:lang w:val="en-GB"/>
        </w:rPr>
      </w:pPr>
    </w:p>
    <w:p w:rsidR="001B3A7F" w:rsidRPr="005633D9" w:rsidRDefault="001B3A7F" w:rsidP="001B3A7F">
      <w:pPr>
        <w:spacing w:after="0"/>
        <w:rPr>
          <w:b/>
          <w:lang w:val="en-GB"/>
        </w:rPr>
      </w:pPr>
      <w:r w:rsidRPr="005633D9">
        <w:rPr>
          <w:b/>
          <w:lang w:val="en-GB"/>
        </w:rPr>
        <w:t>Awareness of contract farming for maize (for respondents with knowledge of maize supply)</w:t>
      </w:r>
    </w:p>
    <w:p w:rsidR="001B3A7F" w:rsidRPr="005633D9" w:rsidRDefault="001B3A7F" w:rsidP="00F52CB7">
      <w:pPr>
        <w:pStyle w:val="ListParagraph"/>
        <w:numPr>
          <w:ilvl w:val="0"/>
          <w:numId w:val="12"/>
        </w:numPr>
        <w:spacing w:after="0"/>
        <w:rPr>
          <w:rFonts w:ascii="Times New Roman" w:eastAsia="Times New Roman" w:hAnsi="Times New Roman" w:cs="Times New Roman"/>
          <w:szCs w:val="20"/>
          <w:lang w:val="en-GB"/>
        </w:rPr>
      </w:pPr>
      <w:r w:rsidRPr="005633D9">
        <w:rPr>
          <w:rFonts w:ascii="Times New Roman" w:eastAsia="Times New Roman" w:hAnsi="Times New Roman" w:cs="Times New Roman"/>
          <w:szCs w:val="20"/>
          <w:lang w:val="en-GB"/>
        </w:rPr>
        <w:t xml:space="preserve">Do you know about the use of contract farming/outgrower schemes for maize production? If yes, </w:t>
      </w:r>
    </w:p>
    <w:p w:rsidR="001B3A7F" w:rsidRPr="005633D9" w:rsidRDefault="001B3A7F" w:rsidP="00F52CB7">
      <w:pPr>
        <w:pStyle w:val="ListParagraph"/>
        <w:numPr>
          <w:ilvl w:val="1"/>
          <w:numId w:val="11"/>
        </w:numPr>
        <w:tabs>
          <w:tab w:val="num" w:pos="720"/>
        </w:tabs>
        <w:spacing w:after="0"/>
        <w:rPr>
          <w:rFonts w:ascii="Times New Roman" w:eastAsia="Times New Roman" w:hAnsi="Times New Roman" w:cs="Times New Roman"/>
          <w:szCs w:val="20"/>
          <w:lang w:val="en-GB"/>
        </w:rPr>
      </w:pPr>
      <w:r w:rsidRPr="005633D9">
        <w:rPr>
          <w:rFonts w:ascii="Times New Roman" w:eastAsia="Times New Roman" w:hAnsi="Times New Roman" w:cs="Times New Roman"/>
          <w:szCs w:val="20"/>
          <w:lang w:val="en-GB"/>
        </w:rPr>
        <w:t>What are the characteristics, if any, of the types of communities or areas where contract farming is more likely (</w:t>
      </w:r>
      <w:r w:rsidR="00A04A54" w:rsidRPr="005633D9">
        <w:rPr>
          <w:rFonts w:ascii="Times New Roman" w:eastAsia="Times New Roman" w:hAnsi="Times New Roman" w:cs="Times New Roman"/>
          <w:szCs w:val="20"/>
          <w:lang w:val="en-GB"/>
        </w:rPr>
        <w:t xml:space="preserve">e.g., </w:t>
      </w:r>
      <w:r w:rsidRPr="005633D9">
        <w:rPr>
          <w:rFonts w:ascii="Times New Roman" w:eastAsia="Times New Roman" w:hAnsi="Times New Roman" w:cs="Times New Roman"/>
          <w:szCs w:val="20"/>
          <w:lang w:val="en-GB"/>
        </w:rPr>
        <w:t xml:space="preserve">better road access, better access to govt. extension and subsidies). </w:t>
      </w:r>
    </w:p>
    <w:p w:rsidR="001B3A7F" w:rsidRPr="005633D9" w:rsidRDefault="001B3A7F" w:rsidP="00F52CB7">
      <w:pPr>
        <w:pStyle w:val="ListParagraph"/>
        <w:numPr>
          <w:ilvl w:val="1"/>
          <w:numId w:val="11"/>
        </w:numPr>
        <w:tabs>
          <w:tab w:val="num" w:pos="720"/>
        </w:tabs>
        <w:spacing w:after="0"/>
        <w:rPr>
          <w:rFonts w:ascii="Times New Roman" w:eastAsia="Times New Roman" w:hAnsi="Times New Roman" w:cs="Times New Roman"/>
          <w:szCs w:val="20"/>
          <w:lang w:val="en-GB"/>
        </w:rPr>
      </w:pPr>
      <w:r w:rsidRPr="005633D9">
        <w:rPr>
          <w:rFonts w:ascii="Times New Roman" w:eastAsia="Times New Roman" w:hAnsi="Times New Roman" w:cs="Times New Roman"/>
          <w:szCs w:val="20"/>
          <w:lang w:val="en-GB"/>
        </w:rPr>
        <w:t xml:space="preserve">Do buyers prefer to contract with smallholders or larger farmers? </w:t>
      </w:r>
    </w:p>
    <w:p w:rsidR="001B3A7F" w:rsidRPr="005633D9" w:rsidRDefault="001B3A7F" w:rsidP="00F52CB7">
      <w:pPr>
        <w:pStyle w:val="ListParagraph"/>
        <w:numPr>
          <w:ilvl w:val="2"/>
          <w:numId w:val="11"/>
        </w:numPr>
        <w:spacing w:after="0"/>
        <w:rPr>
          <w:rFonts w:ascii="Times New Roman" w:eastAsia="Times New Roman" w:hAnsi="Times New Roman" w:cs="Times New Roman"/>
          <w:szCs w:val="20"/>
          <w:lang w:val="en-GB"/>
        </w:rPr>
      </w:pPr>
      <w:r w:rsidRPr="005633D9">
        <w:rPr>
          <w:rFonts w:ascii="Times New Roman" w:eastAsia="Times New Roman" w:hAnsi="Times New Roman" w:cs="Times New Roman"/>
          <w:szCs w:val="20"/>
          <w:lang w:val="en-GB"/>
        </w:rPr>
        <w:t>What is a typical maize area cultivated by a large farmer who might sell through contract?</w:t>
      </w:r>
    </w:p>
    <w:p w:rsidR="001B3A7F" w:rsidRPr="005633D9" w:rsidRDefault="001B3A7F" w:rsidP="00F52CB7">
      <w:pPr>
        <w:pStyle w:val="ListParagraph"/>
        <w:numPr>
          <w:ilvl w:val="2"/>
          <w:numId w:val="11"/>
        </w:numPr>
        <w:spacing w:after="0"/>
        <w:rPr>
          <w:rFonts w:ascii="Times New Roman" w:eastAsia="Times New Roman" w:hAnsi="Times New Roman" w:cs="Times New Roman"/>
          <w:szCs w:val="20"/>
          <w:lang w:val="en-GB"/>
        </w:rPr>
      </w:pPr>
      <w:r w:rsidRPr="005633D9">
        <w:rPr>
          <w:rFonts w:ascii="Times New Roman" w:eastAsia="Times New Roman" w:hAnsi="Times New Roman" w:cs="Times New Roman"/>
          <w:szCs w:val="20"/>
          <w:lang w:val="en-GB"/>
        </w:rPr>
        <w:t>What is a typical maize area cultivated by a smallholder farmer who might sell through contract?</w:t>
      </w:r>
    </w:p>
    <w:p w:rsidR="001B3A7F" w:rsidRPr="005633D9" w:rsidRDefault="001B3A7F" w:rsidP="00F52CB7">
      <w:pPr>
        <w:pStyle w:val="ListParagraph"/>
        <w:numPr>
          <w:ilvl w:val="2"/>
          <w:numId w:val="11"/>
        </w:numPr>
        <w:spacing w:after="0"/>
        <w:rPr>
          <w:rFonts w:ascii="Times New Roman" w:eastAsia="Times New Roman" w:hAnsi="Times New Roman" w:cs="Times New Roman"/>
          <w:szCs w:val="20"/>
          <w:lang w:val="en-GB"/>
        </w:rPr>
      </w:pPr>
      <w:r w:rsidRPr="005633D9">
        <w:rPr>
          <w:rFonts w:ascii="Times New Roman" w:eastAsia="Times New Roman" w:hAnsi="Times New Roman" w:cs="Times New Roman"/>
          <w:szCs w:val="20"/>
          <w:lang w:val="en-GB"/>
        </w:rPr>
        <w:t>Why do buyers prefer to contract with one or the other?</w:t>
      </w:r>
    </w:p>
    <w:p w:rsidR="001B3A7F" w:rsidRPr="005633D9" w:rsidRDefault="001B3A7F" w:rsidP="00F52CB7">
      <w:pPr>
        <w:pStyle w:val="ListParagraph"/>
        <w:numPr>
          <w:ilvl w:val="1"/>
          <w:numId w:val="11"/>
        </w:numPr>
        <w:tabs>
          <w:tab w:val="num" w:pos="720"/>
        </w:tabs>
        <w:spacing w:after="0"/>
        <w:rPr>
          <w:rFonts w:ascii="Times New Roman" w:eastAsia="Times New Roman" w:hAnsi="Times New Roman" w:cs="Times New Roman"/>
          <w:szCs w:val="20"/>
          <w:lang w:val="en-GB"/>
        </w:rPr>
      </w:pPr>
      <w:r w:rsidRPr="005633D9">
        <w:rPr>
          <w:rFonts w:ascii="Times New Roman" w:eastAsia="Times New Roman" w:hAnsi="Times New Roman" w:cs="Times New Roman"/>
          <w:szCs w:val="20"/>
          <w:lang w:val="en-GB"/>
        </w:rPr>
        <w:t xml:space="preserve">What is the typical number of smallholders that aggregators contract with? </w:t>
      </w:r>
    </w:p>
    <w:p w:rsidR="001B3A7F" w:rsidRPr="005633D9" w:rsidRDefault="001B3A7F" w:rsidP="00F52CB7">
      <w:pPr>
        <w:pStyle w:val="ListParagraph"/>
        <w:numPr>
          <w:ilvl w:val="1"/>
          <w:numId w:val="11"/>
        </w:numPr>
        <w:tabs>
          <w:tab w:val="num" w:pos="720"/>
        </w:tabs>
        <w:spacing w:after="0"/>
        <w:rPr>
          <w:rFonts w:ascii="Times New Roman" w:eastAsia="Times New Roman" w:hAnsi="Times New Roman" w:cs="Times New Roman"/>
          <w:szCs w:val="20"/>
          <w:lang w:val="en-GB"/>
        </w:rPr>
      </w:pPr>
      <w:r w:rsidRPr="005633D9">
        <w:rPr>
          <w:rFonts w:ascii="Times New Roman" w:eastAsia="Times New Roman" w:hAnsi="Times New Roman" w:cs="Times New Roman"/>
          <w:szCs w:val="20"/>
          <w:lang w:val="en-GB"/>
        </w:rPr>
        <w:t xml:space="preserve">What type of smallholders do the aggregators prefer to contract with? </w:t>
      </w:r>
    </w:p>
    <w:p w:rsidR="001B3A7F" w:rsidRPr="005633D9" w:rsidRDefault="001B3A7F" w:rsidP="00F52CB7">
      <w:pPr>
        <w:pStyle w:val="ListParagraph"/>
        <w:numPr>
          <w:ilvl w:val="2"/>
          <w:numId w:val="11"/>
        </w:numPr>
        <w:tabs>
          <w:tab w:val="num" w:pos="720"/>
        </w:tabs>
        <w:spacing w:after="0"/>
        <w:rPr>
          <w:rFonts w:ascii="Times New Roman" w:eastAsia="Times New Roman" w:hAnsi="Times New Roman" w:cs="Times New Roman"/>
          <w:szCs w:val="20"/>
          <w:lang w:val="en-GB"/>
        </w:rPr>
      </w:pPr>
      <w:r w:rsidRPr="005633D9">
        <w:rPr>
          <w:rFonts w:ascii="Times New Roman" w:eastAsia="Times New Roman" w:hAnsi="Times New Roman" w:cs="Times New Roman"/>
          <w:szCs w:val="20"/>
          <w:lang w:val="en-GB"/>
        </w:rPr>
        <w:t xml:space="preserve">What are the characteristics of these farmers? </w:t>
      </w:r>
    </w:p>
    <w:p w:rsidR="001B3A7F" w:rsidRPr="005633D9" w:rsidRDefault="001B3A7F" w:rsidP="00F52CB7">
      <w:pPr>
        <w:pStyle w:val="ListParagraph"/>
        <w:numPr>
          <w:ilvl w:val="1"/>
          <w:numId w:val="11"/>
        </w:numPr>
        <w:tabs>
          <w:tab w:val="num" w:pos="720"/>
        </w:tabs>
        <w:spacing w:after="0"/>
        <w:rPr>
          <w:rFonts w:ascii="Times New Roman" w:eastAsia="Times New Roman" w:hAnsi="Times New Roman" w:cs="Times New Roman"/>
          <w:szCs w:val="20"/>
          <w:lang w:val="en-GB"/>
        </w:rPr>
      </w:pPr>
      <w:r w:rsidRPr="005633D9">
        <w:rPr>
          <w:rFonts w:ascii="Times New Roman" w:eastAsia="Times New Roman" w:hAnsi="Times New Roman" w:cs="Times New Roman"/>
          <w:szCs w:val="20"/>
          <w:lang w:val="en-GB"/>
        </w:rPr>
        <w:t xml:space="preserve">Do aggregators change the smallholders they contract with often? </w:t>
      </w:r>
    </w:p>
    <w:p w:rsidR="001B3A7F" w:rsidRPr="005633D9" w:rsidRDefault="001B3A7F" w:rsidP="00F52CB7">
      <w:pPr>
        <w:pStyle w:val="ListParagraph"/>
        <w:numPr>
          <w:ilvl w:val="2"/>
          <w:numId w:val="11"/>
        </w:numPr>
        <w:tabs>
          <w:tab w:val="num" w:pos="720"/>
        </w:tabs>
        <w:spacing w:after="0"/>
        <w:rPr>
          <w:rFonts w:ascii="Times New Roman" w:eastAsia="Times New Roman" w:hAnsi="Times New Roman" w:cs="Times New Roman"/>
          <w:szCs w:val="20"/>
          <w:lang w:val="en-GB"/>
        </w:rPr>
      </w:pPr>
      <w:r w:rsidRPr="005633D9">
        <w:rPr>
          <w:rFonts w:ascii="Times New Roman" w:eastAsia="Times New Roman" w:hAnsi="Times New Roman" w:cs="Times New Roman"/>
          <w:szCs w:val="20"/>
          <w:lang w:val="en-GB"/>
        </w:rPr>
        <w:t>What is the average length for which aggregators contract with the same smallholders?</w:t>
      </w:r>
    </w:p>
    <w:p w:rsidR="001B3A7F" w:rsidRPr="005633D9" w:rsidRDefault="001B3A7F" w:rsidP="00F52CB7">
      <w:pPr>
        <w:pStyle w:val="ListParagraph"/>
        <w:numPr>
          <w:ilvl w:val="1"/>
          <w:numId w:val="11"/>
        </w:numPr>
        <w:tabs>
          <w:tab w:val="num" w:pos="720"/>
        </w:tabs>
        <w:spacing w:after="0"/>
        <w:rPr>
          <w:rFonts w:ascii="Times New Roman" w:eastAsia="Times New Roman" w:hAnsi="Times New Roman" w:cs="Times New Roman"/>
          <w:szCs w:val="20"/>
          <w:lang w:val="en-GB"/>
        </w:rPr>
      </w:pPr>
      <w:r w:rsidRPr="005633D9">
        <w:rPr>
          <w:rFonts w:ascii="Times New Roman" w:eastAsia="Times New Roman" w:hAnsi="Times New Roman" w:cs="Times New Roman"/>
          <w:szCs w:val="20"/>
          <w:lang w:val="en-GB"/>
        </w:rPr>
        <w:t>What are the types of farmers who prefer to enter into contract farming? Are there more smallholders who would like to contract than there are implementers to contract with?</w:t>
      </w:r>
    </w:p>
    <w:p w:rsidR="001B3A7F" w:rsidRPr="005633D9" w:rsidRDefault="001B3A7F" w:rsidP="00F52CB7">
      <w:pPr>
        <w:pStyle w:val="ListParagraph"/>
        <w:numPr>
          <w:ilvl w:val="1"/>
          <w:numId w:val="11"/>
        </w:numPr>
        <w:tabs>
          <w:tab w:val="num" w:pos="720"/>
        </w:tabs>
        <w:spacing w:after="0"/>
        <w:rPr>
          <w:rFonts w:ascii="Times New Roman" w:eastAsia="Times New Roman" w:hAnsi="Times New Roman" w:cs="Times New Roman"/>
          <w:szCs w:val="20"/>
          <w:lang w:val="en-GB"/>
        </w:rPr>
      </w:pPr>
      <w:r w:rsidRPr="005633D9">
        <w:rPr>
          <w:rFonts w:ascii="Times New Roman" w:eastAsia="Times New Roman" w:hAnsi="Times New Roman" w:cs="Times New Roman"/>
          <w:szCs w:val="20"/>
          <w:lang w:val="en-GB"/>
        </w:rPr>
        <w:t xml:space="preserve">How are prices determined when smallholders sell under contract to buyers? </w:t>
      </w:r>
    </w:p>
    <w:p w:rsidR="001B3A7F" w:rsidRPr="005633D9" w:rsidRDefault="001B3A7F" w:rsidP="00F52CB7">
      <w:pPr>
        <w:pStyle w:val="ListParagraph"/>
        <w:numPr>
          <w:ilvl w:val="2"/>
          <w:numId w:val="11"/>
        </w:numPr>
        <w:tabs>
          <w:tab w:val="num" w:pos="720"/>
        </w:tabs>
        <w:spacing w:after="0"/>
        <w:rPr>
          <w:rFonts w:ascii="Times New Roman" w:eastAsia="Times New Roman" w:hAnsi="Times New Roman" w:cs="Times New Roman"/>
          <w:szCs w:val="20"/>
          <w:lang w:val="en-GB"/>
        </w:rPr>
      </w:pPr>
      <w:r w:rsidRPr="005633D9">
        <w:rPr>
          <w:rFonts w:ascii="Times New Roman" w:eastAsia="Times New Roman" w:hAnsi="Times New Roman" w:cs="Times New Roman"/>
          <w:szCs w:val="20"/>
          <w:lang w:val="en-GB"/>
        </w:rPr>
        <w:t xml:space="preserve">Does the farmer have the ability to negotiate for incentive payments? </w:t>
      </w:r>
    </w:p>
    <w:p w:rsidR="001B3A7F" w:rsidRPr="005633D9" w:rsidRDefault="001B3A7F" w:rsidP="00F52CB7">
      <w:pPr>
        <w:pStyle w:val="ListParagraph"/>
        <w:numPr>
          <w:ilvl w:val="2"/>
          <w:numId w:val="11"/>
        </w:numPr>
        <w:tabs>
          <w:tab w:val="num" w:pos="720"/>
        </w:tabs>
        <w:spacing w:after="0"/>
        <w:rPr>
          <w:rFonts w:ascii="Times New Roman" w:eastAsia="Times New Roman" w:hAnsi="Times New Roman" w:cs="Times New Roman"/>
          <w:szCs w:val="20"/>
          <w:lang w:val="en-GB"/>
        </w:rPr>
      </w:pPr>
      <w:r w:rsidRPr="005633D9">
        <w:rPr>
          <w:rFonts w:ascii="Times New Roman" w:eastAsia="Times New Roman" w:hAnsi="Times New Roman" w:cs="Times New Roman"/>
          <w:szCs w:val="20"/>
          <w:lang w:val="en-GB"/>
        </w:rPr>
        <w:t xml:space="preserve">What factors are likely to increase farmers bargaining position? </w:t>
      </w:r>
    </w:p>
    <w:p w:rsidR="001B3A7F" w:rsidRPr="005633D9" w:rsidRDefault="001B3A7F" w:rsidP="001B3A7F">
      <w:pPr>
        <w:spacing w:after="0"/>
        <w:rPr>
          <w:b/>
          <w:lang w:val="en-GB"/>
        </w:rPr>
      </w:pPr>
      <w:r w:rsidRPr="005633D9">
        <w:rPr>
          <w:b/>
          <w:lang w:val="en-GB"/>
        </w:rPr>
        <w:t>Do you have questions or further comments on what we have discussed?</w:t>
      </w:r>
    </w:p>
    <w:p w:rsidR="00D139EC" w:rsidRPr="005633D9" w:rsidRDefault="00D139EC" w:rsidP="00F04A96">
      <w:pPr>
        <w:pStyle w:val="Heading2"/>
        <w:numPr>
          <w:ilvl w:val="0"/>
          <w:numId w:val="0"/>
        </w:numPr>
        <w:ind w:left="720" w:hanging="720"/>
        <w:rPr>
          <w:lang w:val="en-GB"/>
        </w:rPr>
      </w:pPr>
      <w:bookmarkStart w:id="83" w:name="_Toc375336143"/>
      <w:bookmarkStart w:id="84" w:name="_Toc407700428"/>
      <w:r w:rsidRPr="005633D9">
        <w:rPr>
          <w:lang w:val="en-GB"/>
        </w:rPr>
        <w:lastRenderedPageBreak/>
        <w:t>Short survey for agro-input dealers</w:t>
      </w:r>
      <w:bookmarkEnd w:id="83"/>
      <w:bookmarkEnd w:id="84"/>
    </w:p>
    <w:tbl>
      <w:tblPr>
        <w:tblW w:w="4020" w:type="dxa"/>
        <w:tblInd w:w="93" w:type="dxa"/>
        <w:tblLook w:val="04A0" w:firstRow="1" w:lastRow="0" w:firstColumn="1" w:lastColumn="0" w:noHBand="0" w:noVBand="1"/>
      </w:tblPr>
      <w:tblGrid>
        <w:gridCol w:w="4020"/>
      </w:tblGrid>
      <w:tr w:rsidR="00D139EC" w:rsidRPr="005633D9" w:rsidTr="00D139EC">
        <w:trPr>
          <w:trHeight w:val="300"/>
        </w:trPr>
        <w:tc>
          <w:tcPr>
            <w:tcW w:w="4020" w:type="dxa"/>
            <w:tcBorders>
              <w:top w:val="nil"/>
              <w:left w:val="nil"/>
              <w:bottom w:val="nil"/>
              <w:right w:val="nil"/>
            </w:tcBorders>
            <w:shd w:val="clear" w:color="auto" w:fill="auto"/>
            <w:noWrap/>
            <w:vAlign w:val="center"/>
            <w:hideMark/>
          </w:tcPr>
          <w:p w:rsidR="00D139EC" w:rsidRPr="005633D9" w:rsidRDefault="00D139EC" w:rsidP="00D139EC">
            <w:pPr>
              <w:spacing w:after="0"/>
              <w:rPr>
                <w:rFonts w:ascii="Calibri" w:hAnsi="Calibri"/>
                <w:b/>
                <w:bCs/>
                <w:color w:val="000000"/>
                <w:lang w:val="en-GB"/>
              </w:rPr>
            </w:pPr>
            <w:r w:rsidRPr="005633D9">
              <w:rPr>
                <w:rFonts w:ascii="Calibri" w:hAnsi="Calibri"/>
                <w:b/>
                <w:bCs/>
                <w:color w:val="000000"/>
                <w:lang w:val="en-GB"/>
              </w:rPr>
              <w:t>Identifying information</w:t>
            </w:r>
          </w:p>
        </w:tc>
      </w:tr>
      <w:tr w:rsidR="00D139EC" w:rsidRPr="005633D9" w:rsidTr="00D139EC">
        <w:trPr>
          <w:trHeight w:val="300"/>
        </w:trPr>
        <w:tc>
          <w:tcPr>
            <w:tcW w:w="4020" w:type="dxa"/>
            <w:tcBorders>
              <w:top w:val="nil"/>
              <w:left w:val="nil"/>
              <w:bottom w:val="nil"/>
              <w:right w:val="nil"/>
            </w:tcBorders>
            <w:shd w:val="clear" w:color="auto" w:fill="auto"/>
            <w:noWrap/>
            <w:vAlign w:val="center"/>
            <w:hideMark/>
          </w:tcPr>
          <w:p w:rsidR="00D139EC" w:rsidRPr="005633D9" w:rsidRDefault="00D139EC" w:rsidP="00D139EC">
            <w:pPr>
              <w:pStyle w:val="Bullets"/>
              <w:spacing w:after="0"/>
            </w:pPr>
            <w:r w:rsidRPr="005633D9">
              <w:t>Firm name</w:t>
            </w:r>
          </w:p>
        </w:tc>
      </w:tr>
      <w:tr w:rsidR="00D139EC" w:rsidRPr="005633D9" w:rsidTr="00D139EC">
        <w:trPr>
          <w:trHeight w:val="300"/>
        </w:trPr>
        <w:tc>
          <w:tcPr>
            <w:tcW w:w="4020" w:type="dxa"/>
            <w:tcBorders>
              <w:top w:val="nil"/>
              <w:left w:val="nil"/>
              <w:bottom w:val="nil"/>
              <w:right w:val="nil"/>
            </w:tcBorders>
            <w:shd w:val="clear" w:color="auto" w:fill="auto"/>
            <w:noWrap/>
            <w:vAlign w:val="center"/>
            <w:hideMark/>
          </w:tcPr>
          <w:p w:rsidR="00D139EC" w:rsidRPr="005633D9" w:rsidRDefault="00D139EC" w:rsidP="00D139EC">
            <w:pPr>
              <w:pStyle w:val="Bullets"/>
              <w:spacing w:after="0"/>
            </w:pPr>
            <w:r w:rsidRPr="005633D9">
              <w:t>Firm location</w:t>
            </w:r>
          </w:p>
        </w:tc>
      </w:tr>
      <w:tr w:rsidR="00D139EC" w:rsidRPr="005633D9" w:rsidTr="00D139EC">
        <w:trPr>
          <w:trHeight w:val="300"/>
        </w:trPr>
        <w:tc>
          <w:tcPr>
            <w:tcW w:w="4020" w:type="dxa"/>
            <w:tcBorders>
              <w:top w:val="nil"/>
              <w:left w:val="nil"/>
              <w:bottom w:val="nil"/>
              <w:right w:val="nil"/>
            </w:tcBorders>
            <w:shd w:val="clear" w:color="auto" w:fill="auto"/>
            <w:noWrap/>
            <w:vAlign w:val="center"/>
            <w:hideMark/>
          </w:tcPr>
          <w:p w:rsidR="00D139EC" w:rsidRPr="005633D9" w:rsidRDefault="00D139EC" w:rsidP="00D139EC">
            <w:pPr>
              <w:pStyle w:val="Bullets"/>
              <w:spacing w:after="0"/>
            </w:pPr>
            <w:r w:rsidRPr="005633D9">
              <w:t>Interviewee name</w:t>
            </w:r>
          </w:p>
        </w:tc>
      </w:tr>
      <w:tr w:rsidR="00D139EC" w:rsidRPr="005633D9" w:rsidTr="00D139EC">
        <w:trPr>
          <w:trHeight w:val="300"/>
        </w:trPr>
        <w:tc>
          <w:tcPr>
            <w:tcW w:w="4020" w:type="dxa"/>
            <w:tcBorders>
              <w:top w:val="nil"/>
              <w:left w:val="nil"/>
              <w:bottom w:val="nil"/>
              <w:right w:val="nil"/>
            </w:tcBorders>
            <w:shd w:val="clear" w:color="auto" w:fill="auto"/>
            <w:noWrap/>
            <w:vAlign w:val="center"/>
            <w:hideMark/>
          </w:tcPr>
          <w:p w:rsidR="00D139EC" w:rsidRPr="005633D9" w:rsidRDefault="00D139EC" w:rsidP="00D139EC">
            <w:pPr>
              <w:pStyle w:val="Bullets"/>
              <w:spacing w:after="0"/>
            </w:pPr>
            <w:r w:rsidRPr="005633D9">
              <w:t>Interviewee position</w:t>
            </w:r>
          </w:p>
        </w:tc>
      </w:tr>
      <w:tr w:rsidR="00D139EC" w:rsidRPr="005633D9" w:rsidTr="00D139EC">
        <w:trPr>
          <w:trHeight w:val="300"/>
        </w:trPr>
        <w:tc>
          <w:tcPr>
            <w:tcW w:w="4020" w:type="dxa"/>
            <w:tcBorders>
              <w:top w:val="nil"/>
              <w:left w:val="nil"/>
              <w:bottom w:val="nil"/>
              <w:right w:val="nil"/>
            </w:tcBorders>
            <w:shd w:val="clear" w:color="auto" w:fill="auto"/>
            <w:noWrap/>
            <w:vAlign w:val="center"/>
            <w:hideMark/>
          </w:tcPr>
          <w:p w:rsidR="00D139EC" w:rsidRPr="005633D9" w:rsidRDefault="00D139EC" w:rsidP="00D139EC">
            <w:pPr>
              <w:pStyle w:val="Bullets"/>
              <w:spacing w:after="0"/>
            </w:pPr>
            <w:r w:rsidRPr="005633D9">
              <w:t>Contact info</w:t>
            </w:r>
            <w:r w:rsidR="00325887" w:rsidRPr="005633D9">
              <w:t>rmation</w:t>
            </w:r>
          </w:p>
        </w:tc>
      </w:tr>
    </w:tbl>
    <w:p w:rsidR="00D139EC" w:rsidRPr="005633D9" w:rsidRDefault="00D139EC" w:rsidP="00D139EC">
      <w:pPr>
        <w:rPr>
          <w:b/>
          <w:lang w:val="en-GB"/>
        </w:rPr>
      </w:pPr>
      <w:r w:rsidRPr="005633D9">
        <w:rPr>
          <w:b/>
          <w:lang w:val="en-GB"/>
        </w:rPr>
        <w:t xml:space="preserve">Brief characterization of firm </w:t>
      </w:r>
    </w:p>
    <w:p w:rsidR="00D139EC" w:rsidRPr="005633D9" w:rsidRDefault="00D139EC" w:rsidP="00D139EC">
      <w:pPr>
        <w:pStyle w:val="Bullets"/>
      </w:pPr>
      <w:r w:rsidRPr="005633D9">
        <w:t>Do they buy direct from input manufacturers/authorized distributors or from intermediaries?</w:t>
      </w:r>
    </w:p>
    <w:p w:rsidR="00D139EC" w:rsidRPr="005633D9" w:rsidRDefault="00D139EC" w:rsidP="00D139EC">
      <w:pPr>
        <w:pStyle w:val="Bullets"/>
      </w:pPr>
      <w:r w:rsidRPr="005633D9">
        <w:t>Size of firm (number of full-time employees)</w:t>
      </w:r>
    </w:p>
    <w:p w:rsidR="00D139EC" w:rsidRPr="005633D9" w:rsidRDefault="00D139EC" w:rsidP="00D139EC">
      <w:pPr>
        <w:pStyle w:val="Bullets"/>
      </w:pPr>
      <w:r w:rsidRPr="005633D9">
        <w:t>Is firm part of a chain or franchise? How many stores?</w:t>
      </w:r>
    </w:p>
    <w:tbl>
      <w:tblPr>
        <w:tblW w:w="8751" w:type="dxa"/>
        <w:tblInd w:w="93" w:type="dxa"/>
        <w:tblLook w:val="04A0" w:firstRow="1" w:lastRow="0" w:firstColumn="1" w:lastColumn="0" w:noHBand="0" w:noVBand="1"/>
      </w:tblPr>
      <w:tblGrid>
        <w:gridCol w:w="285"/>
        <w:gridCol w:w="255"/>
        <w:gridCol w:w="8211"/>
      </w:tblGrid>
      <w:tr w:rsidR="00D139EC" w:rsidRPr="005633D9" w:rsidTr="00D139EC">
        <w:trPr>
          <w:trHeight w:val="300"/>
        </w:trPr>
        <w:tc>
          <w:tcPr>
            <w:tcW w:w="8751" w:type="dxa"/>
            <w:gridSpan w:val="3"/>
            <w:tcBorders>
              <w:top w:val="nil"/>
              <w:left w:val="nil"/>
              <w:bottom w:val="nil"/>
              <w:right w:val="nil"/>
            </w:tcBorders>
            <w:shd w:val="clear" w:color="auto" w:fill="auto"/>
            <w:noWrap/>
            <w:vAlign w:val="center"/>
            <w:hideMark/>
          </w:tcPr>
          <w:p w:rsidR="00D139EC" w:rsidRPr="005633D9" w:rsidRDefault="00D139EC" w:rsidP="00D139EC">
            <w:pPr>
              <w:spacing w:after="0"/>
              <w:contextualSpacing/>
              <w:rPr>
                <w:color w:val="000000"/>
                <w:lang w:val="en-GB"/>
              </w:rPr>
            </w:pPr>
          </w:p>
          <w:p w:rsidR="00D139EC" w:rsidRPr="005633D9" w:rsidRDefault="00D139EC" w:rsidP="00D139EC">
            <w:pPr>
              <w:spacing w:after="0"/>
              <w:contextualSpacing/>
              <w:rPr>
                <w:b/>
                <w:color w:val="000000"/>
                <w:lang w:val="en-GB"/>
              </w:rPr>
            </w:pPr>
            <w:r w:rsidRPr="005633D9">
              <w:rPr>
                <w:b/>
                <w:color w:val="000000"/>
                <w:lang w:val="en-GB"/>
              </w:rPr>
              <w:t>Aflasafe</w:t>
            </w:r>
          </w:p>
          <w:p w:rsidR="00D139EC" w:rsidRPr="005633D9" w:rsidRDefault="00D139EC" w:rsidP="00D139EC">
            <w:pPr>
              <w:spacing w:after="0"/>
              <w:contextualSpacing/>
              <w:rPr>
                <w:color w:val="000000"/>
                <w:lang w:val="en-GB"/>
              </w:rPr>
            </w:pPr>
            <w:r w:rsidRPr="005633D9">
              <w:rPr>
                <w:color w:val="000000"/>
                <w:lang w:val="en-GB"/>
              </w:rPr>
              <w:t>Have you ever heard of Aflasafe, a biological agent applied to maize fields during production that reduces aflatoxin levels?</w:t>
            </w:r>
          </w:p>
          <w:p w:rsidR="00D139EC" w:rsidRPr="005633D9" w:rsidRDefault="00D139EC" w:rsidP="00D139EC">
            <w:pPr>
              <w:spacing w:after="0"/>
              <w:contextualSpacing/>
              <w:rPr>
                <w:color w:val="000000"/>
                <w:lang w:val="en-GB"/>
              </w:rPr>
            </w:pPr>
          </w:p>
        </w:tc>
      </w:tr>
      <w:tr w:rsidR="00D139EC" w:rsidRPr="005633D9" w:rsidTr="00D139EC">
        <w:trPr>
          <w:trHeight w:val="300"/>
        </w:trPr>
        <w:tc>
          <w:tcPr>
            <w:tcW w:w="285" w:type="dxa"/>
            <w:tcBorders>
              <w:top w:val="nil"/>
              <w:left w:val="nil"/>
              <w:bottom w:val="nil"/>
              <w:right w:val="nil"/>
            </w:tcBorders>
            <w:shd w:val="clear" w:color="auto" w:fill="auto"/>
            <w:noWrap/>
            <w:vAlign w:val="bottom"/>
            <w:hideMark/>
          </w:tcPr>
          <w:p w:rsidR="00D139EC" w:rsidRPr="005633D9" w:rsidRDefault="00D139EC" w:rsidP="00D139EC">
            <w:pPr>
              <w:spacing w:after="0"/>
              <w:rPr>
                <w:color w:val="000000"/>
                <w:lang w:val="en-GB"/>
              </w:rPr>
            </w:pPr>
          </w:p>
        </w:tc>
        <w:tc>
          <w:tcPr>
            <w:tcW w:w="8466" w:type="dxa"/>
            <w:gridSpan w:val="2"/>
            <w:tcBorders>
              <w:top w:val="nil"/>
              <w:left w:val="nil"/>
              <w:bottom w:val="nil"/>
              <w:right w:val="nil"/>
            </w:tcBorders>
            <w:shd w:val="clear" w:color="auto" w:fill="auto"/>
            <w:noWrap/>
            <w:vAlign w:val="center"/>
            <w:hideMark/>
          </w:tcPr>
          <w:p w:rsidR="00D139EC" w:rsidRPr="005633D9" w:rsidRDefault="00D139EC" w:rsidP="00D139EC">
            <w:pPr>
              <w:pStyle w:val="Bullets"/>
            </w:pPr>
            <w:r w:rsidRPr="005633D9">
              <w:t>During the past year (2013 for baseline), did you carry Aflasafe? If yes,</w:t>
            </w:r>
          </w:p>
        </w:tc>
      </w:tr>
      <w:tr w:rsidR="00D139EC" w:rsidRPr="005633D9" w:rsidTr="00D139EC">
        <w:trPr>
          <w:trHeight w:val="300"/>
        </w:trPr>
        <w:tc>
          <w:tcPr>
            <w:tcW w:w="285" w:type="dxa"/>
            <w:tcBorders>
              <w:top w:val="nil"/>
              <w:left w:val="nil"/>
              <w:bottom w:val="nil"/>
              <w:right w:val="nil"/>
            </w:tcBorders>
            <w:shd w:val="clear" w:color="auto" w:fill="auto"/>
            <w:noWrap/>
            <w:vAlign w:val="bottom"/>
            <w:hideMark/>
          </w:tcPr>
          <w:p w:rsidR="00D139EC" w:rsidRPr="005633D9" w:rsidRDefault="00D139EC" w:rsidP="00D139EC">
            <w:pPr>
              <w:spacing w:after="0"/>
              <w:rPr>
                <w:rFonts w:ascii="Calibri" w:hAnsi="Calibri"/>
                <w:color w:val="000000"/>
                <w:lang w:val="en-GB"/>
              </w:rPr>
            </w:pPr>
          </w:p>
        </w:tc>
        <w:tc>
          <w:tcPr>
            <w:tcW w:w="255" w:type="dxa"/>
            <w:tcBorders>
              <w:top w:val="nil"/>
              <w:left w:val="nil"/>
              <w:bottom w:val="nil"/>
              <w:right w:val="nil"/>
            </w:tcBorders>
            <w:shd w:val="clear" w:color="auto" w:fill="auto"/>
            <w:noWrap/>
            <w:vAlign w:val="center"/>
            <w:hideMark/>
          </w:tcPr>
          <w:p w:rsidR="00D139EC" w:rsidRPr="005633D9" w:rsidRDefault="00D139EC" w:rsidP="00D139EC">
            <w:pPr>
              <w:spacing w:after="0"/>
              <w:rPr>
                <w:rFonts w:ascii="Calibri" w:hAnsi="Calibri"/>
                <w:color w:val="000000"/>
                <w:lang w:val="en-GB"/>
              </w:rPr>
            </w:pPr>
          </w:p>
        </w:tc>
        <w:tc>
          <w:tcPr>
            <w:tcW w:w="8211" w:type="dxa"/>
            <w:tcBorders>
              <w:top w:val="nil"/>
              <w:left w:val="nil"/>
              <w:bottom w:val="nil"/>
              <w:right w:val="nil"/>
            </w:tcBorders>
            <w:shd w:val="clear" w:color="auto" w:fill="auto"/>
            <w:noWrap/>
            <w:vAlign w:val="bottom"/>
            <w:hideMark/>
          </w:tcPr>
          <w:p w:rsidR="00D139EC" w:rsidRPr="005633D9" w:rsidRDefault="00D139EC" w:rsidP="00D139EC">
            <w:pPr>
              <w:pStyle w:val="Bullet2"/>
              <w:rPr>
                <w:lang w:val="en-GB"/>
              </w:rPr>
            </w:pPr>
            <w:r w:rsidRPr="005633D9">
              <w:rPr>
                <w:lang w:val="en-GB"/>
              </w:rPr>
              <w:t>How much Aflasafe did you sell in the previous year (for baseline, 2013)</w:t>
            </w:r>
          </w:p>
        </w:tc>
      </w:tr>
      <w:tr w:rsidR="00D139EC" w:rsidRPr="005633D9" w:rsidTr="00D139EC">
        <w:trPr>
          <w:trHeight w:val="300"/>
        </w:trPr>
        <w:tc>
          <w:tcPr>
            <w:tcW w:w="285" w:type="dxa"/>
            <w:tcBorders>
              <w:top w:val="nil"/>
              <w:left w:val="nil"/>
              <w:bottom w:val="nil"/>
              <w:right w:val="nil"/>
            </w:tcBorders>
            <w:shd w:val="clear" w:color="auto" w:fill="auto"/>
            <w:noWrap/>
            <w:vAlign w:val="bottom"/>
            <w:hideMark/>
          </w:tcPr>
          <w:p w:rsidR="00D139EC" w:rsidRPr="005633D9" w:rsidRDefault="00D139EC" w:rsidP="00D139EC">
            <w:pPr>
              <w:spacing w:after="0"/>
              <w:rPr>
                <w:rFonts w:ascii="Calibri" w:hAnsi="Calibri"/>
                <w:color w:val="000000"/>
                <w:lang w:val="en-GB"/>
              </w:rPr>
            </w:pPr>
          </w:p>
        </w:tc>
        <w:tc>
          <w:tcPr>
            <w:tcW w:w="255" w:type="dxa"/>
            <w:tcBorders>
              <w:top w:val="nil"/>
              <w:left w:val="nil"/>
              <w:bottom w:val="nil"/>
              <w:right w:val="nil"/>
            </w:tcBorders>
            <w:shd w:val="clear" w:color="auto" w:fill="auto"/>
            <w:noWrap/>
            <w:vAlign w:val="center"/>
            <w:hideMark/>
          </w:tcPr>
          <w:p w:rsidR="00D139EC" w:rsidRPr="005633D9" w:rsidRDefault="00D139EC" w:rsidP="00D139EC">
            <w:pPr>
              <w:spacing w:after="0"/>
              <w:rPr>
                <w:rFonts w:ascii="Calibri" w:hAnsi="Calibri"/>
                <w:color w:val="000000"/>
                <w:lang w:val="en-GB"/>
              </w:rPr>
            </w:pPr>
          </w:p>
        </w:tc>
        <w:tc>
          <w:tcPr>
            <w:tcW w:w="8211" w:type="dxa"/>
            <w:tcBorders>
              <w:top w:val="nil"/>
              <w:left w:val="nil"/>
              <w:bottom w:val="nil"/>
              <w:right w:val="nil"/>
            </w:tcBorders>
            <w:shd w:val="clear" w:color="auto" w:fill="auto"/>
            <w:noWrap/>
            <w:vAlign w:val="bottom"/>
            <w:hideMark/>
          </w:tcPr>
          <w:p w:rsidR="00D139EC" w:rsidRPr="005633D9" w:rsidRDefault="00D139EC" w:rsidP="00D139EC">
            <w:pPr>
              <w:pStyle w:val="Bullet2"/>
              <w:rPr>
                <w:lang w:val="en-GB"/>
              </w:rPr>
            </w:pPr>
            <w:r w:rsidRPr="005633D9">
              <w:rPr>
                <w:lang w:val="en-GB"/>
              </w:rPr>
              <w:t>How many farmers did you sell Aflasafe to?</w:t>
            </w:r>
          </w:p>
        </w:tc>
      </w:tr>
      <w:tr w:rsidR="00D139EC" w:rsidRPr="005633D9" w:rsidTr="00D139EC">
        <w:trPr>
          <w:trHeight w:val="567"/>
        </w:trPr>
        <w:tc>
          <w:tcPr>
            <w:tcW w:w="285" w:type="dxa"/>
            <w:tcBorders>
              <w:top w:val="nil"/>
              <w:left w:val="nil"/>
              <w:bottom w:val="nil"/>
              <w:right w:val="nil"/>
            </w:tcBorders>
            <w:shd w:val="clear" w:color="auto" w:fill="auto"/>
            <w:noWrap/>
            <w:vAlign w:val="bottom"/>
            <w:hideMark/>
          </w:tcPr>
          <w:p w:rsidR="00D139EC" w:rsidRPr="005633D9" w:rsidRDefault="00D139EC" w:rsidP="00D139EC">
            <w:pPr>
              <w:spacing w:after="0"/>
              <w:rPr>
                <w:rFonts w:ascii="Calibri" w:hAnsi="Calibri"/>
                <w:color w:val="000000"/>
                <w:lang w:val="en-GB"/>
              </w:rPr>
            </w:pPr>
          </w:p>
        </w:tc>
        <w:tc>
          <w:tcPr>
            <w:tcW w:w="255" w:type="dxa"/>
            <w:tcBorders>
              <w:top w:val="nil"/>
              <w:left w:val="nil"/>
              <w:bottom w:val="nil"/>
              <w:right w:val="nil"/>
            </w:tcBorders>
            <w:shd w:val="clear" w:color="auto" w:fill="auto"/>
            <w:noWrap/>
            <w:vAlign w:val="center"/>
            <w:hideMark/>
          </w:tcPr>
          <w:p w:rsidR="00D139EC" w:rsidRPr="005633D9" w:rsidRDefault="00D139EC" w:rsidP="00D139EC">
            <w:pPr>
              <w:spacing w:after="0"/>
              <w:rPr>
                <w:rFonts w:ascii="Calibri" w:hAnsi="Calibri"/>
                <w:color w:val="000000"/>
                <w:lang w:val="en-GB"/>
              </w:rPr>
            </w:pPr>
          </w:p>
        </w:tc>
        <w:tc>
          <w:tcPr>
            <w:tcW w:w="8211" w:type="dxa"/>
            <w:tcBorders>
              <w:top w:val="nil"/>
              <w:left w:val="nil"/>
              <w:bottom w:val="nil"/>
              <w:right w:val="nil"/>
            </w:tcBorders>
            <w:shd w:val="clear" w:color="auto" w:fill="auto"/>
            <w:noWrap/>
            <w:vAlign w:val="bottom"/>
            <w:hideMark/>
          </w:tcPr>
          <w:p w:rsidR="00D139EC" w:rsidRPr="005633D9" w:rsidRDefault="00D139EC" w:rsidP="00D139EC">
            <w:pPr>
              <w:pStyle w:val="Bullet2"/>
              <w:rPr>
                <w:lang w:val="en-GB"/>
              </w:rPr>
            </w:pPr>
            <w:r w:rsidRPr="005633D9">
              <w:rPr>
                <w:lang w:val="en-GB"/>
              </w:rPr>
              <w:t xml:space="preserve">How would you characterize those farmers in terms of their scale of operations, commercial orientation, </w:t>
            </w:r>
            <w:r w:rsidR="00E92BB7" w:rsidRPr="005633D9">
              <w:rPr>
                <w:lang w:val="en-GB"/>
              </w:rPr>
              <w:t>organisation</w:t>
            </w:r>
            <w:r w:rsidRPr="005633D9">
              <w:rPr>
                <w:lang w:val="en-GB"/>
              </w:rPr>
              <w:t xml:space="preserve"> affiliation, or otherwise?</w:t>
            </w:r>
          </w:p>
        </w:tc>
      </w:tr>
    </w:tbl>
    <w:p w:rsidR="00D139EC" w:rsidRPr="005633D9" w:rsidRDefault="00D139EC" w:rsidP="00D139EC">
      <w:pPr>
        <w:rPr>
          <w:lang w:val="en-GB"/>
        </w:rPr>
      </w:pPr>
    </w:p>
    <w:p w:rsidR="00D139EC" w:rsidRPr="005633D9" w:rsidRDefault="00D139EC" w:rsidP="00D139EC">
      <w:pPr>
        <w:rPr>
          <w:lang w:val="en-GB"/>
        </w:rPr>
      </w:pPr>
      <w:r w:rsidRPr="005633D9">
        <w:rPr>
          <w:lang w:val="en-GB"/>
        </w:rPr>
        <w:br w:type="page"/>
      </w:r>
    </w:p>
    <w:p w:rsidR="00D139EC" w:rsidRPr="005633D9" w:rsidRDefault="00D139EC" w:rsidP="00F04A96">
      <w:pPr>
        <w:pStyle w:val="Heading2"/>
        <w:numPr>
          <w:ilvl w:val="0"/>
          <w:numId w:val="0"/>
        </w:numPr>
        <w:ind w:left="720" w:hanging="720"/>
        <w:rPr>
          <w:lang w:val="en-GB"/>
        </w:rPr>
      </w:pPr>
      <w:bookmarkStart w:id="85" w:name="_Toc375336144"/>
      <w:bookmarkStart w:id="86" w:name="_Toc407700429"/>
      <w:r w:rsidRPr="005633D9">
        <w:rPr>
          <w:lang w:val="en-GB"/>
        </w:rPr>
        <w:lastRenderedPageBreak/>
        <w:t>Agro-input dealer questionnaire</w:t>
      </w:r>
      <w:bookmarkEnd w:id="85"/>
      <w:bookmarkEnd w:id="86"/>
    </w:p>
    <w:p w:rsidR="00D139EC" w:rsidRPr="005633D9" w:rsidRDefault="00D139EC" w:rsidP="00D139EC">
      <w:pPr>
        <w:rPr>
          <w:lang w:val="en-GB"/>
        </w:rPr>
      </w:pPr>
    </w:p>
    <w:tbl>
      <w:tblPr>
        <w:tblW w:w="9905" w:type="dxa"/>
        <w:tblInd w:w="93" w:type="dxa"/>
        <w:tblLook w:val="04A0" w:firstRow="1" w:lastRow="0" w:firstColumn="1" w:lastColumn="0" w:noHBand="0" w:noVBand="1"/>
      </w:tblPr>
      <w:tblGrid>
        <w:gridCol w:w="8385"/>
        <w:gridCol w:w="760"/>
        <w:gridCol w:w="760"/>
      </w:tblGrid>
      <w:tr w:rsidR="00D139EC" w:rsidRPr="005633D9" w:rsidTr="00D139EC">
        <w:trPr>
          <w:trHeight w:val="300"/>
        </w:trPr>
        <w:tc>
          <w:tcPr>
            <w:tcW w:w="8385" w:type="dxa"/>
            <w:tcBorders>
              <w:top w:val="nil"/>
              <w:left w:val="nil"/>
              <w:bottom w:val="nil"/>
              <w:right w:val="nil"/>
            </w:tcBorders>
            <w:shd w:val="clear" w:color="auto" w:fill="auto"/>
            <w:noWrap/>
            <w:vAlign w:val="center"/>
            <w:hideMark/>
          </w:tcPr>
          <w:p w:rsidR="00D139EC" w:rsidRPr="005633D9" w:rsidRDefault="00D139EC" w:rsidP="00D139EC">
            <w:pPr>
              <w:spacing w:after="0"/>
              <w:rPr>
                <w:rFonts w:ascii="Calibri" w:hAnsi="Calibri"/>
                <w:b/>
                <w:bCs/>
                <w:color w:val="000000"/>
                <w:lang w:val="en-GB"/>
              </w:rPr>
            </w:pPr>
            <w:r w:rsidRPr="005633D9">
              <w:rPr>
                <w:rFonts w:ascii="Calibri" w:hAnsi="Calibri"/>
                <w:b/>
                <w:bCs/>
                <w:color w:val="000000"/>
                <w:lang w:val="en-GB"/>
              </w:rPr>
              <w:t>Identifying</w:t>
            </w:r>
            <w:r w:rsidR="00243735" w:rsidRPr="005633D9">
              <w:rPr>
                <w:rFonts w:ascii="Calibri" w:hAnsi="Calibri"/>
                <w:b/>
                <w:bCs/>
                <w:color w:val="000000"/>
                <w:lang w:val="en-GB"/>
              </w:rPr>
              <w:t xml:space="preserve"> </w:t>
            </w:r>
            <w:r w:rsidRPr="005633D9">
              <w:rPr>
                <w:rFonts w:ascii="Calibri" w:hAnsi="Calibri"/>
                <w:b/>
                <w:bCs/>
                <w:color w:val="000000"/>
                <w:lang w:val="en-GB"/>
              </w:rPr>
              <w:t>information</w:t>
            </w:r>
          </w:p>
        </w:tc>
        <w:tc>
          <w:tcPr>
            <w:tcW w:w="760" w:type="dxa"/>
            <w:tcBorders>
              <w:top w:val="nil"/>
              <w:left w:val="nil"/>
              <w:bottom w:val="nil"/>
              <w:right w:val="nil"/>
            </w:tcBorders>
            <w:shd w:val="clear" w:color="auto" w:fill="auto"/>
            <w:noWrap/>
            <w:vAlign w:val="bottom"/>
            <w:hideMark/>
          </w:tcPr>
          <w:p w:rsidR="00D139EC" w:rsidRPr="005633D9" w:rsidRDefault="00D139EC" w:rsidP="00D139EC">
            <w:pPr>
              <w:spacing w:after="0"/>
              <w:rPr>
                <w:rFonts w:ascii="Calibri" w:hAnsi="Calibri"/>
                <w:color w:val="000000"/>
                <w:lang w:val="en-GB"/>
              </w:rPr>
            </w:pPr>
          </w:p>
        </w:tc>
        <w:tc>
          <w:tcPr>
            <w:tcW w:w="760" w:type="dxa"/>
            <w:tcBorders>
              <w:top w:val="nil"/>
              <w:left w:val="nil"/>
              <w:bottom w:val="nil"/>
              <w:right w:val="nil"/>
            </w:tcBorders>
            <w:shd w:val="clear" w:color="auto" w:fill="auto"/>
            <w:noWrap/>
            <w:vAlign w:val="bottom"/>
            <w:hideMark/>
          </w:tcPr>
          <w:p w:rsidR="00D139EC" w:rsidRPr="005633D9" w:rsidRDefault="00D139EC" w:rsidP="00D139EC">
            <w:pPr>
              <w:spacing w:after="0"/>
              <w:rPr>
                <w:rFonts w:ascii="Calibri" w:hAnsi="Calibri"/>
                <w:color w:val="000000"/>
                <w:lang w:val="en-GB"/>
              </w:rPr>
            </w:pPr>
          </w:p>
        </w:tc>
      </w:tr>
      <w:tr w:rsidR="00D139EC" w:rsidRPr="005633D9" w:rsidTr="00D139EC">
        <w:trPr>
          <w:trHeight w:val="300"/>
        </w:trPr>
        <w:tc>
          <w:tcPr>
            <w:tcW w:w="8385" w:type="dxa"/>
            <w:tcBorders>
              <w:top w:val="nil"/>
              <w:left w:val="nil"/>
              <w:bottom w:val="nil"/>
              <w:right w:val="nil"/>
            </w:tcBorders>
            <w:shd w:val="clear" w:color="auto" w:fill="auto"/>
            <w:noWrap/>
            <w:vAlign w:val="center"/>
            <w:hideMark/>
          </w:tcPr>
          <w:p w:rsidR="00D139EC" w:rsidRPr="005633D9" w:rsidRDefault="00D139EC" w:rsidP="00D139EC">
            <w:pPr>
              <w:pStyle w:val="Bullets"/>
              <w:spacing w:after="0"/>
            </w:pPr>
            <w:r w:rsidRPr="005633D9">
              <w:t>Firm name</w:t>
            </w:r>
          </w:p>
        </w:tc>
        <w:tc>
          <w:tcPr>
            <w:tcW w:w="760" w:type="dxa"/>
            <w:tcBorders>
              <w:top w:val="nil"/>
              <w:left w:val="nil"/>
              <w:bottom w:val="nil"/>
              <w:right w:val="nil"/>
            </w:tcBorders>
            <w:shd w:val="clear" w:color="auto" w:fill="auto"/>
            <w:noWrap/>
            <w:vAlign w:val="bottom"/>
            <w:hideMark/>
          </w:tcPr>
          <w:p w:rsidR="00D139EC" w:rsidRPr="005633D9" w:rsidRDefault="00D139EC" w:rsidP="00D139EC">
            <w:pPr>
              <w:spacing w:after="0"/>
              <w:rPr>
                <w:rFonts w:ascii="Calibri" w:hAnsi="Calibri"/>
                <w:color w:val="000000"/>
                <w:lang w:val="en-GB"/>
              </w:rPr>
            </w:pPr>
          </w:p>
        </w:tc>
        <w:tc>
          <w:tcPr>
            <w:tcW w:w="760" w:type="dxa"/>
            <w:tcBorders>
              <w:top w:val="nil"/>
              <w:left w:val="nil"/>
              <w:bottom w:val="nil"/>
              <w:right w:val="nil"/>
            </w:tcBorders>
            <w:shd w:val="clear" w:color="auto" w:fill="auto"/>
            <w:noWrap/>
            <w:vAlign w:val="bottom"/>
            <w:hideMark/>
          </w:tcPr>
          <w:p w:rsidR="00D139EC" w:rsidRPr="005633D9" w:rsidRDefault="00D139EC" w:rsidP="00D139EC">
            <w:pPr>
              <w:spacing w:after="0"/>
              <w:rPr>
                <w:rFonts w:ascii="Calibri" w:hAnsi="Calibri"/>
                <w:color w:val="000000"/>
                <w:lang w:val="en-GB"/>
              </w:rPr>
            </w:pPr>
          </w:p>
        </w:tc>
      </w:tr>
      <w:tr w:rsidR="00D139EC" w:rsidRPr="005633D9" w:rsidTr="00D139EC">
        <w:trPr>
          <w:trHeight w:val="300"/>
        </w:trPr>
        <w:tc>
          <w:tcPr>
            <w:tcW w:w="8385" w:type="dxa"/>
            <w:tcBorders>
              <w:top w:val="nil"/>
              <w:left w:val="nil"/>
              <w:bottom w:val="nil"/>
              <w:right w:val="nil"/>
            </w:tcBorders>
            <w:shd w:val="clear" w:color="auto" w:fill="auto"/>
            <w:noWrap/>
            <w:vAlign w:val="center"/>
            <w:hideMark/>
          </w:tcPr>
          <w:p w:rsidR="00D139EC" w:rsidRPr="005633D9" w:rsidRDefault="00D139EC" w:rsidP="00D139EC">
            <w:pPr>
              <w:pStyle w:val="Bullets"/>
              <w:spacing w:after="0"/>
            </w:pPr>
            <w:r w:rsidRPr="005633D9">
              <w:t>Firm location</w:t>
            </w:r>
          </w:p>
        </w:tc>
        <w:tc>
          <w:tcPr>
            <w:tcW w:w="760" w:type="dxa"/>
            <w:tcBorders>
              <w:top w:val="nil"/>
              <w:left w:val="nil"/>
              <w:bottom w:val="nil"/>
              <w:right w:val="nil"/>
            </w:tcBorders>
            <w:shd w:val="clear" w:color="auto" w:fill="auto"/>
            <w:noWrap/>
            <w:vAlign w:val="bottom"/>
            <w:hideMark/>
          </w:tcPr>
          <w:p w:rsidR="00D139EC" w:rsidRPr="005633D9" w:rsidRDefault="00D139EC" w:rsidP="00D139EC">
            <w:pPr>
              <w:spacing w:after="0"/>
              <w:rPr>
                <w:rFonts w:ascii="Calibri" w:hAnsi="Calibri"/>
                <w:color w:val="000000"/>
                <w:lang w:val="en-GB"/>
              </w:rPr>
            </w:pPr>
          </w:p>
        </w:tc>
        <w:tc>
          <w:tcPr>
            <w:tcW w:w="760" w:type="dxa"/>
            <w:tcBorders>
              <w:top w:val="nil"/>
              <w:left w:val="nil"/>
              <w:bottom w:val="nil"/>
              <w:right w:val="nil"/>
            </w:tcBorders>
            <w:shd w:val="clear" w:color="auto" w:fill="auto"/>
            <w:noWrap/>
            <w:vAlign w:val="bottom"/>
            <w:hideMark/>
          </w:tcPr>
          <w:p w:rsidR="00D139EC" w:rsidRPr="005633D9" w:rsidRDefault="00D139EC" w:rsidP="00D139EC">
            <w:pPr>
              <w:spacing w:after="0"/>
              <w:rPr>
                <w:rFonts w:ascii="Calibri" w:hAnsi="Calibri"/>
                <w:color w:val="000000"/>
                <w:lang w:val="en-GB"/>
              </w:rPr>
            </w:pPr>
          </w:p>
        </w:tc>
      </w:tr>
      <w:tr w:rsidR="00D139EC" w:rsidRPr="005633D9" w:rsidTr="00D139EC">
        <w:trPr>
          <w:trHeight w:val="300"/>
        </w:trPr>
        <w:tc>
          <w:tcPr>
            <w:tcW w:w="8385" w:type="dxa"/>
            <w:tcBorders>
              <w:top w:val="nil"/>
              <w:left w:val="nil"/>
              <w:bottom w:val="nil"/>
              <w:right w:val="nil"/>
            </w:tcBorders>
            <w:shd w:val="clear" w:color="auto" w:fill="auto"/>
            <w:noWrap/>
            <w:vAlign w:val="center"/>
            <w:hideMark/>
          </w:tcPr>
          <w:p w:rsidR="00D139EC" w:rsidRPr="005633D9" w:rsidRDefault="00D139EC" w:rsidP="00D139EC">
            <w:pPr>
              <w:pStyle w:val="Bullets"/>
              <w:spacing w:after="0"/>
            </w:pPr>
            <w:r w:rsidRPr="005633D9">
              <w:t>Interviewee name</w:t>
            </w:r>
          </w:p>
        </w:tc>
        <w:tc>
          <w:tcPr>
            <w:tcW w:w="760" w:type="dxa"/>
            <w:tcBorders>
              <w:top w:val="nil"/>
              <w:left w:val="nil"/>
              <w:bottom w:val="nil"/>
              <w:right w:val="nil"/>
            </w:tcBorders>
            <w:shd w:val="clear" w:color="auto" w:fill="auto"/>
            <w:noWrap/>
            <w:vAlign w:val="bottom"/>
            <w:hideMark/>
          </w:tcPr>
          <w:p w:rsidR="00D139EC" w:rsidRPr="005633D9" w:rsidRDefault="00D139EC" w:rsidP="00D139EC">
            <w:pPr>
              <w:spacing w:after="0"/>
              <w:rPr>
                <w:rFonts w:ascii="Calibri" w:hAnsi="Calibri"/>
                <w:color w:val="000000"/>
                <w:lang w:val="en-GB"/>
              </w:rPr>
            </w:pPr>
          </w:p>
        </w:tc>
        <w:tc>
          <w:tcPr>
            <w:tcW w:w="760" w:type="dxa"/>
            <w:tcBorders>
              <w:top w:val="nil"/>
              <w:left w:val="nil"/>
              <w:bottom w:val="nil"/>
              <w:right w:val="nil"/>
            </w:tcBorders>
            <w:shd w:val="clear" w:color="auto" w:fill="auto"/>
            <w:noWrap/>
            <w:vAlign w:val="bottom"/>
            <w:hideMark/>
          </w:tcPr>
          <w:p w:rsidR="00D139EC" w:rsidRPr="005633D9" w:rsidRDefault="00D139EC" w:rsidP="00D139EC">
            <w:pPr>
              <w:spacing w:after="0"/>
              <w:rPr>
                <w:rFonts w:ascii="Calibri" w:hAnsi="Calibri"/>
                <w:color w:val="000000"/>
                <w:lang w:val="en-GB"/>
              </w:rPr>
            </w:pPr>
          </w:p>
        </w:tc>
      </w:tr>
      <w:tr w:rsidR="00D139EC" w:rsidRPr="005633D9" w:rsidTr="00D139EC">
        <w:trPr>
          <w:trHeight w:val="300"/>
        </w:trPr>
        <w:tc>
          <w:tcPr>
            <w:tcW w:w="8385" w:type="dxa"/>
            <w:tcBorders>
              <w:top w:val="nil"/>
              <w:left w:val="nil"/>
              <w:bottom w:val="nil"/>
              <w:right w:val="nil"/>
            </w:tcBorders>
            <w:shd w:val="clear" w:color="auto" w:fill="auto"/>
            <w:noWrap/>
            <w:vAlign w:val="center"/>
            <w:hideMark/>
          </w:tcPr>
          <w:p w:rsidR="00D139EC" w:rsidRPr="005633D9" w:rsidRDefault="00D139EC" w:rsidP="00D139EC">
            <w:pPr>
              <w:pStyle w:val="Bullets"/>
              <w:spacing w:after="0"/>
            </w:pPr>
            <w:r w:rsidRPr="005633D9">
              <w:t>Interviewee position</w:t>
            </w:r>
          </w:p>
        </w:tc>
        <w:tc>
          <w:tcPr>
            <w:tcW w:w="760" w:type="dxa"/>
            <w:tcBorders>
              <w:top w:val="nil"/>
              <w:left w:val="nil"/>
              <w:bottom w:val="nil"/>
              <w:right w:val="nil"/>
            </w:tcBorders>
            <w:shd w:val="clear" w:color="auto" w:fill="auto"/>
            <w:noWrap/>
            <w:vAlign w:val="bottom"/>
            <w:hideMark/>
          </w:tcPr>
          <w:p w:rsidR="00D139EC" w:rsidRPr="005633D9" w:rsidRDefault="00D139EC" w:rsidP="00D139EC">
            <w:pPr>
              <w:spacing w:after="0"/>
              <w:rPr>
                <w:rFonts w:ascii="Calibri" w:hAnsi="Calibri"/>
                <w:color w:val="000000"/>
                <w:lang w:val="en-GB"/>
              </w:rPr>
            </w:pPr>
          </w:p>
        </w:tc>
        <w:tc>
          <w:tcPr>
            <w:tcW w:w="760" w:type="dxa"/>
            <w:tcBorders>
              <w:top w:val="nil"/>
              <w:left w:val="nil"/>
              <w:bottom w:val="nil"/>
              <w:right w:val="nil"/>
            </w:tcBorders>
            <w:shd w:val="clear" w:color="auto" w:fill="auto"/>
            <w:noWrap/>
            <w:vAlign w:val="bottom"/>
            <w:hideMark/>
          </w:tcPr>
          <w:p w:rsidR="00D139EC" w:rsidRPr="005633D9" w:rsidRDefault="00D139EC" w:rsidP="00D139EC">
            <w:pPr>
              <w:spacing w:after="0"/>
              <w:rPr>
                <w:rFonts w:ascii="Calibri" w:hAnsi="Calibri"/>
                <w:color w:val="000000"/>
                <w:lang w:val="en-GB"/>
              </w:rPr>
            </w:pPr>
          </w:p>
        </w:tc>
      </w:tr>
      <w:tr w:rsidR="00D139EC" w:rsidRPr="005633D9" w:rsidTr="00D139EC">
        <w:trPr>
          <w:trHeight w:val="300"/>
        </w:trPr>
        <w:tc>
          <w:tcPr>
            <w:tcW w:w="8385" w:type="dxa"/>
            <w:tcBorders>
              <w:top w:val="nil"/>
              <w:left w:val="nil"/>
              <w:bottom w:val="nil"/>
              <w:right w:val="nil"/>
            </w:tcBorders>
            <w:shd w:val="clear" w:color="auto" w:fill="auto"/>
            <w:noWrap/>
            <w:vAlign w:val="center"/>
            <w:hideMark/>
          </w:tcPr>
          <w:p w:rsidR="00D139EC" w:rsidRPr="005633D9" w:rsidRDefault="00D139EC" w:rsidP="00D139EC">
            <w:pPr>
              <w:pStyle w:val="Bullets"/>
              <w:spacing w:after="0"/>
            </w:pPr>
            <w:r w:rsidRPr="005633D9">
              <w:t>Contact info</w:t>
            </w:r>
            <w:r w:rsidR="00325887" w:rsidRPr="005633D9">
              <w:t>rmation</w:t>
            </w:r>
          </w:p>
        </w:tc>
        <w:tc>
          <w:tcPr>
            <w:tcW w:w="760" w:type="dxa"/>
            <w:tcBorders>
              <w:top w:val="nil"/>
              <w:left w:val="nil"/>
              <w:bottom w:val="nil"/>
              <w:right w:val="nil"/>
            </w:tcBorders>
            <w:shd w:val="clear" w:color="auto" w:fill="auto"/>
            <w:noWrap/>
            <w:vAlign w:val="bottom"/>
            <w:hideMark/>
          </w:tcPr>
          <w:p w:rsidR="00D139EC" w:rsidRPr="005633D9" w:rsidRDefault="00D139EC" w:rsidP="00D139EC">
            <w:pPr>
              <w:spacing w:after="0"/>
              <w:rPr>
                <w:rFonts w:ascii="Calibri" w:hAnsi="Calibri"/>
                <w:color w:val="000000"/>
                <w:lang w:val="en-GB"/>
              </w:rPr>
            </w:pPr>
          </w:p>
        </w:tc>
        <w:tc>
          <w:tcPr>
            <w:tcW w:w="760" w:type="dxa"/>
            <w:tcBorders>
              <w:top w:val="nil"/>
              <w:left w:val="nil"/>
              <w:bottom w:val="nil"/>
              <w:right w:val="nil"/>
            </w:tcBorders>
            <w:shd w:val="clear" w:color="auto" w:fill="auto"/>
            <w:noWrap/>
            <w:vAlign w:val="bottom"/>
            <w:hideMark/>
          </w:tcPr>
          <w:p w:rsidR="00D139EC" w:rsidRPr="005633D9" w:rsidRDefault="00D139EC" w:rsidP="00D139EC">
            <w:pPr>
              <w:spacing w:after="0"/>
              <w:rPr>
                <w:rFonts w:ascii="Calibri" w:hAnsi="Calibri"/>
                <w:color w:val="000000"/>
                <w:lang w:val="en-GB"/>
              </w:rPr>
            </w:pPr>
          </w:p>
        </w:tc>
      </w:tr>
    </w:tbl>
    <w:p w:rsidR="00D139EC" w:rsidRPr="005633D9" w:rsidRDefault="00D139EC" w:rsidP="00D139EC">
      <w:pPr>
        <w:rPr>
          <w:b/>
          <w:lang w:val="en-GB"/>
        </w:rPr>
      </w:pPr>
    </w:p>
    <w:p w:rsidR="00D139EC" w:rsidRPr="005633D9" w:rsidRDefault="00D139EC" w:rsidP="00D139EC">
      <w:pPr>
        <w:rPr>
          <w:b/>
          <w:lang w:val="en-GB"/>
        </w:rPr>
      </w:pPr>
      <w:r w:rsidRPr="005633D9">
        <w:rPr>
          <w:b/>
          <w:lang w:val="en-GB"/>
        </w:rPr>
        <w:t xml:space="preserve">Brief characterization of firm </w:t>
      </w:r>
    </w:p>
    <w:p w:rsidR="00D139EC" w:rsidRPr="005633D9" w:rsidRDefault="00D139EC" w:rsidP="00D139EC">
      <w:pPr>
        <w:pStyle w:val="Bullets"/>
      </w:pPr>
      <w:r w:rsidRPr="005633D9">
        <w:t>Product/service offerings</w:t>
      </w:r>
    </w:p>
    <w:p w:rsidR="00D139EC" w:rsidRPr="005633D9" w:rsidRDefault="00D139EC" w:rsidP="00D139EC">
      <w:pPr>
        <w:pStyle w:val="Bullets"/>
      </w:pPr>
      <w:r w:rsidRPr="005633D9">
        <w:t>Are they authorized dealer of branded products?</w:t>
      </w:r>
    </w:p>
    <w:p w:rsidR="00D139EC" w:rsidRPr="005633D9" w:rsidRDefault="00D139EC" w:rsidP="00D139EC">
      <w:pPr>
        <w:pStyle w:val="Bullets"/>
      </w:pPr>
      <w:r w:rsidRPr="005633D9">
        <w:t>Do they buy direct from input manufacturers/authorized distributors or from intermediaries?</w:t>
      </w:r>
    </w:p>
    <w:p w:rsidR="00D139EC" w:rsidRPr="005633D9" w:rsidRDefault="00D139EC" w:rsidP="00D139EC">
      <w:pPr>
        <w:pStyle w:val="Bullets"/>
      </w:pPr>
      <w:r w:rsidRPr="005633D9">
        <w:t>Do they have any government or NGO training or certification?</w:t>
      </w:r>
    </w:p>
    <w:p w:rsidR="00D139EC" w:rsidRPr="005633D9" w:rsidRDefault="00D139EC" w:rsidP="00D139EC">
      <w:pPr>
        <w:pStyle w:val="Bullets"/>
      </w:pPr>
      <w:r w:rsidRPr="005633D9">
        <w:t>Size of firm (number of full-time employees)</w:t>
      </w:r>
    </w:p>
    <w:p w:rsidR="00D139EC" w:rsidRPr="005633D9" w:rsidRDefault="00D139EC" w:rsidP="00D139EC">
      <w:pPr>
        <w:pStyle w:val="Bullets"/>
      </w:pPr>
      <w:r w:rsidRPr="005633D9">
        <w:t>Is firm part of a chain or franchise? How many stores?</w:t>
      </w:r>
    </w:p>
    <w:tbl>
      <w:tblPr>
        <w:tblW w:w="5000" w:type="pct"/>
        <w:tblInd w:w="93" w:type="dxa"/>
        <w:tblLook w:val="04A0" w:firstRow="1" w:lastRow="0" w:firstColumn="1" w:lastColumn="0" w:noHBand="0" w:noVBand="1"/>
      </w:tblPr>
      <w:tblGrid>
        <w:gridCol w:w="285"/>
        <w:gridCol w:w="75"/>
        <w:gridCol w:w="7851"/>
        <w:gridCol w:w="360"/>
        <w:gridCol w:w="552"/>
        <w:gridCol w:w="21188"/>
      </w:tblGrid>
      <w:tr w:rsidR="00D139EC" w:rsidRPr="005633D9" w:rsidTr="0041245B">
        <w:trPr>
          <w:trHeight w:val="300"/>
        </w:trPr>
        <w:tc>
          <w:tcPr>
            <w:tcW w:w="30311" w:type="dxa"/>
            <w:gridSpan w:val="6"/>
            <w:tcBorders>
              <w:top w:val="nil"/>
              <w:left w:val="nil"/>
              <w:bottom w:val="nil"/>
              <w:right w:val="nil"/>
            </w:tcBorders>
            <w:shd w:val="clear" w:color="auto" w:fill="auto"/>
            <w:noWrap/>
            <w:vAlign w:val="center"/>
            <w:hideMark/>
          </w:tcPr>
          <w:p w:rsidR="00D139EC" w:rsidRPr="005633D9" w:rsidRDefault="00D139EC" w:rsidP="00D139EC">
            <w:pPr>
              <w:spacing w:after="0"/>
              <w:rPr>
                <w:rFonts w:ascii="Calibri" w:hAnsi="Calibri" w:cstheme="minorHAnsi"/>
                <w:b/>
                <w:color w:val="000000"/>
                <w:lang w:val="en-GB"/>
              </w:rPr>
            </w:pPr>
            <w:r w:rsidRPr="005633D9">
              <w:rPr>
                <w:rFonts w:ascii="Calibri" w:hAnsi="Calibri" w:cstheme="minorHAnsi"/>
                <w:b/>
                <w:color w:val="000000"/>
                <w:lang w:val="en-GB"/>
              </w:rPr>
              <w:t>Aflatoxins and Aflasafe</w:t>
            </w:r>
          </w:p>
          <w:p w:rsidR="00D139EC" w:rsidRPr="005633D9" w:rsidRDefault="00D139EC" w:rsidP="00D139EC">
            <w:pPr>
              <w:spacing w:after="0"/>
              <w:rPr>
                <w:rFonts w:ascii="Calibri" w:hAnsi="Calibri" w:cstheme="minorHAnsi"/>
                <w:b/>
                <w:color w:val="000000"/>
                <w:lang w:val="en-GB"/>
              </w:rPr>
            </w:pPr>
          </w:p>
          <w:p w:rsidR="00D139EC" w:rsidRPr="005633D9" w:rsidRDefault="00D139EC" w:rsidP="00D139EC">
            <w:pPr>
              <w:pStyle w:val="Bullets"/>
            </w:pPr>
            <w:r w:rsidRPr="005633D9">
              <w:t xml:space="preserve">Are you familiar with aflatoxins as an issue affecting maize markets in Nigeria? </w:t>
            </w:r>
          </w:p>
          <w:p w:rsidR="00D139EC" w:rsidRPr="005633D9" w:rsidRDefault="00D139EC" w:rsidP="00D139EC">
            <w:pPr>
              <w:pStyle w:val="Bullets"/>
              <w:spacing w:after="0"/>
            </w:pPr>
            <w:r w:rsidRPr="005633D9">
              <w:t>If so, please characterize your understanding of the issue.</w:t>
            </w:r>
          </w:p>
        </w:tc>
      </w:tr>
      <w:tr w:rsidR="00D139EC" w:rsidRPr="005633D9" w:rsidTr="0041245B">
        <w:trPr>
          <w:trHeight w:val="300"/>
        </w:trPr>
        <w:tc>
          <w:tcPr>
            <w:tcW w:w="30311" w:type="dxa"/>
            <w:gridSpan w:val="6"/>
            <w:tcBorders>
              <w:top w:val="nil"/>
              <w:left w:val="nil"/>
              <w:bottom w:val="nil"/>
              <w:right w:val="nil"/>
            </w:tcBorders>
            <w:shd w:val="clear" w:color="auto" w:fill="auto"/>
            <w:noWrap/>
            <w:vAlign w:val="center"/>
            <w:hideMark/>
          </w:tcPr>
          <w:p w:rsidR="00D139EC" w:rsidRPr="005633D9" w:rsidRDefault="00D139EC" w:rsidP="00D139EC">
            <w:pPr>
              <w:pStyle w:val="Bullets"/>
            </w:pPr>
            <w:r w:rsidRPr="005633D9">
              <w:t xml:space="preserve">Have you ever heard of Aflasafe, a biological agent applied to maize fields during </w:t>
            </w:r>
          </w:p>
          <w:p w:rsidR="00D139EC" w:rsidRPr="005633D9" w:rsidRDefault="00D139EC" w:rsidP="00D139EC">
            <w:pPr>
              <w:pStyle w:val="Bullets"/>
              <w:numPr>
                <w:ilvl w:val="0"/>
                <w:numId w:val="0"/>
              </w:numPr>
              <w:ind w:left="360"/>
            </w:pPr>
            <w:r w:rsidRPr="005633D9">
              <w:t>production that reduces aflatoxin levels?</w:t>
            </w:r>
          </w:p>
        </w:tc>
      </w:tr>
      <w:tr w:rsidR="00D139EC" w:rsidRPr="005633D9" w:rsidTr="0041245B">
        <w:trPr>
          <w:gridAfter w:val="1"/>
          <w:wAfter w:w="21188" w:type="dxa"/>
          <w:trHeight w:val="423"/>
        </w:trPr>
        <w:tc>
          <w:tcPr>
            <w:tcW w:w="285" w:type="dxa"/>
            <w:tcBorders>
              <w:top w:val="nil"/>
              <w:left w:val="nil"/>
              <w:bottom w:val="nil"/>
              <w:right w:val="nil"/>
            </w:tcBorders>
            <w:shd w:val="clear" w:color="auto" w:fill="auto"/>
            <w:noWrap/>
            <w:vAlign w:val="center"/>
            <w:hideMark/>
          </w:tcPr>
          <w:p w:rsidR="00D139EC" w:rsidRPr="005633D9" w:rsidRDefault="00D139EC" w:rsidP="00D139EC">
            <w:pPr>
              <w:spacing w:after="0"/>
              <w:ind w:firstLineChars="500" w:firstLine="1200"/>
              <w:rPr>
                <w:rFonts w:ascii="Calibri" w:hAnsi="Calibri"/>
                <w:color w:val="000000"/>
                <w:lang w:val="en-GB"/>
              </w:rPr>
            </w:pPr>
          </w:p>
        </w:tc>
        <w:tc>
          <w:tcPr>
            <w:tcW w:w="8838" w:type="dxa"/>
            <w:gridSpan w:val="4"/>
            <w:tcBorders>
              <w:top w:val="nil"/>
              <w:left w:val="nil"/>
              <w:bottom w:val="nil"/>
              <w:right w:val="nil"/>
            </w:tcBorders>
            <w:shd w:val="clear" w:color="auto" w:fill="auto"/>
            <w:noWrap/>
            <w:vAlign w:val="center"/>
            <w:hideMark/>
          </w:tcPr>
          <w:p w:rsidR="00D139EC" w:rsidRPr="005633D9" w:rsidRDefault="00D139EC" w:rsidP="00D139EC">
            <w:pPr>
              <w:pStyle w:val="Bullets"/>
            </w:pPr>
            <w:r w:rsidRPr="005633D9">
              <w:t>If yes, how did you hear about it?</w:t>
            </w:r>
          </w:p>
        </w:tc>
      </w:tr>
      <w:tr w:rsidR="00D139EC" w:rsidRPr="005633D9" w:rsidTr="0041245B">
        <w:trPr>
          <w:gridAfter w:val="2"/>
          <w:wAfter w:w="21740" w:type="dxa"/>
          <w:trHeight w:val="300"/>
        </w:trPr>
        <w:tc>
          <w:tcPr>
            <w:tcW w:w="8571" w:type="dxa"/>
            <w:gridSpan w:val="4"/>
            <w:tcBorders>
              <w:top w:val="nil"/>
              <w:left w:val="nil"/>
              <w:bottom w:val="nil"/>
              <w:right w:val="nil"/>
            </w:tcBorders>
            <w:shd w:val="clear" w:color="auto" w:fill="auto"/>
            <w:noWrap/>
            <w:vAlign w:val="center"/>
            <w:hideMark/>
          </w:tcPr>
          <w:p w:rsidR="00D139EC" w:rsidRPr="005633D9" w:rsidRDefault="00D139EC" w:rsidP="00D139EC">
            <w:pPr>
              <w:pStyle w:val="Bullet2"/>
              <w:tabs>
                <w:tab w:val="clear" w:pos="720"/>
                <w:tab w:val="num" w:pos="177"/>
              </w:tabs>
              <w:ind w:left="717" w:hanging="180"/>
              <w:rPr>
                <w:lang w:val="en-GB"/>
              </w:rPr>
            </w:pPr>
            <w:r w:rsidRPr="005633D9">
              <w:rPr>
                <w:lang w:val="en-GB"/>
              </w:rPr>
              <w:t>Have you ever had a farmer express interest in buying Aflasafe from you? Describe</w:t>
            </w:r>
          </w:p>
        </w:tc>
      </w:tr>
      <w:tr w:rsidR="00D139EC" w:rsidRPr="005633D9" w:rsidTr="0041245B">
        <w:trPr>
          <w:gridAfter w:val="2"/>
          <w:wAfter w:w="21740" w:type="dxa"/>
          <w:trHeight w:val="300"/>
        </w:trPr>
        <w:tc>
          <w:tcPr>
            <w:tcW w:w="8571" w:type="dxa"/>
            <w:gridSpan w:val="4"/>
            <w:tcBorders>
              <w:top w:val="nil"/>
              <w:left w:val="nil"/>
              <w:bottom w:val="nil"/>
              <w:right w:val="nil"/>
            </w:tcBorders>
            <w:shd w:val="clear" w:color="auto" w:fill="auto"/>
            <w:noWrap/>
            <w:vAlign w:val="center"/>
            <w:hideMark/>
          </w:tcPr>
          <w:p w:rsidR="00D139EC" w:rsidRPr="005633D9" w:rsidRDefault="00D139EC" w:rsidP="00D139EC">
            <w:pPr>
              <w:pStyle w:val="Bullet2"/>
              <w:tabs>
                <w:tab w:val="clear" w:pos="720"/>
                <w:tab w:val="num" w:pos="177"/>
              </w:tabs>
              <w:ind w:left="717" w:hanging="180"/>
              <w:rPr>
                <w:lang w:val="en-GB"/>
              </w:rPr>
            </w:pPr>
            <w:r w:rsidRPr="005633D9">
              <w:rPr>
                <w:lang w:val="en-GB"/>
              </w:rPr>
              <w:t xml:space="preserve">Have you ever had any firm or </w:t>
            </w:r>
            <w:r w:rsidR="00E92BB7" w:rsidRPr="005633D9">
              <w:rPr>
                <w:lang w:val="en-GB"/>
              </w:rPr>
              <w:t>organisation</w:t>
            </w:r>
            <w:r w:rsidRPr="005633D9">
              <w:rPr>
                <w:lang w:val="en-GB"/>
              </w:rPr>
              <w:t xml:space="preserve"> ask about your interest in carrying Aflasafe in your product stock?</w:t>
            </w:r>
          </w:p>
        </w:tc>
      </w:tr>
      <w:tr w:rsidR="00D139EC" w:rsidRPr="005633D9" w:rsidTr="0041245B">
        <w:trPr>
          <w:gridAfter w:val="2"/>
          <w:wAfter w:w="21740" w:type="dxa"/>
          <w:trHeight w:val="300"/>
        </w:trPr>
        <w:tc>
          <w:tcPr>
            <w:tcW w:w="8571" w:type="dxa"/>
            <w:gridSpan w:val="4"/>
            <w:tcBorders>
              <w:top w:val="nil"/>
              <w:left w:val="nil"/>
              <w:bottom w:val="nil"/>
              <w:right w:val="nil"/>
            </w:tcBorders>
            <w:shd w:val="clear" w:color="auto" w:fill="auto"/>
            <w:noWrap/>
            <w:vAlign w:val="center"/>
            <w:hideMark/>
          </w:tcPr>
          <w:p w:rsidR="00D139EC" w:rsidRPr="005633D9" w:rsidRDefault="00D139EC" w:rsidP="00D139EC">
            <w:pPr>
              <w:pStyle w:val="Bullet2"/>
              <w:tabs>
                <w:tab w:val="clear" w:pos="720"/>
                <w:tab w:val="num" w:pos="177"/>
              </w:tabs>
              <w:ind w:left="717" w:hanging="180"/>
              <w:rPr>
                <w:lang w:val="en-GB"/>
              </w:rPr>
            </w:pPr>
            <w:r w:rsidRPr="005633D9">
              <w:rPr>
                <w:lang w:val="en-GB"/>
              </w:rPr>
              <w:t>Have you ever carried, or do you currently carry, Aflasafe in your stock? If yes,</w:t>
            </w:r>
          </w:p>
        </w:tc>
      </w:tr>
      <w:tr w:rsidR="00D139EC" w:rsidRPr="005633D9" w:rsidTr="0041245B">
        <w:trPr>
          <w:gridAfter w:val="2"/>
          <w:wAfter w:w="21740" w:type="dxa"/>
          <w:trHeight w:val="300"/>
        </w:trPr>
        <w:tc>
          <w:tcPr>
            <w:tcW w:w="360" w:type="dxa"/>
            <w:gridSpan w:val="2"/>
            <w:tcBorders>
              <w:top w:val="nil"/>
              <w:left w:val="nil"/>
              <w:bottom w:val="nil"/>
              <w:right w:val="nil"/>
            </w:tcBorders>
            <w:shd w:val="clear" w:color="auto" w:fill="auto"/>
            <w:noWrap/>
            <w:vAlign w:val="center"/>
            <w:hideMark/>
          </w:tcPr>
          <w:p w:rsidR="00D139EC" w:rsidRPr="005633D9" w:rsidRDefault="00D139EC" w:rsidP="00D139EC">
            <w:pPr>
              <w:tabs>
                <w:tab w:val="num" w:pos="177"/>
              </w:tabs>
              <w:spacing w:after="0"/>
              <w:ind w:left="612" w:hanging="75"/>
              <w:rPr>
                <w:rFonts w:ascii="Calibri" w:hAnsi="Calibri"/>
                <w:color w:val="000000"/>
                <w:lang w:val="en-GB"/>
              </w:rPr>
            </w:pPr>
          </w:p>
        </w:tc>
        <w:tc>
          <w:tcPr>
            <w:tcW w:w="8211" w:type="dxa"/>
            <w:gridSpan w:val="2"/>
            <w:tcBorders>
              <w:top w:val="nil"/>
              <w:left w:val="nil"/>
              <w:bottom w:val="nil"/>
              <w:right w:val="nil"/>
            </w:tcBorders>
            <w:shd w:val="clear" w:color="auto" w:fill="auto"/>
            <w:noWrap/>
            <w:vAlign w:val="bottom"/>
            <w:hideMark/>
          </w:tcPr>
          <w:p w:rsidR="00D139EC" w:rsidRPr="005633D9" w:rsidRDefault="00D139EC" w:rsidP="00D139EC">
            <w:pPr>
              <w:pStyle w:val="Bullet2"/>
              <w:tabs>
                <w:tab w:val="clear" w:pos="720"/>
                <w:tab w:val="num" w:pos="357"/>
              </w:tabs>
              <w:ind w:hanging="543"/>
              <w:rPr>
                <w:lang w:val="en-GB"/>
              </w:rPr>
            </w:pPr>
            <w:r w:rsidRPr="005633D9">
              <w:rPr>
                <w:lang w:val="en-GB"/>
              </w:rPr>
              <w:t>When did you first carry it?</w:t>
            </w:r>
          </w:p>
        </w:tc>
      </w:tr>
      <w:tr w:rsidR="00D139EC" w:rsidRPr="005633D9" w:rsidTr="0041245B">
        <w:trPr>
          <w:gridAfter w:val="3"/>
          <w:wAfter w:w="22100" w:type="dxa"/>
          <w:trHeight w:val="300"/>
        </w:trPr>
        <w:tc>
          <w:tcPr>
            <w:tcW w:w="8211" w:type="dxa"/>
            <w:gridSpan w:val="3"/>
            <w:tcBorders>
              <w:top w:val="nil"/>
              <w:left w:val="nil"/>
              <w:bottom w:val="nil"/>
              <w:right w:val="nil"/>
            </w:tcBorders>
            <w:shd w:val="clear" w:color="auto" w:fill="auto"/>
            <w:noWrap/>
            <w:vAlign w:val="bottom"/>
            <w:hideMark/>
          </w:tcPr>
          <w:p w:rsidR="00D139EC" w:rsidRPr="005633D9" w:rsidRDefault="00D139EC" w:rsidP="00D139EC">
            <w:pPr>
              <w:pStyle w:val="Bullet2"/>
              <w:tabs>
                <w:tab w:val="clear" w:pos="720"/>
                <w:tab w:val="num" w:pos="177"/>
                <w:tab w:val="num" w:pos="342"/>
              </w:tabs>
              <w:ind w:left="612" w:hanging="75"/>
              <w:rPr>
                <w:lang w:val="en-GB"/>
              </w:rPr>
            </w:pPr>
            <w:r w:rsidRPr="005633D9">
              <w:rPr>
                <w:lang w:val="en-GB"/>
              </w:rPr>
              <w:t>Do you still carry it? (if no, why not)</w:t>
            </w:r>
          </w:p>
        </w:tc>
      </w:tr>
      <w:tr w:rsidR="00D139EC" w:rsidRPr="005633D9" w:rsidTr="0041245B">
        <w:trPr>
          <w:trHeight w:val="288"/>
        </w:trPr>
        <w:tc>
          <w:tcPr>
            <w:tcW w:w="30311" w:type="dxa"/>
            <w:gridSpan w:val="6"/>
            <w:tcBorders>
              <w:top w:val="nil"/>
              <w:left w:val="nil"/>
              <w:bottom w:val="nil"/>
              <w:right w:val="nil"/>
            </w:tcBorders>
            <w:shd w:val="clear" w:color="auto" w:fill="auto"/>
            <w:noWrap/>
            <w:vAlign w:val="bottom"/>
            <w:hideMark/>
          </w:tcPr>
          <w:p w:rsidR="00D139EC" w:rsidRPr="005633D9" w:rsidRDefault="00D139EC" w:rsidP="00D139EC">
            <w:pPr>
              <w:pStyle w:val="Bullets"/>
              <w:numPr>
                <w:ilvl w:val="0"/>
                <w:numId w:val="0"/>
              </w:numPr>
              <w:spacing w:after="0"/>
            </w:pPr>
          </w:p>
          <w:p w:rsidR="00D139EC" w:rsidRPr="005633D9" w:rsidRDefault="00D139EC" w:rsidP="00D139EC">
            <w:pPr>
              <w:pStyle w:val="Bullets"/>
              <w:spacing w:after="0"/>
              <w:ind w:left="267"/>
            </w:pPr>
            <w:r w:rsidRPr="005633D9">
              <w:t xml:space="preserve">Do you have any further comments or questions about the topics we have discussed? </w:t>
            </w:r>
          </w:p>
        </w:tc>
      </w:tr>
    </w:tbl>
    <w:p w:rsidR="00D139EC" w:rsidRPr="005633D9" w:rsidRDefault="00D139EC" w:rsidP="00D139EC">
      <w:pPr>
        <w:pStyle w:val="Bullets"/>
        <w:numPr>
          <w:ilvl w:val="0"/>
          <w:numId w:val="0"/>
        </w:numPr>
        <w:spacing w:after="0"/>
      </w:pPr>
    </w:p>
    <w:p w:rsidR="00D139EC" w:rsidRPr="005633D9" w:rsidRDefault="00D139EC" w:rsidP="00D139EC">
      <w:pPr>
        <w:pStyle w:val="Bullets"/>
        <w:spacing w:after="0"/>
      </w:pPr>
      <w:r w:rsidRPr="005633D9">
        <w:t>How do farmers who enter into pull mechanism for Aflasafe differ from other farmers</w:t>
      </w:r>
    </w:p>
    <w:p w:rsidR="00D139EC" w:rsidRPr="005633D9" w:rsidRDefault="00D139EC" w:rsidP="00D139EC">
      <w:pPr>
        <w:pStyle w:val="Bullets"/>
        <w:spacing w:after="0"/>
      </w:pPr>
      <w:r w:rsidRPr="005633D9">
        <w:t xml:space="preserve">What is your perception of the pull mechanism? Is the incentive provided to the right actor? </w:t>
      </w:r>
    </w:p>
    <w:p w:rsidR="00D139EC" w:rsidRPr="005633D9" w:rsidRDefault="00D139EC" w:rsidP="00D139EC">
      <w:pPr>
        <w:pStyle w:val="Bullet2"/>
        <w:rPr>
          <w:lang w:val="en-GB"/>
        </w:rPr>
      </w:pPr>
      <w:r w:rsidRPr="005633D9">
        <w:rPr>
          <w:lang w:val="en-GB"/>
        </w:rPr>
        <w:t>Why</w:t>
      </w:r>
      <w:r w:rsidR="00325887" w:rsidRPr="005633D9">
        <w:rPr>
          <w:lang w:val="en-GB"/>
        </w:rPr>
        <w:t>?</w:t>
      </w:r>
    </w:p>
    <w:p w:rsidR="00D139EC" w:rsidRPr="005633D9" w:rsidRDefault="00F71E0C" w:rsidP="0041245B">
      <w:pPr>
        <w:pStyle w:val="Heading1"/>
        <w:numPr>
          <w:ilvl w:val="0"/>
          <w:numId w:val="0"/>
        </w:numPr>
        <w:ind w:left="720" w:hanging="720"/>
        <w:rPr>
          <w:noProof w:val="0"/>
          <w:lang w:val="en-GB"/>
        </w:rPr>
      </w:pPr>
      <w:bookmarkStart w:id="87" w:name="_Toc407700430"/>
      <w:r w:rsidRPr="005633D9">
        <w:rPr>
          <w:rFonts w:eastAsiaTheme="majorEastAsia"/>
          <w:noProof w:val="0"/>
          <w:lang w:val="en-GB"/>
        </w:rPr>
        <w:lastRenderedPageBreak/>
        <w:t xml:space="preserve">Appendix </w:t>
      </w:r>
      <w:r w:rsidR="00D34D9B">
        <w:rPr>
          <w:rFonts w:eastAsiaTheme="majorEastAsia"/>
          <w:noProof w:val="0"/>
          <w:lang w:val="en-GB"/>
        </w:rPr>
        <w:t>C</w:t>
      </w:r>
      <w:r w:rsidRPr="005633D9">
        <w:rPr>
          <w:rFonts w:eastAsiaTheme="majorEastAsia"/>
          <w:noProof w:val="0"/>
          <w:lang w:val="en-GB"/>
        </w:rPr>
        <w:t xml:space="preserve">: </w:t>
      </w:r>
      <w:r w:rsidRPr="005633D9">
        <w:rPr>
          <w:noProof w:val="0"/>
          <w:lang w:val="en-GB"/>
        </w:rPr>
        <w:t xml:space="preserve">Quantitative </w:t>
      </w:r>
      <w:r w:rsidR="000A26AA" w:rsidRPr="005633D9">
        <w:rPr>
          <w:noProof w:val="0"/>
          <w:lang w:val="en-GB"/>
        </w:rPr>
        <w:t>survey instrument</w:t>
      </w:r>
      <w:bookmarkEnd w:id="87"/>
    </w:p>
    <w:p w:rsidR="00222BCF" w:rsidRPr="005633D9" w:rsidRDefault="00222BCF" w:rsidP="00222BCF">
      <w:pPr>
        <w:pStyle w:val="BodyText"/>
        <w:rPr>
          <w:rFonts w:eastAsiaTheme="majorEastAsia"/>
        </w:rPr>
      </w:pPr>
    </w:p>
    <w:p w:rsidR="00A71230" w:rsidRPr="005633D9" w:rsidRDefault="00A71230" w:rsidP="00A71230">
      <w:pPr>
        <w:pStyle w:val="Heading1"/>
        <w:numPr>
          <w:ilvl w:val="0"/>
          <w:numId w:val="0"/>
        </w:numPr>
        <w:ind w:left="720" w:hanging="720"/>
        <w:rPr>
          <w:noProof w:val="0"/>
          <w:lang w:val="en-GB"/>
        </w:rPr>
      </w:pPr>
      <w:bookmarkStart w:id="88" w:name="_Toc407700431"/>
      <w:r w:rsidRPr="005633D9">
        <w:rPr>
          <w:noProof w:val="0"/>
          <w:lang w:val="en-GB"/>
        </w:rPr>
        <w:lastRenderedPageBreak/>
        <w:t xml:space="preserve">Appendix </w:t>
      </w:r>
      <w:r w:rsidR="00492795" w:rsidRPr="005633D9">
        <w:rPr>
          <w:noProof w:val="0"/>
          <w:lang w:val="en-GB"/>
        </w:rPr>
        <w:t>D</w:t>
      </w:r>
      <w:r w:rsidRPr="005633D9">
        <w:rPr>
          <w:noProof w:val="0"/>
          <w:lang w:val="en-GB"/>
        </w:rPr>
        <w:t xml:space="preserve">: Power </w:t>
      </w:r>
      <w:r w:rsidR="000A26AA" w:rsidRPr="005633D9">
        <w:rPr>
          <w:noProof w:val="0"/>
          <w:lang w:val="en-GB"/>
        </w:rPr>
        <w:t>analysis assumptions</w:t>
      </w:r>
      <w:bookmarkEnd w:id="88"/>
    </w:p>
    <w:p w:rsidR="00A71230" w:rsidRPr="005633D9" w:rsidRDefault="00A71230" w:rsidP="00A71230">
      <w:pPr>
        <w:rPr>
          <w:lang w:val="en-GB"/>
        </w:rPr>
      </w:pPr>
    </w:p>
    <w:tbl>
      <w:tblPr>
        <w:tblStyle w:val="AbtFinal"/>
        <w:tblW w:w="0" w:type="auto"/>
        <w:tblLook w:val="04A0" w:firstRow="1" w:lastRow="0" w:firstColumn="1" w:lastColumn="0" w:noHBand="0" w:noVBand="1"/>
      </w:tblPr>
      <w:tblGrid>
        <w:gridCol w:w="2559"/>
        <w:gridCol w:w="2963"/>
        <w:gridCol w:w="3722"/>
      </w:tblGrid>
      <w:tr w:rsidR="00A71230" w:rsidRPr="005633D9" w:rsidTr="00C20202">
        <w:trPr>
          <w:cnfStyle w:val="100000000000" w:firstRow="1" w:lastRow="0" w:firstColumn="0" w:lastColumn="0" w:oddVBand="0" w:evenVBand="0" w:oddHBand="0" w:evenHBand="0" w:firstRowFirstColumn="0" w:firstRowLastColumn="0" w:lastRowFirstColumn="0" w:lastRowLastColumn="0"/>
          <w:trHeight w:val="700"/>
        </w:trPr>
        <w:tc>
          <w:tcPr>
            <w:tcW w:w="2559" w:type="dxa"/>
            <w:vAlign w:val="bottom"/>
            <w:hideMark/>
          </w:tcPr>
          <w:p w:rsidR="00A71230" w:rsidRPr="005633D9" w:rsidRDefault="00A71230" w:rsidP="00C20202">
            <w:pPr>
              <w:pStyle w:val="ExhibitColumnHead"/>
              <w:rPr>
                <w:rFonts w:eastAsiaTheme="minorHAnsi"/>
                <w:b/>
                <w:lang w:val="en-GB" w:eastAsia="fr-FR"/>
              </w:rPr>
            </w:pPr>
            <w:r w:rsidRPr="005633D9">
              <w:rPr>
                <w:b/>
                <w:lang w:val="en-GB" w:eastAsia="fr-FR"/>
              </w:rPr>
              <w:t xml:space="preserve">Net </w:t>
            </w:r>
            <w:r w:rsidR="00766D06" w:rsidRPr="005633D9">
              <w:rPr>
                <w:b/>
                <w:lang w:val="en-GB" w:eastAsia="fr-FR"/>
              </w:rPr>
              <w:t>maize revenue per acre i</w:t>
            </w:r>
            <w:r w:rsidRPr="005633D9">
              <w:rPr>
                <w:b/>
                <w:lang w:val="en-GB" w:eastAsia="fr-FR"/>
              </w:rPr>
              <w:t xml:space="preserve">n </w:t>
            </w:r>
            <w:r w:rsidR="007E6A18" w:rsidRPr="005633D9">
              <w:rPr>
                <w:b/>
                <w:lang w:val="en-GB" w:eastAsia="fr-FR"/>
              </w:rPr>
              <w:t>U.S. Dollars</w:t>
            </w:r>
            <w:r w:rsidR="000C28EB" w:rsidRPr="005633D9">
              <w:rPr>
                <w:b/>
                <w:lang w:val="en-GB" w:eastAsia="fr-FR"/>
              </w:rPr>
              <w:t xml:space="preserve"> </w:t>
            </w:r>
            <w:r w:rsidRPr="005633D9">
              <w:rPr>
                <w:b/>
                <w:lang w:val="en-GB" w:eastAsia="fr-FR"/>
              </w:rPr>
              <w:t>(</w:t>
            </w:r>
            <w:r w:rsidR="007E6A18" w:rsidRPr="005633D9">
              <w:rPr>
                <w:b/>
                <w:lang w:val="en-GB" w:eastAsia="fr-FR"/>
              </w:rPr>
              <w:t>$</w:t>
            </w:r>
            <w:r w:rsidRPr="005633D9">
              <w:rPr>
                <w:b/>
                <w:lang w:val="en-GB" w:eastAsia="fr-FR"/>
              </w:rPr>
              <w:t>)</w:t>
            </w:r>
          </w:p>
        </w:tc>
        <w:tc>
          <w:tcPr>
            <w:tcW w:w="2963" w:type="dxa"/>
            <w:vAlign w:val="bottom"/>
            <w:hideMark/>
          </w:tcPr>
          <w:p w:rsidR="00A71230" w:rsidRPr="005633D9" w:rsidRDefault="00A71230" w:rsidP="00C20202">
            <w:pPr>
              <w:pStyle w:val="ExhibitColumnHead"/>
              <w:rPr>
                <w:rFonts w:eastAsiaTheme="minorHAnsi"/>
                <w:b/>
                <w:iCs/>
                <w:lang w:val="en-GB" w:eastAsia="fr-FR"/>
              </w:rPr>
            </w:pPr>
            <w:r w:rsidRPr="005633D9">
              <w:rPr>
                <w:b/>
                <w:iCs/>
                <w:lang w:val="en-GB" w:eastAsia="fr-FR"/>
              </w:rPr>
              <w:t>Estimated value</w:t>
            </w:r>
          </w:p>
        </w:tc>
        <w:tc>
          <w:tcPr>
            <w:tcW w:w="3722" w:type="dxa"/>
            <w:vAlign w:val="bottom"/>
            <w:hideMark/>
          </w:tcPr>
          <w:p w:rsidR="00A71230" w:rsidRPr="005633D9" w:rsidRDefault="00A71230" w:rsidP="00C20202">
            <w:pPr>
              <w:pStyle w:val="ExhibitColumnHead"/>
              <w:rPr>
                <w:rFonts w:eastAsiaTheme="minorHAnsi"/>
                <w:b/>
                <w:iCs/>
                <w:lang w:val="en-GB" w:eastAsia="fr-FR"/>
              </w:rPr>
            </w:pPr>
            <w:r w:rsidRPr="005633D9">
              <w:rPr>
                <w:b/>
                <w:iCs/>
                <w:lang w:val="en-GB" w:eastAsia="fr-FR"/>
              </w:rPr>
              <w:t>Source or description of logic used to derive estimated value</w:t>
            </w:r>
          </w:p>
        </w:tc>
      </w:tr>
      <w:tr w:rsidR="00A71230" w:rsidRPr="005633D9" w:rsidTr="00C20202">
        <w:trPr>
          <w:cnfStyle w:val="000000100000" w:firstRow="0" w:lastRow="0" w:firstColumn="0" w:lastColumn="0" w:oddVBand="0" w:evenVBand="0" w:oddHBand="1" w:evenHBand="0" w:firstRowFirstColumn="0" w:firstRowLastColumn="0" w:lastRowFirstColumn="0" w:lastRowLastColumn="0"/>
          <w:trHeight w:val="547"/>
        </w:trPr>
        <w:tc>
          <w:tcPr>
            <w:tcW w:w="2559" w:type="dxa"/>
            <w:hideMark/>
          </w:tcPr>
          <w:p w:rsidR="00A71230" w:rsidRPr="005633D9" w:rsidRDefault="00A71230" w:rsidP="00C20202">
            <w:pPr>
              <w:pStyle w:val="ExhibitText"/>
              <w:rPr>
                <w:rFonts w:eastAsiaTheme="minorHAnsi"/>
                <w:lang w:val="en-GB" w:eastAsia="fr-FR"/>
              </w:rPr>
            </w:pPr>
            <w:r w:rsidRPr="005633D9">
              <w:rPr>
                <w:lang w:val="en-GB" w:eastAsia="fr-FR"/>
              </w:rPr>
              <w:t>Standard deviation of outcome measure</w:t>
            </w:r>
          </w:p>
        </w:tc>
        <w:tc>
          <w:tcPr>
            <w:tcW w:w="2963" w:type="dxa"/>
            <w:hideMark/>
          </w:tcPr>
          <w:p w:rsidR="00A71230" w:rsidRPr="005633D9" w:rsidRDefault="00A71230" w:rsidP="00C20202">
            <w:pPr>
              <w:pStyle w:val="ExhibitText"/>
              <w:rPr>
                <w:rFonts w:eastAsiaTheme="minorHAnsi"/>
                <w:lang w:val="en-GB" w:eastAsia="fr-FR"/>
              </w:rPr>
            </w:pPr>
            <w:r w:rsidRPr="005633D9">
              <w:rPr>
                <w:lang w:val="en-GB" w:eastAsia="fr-FR"/>
              </w:rPr>
              <w:t>$158.7</w:t>
            </w:r>
          </w:p>
        </w:tc>
        <w:tc>
          <w:tcPr>
            <w:tcW w:w="3722" w:type="dxa"/>
            <w:hideMark/>
          </w:tcPr>
          <w:p w:rsidR="00A71230" w:rsidRPr="005633D9" w:rsidRDefault="00A71230" w:rsidP="00C20202">
            <w:pPr>
              <w:pStyle w:val="ExhibitText"/>
              <w:rPr>
                <w:lang w:val="en-GB"/>
              </w:rPr>
            </w:pPr>
            <w:r w:rsidRPr="005633D9">
              <w:rPr>
                <w:lang w:val="en-GB"/>
              </w:rPr>
              <w:t>Kibet, N.,</w:t>
            </w:r>
            <w:r w:rsidR="00ED3AA5">
              <w:rPr>
                <w:lang w:val="en-GB"/>
              </w:rPr>
              <w:t xml:space="preserve"> </w:t>
            </w:r>
            <w:r w:rsidRPr="005633D9">
              <w:rPr>
                <w:lang w:val="en-GB"/>
              </w:rPr>
              <w:t xml:space="preserve">et al. (2011) </w:t>
            </w:r>
          </w:p>
        </w:tc>
      </w:tr>
      <w:tr w:rsidR="00A71230" w:rsidRPr="005633D9" w:rsidTr="00C20202">
        <w:trPr>
          <w:cnfStyle w:val="000000010000" w:firstRow="0" w:lastRow="0" w:firstColumn="0" w:lastColumn="0" w:oddVBand="0" w:evenVBand="0" w:oddHBand="0" w:evenHBand="1" w:firstRowFirstColumn="0" w:firstRowLastColumn="0" w:lastRowFirstColumn="0" w:lastRowLastColumn="0"/>
          <w:trHeight w:val="691"/>
        </w:trPr>
        <w:tc>
          <w:tcPr>
            <w:tcW w:w="2559" w:type="dxa"/>
            <w:hideMark/>
          </w:tcPr>
          <w:p w:rsidR="00A71230" w:rsidRPr="005633D9" w:rsidRDefault="00A71230" w:rsidP="00C20202">
            <w:pPr>
              <w:pStyle w:val="ExhibitText"/>
              <w:rPr>
                <w:rFonts w:eastAsiaTheme="minorHAnsi"/>
                <w:lang w:val="en-GB" w:eastAsia="fr-FR"/>
              </w:rPr>
            </w:pPr>
            <w:r w:rsidRPr="005633D9">
              <w:rPr>
                <w:lang w:val="en-GB" w:eastAsia="fr-FR"/>
              </w:rPr>
              <w:t>Intra-class correlation</w:t>
            </w:r>
            <w:r w:rsidR="00ED3AA5">
              <w:rPr>
                <w:lang w:val="en-GB" w:eastAsia="fr-FR"/>
              </w:rPr>
              <w:t xml:space="preserve"> (ICC)</w:t>
            </w:r>
          </w:p>
        </w:tc>
        <w:tc>
          <w:tcPr>
            <w:tcW w:w="2963" w:type="dxa"/>
            <w:hideMark/>
          </w:tcPr>
          <w:p w:rsidR="00A71230" w:rsidRPr="005633D9" w:rsidRDefault="00A71230" w:rsidP="00C20202">
            <w:pPr>
              <w:pStyle w:val="ExhibitText"/>
              <w:rPr>
                <w:rFonts w:eastAsiaTheme="minorHAnsi"/>
                <w:lang w:val="en-GB" w:eastAsia="fr-FR"/>
              </w:rPr>
            </w:pPr>
            <w:r w:rsidRPr="005633D9">
              <w:rPr>
                <w:lang w:val="en-GB" w:eastAsia="fr-FR"/>
              </w:rPr>
              <w:t>0.25</w:t>
            </w:r>
            <w:r w:rsidR="00EC70D2" w:rsidRPr="005633D9">
              <w:rPr>
                <w:vertAlign w:val="superscript"/>
                <w:lang w:val="en-GB" w:eastAsia="fr-FR"/>
              </w:rPr>
              <w:t>1</w:t>
            </w:r>
          </w:p>
        </w:tc>
        <w:tc>
          <w:tcPr>
            <w:tcW w:w="3722" w:type="dxa"/>
            <w:hideMark/>
          </w:tcPr>
          <w:p w:rsidR="00A71230" w:rsidRPr="005633D9" w:rsidRDefault="00A71230" w:rsidP="00C20202">
            <w:pPr>
              <w:pStyle w:val="ExhibitText"/>
              <w:rPr>
                <w:rFonts w:eastAsiaTheme="minorHAnsi"/>
                <w:lang w:val="en-GB" w:eastAsia="fr-FR"/>
              </w:rPr>
            </w:pPr>
            <w:r w:rsidRPr="005633D9">
              <w:rPr>
                <w:lang w:val="en-GB" w:eastAsia="fr-FR"/>
              </w:rPr>
              <w:t xml:space="preserve">1. Morris, Saul Sutkover (2000) </w:t>
            </w:r>
          </w:p>
          <w:p w:rsidR="00A71230" w:rsidRPr="005633D9" w:rsidRDefault="00A71230" w:rsidP="00C20202">
            <w:pPr>
              <w:pStyle w:val="ExhibitText"/>
              <w:rPr>
                <w:rFonts w:eastAsiaTheme="minorHAnsi"/>
                <w:lang w:val="en-GB" w:eastAsia="fr-FR"/>
              </w:rPr>
            </w:pPr>
            <w:r w:rsidRPr="005633D9">
              <w:rPr>
                <w:lang w:val="en-GB" w:eastAsia="fr-FR"/>
              </w:rPr>
              <w:t>2. De Allegri, Manuela et al. (2008)</w:t>
            </w:r>
          </w:p>
        </w:tc>
      </w:tr>
      <w:tr w:rsidR="00A71230" w:rsidRPr="005633D9" w:rsidTr="00C20202">
        <w:trPr>
          <w:cnfStyle w:val="000000100000" w:firstRow="0" w:lastRow="0" w:firstColumn="0" w:lastColumn="0" w:oddVBand="0" w:evenVBand="0" w:oddHBand="1" w:evenHBand="0" w:firstRowFirstColumn="0" w:firstRowLastColumn="0" w:lastRowFirstColumn="0" w:lastRowLastColumn="0"/>
          <w:trHeight w:val="532"/>
        </w:trPr>
        <w:tc>
          <w:tcPr>
            <w:tcW w:w="2559" w:type="dxa"/>
            <w:hideMark/>
          </w:tcPr>
          <w:p w:rsidR="00A71230" w:rsidRPr="005633D9" w:rsidRDefault="00A71230" w:rsidP="00C20202">
            <w:pPr>
              <w:pStyle w:val="ExhibitText"/>
              <w:rPr>
                <w:rFonts w:eastAsiaTheme="minorHAnsi"/>
                <w:lang w:val="en-GB" w:eastAsia="fr-FR"/>
              </w:rPr>
            </w:pPr>
            <w:r w:rsidRPr="005633D9">
              <w:rPr>
                <w:lang w:val="en-GB" w:eastAsia="fr-FR"/>
              </w:rPr>
              <w:t>Attrition (Cohort A)</w:t>
            </w:r>
          </w:p>
        </w:tc>
        <w:tc>
          <w:tcPr>
            <w:tcW w:w="2963" w:type="dxa"/>
            <w:hideMark/>
          </w:tcPr>
          <w:p w:rsidR="00A71230" w:rsidRPr="005633D9" w:rsidRDefault="00A71230" w:rsidP="00C20202">
            <w:pPr>
              <w:pStyle w:val="ExhibitText"/>
              <w:rPr>
                <w:rFonts w:eastAsiaTheme="minorHAnsi"/>
                <w:lang w:val="en-GB" w:eastAsia="fr-FR"/>
              </w:rPr>
            </w:pPr>
            <w:r w:rsidRPr="005633D9">
              <w:rPr>
                <w:lang w:val="en-GB" w:eastAsia="fr-FR"/>
              </w:rPr>
              <w:t>10% refusal rate in Cohort A</w:t>
            </w:r>
          </w:p>
        </w:tc>
        <w:tc>
          <w:tcPr>
            <w:tcW w:w="3722" w:type="dxa"/>
            <w:hideMark/>
          </w:tcPr>
          <w:p w:rsidR="00A71230" w:rsidRPr="005633D9" w:rsidRDefault="00A71230" w:rsidP="00C20202">
            <w:pPr>
              <w:pStyle w:val="ExhibitText"/>
              <w:rPr>
                <w:rFonts w:eastAsiaTheme="minorHAnsi"/>
                <w:lang w:val="en-GB" w:eastAsia="fr-FR"/>
              </w:rPr>
            </w:pPr>
            <w:r w:rsidRPr="005633D9">
              <w:rPr>
                <w:rFonts w:eastAsiaTheme="minorHAnsi"/>
                <w:lang w:val="en-GB" w:eastAsia="fr-FR"/>
              </w:rPr>
              <w:t>Based on our prior experience conducting household surveys in West Africa.</w:t>
            </w:r>
          </w:p>
        </w:tc>
      </w:tr>
      <w:tr w:rsidR="00A71230" w:rsidRPr="005633D9" w:rsidTr="00C20202">
        <w:trPr>
          <w:cnfStyle w:val="000000010000" w:firstRow="0" w:lastRow="0" w:firstColumn="0" w:lastColumn="0" w:oddVBand="0" w:evenVBand="0" w:oddHBand="0" w:evenHBand="1" w:firstRowFirstColumn="0" w:firstRowLastColumn="0" w:lastRowFirstColumn="0" w:lastRowLastColumn="0"/>
          <w:trHeight w:val="532"/>
        </w:trPr>
        <w:tc>
          <w:tcPr>
            <w:tcW w:w="2559" w:type="dxa"/>
            <w:hideMark/>
          </w:tcPr>
          <w:p w:rsidR="00A71230" w:rsidRPr="005633D9" w:rsidRDefault="00A71230" w:rsidP="00C20202">
            <w:pPr>
              <w:pStyle w:val="ExhibitText"/>
              <w:rPr>
                <w:rFonts w:eastAsiaTheme="minorHAnsi"/>
                <w:lang w:val="en-GB" w:eastAsia="fr-FR"/>
              </w:rPr>
            </w:pPr>
            <w:r w:rsidRPr="005633D9">
              <w:rPr>
                <w:lang w:val="en-GB" w:eastAsia="fr-FR"/>
              </w:rPr>
              <w:t>Attrition (Cohorts B and C)</w:t>
            </w:r>
          </w:p>
        </w:tc>
        <w:tc>
          <w:tcPr>
            <w:tcW w:w="2963" w:type="dxa"/>
            <w:hideMark/>
          </w:tcPr>
          <w:p w:rsidR="00A71230" w:rsidRPr="005633D9" w:rsidRDefault="00A71230" w:rsidP="00C20202">
            <w:pPr>
              <w:pStyle w:val="ExhibitText"/>
              <w:rPr>
                <w:rFonts w:eastAsiaTheme="minorHAnsi"/>
                <w:lang w:val="en-GB" w:eastAsia="fr-FR"/>
              </w:rPr>
            </w:pPr>
            <w:r w:rsidRPr="005633D9">
              <w:rPr>
                <w:lang w:val="en-GB" w:eastAsia="fr-FR"/>
              </w:rPr>
              <w:t>30% attrition/refusal rate in Cohorts B and C </w:t>
            </w:r>
          </w:p>
        </w:tc>
        <w:tc>
          <w:tcPr>
            <w:tcW w:w="3722" w:type="dxa"/>
            <w:hideMark/>
          </w:tcPr>
          <w:p w:rsidR="00A71230" w:rsidRPr="005633D9" w:rsidRDefault="00A71230" w:rsidP="00C20202">
            <w:pPr>
              <w:pStyle w:val="ExhibitText"/>
              <w:rPr>
                <w:rFonts w:eastAsiaTheme="minorHAnsi"/>
                <w:lang w:val="en-GB" w:eastAsia="fr-FR"/>
              </w:rPr>
            </w:pPr>
            <w:r w:rsidRPr="005633D9">
              <w:rPr>
                <w:lang w:val="en-GB" w:eastAsia="fr-FR"/>
              </w:rPr>
              <w:t>Based on our prior experience conducting household surveys in West Africa.</w:t>
            </w:r>
          </w:p>
        </w:tc>
      </w:tr>
      <w:tr w:rsidR="00A71230" w:rsidRPr="005633D9" w:rsidTr="00C20202">
        <w:trPr>
          <w:cnfStyle w:val="000000100000" w:firstRow="0" w:lastRow="0" w:firstColumn="0" w:lastColumn="0" w:oddVBand="0" w:evenVBand="0" w:oddHBand="1" w:evenHBand="0" w:firstRowFirstColumn="0" w:firstRowLastColumn="0" w:lastRowFirstColumn="0" w:lastRowLastColumn="0"/>
          <w:trHeight w:val="661"/>
        </w:trPr>
        <w:tc>
          <w:tcPr>
            <w:tcW w:w="2559" w:type="dxa"/>
            <w:hideMark/>
          </w:tcPr>
          <w:p w:rsidR="00A71230" w:rsidRPr="005633D9" w:rsidRDefault="00A71230" w:rsidP="00C20202">
            <w:pPr>
              <w:pStyle w:val="ExhibitText"/>
              <w:rPr>
                <w:rFonts w:eastAsiaTheme="minorHAnsi"/>
                <w:lang w:val="en-GB" w:eastAsia="fr-FR"/>
              </w:rPr>
            </w:pPr>
            <w:r w:rsidRPr="005633D9">
              <w:rPr>
                <w:lang w:val="en-GB" w:eastAsia="fr-FR"/>
              </w:rPr>
              <w:t xml:space="preserve">Correlation between baseline and </w:t>
            </w:r>
            <w:r w:rsidR="00654E76" w:rsidRPr="005633D9">
              <w:rPr>
                <w:lang w:val="en-GB" w:eastAsia="fr-FR"/>
              </w:rPr>
              <w:t>endline</w:t>
            </w:r>
          </w:p>
        </w:tc>
        <w:tc>
          <w:tcPr>
            <w:tcW w:w="2963" w:type="dxa"/>
            <w:hideMark/>
          </w:tcPr>
          <w:p w:rsidR="00A71230" w:rsidRPr="005633D9" w:rsidRDefault="00A71230" w:rsidP="00C20202">
            <w:pPr>
              <w:pStyle w:val="ExhibitText"/>
              <w:rPr>
                <w:rFonts w:eastAsiaTheme="minorHAnsi"/>
                <w:lang w:val="en-GB" w:eastAsia="fr-FR"/>
              </w:rPr>
            </w:pPr>
            <w:r w:rsidRPr="005633D9">
              <w:rPr>
                <w:lang w:val="en-GB" w:eastAsia="fr-FR"/>
              </w:rPr>
              <w:t>20%</w:t>
            </w:r>
          </w:p>
        </w:tc>
        <w:tc>
          <w:tcPr>
            <w:tcW w:w="3722" w:type="dxa"/>
            <w:hideMark/>
          </w:tcPr>
          <w:p w:rsidR="00A71230" w:rsidRPr="005633D9" w:rsidRDefault="00A71230" w:rsidP="00C20202">
            <w:pPr>
              <w:pStyle w:val="ExhibitText"/>
              <w:rPr>
                <w:rFonts w:eastAsiaTheme="minorHAnsi"/>
                <w:lang w:val="en-GB"/>
              </w:rPr>
            </w:pPr>
            <w:r w:rsidRPr="005633D9">
              <w:rPr>
                <w:lang w:val="en-GB"/>
              </w:rPr>
              <w:t>Oladejo J., Lapido O.</w:t>
            </w:r>
            <w:r w:rsidR="00243735" w:rsidRPr="005633D9">
              <w:rPr>
                <w:lang w:val="en-GB"/>
              </w:rPr>
              <w:t xml:space="preserve"> </w:t>
            </w:r>
            <w:r w:rsidRPr="005633D9">
              <w:rPr>
                <w:lang w:val="en-GB"/>
              </w:rPr>
              <w:t xml:space="preserve">(2012) </w:t>
            </w:r>
          </w:p>
          <w:p w:rsidR="00A71230" w:rsidRPr="005633D9" w:rsidRDefault="00A71230" w:rsidP="00C20202">
            <w:pPr>
              <w:pStyle w:val="ExhibitText"/>
              <w:rPr>
                <w:lang w:val="en-GB"/>
              </w:rPr>
            </w:pPr>
            <w:r w:rsidRPr="005633D9">
              <w:rPr>
                <w:lang w:val="en-GB"/>
              </w:rPr>
              <w:t>Olarinde, et al.</w:t>
            </w:r>
            <w:r w:rsidR="00243735" w:rsidRPr="005633D9">
              <w:rPr>
                <w:lang w:val="en-GB"/>
              </w:rPr>
              <w:t xml:space="preserve"> </w:t>
            </w:r>
            <w:r w:rsidRPr="005633D9">
              <w:rPr>
                <w:lang w:val="en-GB"/>
              </w:rPr>
              <w:t xml:space="preserve">(2007) </w:t>
            </w:r>
          </w:p>
          <w:p w:rsidR="00A71230" w:rsidRPr="005633D9" w:rsidRDefault="00A71230" w:rsidP="00C20202">
            <w:pPr>
              <w:pStyle w:val="ExhibitText"/>
              <w:rPr>
                <w:lang w:val="en-GB"/>
              </w:rPr>
            </w:pPr>
            <w:r w:rsidRPr="005633D9">
              <w:rPr>
                <w:lang w:val="en-GB"/>
              </w:rPr>
              <w:t xml:space="preserve">Badu-Apraku , et al. (2012) </w:t>
            </w:r>
          </w:p>
        </w:tc>
      </w:tr>
    </w:tbl>
    <w:p w:rsidR="00A71230" w:rsidRPr="005633D9" w:rsidRDefault="00EC70D2" w:rsidP="00EC70D2">
      <w:pPr>
        <w:pStyle w:val="ExhibitSource"/>
        <w:rPr>
          <w:rFonts w:eastAsiaTheme="minorHAnsi"/>
          <w:lang w:val="en-GB"/>
        </w:rPr>
      </w:pPr>
      <w:r w:rsidRPr="005633D9">
        <w:rPr>
          <w:sz w:val="20"/>
          <w:vertAlign w:val="superscript"/>
          <w:lang w:val="en-GB" w:eastAsia="fr-FR"/>
        </w:rPr>
        <w:t>1</w:t>
      </w:r>
      <w:r w:rsidRPr="005633D9">
        <w:rPr>
          <w:sz w:val="20"/>
          <w:lang w:val="en-GB" w:eastAsia="fr-FR"/>
        </w:rPr>
        <w:t xml:space="preserve"> We did not find ICCs in the literature for the outcome of interest.</w:t>
      </w:r>
      <w:r w:rsidR="00243735" w:rsidRPr="005633D9">
        <w:rPr>
          <w:sz w:val="20"/>
          <w:lang w:val="en-GB" w:eastAsia="fr-FR"/>
        </w:rPr>
        <w:t xml:space="preserve"> </w:t>
      </w:r>
      <w:r w:rsidRPr="005633D9">
        <w:rPr>
          <w:sz w:val="20"/>
          <w:lang w:val="en-GB" w:eastAsia="fr-FR"/>
        </w:rPr>
        <w:t>Estimates of ICCs for per-capita household expenditure and food share in developing countries vary from .09 - .67, with highly urban areas exhibiting higher ICCs.</w:t>
      </w:r>
      <w:r w:rsidR="00243735" w:rsidRPr="005633D9">
        <w:rPr>
          <w:sz w:val="20"/>
          <w:lang w:val="en-GB" w:eastAsia="fr-FR"/>
        </w:rPr>
        <w:t xml:space="preserve"> </w:t>
      </w:r>
      <w:r w:rsidRPr="005633D9">
        <w:rPr>
          <w:sz w:val="20"/>
          <w:lang w:val="en-GB" w:eastAsia="fr-FR"/>
        </w:rPr>
        <w:t xml:space="preserve">Health care spending, household </w:t>
      </w:r>
      <w:r w:rsidR="00513E26">
        <w:rPr>
          <w:sz w:val="20"/>
          <w:lang w:val="en-GB" w:eastAsia="fr-FR"/>
        </w:rPr>
        <w:t>socio-economic status</w:t>
      </w:r>
      <w:r w:rsidR="00CA2EC1">
        <w:rPr>
          <w:sz w:val="20"/>
          <w:lang w:val="en-GB" w:eastAsia="fr-FR"/>
        </w:rPr>
        <w:t xml:space="preserve"> (SES)</w:t>
      </w:r>
      <w:r w:rsidRPr="005633D9">
        <w:rPr>
          <w:sz w:val="20"/>
          <w:lang w:val="en-GB" w:eastAsia="fr-FR"/>
        </w:rPr>
        <w:t>, health care outcome ICCs in West Africa are around .04.</w:t>
      </w:r>
    </w:p>
    <w:p w:rsidR="00A71230" w:rsidRPr="005633D9" w:rsidRDefault="00A71230">
      <w:pPr>
        <w:spacing w:after="0"/>
        <w:rPr>
          <w:rFonts w:ascii="Calibri" w:eastAsiaTheme="minorHAnsi" w:hAnsi="Calibri"/>
          <w:sz w:val="22"/>
          <w:szCs w:val="22"/>
          <w:lang w:val="en-GB"/>
        </w:rPr>
      </w:pPr>
    </w:p>
    <w:p w:rsidR="00A71230" w:rsidRPr="005633D9" w:rsidRDefault="00A71230" w:rsidP="00A71230">
      <w:pPr>
        <w:rPr>
          <w:rFonts w:ascii="Calibri" w:eastAsiaTheme="minorHAnsi" w:hAnsi="Calibri"/>
          <w:sz w:val="22"/>
          <w:szCs w:val="22"/>
          <w:lang w:val="en-GB"/>
        </w:rPr>
      </w:pPr>
    </w:p>
    <w:tbl>
      <w:tblPr>
        <w:tblStyle w:val="AbtFinal"/>
        <w:tblW w:w="0" w:type="auto"/>
        <w:tblLook w:val="04A0" w:firstRow="1" w:lastRow="0" w:firstColumn="1" w:lastColumn="0" w:noHBand="0" w:noVBand="1"/>
      </w:tblPr>
      <w:tblGrid>
        <w:gridCol w:w="2559"/>
        <w:gridCol w:w="2963"/>
        <w:gridCol w:w="3722"/>
      </w:tblGrid>
      <w:tr w:rsidR="00A71230" w:rsidRPr="005633D9" w:rsidTr="00C20202">
        <w:trPr>
          <w:cnfStyle w:val="100000000000" w:firstRow="1" w:lastRow="0" w:firstColumn="0" w:lastColumn="0" w:oddVBand="0" w:evenVBand="0" w:oddHBand="0" w:evenHBand="0" w:firstRowFirstColumn="0" w:firstRowLastColumn="0" w:lastRowFirstColumn="0" w:lastRowLastColumn="0"/>
          <w:trHeight w:val="700"/>
        </w:trPr>
        <w:tc>
          <w:tcPr>
            <w:tcW w:w="2559" w:type="dxa"/>
            <w:vAlign w:val="bottom"/>
            <w:hideMark/>
          </w:tcPr>
          <w:p w:rsidR="00A71230" w:rsidRPr="005633D9" w:rsidRDefault="00A71230" w:rsidP="00C20202">
            <w:pPr>
              <w:pStyle w:val="ExhibitColumnHead"/>
              <w:rPr>
                <w:rFonts w:eastAsiaTheme="minorHAnsi"/>
                <w:b/>
                <w:lang w:val="en-GB" w:eastAsia="fr-FR"/>
              </w:rPr>
            </w:pPr>
            <w:r w:rsidRPr="005633D9">
              <w:rPr>
                <w:b/>
                <w:lang w:val="en-GB" w:eastAsia="fr-FR"/>
              </w:rPr>
              <w:t xml:space="preserve">Proportion of </w:t>
            </w:r>
            <w:r w:rsidR="00766D06" w:rsidRPr="005633D9">
              <w:rPr>
                <w:b/>
                <w:lang w:val="en-GB" w:eastAsia="fr-FR"/>
              </w:rPr>
              <w:t xml:space="preserve">smallholder maize treated </w:t>
            </w:r>
            <w:r w:rsidR="007A066D" w:rsidRPr="005633D9">
              <w:rPr>
                <w:b/>
                <w:lang w:val="en-GB" w:eastAsia="fr-FR"/>
              </w:rPr>
              <w:t>with A</w:t>
            </w:r>
            <w:r w:rsidRPr="005633D9">
              <w:rPr>
                <w:b/>
                <w:lang w:val="en-GB" w:eastAsia="fr-FR"/>
              </w:rPr>
              <w:t>f</w:t>
            </w:r>
            <w:r w:rsidR="007A066D" w:rsidRPr="005633D9">
              <w:rPr>
                <w:b/>
                <w:lang w:val="en-GB" w:eastAsia="fr-FR"/>
              </w:rPr>
              <w:t>l</w:t>
            </w:r>
            <w:r w:rsidRPr="005633D9">
              <w:rPr>
                <w:b/>
                <w:lang w:val="en-GB" w:eastAsia="fr-FR"/>
              </w:rPr>
              <w:t>asafe</w:t>
            </w:r>
          </w:p>
        </w:tc>
        <w:tc>
          <w:tcPr>
            <w:tcW w:w="2963" w:type="dxa"/>
            <w:vAlign w:val="bottom"/>
            <w:hideMark/>
          </w:tcPr>
          <w:p w:rsidR="00A71230" w:rsidRPr="005633D9" w:rsidRDefault="00A71230" w:rsidP="00C20202">
            <w:pPr>
              <w:pStyle w:val="ExhibitColumnHead"/>
              <w:rPr>
                <w:rFonts w:eastAsiaTheme="minorHAnsi"/>
                <w:b/>
                <w:iCs/>
                <w:lang w:val="en-GB" w:eastAsia="fr-FR"/>
              </w:rPr>
            </w:pPr>
            <w:r w:rsidRPr="005633D9">
              <w:rPr>
                <w:b/>
                <w:iCs/>
                <w:lang w:val="en-GB" w:eastAsia="fr-FR"/>
              </w:rPr>
              <w:t>Estimated value</w:t>
            </w:r>
          </w:p>
        </w:tc>
        <w:tc>
          <w:tcPr>
            <w:tcW w:w="3722" w:type="dxa"/>
            <w:vAlign w:val="bottom"/>
            <w:hideMark/>
          </w:tcPr>
          <w:p w:rsidR="00A71230" w:rsidRPr="005633D9" w:rsidRDefault="00A71230" w:rsidP="00C20202">
            <w:pPr>
              <w:pStyle w:val="ExhibitColumnHead"/>
              <w:rPr>
                <w:rFonts w:eastAsiaTheme="minorHAnsi"/>
                <w:b/>
                <w:iCs/>
                <w:lang w:val="en-GB" w:eastAsia="fr-FR"/>
              </w:rPr>
            </w:pPr>
            <w:r w:rsidRPr="005633D9">
              <w:rPr>
                <w:b/>
                <w:iCs/>
                <w:lang w:val="en-GB" w:eastAsia="fr-FR"/>
              </w:rPr>
              <w:t>Source or description of logic used to derive estimated value</w:t>
            </w:r>
          </w:p>
        </w:tc>
      </w:tr>
      <w:tr w:rsidR="00A71230" w:rsidRPr="005633D9" w:rsidTr="00C20202">
        <w:trPr>
          <w:cnfStyle w:val="000000100000" w:firstRow="0" w:lastRow="0" w:firstColumn="0" w:lastColumn="0" w:oddVBand="0" w:evenVBand="0" w:oddHBand="1" w:evenHBand="0" w:firstRowFirstColumn="0" w:firstRowLastColumn="0" w:lastRowFirstColumn="0" w:lastRowLastColumn="0"/>
          <w:trHeight w:val="547"/>
        </w:trPr>
        <w:tc>
          <w:tcPr>
            <w:tcW w:w="2559" w:type="dxa"/>
            <w:hideMark/>
          </w:tcPr>
          <w:p w:rsidR="00A71230" w:rsidRPr="005633D9" w:rsidRDefault="00A71230" w:rsidP="00C20202">
            <w:pPr>
              <w:pStyle w:val="ExhibitText"/>
              <w:rPr>
                <w:rFonts w:eastAsiaTheme="minorHAnsi"/>
                <w:lang w:val="en-GB" w:eastAsia="fr-FR"/>
              </w:rPr>
            </w:pPr>
            <w:r w:rsidRPr="005633D9">
              <w:rPr>
                <w:lang w:val="en-GB" w:eastAsia="fr-FR"/>
              </w:rPr>
              <w:t>Baseline proportion</w:t>
            </w:r>
          </w:p>
        </w:tc>
        <w:tc>
          <w:tcPr>
            <w:tcW w:w="2963" w:type="dxa"/>
            <w:hideMark/>
          </w:tcPr>
          <w:p w:rsidR="00A71230" w:rsidRPr="005633D9" w:rsidRDefault="00A71230" w:rsidP="00C20202">
            <w:pPr>
              <w:pStyle w:val="ExhibitText"/>
              <w:rPr>
                <w:rFonts w:eastAsiaTheme="minorHAnsi"/>
                <w:lang w:val="en-GB" w:eastAsia="fr-FR"/>
              </w:rPr>
            </w:pPr>
            <w:r w:rsidRPr="005633D9">
              <w:rPr>
                <w:lang w:val="en-GB" w:eastAsia="fr-FR"/>
              </w:rPr>
              <w:t>10%</w:t>
            </w:r>
          </w:p>
        </w:tc>
        <w:tc>
          <w:tcPr>
            <w:tcW w:w="3722" w:type="dxa"/>
            <w:hideMark/>
          </w:tcPr>
          <w:p w:rsidR="00A71230" w:rsidRPr="005633D9" w:rsidRDefault="00A71230" w:rsidP="00C20202">
            <w:pPr>
              <w:pStyle w:val="ExhibitText"/>
              <w:rPr>
                <w:lang w:val="en-GB"/>
              </w:rPr>
            </w:pPr>
            <w:r w:rsidRPr="005633D9">
              <w:rPr>
                <w:lang w:val="en-GB"/>
              </w:rPr>
              <w:t>Based on our experience with Harvest Plus.</w:t>
            </w:r>
          </w:p>
        </w:tc>
      </w:tr>
      <w:tr w:rsidR="00A71230" w:rsidRPr="005633D9" w:rsidTr="00C20202">
        <w:trPr>
          <w:cnfStyle w:val="000000010000" w:firstRow="0" w:lastRow="0" w:firstColumn="0" w:lastColumn="0" w:oddVBand="0" w:evenVBand="0" w:oddHBand="0" w:evenHBand="1" w:firstRowFirstColumn="0" w:firstRowLastColumn="0" w:lastRowFirstColumn="0" w:lastRowLastColumn="0"/>
          <w:trHeight w:val="691"/>
        </w:trPr>
        <w:tc>
          <w:tcPr>
            <w:tcW w:w="2559" w:type="dxa"/>
            <w:hideMark/>
          </w:tcPr>
          <w:p w:rsidR="00A71230" w:rsidRPr="005633D9" w:rsidRDefault="00A71230" w:rsidP="00C20202">
            <w:pPr>
              <w:pStyle w:val="ExhibitText"/>
              <w:rPr>
                <w:rFonts w:eastAsiaTheme="minorHAnsi"/>
                <w:lang w:val="en-GB" w:eastAsia="fr-FR"/>
              </w:rPr>
            </w:pPr>
            <w:r w:rsidRPr="005633D9">
              <w:rPr>
                <w:lang w:val="en-GB" w:eastAsia="fr-FR"/>
              </w:rPr>
              <w:t>Intra-class correlation</w:t>
            </w:r>
          </w:p>
        </w:tc>
        <w:tc>
          <w:tcPr>
            <w:tcW w:w="2963" w:type="dxa"/>
            <w:hideMark/>
          </w:tcPr>
          <w:p w:rsidR="00A71230" w:rsidRPr="005633D9" w:rsidRDefault="00A71230" w:rsidP="00C20202">
            <w:pPr>
              <w:pStyle w:val="ExhibitText"/>
              <w:rPr>
                <w:rFonts w:eastAsiaTheme="minorHAnsi"/>
                <w:lang w:val="en-GB" w:eastAsia="fr-FR"/>
              </w:rPr>
            </w:pPr>
            <w:r w:rsidRPr="005633D9">
              <w:rPr>
                <w:lang w:val="en-GB" w:eastAsia="fr-FR"/>
              </w:rPr>
              <w:t>0.25</w:t>
            </w:r>
            <w:r w:rsidR="00EC70D2" w:rsidRPr="005633D9">
              <w:rPr>
                <w:sz w:val="20"/>
                <w:vertAlign w:val="superscript"/>
                <w:lang w:val="en-GB" w:eastAsia="fr-FR"/>
              </w:rPr>
              <w:t>1</w:t>
            </w:r>
          </w:p>
        </w:tc>
        <w:tc>
          <w:tcPr>
            <w:tcW w:w="3722" w:type="dxa"/>
            <w:hideMark/>
          </w:tcPr>
          <w:p w:rsidR="00A71230" w:rsidRPr="005633D9" w:rsidRDefault="00A71230" w:rsidP="00C20202">
            <w:pPr>
              <w:pStyle w:val="ExhibitText"/>
              <w:rPr>
                <w:rFonts w:eastAsiaTheme="minorHAnsi"/>
                <w:lang w:val="en-GB" w:eastAsia="fr-FR"/>
              </w:rPr>
            </w:pPr>
            <w:r w:rsidRPr="005633D9">
              <w:rPr>
                <w:lang w:val="en-GB" w:eastAsia="fr-FR"/>
              </w:rPr>
              <w:t xml:space="preserve">1. Morris, Saul Sutkover (2000) </w:t>
            </w:r>
          </w:p>
          <w:p w:rsidR="00A71230" w:rsidRPr="005633D9" w:rsidRDefault="00A71230" w:rsidP="00C20202">
            <w:pPr>
              <w:pStyle w:val="ExhibitText"/>
              <w:rPr>
                <w:rFonts w:eastAsiaTheme="minorHAnsi"/>
                <w:lang w:val="en-GB" w:eastAsia="fr-FR"/>
              </w:rPr>
            </w:pPr>
            <w:r w:rsidRPr="005633D9">
              <w:rPr>
                <w:lang w:val="en-GB" w:eastAsia="fr-FR"/>
              </w:rPr>
              <w:t>2. De Allegri, Manuela et al. (2008)</w:t>
            </w:r>
          </w:p>
        </w:tc>
      </w:tr>
      <w:tr w:rsidR="00A71230" w:rsidRPr="005633D9" w:rsidTr="00C20202">
        <w:trPr>
          <w:cnfStyle w:val="000000100000" w:firstRow="0" w:lastRow="0" w:firstColumn="0" w:lastColumn="0" w:oddVBand="0" w:evenVBand="0" w:oddHBand="1" w:evenHBand="0" w:firstRowFirstColumn="0" w:firstRowLastColumn="0" w:lastRowFirstColumn="0" w:lastRowLastColumn="0"/>
          <w:trHeight w:val="532"/>
        </w:trPr>
        <w:tc>
          <w:tcPr>
            <w:tcW w:w="2559" w:type="dxa"/>
            <w:hideMark/>
          </w:tcPr>
          <w:p w:rsidR="00A71230" w:rsidRPr="005633D9" w:rsidRDefault="00A71230" w:rsidP="00C20202">
            <w:pPr>
              <w:pStyle w:val="ExhibitText"/>
              <w:rPr>
                <w:rFonts w:eastAsiaTheme="minorHAnsi"/>
                <w:lang w:val="en-GB" w:eastAsia="fr-FR"/>
              </w:rPr>
            </w:pPr>
            <w:r w:rsidRPr="005633D9">
              <w:rPr>
                <w:lang w:val="en-GB" w:eastAsia="fr-FR"/>
              </w:rPr>
              <w:t>Attrition (Cohort A)</w:t>
            </w:r>
          </w:p>
        </w:tc>
        <w:tc>
          <w:tcPr>
            <w:tcW w:w="2963" w:type="dxa"/>
            <w:hideMark/>
          </w:tcPr>
          <w:p w:rsidR="00A71230" w:rsidRPr="005633D9" w:rsidRDefault="00A71230" w:rsidP="00C20202">
            <w:pPr>
              <w:pStyle w:val="ExhibitText"/>
              <w:rPr>
                <w:rFonts w:eastAsiaTheme="minorHAnsi"/>
                <w:lang w:val="en-GB" w:eastAsia="fr-FR"/>
              </w:rPr>
            </w:pPr>
            <w:r w:rsidRPr="005633D9">
              <w:rPr>
                <w:lang w:val="en-GB" w:eastAsia="fr-FR"/>
              </w:rPr>
              <w:t>10% refusal rate in Cohort A</w:t>
            </w:r>
          </w:p>
        </w:tc>
        <w:tc>
          <w:tcPr>
            <w:tcW w:w="3722" w:type="dxa"/>
            <w:hideMark/>
          </w:tcPr>
          <w:p w:rsidR="00A71230" w:rsidRPr="005633D9" w:rsidRDefault="00A71230" w:rsidP="00C20202">
            <w:pPr>
              <w:pStyle w:val="ExhibitText"/>
              <w:rPr>
                <w:rFonts w:eastAsiaTheme="minorHAnsi"/>
                <w:lang w:val="en-GB" w:eastAsia="fr-FR"/>
              </w:rPr>
            </w:pPr>
            <w:r w:rsidRPr="005633D9">
              <w:rPr>
                <w:rFonts w:eastAsiaTheme="minorHAnsi"/>
                <w:lang w:val="en-GB" w:eastAsia="fr-FR"/>
              </w:rPr>
              <w:t>Based on our prior experience conducting household surveys in West Africa.</w:t>
            </w:r>
          </w:p>
        </w:tc>
      </w:tr>
      <w:tr w:rsidR="00A71230" w:rsidRPr="005633D9" w:rsidTr="00C20202">
        <w:trPr>
          <w:cnfStyle w:val="000000010000" w:firstRow="0" w:lastRow="0" w:firstColumn="0" w:lastColumn="0" w:oddVBand="0" w:evenVBand="0" w:oddHBand="0" w:evenHBand="1" w:firstRowFirstColumn="0" w:firstRowLastColumn="0" w:lastRowFirstColumn="0" w:lastRowLastColumn="0"/>
          <w:trHeight w:val="532"/>
        </w:trPr>
        <w:tc>
          <w:tcPr>
            <w:tcW w:w="2559" w:type="dxa"/>
            <w:hideMark/>
          </w:tcPr>
          <w:p w:rsidR="00A71230" w:rsidRPr="005633D9" w:rsidRDefault="00A71230" w:rsidP="00C20202">
            <w:pPr>
              <w:pStyle w:val="ExhibitText"/>
              <w:rPr>
                <w:rFonts w:eastAsiaTheme="minorHAnsi"/>
                <w:lang w:val="en-GB" w:eastAsia="fr-FR"/>
              </w:rPr>
            </w:pPr>
            <w:r w:rsidRPr="005633D9">
              <w:rPr>
                <w:lang w:val="en-GB" w:eastAsia="fr-FR"/>
              </w:rPr>
              <w:t>Attrition (Cohorts B and C)</w:t>
            </w:r>
          </w:p>
        </w:tc>
        <w:tc>
          <w:tcPr>
            <w:tcW w:w="2963" w:type="dxa"/>
            <w:hideMark/>
          </w:tcPr>
          <w:p w:rsidR="00A71230" w:rsidRPr="005633D9" w:rsidRDefault="00A71230" w:rsidP="00C20202">
            <w:pPr>
              <w:pStyle w:val="ExhibitText"/>
              <w:rPr>
                <w:rFonts w:eastAsiaTheme="minorHAnsi"/>
                <w:lang w:val="en-GB" w:eastAsia="fr-FR"/>
              </w:rPr>
            </w:pPr>
            <w:r w:rsidRPr="005633D9">
              <w:rPr>
                <w:lang w:val="en-GB" w:eastAsia="fr-FR"/>
              </w:rPr>
              <w:t>30% attrition/refusal rate in Cohorts B and C. </w:t>
            </w:r>
          </w:p>
        </w:tc>
        <w:tc>
          <w:tcPr>
            <w:tcW w:w="3722" w:type="dxa"/>
            <w:hideMark/>
          </w:tcPr>
          <w:p w:rsidR="00A71230" w:rsidRPr="005633D9" w:rsidRDefault="00A71230" w:rsidP="00C20202">
            <w:pPr>
              <w:pStyle w:val="ExhibitText"/>
              <w:rPr>
                <w:rFonts w:eastAsiaTheme="minorHAnsi"/>
                <w:lang w:val="en-GB" w:eastAsia="fr-FR"/>
              </w:rPr>
            </w:pPr>
            <w:r w:rsidRPr="005633D9">
              <w:rPr>
                <w:lang w:val="en-GB" w:eastAsia="fr-FR"/>
              </w:rPr>
              <w:t>Based on our prior experience conducting household surveys in West Africa.</w:t>
            </w:r>
          </w:p>
        </w:tc>
      </w:tr>
      <w:tr w:rsidR="00A71230" w:rsidRPr="005633D9" w:rsidTr="00C20202">
        <w:trPr>
          <w:cnfStyle w:val="000000100000" w:firstRow="0" w:lastRow="0" w:firstColumn="0" w:lastColumn="0" w:oddVBand="0" w:evenVBand="0" w:oddHBand="1" w:evenHBand="0" w:firstRowFirstColumn="0" w:firstRowLastColumn="0" w:lastRowFirstColumn="0" w:lastRowLastColumn="0"/>
          <w:trHeight w:val="661"/>
        </w:trPr>
        <w:tc>
          <w:tcPr>
            <w:tcW w:w="2559" w:type="dxa"/>
            <w:hideMark/>
          </w:tcPr>
          <w:p w:rsidR="00A71230" w:rsidRPr="005633D9" w:rsidRDefault="00A71230" w:rsidP="00C20202">
            <w:pPr>
              <w:pStyle w:val="ExhibitText"/>
              <w:rPr>
                <w:rFonts w:eastAsiaTheme="minorHAnsi"/>
                <w:lang w:val="en-GB" w:eastAsia="fr-FR"/>
              </w:rPr>
            </w:pPr>
            <w:r w:rsidRPr="005633D9">
              <w:rPr>
                <w:lang w:val="en-GB" w:eastAsia="fr-FR"/>
              </w:rPr>
              <w:t xml:space="preserve">Correlation between baseline and </w:t>
            </w:r>
            <w:r w:rsidR="00654E76" w:rsidRPr="005633D9">
              <w:rPr>
                <w:lang w:val="en-GB" w:eastAsia="fr-FR"/>
              </w:rPr>
              <w:t>endline</w:t>
            </w:r>
          </w:p>
        </w:tc>
        <w:tc>
          <w:tcPr>
            <w:tcW w:w="2963" w:type="dxa"/>
            <w:hideMark/>
          </w:tcPr>
          <w:p w:rsidR="00A71230" w:rsidRPr="005633D9" w:rsidRDefault="00A71230" w:rsidP="00C20202">
            <w:pPr>
              <w:pStyle w:val="ExhibitText"/>
              <w:rPr>
                <w:rFonts w:eastAsiaTheme="minorHAnsi"/>
                <w:lang w:val="en-GB" w:eastAsia="fr-FR"/>
              </w:rPr>
            </w:pPr>
            <w:r w:rsidRPr="005633D9">
              <w:rPr>
                <w:lang w:val="en-GB" w:eastAsia="fr-FR"/>
              </w:rPr>
              <w:t>20%</w:t>
            </w:r>
          </w:p>
        </w:tc>
        <w:tc>
          <w:tcPr>
            <w:tcW w:w="3722" w:type="dxa"/>
            <w:hideMark/>
          </w:tcPr>
          <w:p w:rsidR="00A71230" w:rsidRPr="005633D9" w:rsidRDefault="00A71230" w:rsidP="00C20202">
            <w:pPr>
              <w:pStyle w:val="ExhibitText"/>
              <w:numPr>
                <w:ilvl w:val="0"/>
                <w:numId w:val="43"/>
              </w:numPr>
              <w:rPr>
                <w:rFonts w:eastAsiaTheme="minorHAnsi"/>
                <w:lang w:val="en-GB"/>
              </w:rPr>
            </w:pPr>
            <w:r w:rsidRPr="005633D9">
              <w:rPr>
                <w:lang w:val="en-GB"/>
              </w:rPr>
              <w:t>Oladejo J., Lapido O.</w:t>
            </w:r>
            <w:r w:rsidR="00243735" w:rsidRPr="005633D9">
              <w:rPr>
                <w:lang w:val="en-GB"/>
              </w:rPr>
              <w:t xml:space="preserve"> </w:t>
            </w:r>
            <w:r w:rsidRPr="005633D9">
              <w:rPr>
                <w:lang w:val="en-GB"/>
              </w:rPr>
              <w:t xml:space="preserve">(2012) </w:t>
            </w:r>
          </w:p>
          <w:p w:rsidR="00A71230" w:rsidRPr="005633D9" w:rsidRDefault="00A71230" w:rsidP="00C20202">
            <w:pPr>
              <w:pStyle w:val="ExhibitText"/>
              <w:numPr>
                <w:ilvl w:val="0"/>
                <w:numId w:val="43"/>
              </w:numPr>
              <w:rPr>
                <w:lang w:val="en-GB"/>
              </w:rPr>
            </w:pPr>
            <w:r w:rsidRPr="005633D9">
              <w:rPr>
                <w:lang w:val="en-GB"/>
              </w:rPr>
              <w:t>Olarinde, et al.</w:t>
            </w:r>
            <w:r w:rsidR="00243735" w:rsidRPr="005633D9">
              <w:rPr>
                <w:lang w:val="en-GB"/>
              </w:rPr>
              <w:t xml:space="preserve"> </w:t>
            </w:r>
            <w:r w:rsidRPr="005633D9">
              <w:rPr>
                <w:lang w:val="en-GB"/>
              </w:rPr>
              <w:t xml:space="preserve">(2007) </w:t>
            </w:r>
          </w:p>
          <w:p w:rsidR="00A71230" w:rsidRPr="005633D9" w:rsidRDefault="00A71230" w:rsidP="00C20202">
            <w:pPr>
              <w:pStyle w:val="ExhibitText"/>
              <w:numPr>
                <w:ilvl w:val="0"/>
                <w:numId w:val="43"/>
              </w:numPr>
              <w:rPr>
                <w:lang w:val="en-GB"/>
              </w:rPr>
            </w:pPr>
            <w:r w:rsidRPr="005633D9">
              <w:rPr>
                <w:lang w:val="en-GB"/>
              </w:rPr>
              <w:t xml:space="preserve">Badu-Apraku , et al. (2012) </w:t>
            </w:r>
          </w:p>
        </w:tc>
      </w:tr>
    </w:tbl>
    <w:p w:rsidR="00EC70D2" w:rsidRPr="005633D9" w:rsidRDefault="00EC70D2" w:rsidP="00EC70D2">
      <w:pPr>
        <w:pStyle w:val="ExhibitSource"/>
        <w:rPr>
          <w:rFonts w:eastAsiaTheme="minorHAnsi"/>
          <w:lang w:val="en-GB"/>
        </w:rPr>
      </w:pPr>
      <w:r w:rsidRPr="005633D9">
        <w:rPr>
          <w:sz w:val="20"/>
          <w:vertAlign w:val="superscript"/>
          <w:lang w:val="en-GB" w:eastAsia="fr-FR"/>
        </w:rPr>
        <w:t>1</w:t>
      </w:r>
      <w:r w:rsidRPr="005633D9">
        <w:rPr>
          <w:sz w:val="20"/>
          <w:lang w:val="en-GB" w:eastAsia="fr-FR"/>
        </w:rPr>
        <w:t xml:space="preserve"> We did not find ICCs in the literature for the outcome of interest.</w:t>
      </w:r>
      <w:r w:rsidR="00243735" w:rsidRPr="005633D9">
        <w:rPr>
          <w:sz w:val="20"/>
          <w:lang w:val="en-GB" w:eastAsia="fr-FR"/>
        </w:rPr>
        <w:t xml:space="preserve"> </w:t>
      </w:r>
      <w:r w:rsidRPr="005633D9">
        <w:rPr>
          <w:sz w:val="20"/>
          <w:lang w:val="en-GB" w:eastAsia="fr-FR"/>
        </w:rPr>
        <w:t>Estimates of ICCs for per-capita household expenditure and food share in developing countries vary from .09 - .67, with highly urban areas exhibiting higher ICCs.</w:t>
      </w:r>
      <w:r w:rsidR="00243735" w:rsidRPr="005633D9">
        <w:rPr>
          <w:sz w:val="20"/>
          <w:lang w:val="en-GB" w:eastAsia="fr-FR"/>
        </w:rPr>
        <w:t xml:space="preserve"> </w:t>
      </w:r>
      <w:r w:rsidRPr="005633D9">
        <w:rPr>
          <w:sz w:val="20"/>
          <w:lang w:val="en-GB" w:eastAsia="fr-FR"/>
        </w:rPr>
        <w:t>Health care spending, household SES, health care outcome ICCs in West Africa are around .04.</w:t>
      </w:r>
    </w:p>
    <w:p w:rsidR="00355325" w:rsidRPr="005633D9" w:rsidRDefault="00D02D78" w:rsidP="00355325">
      <w:pPr>
        <w:pStyle w:val="BodyText"/>
      </w:pPr>
      <w:r>
        <w:fldChar w:fldCharType="begin"/>
      </w:r>
      <w:r>
        <w:instrText xml:space="preserve"> ADDIN EN.REFLIST </w:instrText>
      </w:r>
      <w:r>
        <w:fldChar w:fldCharType="end"/>
      </w:r>
    </w:p>
    <w:sectPr w:rsidR="00355325" w:rsidRPr="005633D9" w:rsidSect="00575C0C">
      <w:headerReference w:type="default" r:id="rId18"/>
      <w:footerReference w:type="default" r:id="rId19"/>
      <w:pgSz w:w="12240" w:h="15840" w:code="1"/>
      <w:pgMar w:top="1440" w:right="1440" w:bottom="1440" w:left="1440" w:header="720" w:footer="720" w:gutter="0"/>
      <w:pgNumType w:start="1"/>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93043" w:rsidRDefault="00F93043" w:rsidP="00D979EA">
      <w:r>
        <w:separator/>
      </w:r>
    </w:p>
  </w:endnote>
  <w:endnote w:type="continuationSeparator" w:id="0">
    <w:p w:rsidR="00F93043" w:rsidRDefault="00F93043" w:rsidP="00D979EA">
      <w:r>
        <w:continuationSeparator/>
      </w:r>
    </w:p>
  </w:endnote>
  <w:endnote w:type="continuationNotice" w:id="1">
    <w:p w:rsidR="00F93043" w:rsidRDefault="00F93043">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Arial Bold">
    <w:panose1 w:val="020B0704020202020204"/>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Gotham">
    <w:altName w:val="Gotham"/>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imes">
    <w:panose1 w:val="02020603050405020304"/>
    <w:charset w:val="00"/>
    <w:family w:val="roman"/>
    <w:pitch w:val="variable"/>
    <w:sig w:usb0="E0002AFF" w:usb1="C0007841" w:usb2="00000009" w:usb3="00000000" w:csb0="000001F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3043" w:rsidRPr="0066134E" w:rsidRDefault="00F93043" w:rsidP="00677314">
    <w:pPr>
      <w:pStyle w:val="Footer"/>
      <w:tabs>
        <w:tab w:val="clear" w:pos="4507"/>
        <w:tab w:val="clear" w:pos="9000"/>
        <w:tab w:val="center" w:pos="4680"/>
        <w:tab w:val="right" w:pos="9360"/>
      </w:tabs>
    </w:pPr>
    <w:r w:rsidRPr="00967D7C">
      <w:rPr>
        <w:color w:val="DA291C"/>
      </w:rPr>
      <w:t>Abt Associates</w:t>
    </w:r>
    <w:r>
      <w:rPr>
        <w:color w:val="DA291C"/>
      </w:rPr>
      <w:tab/>
      <w:t>AgResults Evaluation Design – Aflasafe Pilot</w:t>
    </w:r>
    <w:r w:rsidRPr="0066134E">
      <w:rPr>
        <w:rStyle w:val="PageNumber"/>
        <w:b/>
      </w:rPr>
      <w:tab/>
    </w:r>
    <w:r>
      <w:rPr>
        <w:rStyle w:val="PageNumber"/>
        <w:b/>
      </w:rPr>
      <w:t>December 30, 2014</w:t>
    </w:r>
    <w:r>
      <w:rPr>
        <w:rStyle w:val="PageNumber"/>
        <w:b/>
      </w:rPr>
      <w:t> </w:t>
    </w:r>
    <w:r>
      <w:rPr>
        <w:rStyle w:val="PageNumber"/>
        <w:rFonts w:cs="Arial"/>
        <w:b/>
      </w:rPr>
      <w:t>▌</w:t>
    </w:r>
    <w:r w:rsidRPr="00597B60">
      <w:rPr>
        <w:rStyle w:val="PageNumber"/>
        <w:b/>
        <w:color w:val="DA291C"/>
      </w:rPr>
      <w:fldChar w:fldCharType="begin"/>
    </w:r>
    <w:r w:rsidRPr="00597B60">
      <w:rPr>
        <w:rStyle w:val="PageNumber"/>
        <w:b/>
        <w:color w:val="DA291C"/>
      </w:rPr>
      <w:instrText xml:space="preserve"> PAGE   \* MERGEFORMAT </w:instrText>
    </w:r>
    <w:r w:rsidRPr="00597B60">
      <w:rPr>
        <w:rStyle w:val="PageNumber"/>
        <w:b/>
        <w:color w:val="DA291C"/>
      </w:rPr>
      <w:fldChar w:fldCharType="separate"/>
    </w:r>
    <w:r w:rsidR="00726175">
      <w:rPr>
        <w:rStyle w:val="PageNumber"/>
        <w:b/>
        <w:noProof/>
        <w:color w:val="DA291C"/>
      </w:rPr>
      <w:t>ii</w:t>
    </w:r>
    <w:r w:rsidRPr="00597B60">
      <w:rPr>
        <w:rStyle w:val="PageNumber"/>
        <w:b/>
        <w:noProof/>
        <w:color w:val="DA291C"/>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3043" w:rsidRPr="0066134E" w:rsidRDefault="00F93043" w:rsidP="00677314">
    <w:pPr>
      <w:pStyle w:val="Footer"/>
      <w:tabs>
        <w:tab w:val="clear" w:pos="9000"/>
        <w:tab w:val="right" w:pos="9360"/>
      </w:tabs>
    </w:pPr>
    <w:r w:rsidRPr="00967D7C">
      <w:rPr>
        <w:color w:val="DA291C"/>
      </w:rPr>
      <w:t>Abt Associates</w:t>
    </w:r>
    <w:r>
      <w:rPr>
        <w:color w:val="DA291C"/>
      </w:rPr>
      <w:tab/>
      <w:t>AgResults Evaluation Design – Aflasafe Pilot</w:t>
    </w:r>
    <w:r w:rsidRPr="0066134E">
      <w:rPr>
        <w:rStyle w:val="PageNumber"/>
        <w:b/>
      </w:rPr>
      <w:tab/>
    </w:r>
    <w:r>
      <w:rPr>
        <w:rStyle w:val="PageNumber"/>
        <w:b/>
      </w:rPr>
      <w:t>December 30, 2014</w:t>
    </w:r>
    <w:r>
      <w:rPr>
        <w:rStyle w:val="PageNumber"/>
        <w:b/>
      </w:rPr>
      <w:t> </w:t>
    </w:r>
    <w:r>
      <w:rPr>
        <w:rStyle w:val="PageNumber"/>
        <w:rFonts w:cs="Arial"/>
        <w:b/>
      </w:rPr>
      <w:t>▌</w:t>
    </w:r>
    <w:r w:rsidRPr="00597B60">
      <w:rPr>
        <w:rStyle w:val="PageNumber"/>
        <w:b/>
        <w:color w:val="DA291C"/>
      </w:rPr>
      <w:fldChar w:fldCharType="begin"/>
    </w:r>
    <w:r w:rsidRPr="00597B60">
      <w:rPr>
        <w:rStyle w:val="PageNumber"/>
        <w:b/>
        <w:color w:val="DA291C"/>
      </w:rPr>
      <w:instrText xml:space="preserve"> PAGE   \* MERGEFORMAT </w:instrText>
    </w:r>
    <w:r w:rsidRPr="00597B60">
      <w:rPr>
        <w:rStyle w:val="PageNumber"/>
        <w:b/>
        <w:color w:val="DA291C"/>
      </w:rPr>
      <w:fldChar w:fldCharType="separate"/>
    </w:r>
    <w:r w:rsidR="00726175">
      <w:rPr>
        <w:rStyle w:val="PageNumber"/>
        <w:b/>
        <w:noProof/>
        <w:color w:val="DA291C"/>
      </w:rPr>
      <w:t>67</w:t>
    </w:r>
    <w:r w:rsidRPr="00597B60">
      <w:rPr>
        <w:rStyle w:val="PageNumber"/>
        <w:b/>
        <w:noProof/>
        <w:color w:val="DA291C"/>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93043" w:rsidRDefault="00F93043" w:rsidP="00D979EA">
      <w:r>
        <w:separator/>
      </w:r>
    </w:p>
  </w:footnote>
  <w:footnote w:type="continuationSeparator" w:id="0">
    <w:p w:rsidR="00F93043" w:rsidRDefault="00F93043" w:rsidP="00D979EA">
      <w:r>
        <w:continuationSeparator/>
      </w:r>
    </w:p>
  </w:footnote>
  <w:footnote w:type="continuationNotice" w:id="1">
    <w:p w:rsidR="00F93043" w:rsidRDefault="00F93043">
      <w:pPr>
        <w:spacing w:after="0"/>
      </w:pPr>
    </w:p>
  </w:footnote>
  <w:footnote w:id="2">
    <w:p w:rsidR="00F93043" w:rsidRPr="00420101" w:rsidRDefault="00F93043" w:rsidP="00420101">
      <w:pPr>
        <w:pStyle w:val="FootnoteText"/>
      </w:pPr>
      <w:r w:rsidRPr="00BB25C5">
        <w:rPr>
          <w:rStyle w:val="FootnoteReference"/>
        </w:rPr>
        <w:footnoteRef/>
      </w:r>
      <w:r w:rsidRPr="00BB25C5">
        <w:rPr>
          <w:rStyle w:val="FootnoteReference"/>
        </w:rPr>
        <w:t xml:space="preserve"> </w:t>
      </w:r>
      <w:r>
        <w:tab/>
      </w:r>
      <w:r w:rsidRPr="00420101">
        <w:t>Publis</w:t>
      </w:r>
      <w:r>
        <w:t xml:space="preserve">hed papers with information on </w:t>
      </w:r>
      <w:r w:rsidRPr="00420101">
        <w:t>aflatoxin prevalence in maize in Nigeria: Bankole and Mabekoje, 2004; Udoh et al., 2000; Atehnkeng et al</w:t>
      </w:r>
      <w:r>
        <w:t>.</w:t>
      </w:r>
      <w:r w:rsidRPr="00420101">
        <w:t>, 2008; Oluwafemi and Ibeh, 2011; Bandyopadhyay et al</w:t>
      </w:r>
      <w:r>
        <w:t>.</w:t>
      </w:r>
      <w:r w:rsidRPr="00420101">
        <w:t xml:space="preserve">, </w:t>
      </w:r>
      <w:r>
        <w:t>2007; Oyelami et al., 1996; and</w:t>
      </w:r>
      <w:r w:rsidRPr="00420101">
        <w:t xml:space="preserve"> Adebajo et al</w:t>
      </w:r>
      <w:r>
        <w:t>.</w:t>
      </w:r>
      <w:r w:rsidRPr="00420101">
        <w:t>, 1994</w:t>
      </w:r>
      <w:r>
        <w:t>.</w:t>
      </w:r>
    </w:p>
  </w:footnote>
  <w:footnote w:id="3">
    <w:p w:rsidR="00F93043" w:rsidRDefault="00F93043" w:rsidP="0097379B">
      <w:pPr>
        <w:pStyle w:val="FootnoteText"/>
      </w:pPr>
      <w:r>
        <w:rPr>
          <w:rStyle w:val="FootnoteReference"/>
        </w:rPr>
        <w:footnoteRef/>
      </w:r>
      <w:r>
        <w:t xml:space="preserve"> </w:t>
      </w:r>
      <w:r>
        <w:tab/>
      </w:r>
      <w:r w:rsidRPr="00663099">
        <w:rPr>
          <w:rStyle w:val="FootnoteTextChar"/>
        </w:rPr>
        <w:t>An exception to this lack of awareness is the farmers and market actors who have been subject to specific educational campaigns such as those implemented by the International Institute for Tropical Agriculture (IITA).</w:t>
      </w:r>
      <w:r w:rsidRPr="006348BD">
        <w:t xml:space="preserve"> </w:t>
      </w:r>
    </w:p>
  </w:footnote>
  <w:footnote w:id="4">
    <w:p w:rsidR="00F93043" w:rsidRDefault="00F93043">
      <w:pPr>
        <w:pStyle w:val="FootnoteText"/>
      </w:pPr>
      <w:r>
        <w:rPr>
          <w:rStyle w:val="FootnoteReference"/>
        </w:rPr>
        <w:footnoteRef/>
      </w:r>
      <w:r>
        <w:t xml:space="preserve"> </w:t>
      </w:r>
      <w:r>
        <w:tab/>
      </w:r>
      <w:r w:rsidRPr="00663099">
        <w:t>Thirty</w:t>
      </w:r>
      <w:r>
        <w:t xml:space="preserve"> </w:t>
      </w:r>
      <w:r w:rsidRPr="00663099">
        <w:t>percent of maize is grown by large-scale farmers who produce primarily for market. These farmers typically own 10</w:t>
      </w:r>
      <w:r>
        <w:t>–</w:t>
      </w:r>
      <w:r w:rsidRPr="00663099">
        <w:t>15 ha of land, and have yields up to 5 MT/ha (Dahlberg</w:t>
      </w:r>
      <w:r>
        <w:t>,</w:t>
      </w:r>
      <w:r w:rsidRPr="00663099">
        <w:t xml:space="preserve"> 2012).</w:t>
      </w:r>
    </w:p>
  </w:footnote>
  <w:footnote w:id="5">
    <w:p w:rsidR="00F93043" w:rsidRDefault="00F93043">
      <w:pPr>
        <w:pStyle w:val="FootnoteText"/>
      </w:pPr>
      <w:r>
        <w:rPr>
          <w:rStyle w:val="FootnoteReference"/>
        </w:rPr>
        <w:footnoteRef/>
      </w:r>
      <w:r>
        <w:t xml:space="preserve"> </w:t>
      </w:r>
      <w:r>
        <w:tab/>
        <w:t>These projections are approximate, as they are still being finalized by the Pilot Manager and Secretariat.</w:t>
      </w:r>
    </w:p>
  </w:footnote>
  <w:footnote w:id="6">
    <w:p w:rsidR="00F93043" w:rsidRPr="00FE392B" w:rsidRDefault="00F93043" w:rsidP="004157AD">
      <w:pPr>
        <w:pStyle w:val="FootnoteText"/>
        <w:rPr>
          <w:lang w:val="en-GB"/>
        </w:rPr>
      </w:pPr>
      <w:r>
        <w:rPr>
          <w:rStyle w:val="FootnoteReference"/>
        </w:rPr>
        <w:footnoteRef/>
      </w:r>
      <w:r>
        <w:t xml:space="preserve"> </w:t>
      </w:r>
      <w:r>
        <w:tab/>
      </w:r>
      <w:r w:rsidRPr="00FE392B">
        <w:rPr>
          <w:lang w:val="en-GB"/>
        </w:rPr>
        <w:t xml:space="preserve">The SCP paradigm is a product of the Industrial Organisation school of economics </w:t>
      </w:r>
      <w:r>
        <w:rPr>
          <w:noProof/>
          <w:lang w:val="en-GB"/>
        </w:rPr>
        <w:t>(Caves, 1987; Scherer &amp; Ross, 1990)</w:t>
      </w:r>
      <w:r w:rsidRPr="00FE392B">
        <w:rPr>
          <w:lang w:val="en-GB"/>
        </w:rPr>
        <w:t xml:space="preserve">. The use of SCP as an evaluation tool was pioneered by John Holtzman of Abt Associates </w:t>
      </w:r>
      <w:r w:rsidRPr="00FE392B">
        <w:rPr>
          <w:noProof/>
          <w:lang w:val="en-GB"/>
        </w:rPr>
        <w:t>(Holtzman, 2003)</w:t>
      </w:r>
      <w:r w:rsidRPr="00FE392B">
        <w:rPr>
          <w:lang w:val="en-GB"/>
        </w:rPr>
        <w:t>.</w:t>
      </w:r>
    </w:p>
  </w:footnote>
  <w:footnote w:id="7">
    <w:p w:rsidR="00F93043" w:rsidRDefault="00F93043">
      <w:pPr>
        <w:pStyle w:val="FootnoteText"/>
      </w:pPr>
      <w:r>
        <w:rPr>
          <w:rStyle w:val="FootnoteReference"/>
        </w:rPr>
        <w:footnoteRef/>
      </w:r>
      <w:r>
        <w:t xml:space="preserve"> </w:t>
      </w:r>
      <w:r>
        <w:tab/>
        <w:t>As noted above, the pilot is expected to run for one more year, presenting an opportunity to assess impacts after an additional year’s pilot implementation. Therefore, we hope to work with the implementers to keep Cohort C untouched until the fourth year of the pilot, but will be prepared to conduct our endline in the third year if implementers expect to roll out the pilot in Cohort C villages in the third year itself.</w:t>
      </w:r>
    </w:p>
  </w:footnote>
  <w:footnote w:id="8">
    <w:p w:rsidR="00F93043" w:rsidRDefault="00F93043" w:rsidP="00327EE7">
      <w:pPr>
        <w:pStyle w:val="FootnoteText"/>
      </w:pPr>
      <w:r>
        <w:rPr>
          <w:rStyle w:val="FootnoteReference"/>
        </w:rPr>
        <w:footnoteRef/>
      </w:r>
      <w:r>
        <w:t xml:space="preserve"> </w:t>
      </w:r>
      <w:r>
        <w:tab/>
        <w:t>Unfortunately, we cannot wait for the QED implementer itself to make the selection of final year villages and smallholders since the evaluation needs to conduct baseline interviews with all farmers in the study sample.</w:t>
      </w:r>
    </w:p>
  </w:footnote>
  <w:footnote w:id="9">
    <w:p w:rsidR="00F93043" w:rsidRDefault="00F93043">
      <w:pPr>
        <w:pStyle w:val="FootnoteText"/>
      </w:pPr>
      <w:r>
        <w:rPr>
          <w:rStyle w:val="FootnoteReference"/>
        </w:rPr>
        <w:footnoteRef/>
      </w:r>
      <w:r>
        <w:t xml:space="preserve"> </w:t>
      </w:r>
      <w:r>
        <w:tab/>
        <w:t>It is important to note that several awareness programs are ongoing, most notably those of IITA and NAFDAC. In addition, some aggregators have initiated early awareness campaigns to recruit farmers. This implies that our impact estimates will provide impact of AgResults over and above the general awareness campaigns.</w:t>
      </w:r>
    </w:p>
  </w:footnote>
  <w:footnote w:id="10">
    <w:p w:rsidR="00F93043" w:rsidRDefault="00F93043" w:rsidP="004E32F8">
      <w:pPr>
        <w:pStyle w:val="FootnoteText"/>
      </w:pPr>
      <w:r>
        <w:rPr>
          <w:rStyle w:val="FootnoteReference"/>
        </w:rPr>
        <w:footnoteRef/>
      </w:r>
      <w:r>
        <w:t xml:space="preserve"> </w:t>
      </w:r>
      <w:r>
        <w:tab/>
      </w:r>
      <w:r w:rsidRPr="005F53E4">
        <w:t xml:space="preserve">If any implementer expresses the desire to require a specific village to be implemented in a certain year, that village </w:t>
      </w:r>
      <w:r>
        <w:t>is</w:t>
      </w:r>
      <w:r w:rsidRPr="005F53E4">
        <w:t xml:space="preserve"> excluded from the sample.</w:t>
      </w:r>
    </w:p>
  </w:footnote>
  <w:footnote w:id="11">
    <w:p w:rsidR="00F93043" w:rsidRDefault="00F93043">
      <w:pPr>
        <w:pStyle w:val="FootnoteText"/>
      </w:pPr>
      <w:r w:rsidRPr="008E5476">
        <w:rPr>
          <w:rStyle w:val="FootnoteReference"/>
        </w:rPr>
        <w:footnoteRef/>
      </w:r>
      <w:r w:rsidRPr="008E5476">
        <w:t xml:space="preserve"> </w:t>
      </w:r>
      <w:r>
        <w:tab/>
      </w:r>
      <w:r w:rsidRPr="008E5476">
        <w:t>Based on data from the pre-pilot implementation (or year 0),</w:t>
      </w:r>
      <w:r>
        <w:t xml:space="preserve"> </w:t>
      </w:r>
      <w:r w:rsidRPr="008E5476">
        <w:t xml:space="preserve">“Process and Procedure for Aflasafe in 2013 – AgResults Project”, the pilot engaged 1015 farmers across all </w:t>
      </w:r>
      <w:r w:rsidRPr="00AC1804">
        <w:t>aggregators</w:t>
      </w:r>
      <w:r w:rsidRPr="008E5476">
        <w:t xml:space="preserve"> </w:t>
      </w:r>
      <w:r w:rsidRPr="00AC1804">
        <w:t>of which 660 farmers applied Aflasafe and from whom the aggregators procured maize.</w:t>
      </w:r>
      <w:r>
        <w:t xml:space="preserve"> </w:t>
      </w:r>
      <w:r w:rsidRPr="00AC1804">
        <w:t xml:space="preserve">Information was available on total maize production for these farmers (1691 </w:t>
      </w:r>
      <w:r>
        <w:t>MTs</w:t>
      </w:r>
      <w:r w:rsidRPr="00AC1804">
        <w:t xml:space="preserve">), but maize production data </w:t>
      </w:r>
      <w:r>
        <w:t>were</w:t>
      </w:r>
      <w:r w:rsidRPr="00AC1804">
        <w:t xml:space="preserve"> not available for farmers from whom aggr</w:t>
      </w:r>
      <w:r>
        <w:t xml:space="preserve">egators did not procure maize. </w:t>
      </w:r>
      <w:r w:rsidRPr="00AC1804">
        <w:t xml:space="preserve">Using average maize production per farmer, from farmers that aggregators procured </w:t>
      </w:r>
      <w:r>
        <w:t xml:space="preserve">maize </w:t>
      </w:r>
      <w:r w:rsidRPr="00AC1804">
        <w:t>from, we</w:t>
      </w:r>
      <w:r w:rsidRPr="008E5476">
        <w:t xml:space="preserve"> estimate</w:t>
      </w:r>
      <w:r w:rsidRPr="00AC1804">
        <w:t xml:space="preserve"> that the total maize production for all 1015 farmers was </w:t>
      </w:r>
      <w:r w:rsidRPr="008E5476">
        <w:t xml:space="preserve">about 3600 </w:t>
      </w:r>
      <w:r>
        <w:t>MTs</w:t>
      </w:r>
      <w:r w:rsidRPr="008E5476">
        <w:t xml:space="preserve"> </w:t>
      </w:r>
      <w:r w:rsidRPr="00AC1804">
        <w:t xml:space="preserve">in </w:t>
      </w:r>
      <w:r w:rsidRPr="008E5476">
        <w:t xml:space="preserve">the 2014 planting season. </w:t>
      </w:r>
      <w:r w:rsidRPr="00AC1804">
        <w:t xml:space="preserve">Of this total, an estimated </w:t>
      </w:r>
      <w:r w:rsidRPr="008E5476">
        <w:t>47</w:t>
      </w:r>
      <w:r>
        <w:t xml:space="preserve"> percent</w:t>
      </w:r>
      <w:r w:rsidRPr="00AC1804">
        <w:t xml:space="preserve"> (1691 </w:t>
      </w:r>
      <w:r>
        <w:t>MTs</w:t>
      </w:r>
      <w:r w:rsidRPr="00AC1804">
        <w:t>)</w:t>
      </w:r>
      <w:r w:rsidRPr="008E5476">
        <w:t xml:space="preserve"> </w:t>
      </w:r>
      <w:r>
        <w:t xml:space="preserve">of </w:t>
      </w:r>
      <w:r w:rsidRPr="00AC1804">
        <w:t>maize was</w:t>
      </w:r>
      <w:r w:rsidRPr="008E5476">
        <w:t xml:space="preserve"> aggregated</w:t>
      </w:r>
      <w:r>
        <w:t>,</w:t>
      </w:r>
      <w:r w:rsidRPr="00AC1804">
        <w:t xml:space="preserve"> </w:t>
      </w:r>
      <w:r w:rsidRPr="008E5476">
        <w:t>and 42.6</w:t>
      </w:r>
      <w:r>
        <w:t xml:space="preserve"> percent</w:t>
      </w:r>
      <w:r w:rsidRPr="00AC1804">
        <w:t xml:space="preserve"> (</w:t>
      </w:r>
      <w:r w:rsidRPr="008E5476">
        <w:t xml:space="preserve">1538 </w:t>
      </w:r>
      <w:r>
        <w:t>MTs</w:t>
      </w:r>
      <w:r w:rsidRPr="008E5476">
        <w:t>) w</w:t>
      </w:r>
      <w:r w:rsidRPr="00AC1804">
        <w:t>as</w:t>
      </w:r>
      <w:r w:rsidRPr="008E5476">
        <w:t xml:space="preserve"> deemed </w:t>
      </w:r>
      <w:r w:rsidRPr="00AC1804">
        <w:t xml:space="preserve">by the pilot verifiers </w:t>
      </w:r>
      <w:r w:rsidRPr="008E5476">
        <w:t>to have a mean percentage of Aflasafe above the threshold (70</w:t>
      </w:r>
      <w:r>
        <w:t xml:space="preserve"> percent</w:t>
      </w:r>
      <w:r w:rsidRPr="008E5476">
        <w:t xml:space="preserve"> Aflasafe presence). </w:t>
      </w:r>
      <w:r w:rsidRPr="00AC1804">
        <w:t>In summary, in the pre-pilot approximately 43</w:t>
      </w:r>
      <w:r>
        <w:t xml:space="preserve"> percent</w:t>
      </w:r>
      <w:r w:rsidRPr="00AC1804">
        <w:t xml:space="preserve"> of maize had Aflasafe levels above the threshold.</w:t>
      </w:r>
    </w:p>
  </w:footnote>
  <w:footnote w:id="12">
    <w:p w:rsidR="00F93043" w:rsidRDefault="00F93043">
      <w:pPr>
        <w:pStyle w:val="FootnoteText"/>
      </w:pPr>
      <w:r>
        <w:rPr>
          <w:rStyle w:val="FootnoteReference"/>
        </w:rPr>
        <w:footnoteRef/>
      </w:r>
      <w:r>
        <w:t xml:space="preserve"> </w:t>
      </w:r>
      <w:r>
        <w:tab/>
      </w:r>
      <w:r w:rsidRPr="005902D6">
        <w:t>The Aflasafe pilot business plan notes an expected net revenue increase of $130 per acre (Dahlberg, 2012</w:t>
      </w:r>
      <w:r>
        <w:t>, 32</w:t>
      </w:r>
      <w:r w:rsidRPr="005902D6">
        <w:t>)</w:t>
      </w:r>
      <w:r>
        <w:t>,</w:t>
      </w:r>
      <w:r w:rsidRPr="005902D6">
        <w:t xml:space="preserve"> assuming that the pilot achieves yield of 4 </w:t>
      </w:r>
      <w:r>
        <w:t>MTs</w:t>
      </w:r>
      <w:r w:rsidRPr="005902D6">
        <w:t xml:space="preserve"> per hectare compared to baseline yields of 2 </w:t>
      </w:r>
      <w:r>
        <w:t>MTs</w:t>
      </w:r>
      <w:r w:rsidRPr="005902D6">
        <w:t xml:space="preserve"> per hectare with 1 </w:t>
      </w:r>
      <w:r>
        <w:t>MT</w:t>
      </w:r>
      <w:r w:rsidRPr="005902D6">
        <w:t xml:space="preserve"> of maize set aside for own consumption, and maize price of $18 per </w:t>
      </w:r>
      <w:r>
        <w:t xml:space="preserve">metric </w:t>
      </w:r>
      <w:r w:rsidRPr="005902D6">
        <w:t xml:space="preserve">ton. The pre-pilot achieved yield close to 4 </w:t>
      </w:r>
      <w:r>
        <w:t>MTs</w:t>
      </w:r>
      <w:r w:rsidRPr="005902D6">
        <w:t xml:space="preserve"> (3.94 </w:t>
      </w:r>
      <w:r>
        <w:t>MTs</w:t>
      </w:r>
      <w:r w:rsidRPr="005902D6">
        <w:t xml:space="preserve">/ha) and reported average premiums above </w:t>
      </w:r>
      <w:r>
        <w:t xml:space="preserve">the </w:t>
      </w:r>
      <w:r w:rsidRPr="005902D6">
        <w:t>market price of $22 as noted in a</w:t>
      </w:r>
      <w:r>
        <w:t xml:space="preserve"> P</w:t>
      </w:r>
      <w:r w:rsidRPr="005902D6">
        <w:t>ower</w:t>
      </w:r>
      <w:r>
        <w:t>P</w:t>
      </w:r>
      <w:r w:rsidRPr="005902D6">
        <w:t>oint presentation titled “</w:t>
      </w:r>
      <w:r w:rsidRPr="00A567CD">
        <w:rPr>
          <w:bCs/>
        </w:rPr>
        <w:t>AgResults Nigeria Aflasafe Pilot Intermediate Results Analysis”, June 2014.</w:t>
      </w:r>
    </w:p>
  </w:footnote>
  <w:footnote w:id="13">
    <w:p w:rsidR="00F93043" w:rsidRDefault="00F93043">
      <w:pPr>
        <w:pStyle w:val="FootnoteText"/>
      </w:pPr>
      <w:r>
        <w:rPr>
          <w:rStyle w:val="FootnoteReference"/>
        </w:rPr>
        <w:footnoteRef/>
      </w:r>
      <w:r>
        <w:t xml:space="preserve"> </w:t>
      </w:r>
      <w:r>
        <w:tab/>
        <w:t>We considered introducing incentives for smallholders to adhere to the randomization but determined that these could interfere with the performance of the pull mechanism and decided against using incentives.</w:t>
      </w:r>
    </w:p>
  </w:footnote>
  <w:footnote w:id="14">
    <w:p w:rsidR="00F93043" w:rsidRDefault="00F93043">
      <w:pPr>
        <w:pStyle w:val="FootnoteText"/>
      </w:pPr>
      <w:r>
        <w:rPr>
          <w:rStyle w:val="FootnoteReference"/>
        </w:rPr>
        <w:footnoteRef/>
      </w:r>
      <w:r>
        <w:t xml:space="preserve"> </w:t>
      </w:r>
      <w:r>
        <w:tab/>
      </w:r>
      <w:r w:rsidR="00C147E8">
        <w:t xml:space="preserve">The QED implementer </w:t>
      </w:r>
      <w:r>
        <w:t>is the highest-performing aggregator so far with highest yield increases and premiums for aflatoxin-free maize ($240/MT premium over normal price).</w:t>
      </w:r>
    </w:p>
  </w:footnote>
  <w:footnote w:id="15">
    <w:p w:rsidR="00F93043" w:rsidRDefault="00F93043" w:rsidP="00546949">
      <w:pPr>
        <w:pStyle w:val="FootnoteText"/>
      </w:pPr>
      <w:r>
        <w:rPr>
          <w:rStyle w:val="FootnoteReference"/>
        </w:rPr>
        <w:footnoteRef/>
      </w:r>
      <w:r>
        <w:t xml:space="preserve"> </w:t>
      </w:r>
      <w:r>
        <w:tab/>
        <w:t>Villages in Cohort A can no longer be included in the baseline survey, having already entered the pilot in 2014.</w:t>
      </w:r>
    </w:p>
  </w:footnote>
  <w:footnote w:id="16">
    <w:p w:rsidR="00F93043" w:rsidRDefault="00F93043" w:rsidP="00D139EC">
      <w:pPr>
        <w:pStyle w:val="FootnoteText"/>
      </w:pPr>
      <w:r>
        <w:rPr>
          <w:rStyle w:val="FootnoteReference"/>
        </w:rPr>
        <w:footnoteRef/>
      </w:r>
      <w:r>
        <w:t xml:space="preserve"> </w:t>
      </w:r>
      <w:r>
        <w:tab/>
      </w:r>
      <w:r w:rsidRPr="00020573">
        <w:t>We will investigate whether all benefits and costs can be disaggregated in this way.</w:t>
      </w:r>
      <w:r>
        <w:t xml:space="preserve"> </w:t>
      </w:r>
      <w:r w:rsidRPr="00020573">
        <w:t xml:space="preserve">For an example of such a disaggregated analysis, see David Long et al., “Evaluating the Benefits and Costs of the Job Corps” in </w:t>
      </w:r>
      <w:r w:rsidRPr="00BB25C5">
        <w:rPr>
          <w:i/>
        </w:rPr>
        <w:t>Cost-</w:t>
      </w:r>
      <w:r w:rsidRPr="00020573">
        <w:rPr>
          <w:i/>
        </w:rPr>
        <w:t>Benefit Analysis and Public Policy</w:t>
      </w:r>
      <w:r w:rsidRPr="00020573">
        <w:t>, ed. by David Weimer (New York, NY: John Wiley and Sons, 2008).</w:t>
      </w:r>
    </w:p>
  </w:footnote>
  <w:footnote w:id="17">
    <w:p w:rsidR="00F93043" w:rsidRDefault="00F93043" w:rsidP="008F64B0">
      <w:pPr>
        <w:pStyle w:val="FootnoteText"/>
      </w:pPr>
      <w:r>
        <w:rPr>
          <w:rStyle w:val="FootnoteReference"/>
        </w:rPr>
        <w:footnoteRef/>
      </w:r>
      <w:r>
        <w:t xml:space="preserve"> </w:t>
      </w:r>
      <w:r>
        <w:tab/>
        <w:t>The Abt team has issued an RFP and received proposals from three firms on November 10, 2014.</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3043" w:rsidRPr="00597B60" w:rsidRDefault="00F93043" w:rsidP="00214B73">
    <w:r w:rsidRPr="00597B60">
      <w:rPr>
        <w:sz w:val="36"/>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3043" w:rsidRPr="00EC4C30" w:rsidRDefault="00F93043" w:rsidP="00EC4C30"/>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3043" w:rsidRPr="007F4BFB" w:rsidRDefault="00F93043" w:rsidP="007F4BFB">
    <w:pPr>
      <w:spacing w:after="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94EFA0A"/>
    <w:lvl w:ilvl="0">
      <w:start w:val="1"/>
      <w:numFmt w:val="decimal"/>
      <w:lvlText w:val="%1."/>
      <w:lvlJc w:val="left"/>
      <w:pPr>
        <w:tabs>
          <w:tab w:val="num" w:pos="1800"/>
        </w:tabs>
        <w:ind w:left="1800" w:hanging="360"/>
      </w:pPr>
    </w:lvl>
  </w:abstractNum>
  <w:abstractNum w:abstractNumId="1">
    <w:nsid w:val="FFFFFF7D"/>
    <w:multiLevelType w:val="singleLevel"/>
    <w:tmpl w:val="B36A694C"/>
    <w:lvl w:ilvl="0">
      <w:start w:val="1"/>
      <w:numFmt w:val="decimal"/>
      <w:lvlText w:val="%1."/>
      <w:lvlJc w:val="left"/>
      <w:pPr>
        <w:tabs>
          <w:tab w:val="num" w:pos="1440"/>
        </w:tabs>
        <w:ind w:left="1440" w:hanging="360"/>
      </w:pPr>
    </w:lvl>
  </w:abstractNum>
  <w:abstractNum w:abstractNumId="2">
    <w:nsid w:val="FFFFFF7E"/>
    <w:multiLevelType w:val="singleLevel"/>
    <w:tmpl w:val="718C6C0E"/>
    <w:lvl w:ilvl="0">
      <w:start w:val="1"/>
      <w:numFmt w:val="decimal"/>
      <w:lvlText w:val="%1."/>
      <w:lvlJc w:val="left"/>
      <w:pPr>
        <w:tabs>
          <w:tab w:val="num" w:pos="1080"/>
        </w:tabs>
        <w:ind w:left="1080" w:hanging="360"/>
      </w:pPr>
    </w:lvl>
  </w:abstractNum>
  <w:abstractNum w:abstractNumId="3">
    <w:nsid w:val="FFFFFF7F"/>
    <w:multiLevelType w:val="singleLevel"/>
    <w:tmpl w:val="D8BE9040"/>
    <w:lvl w:ilvl="0">
      <w:start w:val="1"/>
      <w:numFmt w:val="decimal"/>
      <w:lvlText w:val="%1."/>
      <w:lvlJc w:val="left"/>
      <w:pPr>
        <w:tabs>
          <w:tab w:val="num" w:pos="720"/>
        </w:tabs>
        <w:ind w:left="720" w:hanging="360"/>
      </w:pPr>
    </w:lvl>
  </w:abstractNum>
  <w:abstractNum w:abstractNumId="4">
    <w:nsid w:val="FFFFFF80"/>
    <w:multiLevelType w:val="singleLevel"/>
    <w:tmpl w:val="25BABE6A"/>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2CC031F6"/>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1D081536"/>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00A2B4A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77A0B89C"/>
    <w:lvl w:ilvl="0">
      <w:start w:val="1"/>
      <w:numFmt w:val="decimal"/>
      <w:lvlText w:val="%1."/>
      <w:lvlJc w:val="left"/>
      <w:pPr>
        <w:tabs>
          <w:tab w:val="num" w:pos="360"/>
        </w:tabs>
        <w:ind w:left="360" w:hanging="360"/>
      </w:pPr>
    </w:lvl>
  </w:abstractNum>
  <w:abstractNum w:abstractNumId="9">
    <w:nsid w:val="FFFFFF89"/>
    <w:multiLevelType w:val="singleLevel"/>
    <w:tmpl w:val="11ECCAF0"/>
    <w:lvl w:ilvl="0">
      <w:start w:val="1"/>
      <w:numFmt w:val="bullet"/>
      <w:lvlText w:val=""/>
      <w:lvlJc w:val="left"/>
      <w:pPr>
        <w:tabs>
          <w:tab w:val="num" w:pos="360"/>
        </w:tabs>
        <w:ind w:left="360" w:hanging="360"/>
      </w:pPr>
      <w:rPr>
        <w:rFonts w:ascii="Symbol" w:hAnsi="Symbol" w:hint="default"/>
      </w:rPr>
    </w:lvl>
  </w:abstractNum>
  <w:abstractNum w:abstractNumId="10">
    <w:nsid w:val="14E65E4C"/>
    <w:multiLevelType w:val="hybridMultilevel"/>
    <w:tmpl w:val="976229F4"/>
    <w:lvl w:ilvl="0" w:tplc="4B903FA4">
      <w:start w:val="1"/>
      <w:numFmt w:val="bullet"/>
      <w:lvlText w:val=""/>
      <w:lvlJc w:val="left"/>
      <w:pPr>
        <w:ind w:left="720" w:hanging="360"/>
      </w:pPr>
      <w:rPr>
        <w:rFonts w:ascii="Wingdings" w:hAnsi="Wingdings" w:cs="Times New Roman" w:hint="default"/>
        <w:color w:val="DA291C"/>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5CD070B"/>
    <w:multiLevelType w:val="multilevel"/>
    <w:tmpl w:val="AFCE256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
    <w:nsid w:val="221B1043"/>
    <w:multiLevelType w:val="hybridMultilevel"/>
    <w:tmpl w:val="1578F7F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24AC259B"/>
    <w:multiLevelType w:val="singleLevel"/>
    <w:tmpl w:val="01AC6EA0"/>
    <w:lvl w:ilvl="0">
      <w:start w:val="1"/>
      <w:numFmt w:val="decimal"/>
      <w:pStyle w:val="Numbers"/>
      <w:lvlText w:val="%1."/>
      <w:lvlJc w:val="left"/>
      <w:pPr>
        <w:tabs>
          <w:tab w:val="num" w:pos="1080"/>
        </w:tabs>
        <w:ind w:left="1080" w:hanging="360"/>
      </w:pPr>
    </w:lvl>
  </w:abstractNum>
  <w:abstractNum w:abstractNumId="14">
    <w:nsid w:val="2A9C543C"/>
    <w:multiLevelType w:val="multilevel"/>
    <w:tmpl w:val="0409001D"/>
    <w:styleLink w:val="Multipunch"/>
    <w:lvl w:ilvl="0">
      <w:start w:val="1"/>
      <w:numFmt w:val="bullet"/>
      <w:lvlText w:val=""/>
      <w:lvlJc w:val="left"/>
      <w:pPr>
        <w:ind w:left="360" w:hanging="360"/>
      </w:pPr>
      <w:rPr>
        <w:rFonts w:ascii="Wingdings" w:hAnsi="Wingdings"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2C211C1F"/>
    <w:multiLevelType w:val="hybridMultilevel"/>
    <w:tmpl w:val="0C404362"/>
    <w:lvl w:ilvl="0" w:tplc="4B903FA4">
      <w:start w:val="1"/>
      <w:numFmt w:val="bullet"/>
      <w:lvlText w:val=""/>
      <w:lvlJc w:val="left"/>
      <w:pPr>
        <w:ind w:left="720" w:hanging="360"/>
      </w:pPr>
      <w:rPr>
        <w:rFonts w:ascii="Wingdings" w:hAnsi="Wingdings" w:cs="Times New Roman" w:hint="default"/>
        <w:color w:val="DA291C"/>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7D63DA3"/>
    <w:multiLevelType w:val="hybridMultilevel"/>
    <w:tmpl w:val="BD04B6C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nsid w:val="38E44582"/>
    <w:multiLevelType w:val="hybridMultilevel"/>
    <w:tmpl w:val="97784FD4"/>
    <w:lvl w:ilvl="0" w:tplc="4B903FA4">
      <w:start w:val="1"/>
      <w:numFmt w:val="bullet"/>
      <w:lvlText w:val=""/>
      <w:lvlJc w:val="left"/>
      <w:pPr>
        <w:ind w:left="720" w:hanging="360"/>
      </w:pPr>
      <w:rPr>
        <w:rFonts w:ascii="Wingdings" w:hAnsi="Wingdings" w:cs="Times New Roman" w:hint="default"/>
        <w:color w:val="DA291C"/>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A6C1423"/>
    <w:multiLevelType w:val="hybridMultilevel"/>
    <w:tmpl w:val="7E76084E"/>
    <w:lvl w:ilvl="0" w:tplc="4B903FA4">
      <w:start w:val="1"/>
      <w:numFmt w:val="bullet"/>
      <w:lvlText w:val=""/>
      <w:lvlJc w:val="left"/>
      <w:pPr>
        <w:ind w:left="720" w:hanging="360"/>
      </w:pPr>
      <w:rPr>
        <w:rFonts w:ascii="Wingdings" w:hAnsi="Wingdings" w:cs="Times New Roman" w:hint="default"/>
        <w:color w:val="DA291C"/>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C1A67AF"/>
    <w:multiLevelType w:val="multilevel"/>
    <w:tmpl w:val="F2CE8BC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0">
    <w:nsid w:val="3CE84054"/>
    <w:multiLevelType w:val="hybridMultilevel"/>
    <w:tmpl w:val="1BACE7AA"/>
    <w:lvl w:ilvl="0" w:tplc="4B903FA4">
      <w:start w:val="1"/>
      <w:numFmt w:val="bullet"/>
      <w:lvlText w:val=""/>
      <w:lvlJc w:val="left"/>
      <w:pPr>
        <w:ind w:left="720" w:hanging="360"/>
      </w:pPr>
      <w:rPr>
        <w:rFonts w:ascii="Wingdings" w:hAnsi="Wingdings" w:cs="Times New Roman" w:hint="default"/>
        <w:color w:val="DA291C"/>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3CF835DD"/>
    <w:multiLevelType w:val="hybridMultilevel"/>
    <w:tmpl w:val="08F0510C"/>
    <w:lvl w:ilvl="0" w:tplc="8DB83544">
      <w:start w:val="1"/>
      <w:numFmt w:val="bullet"/>
      <w:pStyle w:val="ExhibitTextBullets"/>
      <w:lvlText w:val=""/>
      <w:lvlJc w:val="left"/>
      <w:pPr>
        <w:ind w:left="720" w:hanging="360"/>
      </w:pPr>
      <w:rPr>
        <w:rFonts w:ascii="Symbol" w:hAnsi="Symbol" w:hint="default"/>
        <w:color w:val="DA291C"/>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3EAD33C4"/>
    <w:multiLevelType w:val="multilevel"/>
    <w:tmpl w:val="7F2644D6"/>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8910"/>
        </w:tabs>
        <w:ind w:left="8910" w:hanging="720"/>
      </w:pPr>
      <w:rPr>
        <w:rFonts w:hint="default"/>
      </w:rPr>
    </w:lvl>
    <w:lvl w:ilvl="2">
      <w:start w:val="1"/>
      <w:numFmt w:val="decimal"/>
      <w:pStyle w:val="Heading3"/>
      <w:lvlText w:val="%1.%2.%3"/>
      <w:lvlJc w:val="left"/>
      <w:pPr>
        <w:tabs>
          <w:tab w:val="num" w:pos="5400"/>
        </w:tabs>
        <w:ind w:left="5400" w:hanging="720"/>
      </w:pPr>
      <w:rPr>
        <w:rFonts w:hint="default"/>
      </w:rPr>
    </w:lvl>
    <w:lvl w:ilvl="3">
      <w:start w:val="1"/>
      <w:numFmt w:val="none"/>
      <w:pStyle w:val="Heading4"/>
      <w:lvlText w:val=""/>
      <w:lvlJc w:val="left"/>
      <w:pPr>
        <w:tabs>
          <w:tab w:val="num" w:pos="0"/>
        </w:tabs>
        <w:ind w:left="0" w:firstLine="0"/>
      </w:pPr>
      <w:rPr>
        <w:rFonts w:hint="default"/>
      </w:rPr>
    </w:lvl>
    <w:lvl w:ilvl="4">
      <w:start w:val="1"/>
      <w:numFmt w:val="none"/>
      <w:pStyle w:val="Heading5"/>
      <w:suff w:val="nothing"/>
      <w:lvlText w:val=""/>
      <w:lvlJc w:val="left"/>
      <w:pPr>
        <w:ind w:left="0" w:firstLine="0"/>
      </w:pPr>
      <w:rPr>
        <w:rFonts w:hint="default"/>
      </w:rPr>
    </w:lvl>
    <w:lvl w:ilvl="5">
      <w:start w:val="1"/>
      <w:numFmt w:val="none"/>
      <w:pStyle w:val="Heading6"/>
      <w:suff w:val="nothing"/>
      <w:lvlText w:val=""/>
      <w:lvlJc w:val="left"/>
      <w:pPr>
        <w:ind w:left="0" w:firstLine="0"/>
      </w:pPr>
      <w:rPr>
        <w:rFonts w:hint="default"/>
      </w:rPr>
    </w:lvl>
    <w:lvl w:ilvl="6">
      <w:start w:val="1"/>
      <w:numFmt w:val="upperLetter"/>
      <w:pStyle w:val="Heading7"/>
      <w:suff w:val="space"/>
      <w:lvlText w:val="Appendix %7"/>
      <w:lvlJc w:val="left"/>
      <w:pPr>
        <w:ind w:left="0" w:firstLine="0"/>
      </w:pPr>
      <w:rPr>
        <w:rFonts w:hint="default"/>
      </w:rPr>
    </w:lvl>
    <w:lvl w:ilvl="7">
      <w:start w:val="1"/>
      <w:numFmt w:val="none"/>
      <w:pStyle w:val="Heading8"/>
      <w:suff w:val="nothing"/>
      <w:lvlText w:val=""/>
      <w:lvlJc w:val="left"/>
      <w:pPr>
        <w:ind w:left="0" w:firstLine="0"/>
      </w:pPr>
      <w:rPr>
        <w:rFonts w:hint="default"/>
      </w:rPr>
    </w:lvl>
    <w:lvl w:ilvl="8">
      <w:start w:val="1"/>
      <w:numFmt w:val="none"/>
      <w:pStyle w:val="Heading9"/>
      <w:suff w:val="nothing"/>
      <w:lvlText w:val=""/>
      <w:lvlJc w:val="left"/>
      <w:pPr>
        <w:ind w:left="0" w:firstLine="0"/>
      </w:pPr>
      <w:rPr>
        <w:rFonts w:hint="default"/>
      </w:rPr>
    </w:lvl>
  </w:abstractNum>
  <w:abstractNum w:abstractNumId="23">
    <w:nsid w:val="49B14283"/>
    <w:multiLevelType w:val="hybridMultilevel"/>
    <w:tmpl w:val="BEC8B77E"/>
    <w:lvl w:ilvl="0" w:tplc="4B903FA4">
      <w:start w:val="1"/>
      <w:numFmt w:val="bullet"/>
      <w:lvlText w:val=""/>
      <w:lvlJc w:val="left"/>
      <w:pPr>
        <w:ind w:left="720" w:hanging="360"/>
      </w:pPr>
      <w:rPr>
        <w:rFonts w:ascii="Wingdings" w:hAnsi="Wingdings" w:cs="Times New Roman" w:hint="default"/>
        <w:color w:val="DA291C"/>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4A0D1468"/>
    <w:multiLevelType w:val="hybridMultilevel"/>
    <w:tmpl w:val="7996F3D4"/>
    <w:lvl w:ilvl="0" w:tplc="59B02B24">
      <w:numFmt w:val="bullet"/>
      <w:lvlText w:val="-"/>
      <w:lvlJc w:val="left"/>
      <w:pPr>
        <w:ind w:left="612" w:hanging="360"/>
      </w:pPr>
      <w:rPr>
        <w:rFonts w:ascii="Arial Narrow" w:eastAsia="Times New Roman" w:hAnsi="Arial Narrow" w:cs="Arial" w:hint="default"/>
      </w:rPr>
    </w:lvl>
    <w:lvl w:ilvl="1" w:tplc="04090003" w:tentative="1">
      <w:start w:val="1"/>
      <w:numFmt w:val="bullet"/>
      <w:lvlText w:val="o"/>
      <w:lvlJc w:val="left"/>
      <w:pPr>
        <w:ind w:left="1332" w:hanging="360"/>
      </w:pPr>
      <w:rPr>
        <w:rFonts w:ascii="Courier New" w:hAnsi="Courier New" w:cs="Courier New" w:hint="default"/>
      </w:rPr>
    </w:lvl>
    <w:lvl w:ilvl="2" w:tplc="04090005" w:tentative="1">
      <w:start w:val="1"/>
      <w:numFmt w:val="bullet"/>
      <w:lvlText w:val=""/>
      <w:lvlJc w:val="left"/>
      <w:pPr>
        <w:ind w:left="2052" w:hanging="360"/>
      </w:pPr>
      <w:rPr>
        <w:rFonts w:ascii="Wingdings" w:hAnsi="Wingdings" w:hint="default"/>
      </w:rPr>
    </w:lvl>
    <w:lvl w:ilvl="3" w:tplc="04090001" w:tentative="1">
      <w:start w:val="1"/>
      <w:numFmt w:val="bullet"/>
      <w:lvlText w:val=""/>
      <w:lvlJc w:val="left"/>
      <w:pPr>
        <w:ind w:left="2772" w:hanging="360"/>
      </w:pPr>
      <w:rPr>
        <w:rFonts w:ascii="Symbol" w:hAnsi="Symbol" w:hint="default"/>
      </w:rPr>
    </w:lvl>
    <w:lvl w:ilvl="4" w:tplc="04090003" w:tentative="1">
      <w:start w:val="1"/>
      <w:numFmt w:val="bullet"/>
      <w:lvlText w:val="o"/>
      <w:lvlJc w:val="left"/>
      <w:pPr>
        <w:ind w:left="3492" w:hanging="360"/>
      </w:pPr>
      <w:rPr>
        <w:rFonts w:ascii="Courier New" w:hAnsi="Courier New" w:cs="Courier New" w:hint="default"/>
      </w:rPr>
    </w:lvl>
    <w:lvl w:ilvl="5" w:tplc="04090005" w:tentative="1">
      <w:start w:val="1"/>
      <w:numFmt w:val="bullet"/>
      <w:lvlText w:val=""/>
      <w:lvlJc w:val="left"/>
      <w:pPr>
        <w:ind w:left="4212" w:hanging="360"/>
      </w:pPr>
      <w:rPr>
        <w:rFonts w:ascii="Wingdings" w:hAnsi="Wingdings" w:hint="default"/>
      </w:rPr>
    </w:lvl>
    <w:lvl w:ilvl="6" w:tplc="04090001" w:tentative="1">
      <w:start w:val="1"/>
      <w:numFmt w:val="bullet"/>
      <w:lvlText w:val=""/>
      <w:lvlJc w:val="left"/>
      <w:pPr>
        <w:ind w:left="4932" w:hanging="360"/>
      </w:pPr>
      <w:rPr>
        <w:rFonts w:ascii="Symbol" w:hAnsi="Symbol" w:hint="default"/>
      </w:rPr>
    </w:lvl>
    <w:lvl w:ilvl="7" w:tplc="04090003" w:tentative="1">
      <w:start w:val="1"/>
      <w:numFmt w:val="bullet"/>
      <w:lvlText w:val="o"/>
      <w:lvlJc w:val="left"/>
      <w:pPr>
        <w:ind w:left="5652" w:hanging="360"/>
      </w:pPr>
      <w:rPr>
        <w:rFonts w:ascii="Courier New" w:hAnsi="Courier New" w:cs="Courier New" w:hint="default"/>
      </w:rPr>
    </w:lvl>
    <w:lvl w:ilvl="8" w:tplc="04090005" w:tentative="1">
      <w:start w:val="1"/>
      <w:numFmt w:val="bullet"/>
      <w:lvlText w:val=""/>
      <w:lvlJc w:val="left"/>
      <w:pPr>
        <w:ind w:left="6372" w:hanging="360"/>
      </w:pPr>
      <w:rPr>
        <w:rFonts w:ascii="Wingdings" w:hAnsi="Wingdings" w:hint="default"/>
      </w:rPr>
    </w:lvl>
  </w:abstractNum>
  <w:abstractNum w:abstractNumId="25">
    <w:nsid w:val="4A2778A6"/>
    <w:multiLevelType w:val="multilevel"/>
    <w:tmpl w:val="0409001D"/>
    <w:styleLink w:val="Singlepunch"/>
    <w:lvl w:ilvl="0">
      <w:start w:val="1"/>
      <w:numFmt w:val="bullet"/>
      <w:lvlText w:val=""/>
      <w:lvlJc w:val="left"/>
      <w:pPr>
        <w:ind w:left="360" w:hanging="360"/>
      </w:pPr>
      <w:rPr>
        <w:rFonts w:ascii="Wingdings" w:hAnsi="Wingdings"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nsid w:val="4E8C090B"/>
    <w:multiLevelType w:val="hybridMultilevel"/>
    <w:tmpl w:val="3752D470"/>
    <w:lvl w:ilvl="0" w:tplc="4B903FA4">
      <w:start w:val="1"/>
      <w:numFmt w:val="bullet"/>
      <w:lvlText w:val=""/>
      <w:lvlJc w:val="left"/>
      <w:pPr>
        <w:ind w:left="720" w:hanging="360"/>
      </w:pPr>
      <w:rPr>
        <w:rFonts w:ascii="Wingdings" w:hAnsi="Wingdings" w:cs="Times New Roman" w:hint="default"/>
        <w:color w:val="DA291C"/>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55556990"/>
    <w:multiLevelType w:val="multilevel"/>
    <w:tmpl w:val="F586D18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8">
    <w:nsid w:val="582B353D"/>
    <w:multiLevelType w:val="hybridMultilevel"/>
    <w:tmpl w:val="3362A96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58BA0F9C"/>
    <w:multiLevelType w:val="multilevel"/>
    <w:tmpl w:val="0C0CA79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0">
    <w:nsid w:val="5B214D73"/>
    <w:multiLevelType w:val="hybridMultilevel"/>
    <w:tmpl w:val="09DE0B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5C020B75"/>
    <w:multiLevelType w:val="hybridMultilevel"/>
    <w:tmpl w:val="27648A9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2">
    <w:nsid w:val="5FAB75C2"/>
    <w:multiLevelType w:val="hybridMultilevel"/>
    <w:tmpl w:val="AB7C284C"/>
    <w:lvl w:ilvl="0" w:tplc="04090001">
      <w:start w:val="1"/>
      <w:numFmt w:val="bullet"/>
      <w:lvlText w:val=""/>
      <w:lvlJc w:val="left"/>
      <w:pPr>
        <w:ind w:left="3600" w:hanging="360"/>
      </w:pPr>
      <w:rPr>
        <w:rFonts w:ascii="Symbol" w:hAnsi="Symbol" w:hint="default"/>
      </w:rPr>
    </w:lvl>
    <w:lvl w:ilvl="1" w:tplc="04090003" w:tentative="1">
      <w:start w:val="1"/>
      <w:numFmt w:val="bullet"/>
      <w:lvlText w:val="o"/>
      <w:lvlJc w:val="left"/>
      <w:pPr>
        <w:ind w:left="4320" w:hanging="360"/>
      </w:pPr>
      <w:rPr>
        <w:rFonts w:ascii="Courier New" w:hAnsi="Courier New" w:cs="Courier New" w:hint="default"/>
      </w:rPr>
    </w:lvl>
    <w:lvl w:ilvl="2" w:tplc="04090005" w:tentative="1">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cs="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cs="Courier New" w:hint="default"/>
      </w:rPr>
    </w:lvl>
    <w:lvl w:ilvl="8" w:tplc="04090005" w:tentative="1">
      <w:start w:val="1"/>
      <w:numFmt w:val="bullet"/>
      <w:lvlText w:val=""/>
      <w:lvlJc w:val="left"/>
      <w:pPr>
        <w:ind w:left="9360" w:hanging="360"/>
      </w:pPr>
      <w:rPr>
        <w:rFonts w:ascii="Wingdings" w:hAnsi="Wingdings" w:hint="default"/>
      </w:rPr>
    </w:lvl>
  </w:abstractNum>
  <w:abstractNum w:abstractNumId="33">
    <w:nsid w:val="6564022A"/>
    <w:multiLevelType w:val="hybridMultilevel"/>
    <w:tmpl w:val="7AE66B4A"/>
    <w:lvl w:ilvl="0" w:tplc="4B903FA4">
      <w:start w:val="1"/>
      <w:numFmt w:val="bullet"/>
      <w:lvlText w:val=""/>
      <w:lvlJc w:val="left"/>
      <w:pPr>
        <w:ind w:left="720" w:hanging="360"/>
      </w:pPr>
      <w:rPr>
        <w:rFonts w:ascii="Wingdings" w:hAnsi="Wingdings" w:cs="Times New Roman" w:hint="default"/>
        <w:color w:val="DA291C"/>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673823A3"/>
    <w:multiLevelType w:val="hybridMultilevel"/>
    <w:tmpl w:val="972A9B84"/>
    <w:lvl w:ilvl="0" w:tplc="4B903FA4">
      <w:start w:val="1"/>
      <w:numFmt w:val="bullet"/>
      <w:lvlText w:val=""/>
      <w:lvlJc w:val="left"/>
      <w:pPr>
        <w:ind w:left="720" w:hanging="360"/>
      </w:pPr>
      <w:rPr>
        <w:rFonts w:ascii="Wingdings" w:hAnsi="Wingdings" w:cs="Times New Roman" w:hint="default"/>
        <w:color w:val="DA291C"/>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69D4320D"/>
    <w:multiLevelType w:val="hybridMultilevel"/>
    <w:tmpl w:val="A958216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6">
    <w:nsid w:val="726F644F"/>
    <w:multiLevelType w:val="singleLevel"/>
    <w:tmpl w:val="4852FEBA"/>
    <w:lvl w:ilvl="0">
      <w:start w:val="1"/>
      <w:numFmt w:val="decimal"/>
      <w:pStyle w:val="RefNumbers"/>
      <w:lvlText w:val="%1."/>
      <w:lvlJc w:val="left"/>
      <w:pPr>
        <w:tabs>
          <w:tab w:val="num" w:pos="720"/>
        </w:tabs>
        <w:ind w:left="720" w:hanging="720"/>
      </w:pPr>
    </w:lvl>
  </w:abstractNum>
  <w:abstractNum w:abstractNumId="37">
    <w:nsid w:val="7866468D"/>
    <w:multiLevelType w:val="hybridMultilevel"/>
    <w:tmpl w:val="90544C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8">
    <w:nsid w:val="7AD63DA6"/>
    <w:multiLevelType w:val="singleLevel"/>
    <w:tmpl w:val="CBDA1C7C"/>
    <w:lvl w:ilvl="0">
      <w:start w:val="1"/>
      <w:numFmt w:val="bullet"/>
      <w:pStyle w:val="Bullets"/>
      <w:lvlText w:val=""/>
      <w:lvlJc w:val="left"/>
      <w:pPr>
        <w:ind w:left="360" w:hanging="360"/>
      </w:pPr>
      <w:rPr>
        <w:rFonts w:ascii="Symbol" w:hAnsi="Symbol" w:hint="default"/>
        <w:color w:val="DA291C"/>
        <w:sz w:val="22"/>
      </w:rPr>
    </w:lvl>
  </w:abstractNum>
  <w:abstractNum w:abstractNumId="39">
    <w:nsid w:val="7FCF753D"/>
    <w:multiLevelType w:val="hybridMultilevel"/>
    <w:tmpl w:val="A1E6A41C"/>
    <w:lvl w:ilvl="0" w:tplc="31A62D50">
      <w:start w:val="1"/>
      <w:numFmt w:val="bullet"/>
      <w:pStyle w:val="Bullet2"/>
      <w:lvlText w:val=""/>
      <w:lvlJc w:val="left"/>
      <w:pPr>
        <w:tabs>
          <w:tab w:val="num" w:pos="720"/>
        </w:tabs>
        <w:ind w:left="720" w:hanging="360"/>
      </w:pPr>
      <w:rPr>
        <w:rFonts w:ascii="Symbol" w:hAnsi="Symbol" w:hint="default"/>
        <w:color w:val="0000AC"/>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3"/>
  </w:num>
  <w:num w:numId="2">
    <w:abstractNumId w:val="36"/>
  </w:num>
  <w:num w:numId="3">
    <w:abstractNumId w:val="38"/>
  </w:num>
  <w:num w:numId="4">
    <w:abstractNumId w:val="22"/>
  </w:num>
  <w:num w:numId="5">
    <w:abstractNumId w:val="39"/>
  </w:num>
  <w:num w:numId="6">
    <w:abstractNumId w:val="21"/>
  </w:num>
  <w:num w:numId="7">
    <w:abstractNumId w:val="32"/>
  </w:num>
  <w:num w:numId="8">
    <w:abstractNumId w:val="18"/>
  </w:num>
  <w:num w:numId="9">
    <w:abstractNumId w:val="14"/>
  </w:num>
  <w:num w:numId="10">
    <w:abstractNumId w:val="25"/>
  </w:num>
  <w:num w:numId="11">
    <w:abstractNumId w:val="28"/>
  </w:num>
  <w:num w:numId="12">
    <w:abstractNumId w:val="30"/>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7"/>
  </w:num>
  <w:num w:numId="16">
    <w:abstractNumId w:val="33"/>
  </w:num>
  <w:num w:numId="17">
    <w:abstractNumId w:val="34"/>
  </w:num>
  <w:num w:numId="18">
    <w:abstractNumId w:val="23"/>
  </w:num>
  <w:num w:numId="19">
    <w:abstractNumId w:val="20"/>
  </w:num>
  <w:num w:numId="20">
    <w:abstractNumId w:val="15"/>
  </w:num>
  <w:num w:numId="21">
    <w:abstractNumId w:val="10"/>
  </w:num>
  <w:num w:numId="22">
    <w:abstractNumId w:val="26"/>
  </w:num>
  <w:num w:numId="23">
    <w:abstractNumId w:val="24"/>
  </w:num>
  <w:num w:numId="24">
    <w:abstractNumId w:val="9"/>
  </w:num>
  <w:num w:numId="25">
    <w:abstractNumId w:val="7"/>
  </w:num>
  <w:num w:numId="26">
    <w:abstractNumId w:val="6"/>
  </w:num>
  <w:num w:numId="27">
    <w:abstractNumId w:val="5"/>
  </w:num>
  <w:num w:numId="28">
    <w:abstractNumId w:val="4"/>
  </w:num>
  <w:num w:numId="29">
    <w:abstractNumId w:val="8"/>
  </w:num>
  <w:num w:numId="30">
    <w:abstractNumId w:val="3"/>
  </w:num>
  <w:num w:numId="31">
    <w:abstractNumId w:val="2"/>
  </w:num>
  <w:num w:numId="32">
    <w:abstractNumId w:val="1"/>
  </w:num>
  <w:num w:numId="33">
    <w:abstractNumId w:val="0"/>
  </w:num>
  <w:num w:numId="34">
    <w:abstractNumId w:val="35"/>
  </w:num>
  <w:num w:numId="35">
    <w:abstractNumId w:val="37"/>
  </w:num>
  <w:num w:numId="3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1"/>
  </w:num>
  <w:num w:numId="38">
    <w:abstractNumId w:val="21"/>
  </w:num>
  <w:num w:numId="39">
    <w:abstractNumId w:val="11"/>
  </w:num>
  <w:num w:numId="40">
    <w:abstractNumId w:val="29"/>
  </w:num>
  <w:num w:numId="41">
    <w:abstractNumId w:val="27"/>
  </w:num>
  <w:num w:numId="42">
    <w:abstractNumId w:val="12"/>
  </w:num>
  <w:num w:numId="43">
    <w:abstractNumId w:val="16"/>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removePersonalInformation/>
  <w:removeDateAndTime/>
  <w:activeWritingStyle w:appName="MSWord" w:lang="en-US" w:vendorID="8" w:dllVersion="513" w:checkStyle="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360"/>
  <w:drawingGridHorizontalSpacing w:val="110"/>
  <w:drawingGridVerticalSpacing w:val="299"/>
  <w:displayHorizontalDrawingGridEvery w:val="0"/>
  <w:displayVerticalDrawingGridEvery w:val="0"/>
  <w:noPunctuationKerning/>
  <w:characterSpacingControl w:val="doNotCompress"/>
  <w:hdrShapeDefaults>
    <o:shapedefaults v:ext="edit" spidmax="36865">
      <o:colormru v:ext="edit" colors="#e1e1ff,#069,#bad1e8,#afd787,#cde6b4,#d1e8ba,#0000ac"/>
    </o:shapedefaults>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1&lt;/Enabled&gt;&lt;ScanUnformatted&gt;1&lt;/ScanUnformatted&gt;&lt;ScanChanges&gt;1&lt;/ScanChanges&gt;&lt;/ENInstantFormat&gt;"/>
    <w:docVar w:name="EN.Layout" w:val="&lt;ENLayout&gt;&lt;Style&gt;APA 6th&lt;/Style&gt;&lt;LeftDelim&gt;{&lt;/LeftDelim&gt;&lt;RightDelim&gt;}&lt;/RightDelim&gt;&lt;FontName&gt;Times New Roman&lt;/FontName&gt;&lt;FontSize&gt;12&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Layout&gt;"/>
    <w:docVar w:name="EN.Libraries" w:val="&lt;Libraries&gt;&lt;/Libraries&gt;"/>
  </w:docVars>
  <w:rsids>
    <w:rsidRoot w:val="00AB733A"/>
    <w:rsid w:val="00000878"/>
    <w:rsid w:val="00001479"/>
    <w:rsid w:val="00003A2C"/>
    <w:rsid w:val="00003CA6"/>
    <w:rsid w:val="000050EE"/>
    <w:rsid w:val="00006B3A"/>
    <w:rsid w:val="0001022D"/>
    <w:rsid w:val="0001066F"/>
    <w:rsid w:val="000111ED"/>
    <w:rsid w:val="000112E1"/>
    <w:rsid w:val="000114E3"/>
    <w:rsid w:val="00011A26"/>
    <w:rsid w:val="00012536"/>
    <w:rsid w:val="00013167"/>
    <w:rsid w:val="000136F3"/>
    <w:rsid w:val="00015646"/>
    <w:rsid w:val="00016E17"/>
    <w:rsid w:val="000173F2"/>
    <w:rsid w:val="0002216E"/>
    <w:rsid w:val="000247F7"/>
    <w:rsid w:val="000302E4"/>
    <w:rsid w:val="00031B0B"/>
    <w:rsid w:val="00031DCC"/>
    <w:rsid w:val="00040E00"/>
    <w:rsid w:val="0004464A"/>
    <w:rsid w:val="00046728"/>
    <w:rsid w:val="00047214"/>
    <w:rsid w:val="0005131B"/>
    <w:rsid w:val="00051348"/>
    <w:rsid w:val="000525E0"/>
    <w:rsid w:val="000530E6"/>
    <w:rsid w:val="00053EEF"/>
    <w:rsid w:val="000543DC"/>
    <w:rsid w:val="00054C0D"/>
    <w:rsid w:val="00055022"/>
    <w:rsid w:val="00055840"/>
    <w:rsid w:val="0005634C"/>
    <w:rsid w:val="00056778"/>
    <w:rsid w:val="0005750B"/>
    <w:rsid w:val="0006045E"/>
    <w:rsid w:val="00060631"/>
    <w:rsid w:val="0006370C"/>
    <w:rsid w:val="00063ED0"/>
    <w:rsid w:val="00065327"/>
    <w:rsid w:val="000655BF"/>
    <w:rsid w:val="0006587B"/>
    <w:rsid w:val="000662A6"/>
    <w:rsid w:val="0006787D"/>
    <w:rsid w:val="00070322"/>
    <w:rsid w:val="00072AF8"/>
    <w:rsid w:val="00074465"/>
    <w:rsid w:val="00076D11"/>
    <w:rsid w:val="00077175"/>
    <w:rsid w:val="00082D01"/>
    <w:rsid w:val="0008304B"/>
    <w:rsid w:val="00083EBB"/>
    <w:rsid w:val="0008514F"/>
    <w:rsid w:val="00087856"/>
    <w:rsid w:val="00087E2E"/>
    <w:rsid w:val="000902AA"/>
    <w:rsid w:val="0009159C"/>
    <w:rsid w:val="00092EEC"/>
    <w:rsid w:val="00093E92"/>
    <w:rsid w:val="00095D40"/>
    <w:rsid w:val="000971AC"/>
    <w:rsid w:val="000A00A2"/>
    <w:rsid w:val="000A00D2"/>
    <w:rsid w:val="000A0BB9"/>
    <w:rsid w:val="000A1C6D"/>
    <w:rsid w:val="000A2077"/>
    <w:rsid w:val="000A24A6"/>
    <w:rsid w:val="000A26AA"/>
    <w:rsid w:val="000A272E"/>
    <w:rsid w:val="000A51EF"/>
    <w:rsid w:val="000A689E"/>
    <w:rsid w:val="000A69D1"/>
    <w:rsid w:val="000A7769"/>
    <w:rsid w:val="000A7D69"/>
    <w:rsid w:val="000B04AE"/>
    <w:rsid w:val="000B0717"/>
    <w:rsid w:val="000B0B09"/>
    <w:rsid w:val="000B33D1"/>
    <w:rsid w:val="000B3EE7"/>
    <w:rsid w:val="000B3F9C"/>
    <w:rsid w:val="000B434C"/>
    <w:rsid w:val="000B4E54"/>
    <w:rsid w:val="000B5C3E"/>
    <w:rsid w:val="000B6CB5"/>
    <w:rsid w:val="000B72AC"/>
    <w:rsid w:val="000B788A"/>
    <w:rsid w:val="000B7BAB"/>
    <w:rsid w:val="000C08AE"/>
    <w:rsid w:val="000C0A39"/>
    <w:rsid w:val="000C0C7D"/>
    <w:rsid w:val="000C17A5"/>
    <w:rsid w:val="000C2034"/>
    <w:rsid w:val="000C28EB"/>
    <w:rsid w:val="000C3040"/>
    <w:rsid w:val="000C786F"/>
    <w:rsid w:val="000C7AFC"/>
    <w:rsid w:val="000D05C1"/>
    <w:rsid w:val="000D50C9"/>
    <w:rsid w:val="000D53F1"/>
    <w:rsid w:val="000D5777"/>
    <w:rsid w:val="000D61C9"/>
    <w:rsid w:val="000E155D"/>
    <w:rsid w:val="000E282D"/>
    <w:rsid w:val="000E54B2"/>
    <w:rsid w:val="000E698B"/>
    <w:rsid w:val="000E6B75"/>
    <w:rsid w:val="000F0472"/>
    <w:rsid w:val="000F53F4"/>
    <w:rsid w:val="000F781A"/>
    <w:rsid w:val="001008D5"/>
    <w:rsid w:val="00100B1E"/>
    <w:rsid w:val="001034D7"/>
    <w:rsid w:val="001038A9"/>
    <w:rsid w:val="00104593"/>
    <w:rsid w:val="00104792"/>
    <w:rsid w:val="00104D36"/>
    <w:rsid w:val="00104F2A"/>
    <w:rsid w:val="0010570E"/>
    <w:rsid w:val="00105982"/>
    <w:rsid w:val="00107A04"/>
    <w:rsid w:val="00107FDD"/>
    <w:rsid w:val="00110651"/>
    <w:rsid w:val="0011170B"/>
    <w:rsid w:val="00111F2D"/>
    <w:rsid w:val="00113AC3"/>
    <w:rsid w:val="001156BF"/>
    <w:rsid w:val="00115973"/>
    <w:rsid w:val="001178CA"/>
    <w:rsid w:val="00120078"/>
    <w:rsid w:val="001211B3"/>
    <w:rsid w:val="00123056"/>
    <w:rsid w:val="001307A5"/>
    <w:rsid w:val="00132441"/>
    <w:rsid w:val="00134E87"/>
    <w:rsid w:val="0013692E"/>
    <w:rsid w:val="00137399"/>
    <w:rsid w:val="0013755B"/>
    <w:rsid w:val="0014130B"/>
    <w:rsid w:val="00142B80"/>
    <w:rsid w:val="00145791"/>
    <w:rsid w:val="001472C4"/>
    <w:rsid w:val="001476EA"/>
    <w:rsid w:val="00152153"/>
    <w:rsid w:val="00153C27"/>
    <w:rsid w:val="00154E62"/>
    <w:rsid w:val="0015516C"/>
    <w:rsid w:val="00155A74"/>
    <w:rsid w:val="00157002"/>
    <w:rsid w:val="00157DEE"/>
    <w:rsid w:val="00157E04"/>
    <w:rsid w:val="00160657"/>
    <w:rsid w:val="00160B87"/>
    <w:rsid w:val="00160DC9"/>
    <w:rsid w:val="001628B2"/>
    <w:rsid w:val="0016388C"/>
    <w:rsid w:val="001649DA"/>
    <w:rsid w:val="0016571C"/>
    <w:rsid w:val="00166CA2"/>
    <w:rsid w:val="00167058"/>
    <w:rsid w:val="001677DC"/>
    <w:rsid w:val="00167FD5"/>
    <w:rsid w:val="00172119"/>
    <w:rsid w:val="00172AA7"/>
    <w:rsid w:val="00172AE6"/>
    <w:rsid w:val="00174CE9"/>
    <w:rsid w:val="00177D6A"/>
    <w:rsid w:val="00181AE3"/>
    <w:rsid w:val="00182BBA"/>
    <w:rsid w:val="001874A9"/>
    <w:rsid w:val="00190865"/>
    <w:rsid w:val="00191213"/>
    <w:rsid w:val="00191B45"/>
    <w:rsid w:val="001924A4"/>
    <w:rsid w:val="001A04CE"/>
    <w:rsid w:val="001A0E0A"/>
    <w:rsid w:val="001A23B5"/>
    <w:rsid w:val="001A3961"/>
    <w:rsid w:val="001A403F"/>
    <w:rsid w:val="001A4633"/>
    <w:rsid w:val="001A4DB7"/>
    <w:rsid w:val="001A5428"/>
    <w:rsid w:val="001A67C0"/>
    <w:rsid w:val="001A73AE"/>
    <w:rsid w:val="001A7591"/>
    <w:rsid w:val="001B030B"/>
    <w:rsid w:val="001B3A7F"/>
    <w:rsid w:val="001B4509"/>
    <w:rsid w:val="001B4F20"/>
    <w:rsid w:val="001C0891"/>
    <w:rsid w:val="001C10AF"/>
    <w:rsid w:val="001C15C9"/>
    <w:rsid w:val="001C29F0"/>
    <w:rsid w:val="001C356F"/>
    <w:rsid w:val="001C3BA5"/>
    <w:rsid w:val="001C75A0"/>
    <w:rsid w:val="001D0E39"/>
    <w:rsid w:val="001D2B62"/>
    <w:rsid w:val="001D46B8"/>
    <w:rsid w:val="001D4FDD"/>
    <w:rsid w:val="001D56D5"/>
    <w:rsid w:val="001D6246"/>
    <w:rsid w:val="001D6C62"/>
    <w:rsid w:val="001D7812"/>
    <w:rsid w:val="001E0318"/>
    <w:rsid w:val="001E141D"/>
    <w:rsid w:val="001E1D58"/>
    <w:rsid w:val="001E2CF1"/>
    <w:rsid w:val="001F1A4A"/>
    <w:rsid w:val="001F2D0D"/>
    <w:rsid w:val="001F34B4"/>
    <w:rsid w:val="001F5DFE"/>
    <w:rsid w:val="001F5EAC"/>
    <w:rsid w:val="001F6BDF"/>
    <w:rsid w:val="001F6BF3"/>
    <w:rsid w:val="001F6C26"/>
    <w:rsid w:val="001F7134"/>
    <w:rsid w:val="0020028D"/>
    <w:rsid w:val="002002BD"/>
    <w:rsid w:val="00200E58"/>
    <w:rsid w:val="00202811"/>
    <w:rsid w:val="00203A3C"/>
    <w:rsid w:val="002064D3"/>
    <w:rsid w:val="0021067F"/>
    <w:rsid w:val="002106BF"/>
    <w:rsid w:val="002109F9"/>
    <w:rsid w:val="00210B61"/>
    <w:rsid w:val="00214B73"/>
    <w:rsid w:val="00215096"/>
    <w:rsid w:val="002158AA"/>
    <w:rsid w:val="00215E8F"/>
    <w:rsid w:val="002176B8"/>
    <w:rsid w:val="00217DCF"/>
    <w:rsid w:val="002216AD"/>
    <w:rsid w:val="00221D99"/>
    <w:rsid w:val="002222A4"/>
    <w:rsid w:val="00222BCF"/>
    <w:rsid w:val="00223A9F"/>
    <w:rsid w:val="00223DD0"/>
    <w:rsid w:val="002253BF"/>
    <w:rsid w:val="002261D7"/>
    <w:rsid w:val="0022674D"/>
    <w:rsid w:val="00227977"/>
    <w:rsid w:val="0022798E"/>
    <w:rsid w:val="00227ADA"/>
    <w:rsid w:val="002309A6"/>
    <w:rsid w:val="002312DE"/>
    <w:rsid w:val="0023449A"/>
    <w:rsid w:val="00235F88"/>
    <w:rsid w:val="00237279"/>
    <w:rsid w:val="002379D3"/>
    <w:rsid w:val="002409BE"/>
    <w:rsid w:val="00240E92"/>
    <w:rsid w:val="002419CB"/>
    <w:rsid w:val="00243735"/>
    <w:rsid w:val="00246187"/>
    <w:rsid w:val="00246AED"/>
    <w:rsid w:val="00250D92"/>
    <w:rsid w:val="002531CA"/>
    <w:rsid w:val="0025569C"/>
    <w:rsid w:val="00255975"/>
    <w:rsid w:val="002607C5"/>
    <w:rsid w:val="00263F34"/>
    <w:rsid w:val="0026707D"/>
    <w:rsid w:val="002702F7"/>
    <w:rsid w:val="00270A78"/>
    <w:rsid w:val="00271971"/>
    <w:rsid w:val="00273EAA"/>
    <w:rsid w:val="00276702"/>
    <w:rsid w:val="00282843"/>
    <w:rsid w:val="0028328D"/>
    <w:rsid w:val="002835CA"/>
    <w:rsid w:val="002838F5"/>
    <w:rsid w:val="00283DA1"/>
    <w:rsid w:val="00284DB5"/>
    <w:rsid w:val="00284F7D"/>
    <w:rsid w:val="00285BB6"/>
    <w:rsid w:val="00285D3F"/>
    <w:rsid w:val="002938C9"/>
    <w:rsid w:val="0029491C"/>
    <w:rsid w:val="00294B27"/>
    <w:rsid w:val="002A1362"/>
    <w:rsid w:val="002A2C3B"/>
    <w:rsid w:val="002A4078"/>
    <w:rsid w:val="002A5CE0"/>
    <w:rsid w:val="002A61D3"/>
    <w:rsid w:val="002B2B01"/>
    <w:rsid w:val="002B2F3C"/>
    <w:rsid w:val="002B31F3"/>
    <w:rsid w:val="002B3468"/>
    <w:rsid w:val="002B4415"/>
    <w:rsid w:val="002B7583"/>
    <w:rsid w:val="002B7A67"/>
    <w:rsid w:val="002C1801"/>
    <w:rsid w:val="002C194D"/>
    <w:rsid w:val="002C24EF"/>
    <w:rsid w:val="002C2E6E"/>
    <w:rsid w:val="002C32AB"/>
    <w:rsid w:val="002C3821"/>
    <w:rsid w:val="002C41F9"/>
    <w:rsid w:val="002C4495"/>
    <w:rsid w:val="002C52F4"/>
    <w:rsid w:val="002C5AC8"/>
    <w:rsid w:val="002C5AEB"/>
    <w:rsid w:val="002C61F0"/>
    <w:rsid w:val="002C6E58"/>
    <w:rsid w:val="002C73FD"/>
    <w:rsid w:val="002C76AB"/>
    <w:rsid w:val="002D0422"/>
    <w:rsid w:val="002D0B85"/>
    <w:rsid w:val="002D4536"/>
    <w:rsid w:val="002D4B27"/>
    <w:rsid w:val="002D7212"/>
    <w:rsid w:val="002E01EF"/>
    <w:rsid w:val="002E059A"/>
    <w:rsid w:val="002E0BB1"/>
    <w:rsid w:val="002E0E5D"/>
    <w:rsid w:val="002E3AC8"/>
    <w:rsid w:val="002E62A0"/>
    <w:rsid w:val="002F305F"/>
    <w:rsid w:val="002F40EE"/>
    <w:rsid w:val="002F48C8"/>
    <w:rsid w:val="002F55CE"/>
    <w:rsid w:val="002F76F5"/>
    <w:rsid w:val="00300C5C"/>
    <w:rsid w:val="00305690"/>
    <w:rsid w:val="003068F2"/>
    <w:rsid w:val="00307F84"/>
    <w:rsid w:val="00307FE6"/>
    <w:rsid w:val="003109E8"/>
    <w:rsid w:val="00311EA3"/>
    <w:rsid w:val="003126B9"/>
    <w:rsid w:val="00312920"/>
    <w:rsid w:val="00312D63"/>
    <w:rsid w:val="0031473D"/>
    <w:rsid w:val="003148B6"/>
    <w:rsid w:val="00314A8A"/>
    <w:rsid w:val="00316952"/>
    <w:rsid w:val="003177F6"/>
    <w:rsid w:val="00317A6E"/>
    <w:rsid w:val="00320129"/>
    <w:rsid w:val="00320C20"/>
    <w:rsid w:val="0032171D"/>
    <w:rsid w:val="00322118"/>
    <w:rsid w:val="00323E05"/>
    <w:rsid w:val="00324EC2"/>
    <w:rsid w:val="00325887"/>
    <w:rsid w:val="0032646C"/>
    <w:rsid w:val="003279F2"/>
    <w:rsid w:val="00327EE7"/>
    <w:rsid w:val="003308FC"/>
    <w:rsid w:val="003311F6"/>
    <w:rsid w:val="00334D48"/>
    <w:rsid w:val="00335336"/>
    <w:rsid w:val="0033648C"/>
    <w:rsid w:val="0033744D"/>
    <w:rsid w:val="0033773D"/>
    <w:rsid w:val="0034022D"/>
    <w:rsid w:val="00342BA9"/>
    <w:rsid w:val="00342EA4"/>
    <w:rsid w:val="003444A7"/>
    <w:rsid w:val="003455BC"/>
    <w:rsid w:val="00346726"/>
    <w:rsid w:val="003470C3"/>
    <w:rsid w:val="00347BED"/>
    <w:rsid w:val="00347E3F"/>
    <w:rsid w:val="003505B6"/>
    <w:rsid w:val="00350940"/>
    <w:rsid w:val="00353109"/>
    <w:rsid w:val="0035416F"/>
    <w:rsid w:val="00354503"/>
    <w:rsid w:val="00355325"/>
    <w:rsid w:val="00360DF1"/>
    <w:rsid w:val="003613AA"/>
    <w:rsid w:val="003623F0"/>
    <w:rsid w:val="00363F1C"/>
    <w:rsid w:val="00366E82"/>
    <w:rsid w:val="00367788"/>
    <w:rsid w:val="003677DE"/>
    <w:rsid w:val="00370164"/>
    <w:rsid w:val="003711CD"/>
    <w:rsid w:val="00371C28"/>
    <w:rsid w:val="00372211"/>
    <w:rsid w:val="003724E8"/>
    <w:rsid w:val="00372874"/>
    <w:rsid w:val="003729AE"/>
    <w:rsid w:val="003758A7"/>
    <w:rsid w:val="003769CC"/>
    <w:rsid w:val="00380AC8"/>
    <w:rsid w:val="00380DB1"/>
    <w:rsid w:val="00381D17"/>
    <w:rsid w:val="00382479"/>
    <w:rsid w:val="00383BFC"/>
    <w:rsid w:val="00384611"/>
    <w:rsid w:val="00384CA0"/>
    <w:rsid w:val="003870BA"/>
    <w:rsid w:val="0039000A"/>
    <w:rsid w:val="00394974"/>
    <w:rsid w:val="00395A89"/>
    <w:rsid w:val="0039652D"/>
    <w:rsid w:val="003A156E"/>
    <w:rsid w:val="003A2FA8"/>
    <w:rsid w:val="003A3403"/>
    <w:rsid w:val="003A6DA9"/>
    <w:rsid w:val="003B0708"/>
    <w:rsid w:val="003B4770"/>
    <w:rsid w:val="003B747A"/>
    <w:rsid w:val="003C20BF"/>
    <w:rsid w:val="003C2C74"/>
    <w:rsid w:val="003C327F"/>
    <w:rsid w:val="003C3A44"/>
    <w:rsid w:val="003C3D01"/>
    <w:rsid w:val="003D314D"/>
    <w:rsid w:val="003D5616"/>
    <w:rsid w:val="003D7950"/>
    <w:rsid w:val="003E02E9"/>
    <w:rsid w:val="003E203A"/>
    <w:rsid w:val="003E33EF"/>
    <w:rsid w:val="003E52D6"/>
    <w:rsid w:val="003E58F7"/>
    <w:rsid w:val="003E666B"/>
    <w:rsid w:val="003E77EA"/>
    <w:rsid w:val="003E7E25"/>
    <w:rsid w:val="003F013B"/>
    <w:rsid w:val="003F3E19"/>
    <w:rsid w:val="00400295"/>
    <w:rsid w:val="00400CCB"/>
    <w:rsid w:val="0040220D"/>
    <w:rsid w:val="00403182"/>
    <w:rsid w:val="00404989"/>
    <w:rsid w:val="00405BA0"/>
    <w:rsid w:val="00406543"/>
    <w:rsid w:val="0041245B"/>
    <w:rsid w:val="004128A4"/>
    <w:rsid w:val="004157AD"/>
    <w:rsid w:val="00415CDC"/>
    <w:rsid w:val="004172EB"/>
    <w:rsid w:val="00420101"/>
    <w:rsid w:val="00422CC3"/>
    <w:rsid w:val="00423092"/>
    <w:rsid w:val="00425205"/>
    <w:rsid w:val="004253E8"/>
    <w:rsid w:val="0042544A"/>
    <w:rsid w:val="00425A67"/>
    <w:rsid w:val="004264EB"/>
    <w:rsid w:val="00426E7E"/>
    <w:rsid w:val="00427EA9"/>
    <w:rsid w:val="004305FE"/>
    <w:rsid w:val="00430EF2"/>
    <w:rsid w:val="004319BC"/>
    <w:rsid w:val="00433ED3"/>
    <w:rsid w:val="0043423F"/>
    <w:rsid w:val="00434851"/>
    <w:rsid w:val="00434887"/>
    <w:rsid w:val="004350B0"/>
    <w:rsid w:val="00436CE5"/>
    <w:rsid w:val="0044013C"/>
    <w:rsid w:val="00442A96"/>
    <w:rsid w:val="00445A5D"/>
    <w:rsid w:val="004466DB"/>
    <w:rsid w:val="004471AB"/>
    <w:rsid w:val="004507A1"/>
    <w:rsid w:val="004508A1"/>
    <w:rsid w:val="00450C8E"/>
    <w:rsid w:val="00450CF1"/>
    <w:rsid w:val="00455386"/>
    <w:rsid w:val="0045552C"/>
    <w:rsid w:val="004565EB"/>
    <w:rsid w:val="00457DA2"/>
    <w:rsid w:val="004613AA"/>
    <w:rsid w:val="00463467"/>
    <w:rsid w:val="00463E48"/>
    <w:rsid w:val="0046584F"/>
    <w:rsid w:val="00466537"/>
    <w:rsid w:val="00467AA4"/>
    <w:rsid w:val="00470AB4"/>
    <w:rsid w:val="00470C98"/>
    <w:rsid w:val="00471078"/>
    <w:rsid w:val="004723F7"/>
    <w:rsid w:val="00472E16"/>
    <w:rsid w:val="004734DF"/>
    <w:rsid w:val="00473728"/>
    <w:rsid w:val="004764D3"/>
    <w:rsid w:val="0048008A"/>
    <w:rsid w:val="00480282"/>
    <w:rsid w:val="004808DB"/>
    <w:rsid w:val="00481C5F"/>
    <w:rsid w:val="00483354"/>
    <w:rsid w:val="00483CAC"/>
    <w:rsid w:val="00484D67"/>
    <w:rsid w:val="00486943"/>
    <w:rsid w:val="00490340"/>
    <w:rsid w:val="004910F0"/>
    <w:rsid w:val="00492795"/>
    <w:rsid w:val="0049310E"/>
    <w:rsid w:val="00495B91"/>
    <w:rsid w:val="00496182"/>
    <w:rsid w:val="004975D5"/>
    <w:rsid w:val="004A1592"/>
    <w:rsid w:val="004A1DAE"/>
    <w:rsid w:val="004A226F"/>
    <w:rsid w:val="004A2777"/>
    <w:rsid w:val="004A5408"/>
    <w:rsid w:val="004A54D0"/>
    <w:rsid w:val="004B02C5"/>
    <w:rsid w:val="004B148B"/>
    <w:rsid w:val="004B3401"/>
    <w:rsid w:val="004C18DF"/>
    <w:rsid w:val="004C1E08"/>
    <w:rsid w:val="004C24AC"/>
    <w:rsid w:val="004C29E5"/>
    <w:rsid w:val="004C2B46"/>
    <w:rsid w:val="004C6D0C"/>
    <w:rsid w:val="004C7375"/>
    <w:rsid w:val="004D0C8C"/>
    <w:rsid w:val="004D3D6D"/>
    <w:rsid w:val="004D4C6D"/>
    <w:rsid w:val="004D505C"/>
    <w:rsid w:val="004D701F"/>
    <w:rsid w:val="004E01A4"/>
    <w:rsid w:val="004E26E2"/>
    <w:rsid w:val="004E3053"/>
    <w:rsid w:val="004E32F8"/>
    <w:rsid w:val="004E43DD"/>
    <w:rsid w:val="004E61F3"/>
    <w:rsid w:val="004E7C5A"/>
    <w:rsid w:val="004F0D95"/>
    <w:rsid w:val="004F1045"/>
    <w:rsid w:val="004F14EE"/>
    <w:rsid w:val="004F2CBF"/>
    <w:rsid w:val="004F44CF"/>
    <w:rsid w:val="004F4CD7"/>
    <w:rsid w:val="004F6742"/>
    <w:rsid w:val="004F709B"/>
    <w:rsid w:val="00502D34"/>
    <w:rsid w:val="00503049"/>
    <w:rsid w:val="00503328"/>
    <w:rsid w:val="00506197"/>
    <w:rsid w:val="0050698E"/>
    <w:rsid w:val="00506CF9"/>
    <w:rsid w:val="005074D6"/>
    <w:rsid w:val="00507B94"/>
    <w:rsid w:val="00513E26"/>
    <w:rsid w:val="00514193"/>
    <w:rsid w:val="005162AF"/>
    <w:rsid w:val="00517282"/>
    <w:rsid w:val="00517966"/>
    <w:rsid w:val="00517D38"/>
    <w:rsid w:val="0052257A"/>
    <w:rsid w:val="00522ADA"/>
    <w:rsid w:val="00523473"/>
    <w:rsid w:val="00524368"/>
    <w:rsid w:val="00527470"/>
    <w:rsid w:val="0053064D"/>
    <w:rsid w:val="0053086A"/>
    <w:rsid w:val="00532E97"/>
    <w:rsid w:val="00534568"/>
    <w:rsid w:val="00534B03"/>
    <w:rsid w:val="00534C33"/>
    <w:rsid w:val="005357E6"/>
    <w:rsid w:val="00536D05"/>
    <w:rsid w:val="00536DB4"/>
    <w:rsid w:val="00537FE4"/>
    <w:rsid w:val="0054025D"/>
    <w:rsid w:val="00543C9F"/>
    <w:rsid w:val="005449F8"/>
    <w:rsid w:val="0054587A"/>
    <w:rsid w:val="00546949"/>
    <w:rsid w:val="0055123E"/>
    <w:rsid w:val="0055142F"/>
    <w:rsid w:val="005533C3"/>
    <w:rsid w:val="005547AE"/>
    <w:rsid w:val="00555285"/>
    <w:rsid w:val="0055767D"/>
    <w:rsid w:val="00560681"/>
    <w:rsid w:val="00560A09"/>
    <w:rsid w:val="005622E9"/>
    <w:rsid w:val="005633D9"/>
    <w:rsid w:val="00564F4B"/>
    <w:rsid w:val="00565241"/>
    <w:rsid w:val="005707D6"/>
    <w:rsid w:val="005719E1"/>
    <w:rsid w:val="00571DD0"/>
    <w:rsid w:val="00571E33"/>
    <w:rsid w:val="00574572"/>
    <w:rsid w:val="00575C0C"/>
    <w:rsid w:val="00575EFD"/>
    <w:rsid w:val="00582DEE"/>
    <w:rsid w:val="00583932"/>
    <w:rsid w:val="00585CA4"/>
    <w:rsid w:val="00586275"/>
    <w:rsid w:val="0058685D"/>
    <w:rsid w:val="005869D0"/>
    <w:rsid w:val="005902D6"/>
    <w:rsid w:val="00596FC0"/>
    <w:rsid w:val="00597948"/>
    <w:rsid w:val="00597B60"/>
    <w:rsid w:val="005A0404"/>
    <w:rsid w:val="005A11F2"/>
    <w:rsid w:val="005A1A88"/>
    <w:rsid w:val="005A4B86"/>
    <w:rsid w:val="005A4EF9"/>
    <w:rsid w:val="005A59C5"/>
    <w:rsid w:val="005A63BB"/>
    <w:rsid w:val="005A6A0B"/>
    <w:rsid w:val="005A6E6F"/>
    <w:rsid w:val="005B0D21"/>
    <w:rsid w:val="005B14FF"/>
    <w:rsid w:val="005B1AC5"/>
    <w:rsid w:val="005B30C8"/>
    <w:rsid w:val="005B5C21"/>
    <w:rsid w:val="005B6A25"/>
    <w:rsid w:val="005B7BAE"/>
    <w:rsid w:val="005C137A"/>
    <w:rsid w:val="005C1CE5"/>
    <w:rsid w:val="005C28F8"/>
    <w:rsid w:val="005C4647"/>
    <w:rsid w:val="005C6021"/>
    <w:rsid w:val="005C6EAE"/>
    <w:rsid w:val="005D2A87"/>
    <w:rsid w:val="005D349A"/>
    <w:rsid w:val="005D4033"/>
    <w:rsid w:val="005D7056"/>
    <w:rsid w:val="005D7871"/>
    <w:rsid w:val="005E0CF2"/>
    <w:rsid w:val="005E0DF8"/>
    <w:rsid w:val="005E2AEA"/>
    <w:rsid w:val="005E2DBB"/>
    <w:rsid w:val="005E36AD"/>
    <w:rsid w:val="005E53FA"/>
    <w:rsid w:val="005E56B0"/>
    <w:rsid w:val="005E69CA"/>
    <w:rsid w:val="005E6B70"/>
    <w:rsid w:val="005E7BA9"/>
    <w:rsid w:val="005F4BDA"/>
    <w:rsid w:val="00600FB4"/>
    <w:rsid w:val="006013E2"/>
    <w:rsid w:val="00602E71"/>
    <w:rsid w:val="00606885"/>
    <w:rsid w:val="0060764C"/>
    <w:rsid w:val="00610933"/>
    <w:rsid w:val="006122D8"/>
    <w:rsid w:val="0061247A"/>
    <w:rsid w:val="00614769"/>
    <w:rsid w:val="00614AB3"/>
    <w:rsid w:val="00615938"/>
    <w:rsid w:val="00615CE3"/>
    <w:rsid w:val="006163D2"/>
    <w:rsid w:val="00617015"/>
    <w:rsid w:val="00617A8A"/>
    <w:rsid w:val="00617ECC"/>
    <w:rsid w:val="0062086C"/>
    <w:rsid w:val="006216A3"/>
    <w:rsid w:val="00623789"/>
    <w:rsid w:val="00623EBC"/>
    <w:rsid w:val="006247AB"/>
    <w:rsid w:val="00626630"/>
    <w:rsid w:val="0062673E"/>
    <w:rsid w:val="0063014E"/>
    <w:rsid w:val="00631A2C"/>
    <w:rsid w:val="0063435F"/>
    <w:rsid w:val="00634866"/>
    <w:rsid w:val="006348BD"/>
    <w:rsid w:val="00637DBB"/>
    <w:rsid w:val="00642069"/>
    <w:rsid w:val="00645FC6"/>
    <w:rsid w:val="00650F9E"/>
    <w:rsid w:val="0065112D"/>
    <w:rsid w:val="006527DA"/>
    <w:rsid w:val="00654E76"/>
    <w:rsid w:val="006566B7"/>
    <w:rsid w:val="00657B04"/>
    <w:rsid w:val="00660214"/>
    <w:rsid w:val="006604A6"/>
    <w:rsid w:val="0066134E"/>
    <w:rsid w:val="00661CFD"/>
    <w:rsid w:val="00663099"/>
    <w:rsid w:val="00663616"/>
    <w:rsid w:val="00670EA4"/>
    <w:rsid w:val="006736D0"/>
    <w:rsid w:val="00674057"/>
    <w:rsid w:val="00676016"/>
    <w:rsid w:val="00677314"/>
    <w:rsid w:val="0068102C"/>
    <w:rsid w:val="006814BB"/>
    <w:rsid w:val="006825D1"/>
    <w:rsid w:val="006840EB"/>
    <w:rsid w:val="00684DDA"/>
    <w:rsid w:val="00685334"/>
    <w:rsid w:val="00685BC1"/>
    <w:rsid w:val="00686EC4"/>
    <w:rsid w:val="00687C1D"/>
    <w:rsid w:val="006900A6"/>
    <w:rsid w:val="00690249"/>
    <w:rsid w:val="00691D3E"/>
    <w:rsid w:val="00692C13"/>
    <w:rsid w:val="0069342C"/>
    <w:rsid w:val="00696F05"/>
    <w:rsid w:val="006A17CB"/>
    <w:rsid w:val="006A2280"/>
    <w:rsid w:val="006A3CF1"/>
    <w:rsid w:val="006A3EEA"/>
    <w:rsid w:val="006A541C"/>
    <w:rsid w:val="006A5B3B"/>
    <w:rsid w:val="006B1678"/>
    <w:rsid w:val="006B1D27"/>
    <w:rsid w:val="006B2D0A"/>
    <w:rsid w:val="006B550C"/>
    <w:rsid w:val="006B567B"/>
    <w:rsid w:val="006C1434"/>
    <w:rsid w:val="006C61C5"/>
    <w:rsid w:val="006C7A4C"/>
    <w:rsid w:val="006D1292"/>
    <w:rsid w:val="006D1378"/>
    <w:rsid w:val="006D2E05"/>
    <w:rsid w:val="006D3C6D"/>
    <w:rsid w:val="006D406B"/>
    <w:rsid w:val="006D4604"/>
    <w:rsid w:val="006D4605"/>
    <w:rsid w:val="006D6521"/>
    <w:rsid w:val="006E0D98"/>
    <w:rsid w:val="006E2B32"/>
    <w:rsid w:val="006E4244"/>
    <w:rsid w:val="006E454C"/>
    <w:rsid w:val="006E4D5B"/>
    <w:rsid w:val="006E5CB4"/>
    <w:rsid w:val="006F2B34"/>
    <w:rsid w:val="006F5208"/>
    <w:rsid w:val="006F5D34"/>
    <w:rsid w:val="006F7FC9"/>
    <w:rsid w:val="007007FC"/>
    <w:rsid w:val="007035D7"/>
    <w:rsid w:val="00703A7F"/>
    <w:rsid w:val="007057ED"/>
    <w:rsid w:val="0070672F"/>
    <w:rsid w:val="0071037C"/>
    <w:rsid w:val="007105A6"/>
    <w:rsid w:val="00711440"/>
    <w:rsid w:val="00715417"/>
    <w:rsid w:val="007179F5"/>
    <w:rsid w:val="00717D80"/>
    <w:rsid w:val="00722EC8"/>
    <w:rsid w:val="00726175"/>
    <w:rsid w:val="00726DD4"/>
    <w:rsid w:val="007274B0"/>
    <w:rsid w:val="00730F56"/>
    <w:rsid w:val="007310B9"/>
    <w:rsid w:val="007319D9"/>
    <w:rsid w:val="007321C7"/>
    <w:rsid w:val="007327EC"/>
    <w:rsid w:val="00732CCB"/>
    <w:rsid w:val="007359AB"/>
    <w:rsid w:val="00735F91"/>
    <w:rsid w:val="0073754F"/>
    <w:rsid w:val="00737CD5"/>
    <w:rsid w:val="007406DD"/>
    <w:rsid w:val="007412D7"/>
    <w:rsid w:val="00742D59"/>
    <w:rsid w:val="007434EB"/>
    <w:rsid w:val="00744E2C"/>
    <w:rsid w:val="00745034"/>
    <w:rsid w:val="00745872"/>
    <w:rsid w:val="00745DF5"/>
    <w:rsid w:val="00746E26"/>
    <w:rsid w:val="00747C79"/>
    <w:rsid w:val="00747DFB"/>
    <w:rsid w:val="00751418"/>
    <w:rsid w:val="00752119"/>
    <w:rsid w:val="00754408"/>
    <w:rsid w:val="00756844"/>
    <w:rsid w:val="00762650"/>
    <w:rsid w:val="007631C7"/>
    <w:rsid w:val="007635FF"/>
    <w:rsid w:val="00763CCC"/>
    <w:rsid w:val="007651EA"/>
    <w:rsid w:val="00766D06"/>
    <w:rsid w:val="0076745E"/>
    <w:rsid w:val="0077156B"/>
    <w:rsid w:val="00772A16"/>
    <w:rsid w:val="007735DB"/>
    <w:rsid w:val="00776C72"/>
    <w:rsid w:val="00781AED"/>
    <w:rsid w:val="0078258F"/>
    <w:rsid w:val="00782E74"/>
    <w:rsid w:val="00782FCA"/>
    <w:rsid w:val="007836DD"/>
    <w:rsid w:val="007846BC"/>
    <w:rsid w:val="00784701"/>
    <w:rsid w:val="00785E2D"/>
    <w:rsid w:val="00786E86"/>
    <w:rsid w:val="00787823"/>
    <w:rsid w:val="007906A1"/>
    <w:rsid w:val="00791459"/>
    <w:rsid w:val="007944EE"/>
    <w:rsid w:val="00794B6E"/>
    <w:rsid w:val="00794F64"/>
    <w:rsid w:val="007969A4"/>
    <w:rsid w:val="007A0114"/>
    <w:rsid w:val="007A066D"/>
    <w:rsid w:val="007A2E54"/>
    <w:rsid w:val="007A4DAD"/>
    <w:rsid w:val="007A53E6"/>
    <w:rsid w:val="007A5C8B"/>
    <w:rsid w:val="007A64E8"/>
    <w:rsid w:val="007A6F91"/>
    <w:rsid w:val="007B1321"/>
    <w:rsid w:val="007B16F8"/>
    <w:rsid w:val="007B1904"/>
    <w:rsid w:val="007B1A05"/>
    <w:rsid w:val="007B246E"/>
    <w:rsid w:val="007B3836"/>
    <w:rsid w:val="007B4D4F"/>
    <w:rsid w:val="007C0210"/>
    <w:rsid w:val="007C20AA"/>
    <w:rsid w:val="007C2141"/>
    <w:rsid w:val="007C3124"/>
    <w:rsid w:val="007C3552"/>
    <w:rsid w:val="007C3B38"/>
    <w:rsid w:val="007C5036"/>
    <w:rsid w:val="007D093A"/>
    <w:rsid w:val="007D1525"/>
    <w:rsid w:val="007D6370"/>
    <w:rsid w:val="007D668A"/>
    <w:rsid w:val="007D7D1B"/>
    <w:rsid w:val="007E005A"/>
    <w:rsid w:val="007E092F"/>
    <w:rsid w:val="007E2994"/>
    <w:rsid w:val="007E3D8E"/>
    <w:rsid w:val="007E47C9"/>
    <w:rsid w:val="007E4D76"/>
    <w:rsid w:val="007E5CD2"/>
    <w:rsid w:val="007E5EC0"/>
    <w:rsid w:val="007E6A18"/>
    <w:rsid w:val="007E772D"/>
    <w:rsid w:val="007F1503"/>
    <w:rsid w:val="007F2429"/>
    <w:rsid w:val="007F397A"/>
    <w:rsid w:val="007F4BFB"/>
    <w:rsid w:val="007F5611"/>
    <w:rsid w:val="007F7413"/>
    <w:rsid w:val="0080058C"/>
    <w:rsid w:val="0080098A"/>
    <w:rsid w:val="00801761"/>
    <w:rsid w:val="00802AA1"/>
    <w:rsid w:val="008054F0"/>
    <w:rsid w:val="0081044B"/>
    <w:rsid w:val="008111EB"/>
    <w:rsid w:val="00811DEB"/>
    <w:rsid w:val="008130C9"/>
    <w:rsid w:val="00813D02"/>
    <w:rsid w:val="008145E7"/>
    <w:rsid w:val="00814833"/>
    <w:rsid w:val="00816FB9"/>
    <w:rsid w:val="0082033D"/>
    <w:rsid w:val="008222AD"/>
    <w:rsid w:val="00822359"/>
    <w:rsid w:val="0082377A"/>
    <w:rsid w:val="00825FE2"/>
    <w:rsid w:val="0083104D"/>
    <w:rsid w:val="00832DAE"/>
    <w:rsid w:val="008349AE"/>
    <w:rsid w:val="008355D2"/>
    <w:rsid w:val="00835AB3"/>
    <w:rsid w:val="008362CA"/>
    <w:rsid w:val="00836FD2"/>
    <w:rsid w:val="008402C6"/>
    <w:rsid w:val="00841C66"/>
    <w:rsid w:val="00841EC4"/>
    <w:rsid w:val="00841F5D"/>
    <w:rsid w:val="008422D7"/>
    <w:rsid w:val="00844403"/>
    <w:rsid w:val="0084522E"/>
    <w:rsid w:val="0084539E"/>
    <w:rsid w:val="00846222"/>
    <w:rsid w:val="00846D77"/>
    <w:rsid w:val="00847C40"/>
    <w:rsid w:val="0085043E"/>
    <w:rsid w:val="00852480"/>
    <w:rsid w:val="00853BB1"/>
    <w:rsid w:val="00854B65"/>
    <w:rsid w:val="008565C5"/>
    <w:rsid w:val="00856632"/>
    <w:rsid w:val="00857034"/>
    <w:rsid w:val="00857DA8"/>
    <w:rsid w:val="00860756"/>
    <w:rsid w:val="00861A94"/>
    <w:rsid w:val="00861EBB"/>
    <w:rsid w:val="00862448"/>
    <w:rsid w:val="008625B8"/>
    <w:rsid w:val="00864A27"/>
    <w:rsid w:val="0086521E"/>
    <w:rsid w:val="008661B3"/>
    <w:rsid w:val="00866311"/>
    <w:rsid w:val="00867308"/>
    <w:rsid w:val="00871A24"/>
    <w:rsid w:val="0087261A"/>
    <w:rsid w:val="00872D29"/>
    <w:rsid w:val="00874B29"/>
    <w:rsid w:val="00876374"/>
    <w:rsid w:val="00882782"/>
    <w:rsid w:val="00882B99"/>
    <w:rsid w:val="00885656"/>
    <w:rsid w:val="00886354"/>
    <w:rsid w:val="008877CC"/>
    <w:rsid w:val="0089150F"/>
    <w:rsid w:val="00892789"/>
    <w:rsid w:val="00894A79"/>
    <w:rsid w:val="00896423"/>
    <w:rsid w:val="008979A6"/>
    <w:rsid w:val="008A0E05"/>
    <w:rsid w:val="008A25D0"/>
    <w:rsid w:val="008A66C8"/>
    <w:rsid w:val="008B0327"/>
    <w:rsid w:val="008B0543"/>
    <w:rsid w:val="008B10E4"/>
    <w:rsid w:val="008B1AA8"/>
    <w:rsid w:val="008B4532"/>
    <w:rsid w:val="008B4A39"/>
    <w:rsid w:val="008B50C0"/>
    <w:rsid w:val="008B592F"/>
    <w:rsid w:val="008B6348"/>
    <w:rsid w:val="008B74CF"/>
    <w:rsid w:val="008B7A24"/>
    <w:rsid w:val="008C0888"/>
    <w:rsid w:val="008C0D10"/>
    <w:rsid w:val="008C0DB4"/>
    <w:rsid w:val="008C0E5A"/>
    <w:rsid w:val="008C1216"/>
    <w:rsid w:val="008C1E5D"/>
    <w:rsid w:val="008C3284"/>
    <w:rsid w:val="008C3505"/>
    <w:rsid w:val="008C35EB"/>
    <w:rsid w:val="008C360D"/>
    <w:rsid w:val="008C6195"/>
    <w:rsid w:val="008C7D5F"/>
    <w:rsid w:val="008D30EA"/>
    <w:rsid w:val="008D3A3C"/>
    <w:rsid w:val="008D55C8"/>
    <w:rsid w:val="008D7633"/>
    <w:rsid w:val="008E20DE"/>
    <w:rsid w:val="008E25D6"/>
    <w:rsid w:val="008E5476"/>
    <w:rsid w:val="008E5BF5"/>
    <w:rsid w:val="008E7610"/>
    <w:rsid w:val="008F1770"/>
    <w:rsid w:val="008F1B4E"/>
    <w:rsid w:val="008F2C73"/>
    <w:rsid w:val="008F39FD"/>
    <w:rsid w:val="008F4136"/>
    <w:rsid w:val="008F489A"/>
    <w:rsid w:val="008F55DE"/>
    <w:rsid w:val="008F64B0"/>
    <w:rsid w:val="0090106D"/>
    <w:rsid w:val="009013C5"/>
    <w:rsid w:val="00902354"/>
    <w:rsid w:val="00902782"/>
    <w:rsid w:val="0090472C"/>
    <w:rsid w:val="00905806"/>
    <w:rsid w:val="0090595A"/>
    <w:rsid w:val="00905EB9"/>
    <w:rsid w:val="009061A4"/>
    <w:rsid w:val="00912437"/>
    <w:rsid w:val="00912E02"/>
    <w:rsid w:val="0091310A"/>
    <w:rsid w:val="009151FA"/>
    <w:rsid w:val="00917154"/>
    <w:rsid w:val="009207E0"/>
    <w:rsid w:val="0092147A"/>
    <w:rsid w:val="00921B33"/>
    <w:rsid w:val="009244B9"/>
    <w:rsid w:val="0092472E"/>
    <w:rsid w:val="00932425"/>
    <w:rsid w:val="00934205"/>
    <w:rsid w:val="00936282"/>
    <w:rsid w:val="009375EB"/>
    <w:rsid w:val="0094129F"/>
    <w:rsid w:val="00942024"/>
    <w:rsid w:val="0094366E"/>
    <w:rsid w:val="00944550"/>
    <w:rsid w:val="0094633F"/>
    <w:rsid w:val="00946C99"/>
    <w:rsid w:val="00947565"/>
    <w:rsid w:val="0095130E"/>
    <w:rsid w:val="00951C72"/>
    <w:rsid w:val="0095483C"/>
    <w:rsid w:val="009550AD"/>
    <w:rsid w:val="0095725F"/>
    <w:rsid w:val="009624D6"/>
    <w:rsid w:val="00963103"/>
    <w:rsid w:val="00965363"/>
    <w:rsid w:val="00967ACF"/>
    <w:rsid w:val="00967D7C"/>
    <w:rsid w:val="00967F84"/>
    <w:rsid w:val="00972AC1"/>
    <w:rsid w:val="0097379B"/>
    <w:rsid w:val="00973F2D"/>
    <w:rsid w:val="00974CE9"/>
    <w:rsid w:val="00975EE7"/>
    <w:rsid w:val="00977D73"/>
    <w:rsid w:val="0098067E"/>
    <w:rsid w:val="00980D47"/>
    <w:rsid w:val="00981271"/>
    <w:rsid w:val="0098312C"/>
    <w:rsid w:val="00986C9C"/>
    <w:rsid w:val="009870AF"/>
    <w:rsid w:val="00990DB7"/>
    <w:rsid w:val="0099160E"/>
    <w:rsid w:val="009920B9"/>
    <w:rsid w:val="0099262A"/>
    <w:rsid w:val="0099298C"/>
    <w:rsid w:val="00995F33"/>
    <w:rsid w:val="009964E7"/>
    <w:rsid w:val="00997294"/>
    <w:rsid w:val="009973F8"/>
    <w:rsid w:val="00997B5D"/>
    <w:rsid w:val="009A036C"/>
    <w:rsid w:val="009A05F3"/>
    <w:rsid w:val="009A120A"/>
    <w:rsid w:val="009A1CC3"/>
    <w:rsid w:val="009A3A27"/>
    <w:rsid w:val="009A42BC"/>
    <w:rsid w:val="009A4ABA"/>
    <w:rsid w:val="009A4FFE"/>
    <w:rsid w:val="009A5181"/>
    <w:rsid w:val="009B2893"/>
    <w:rsid w:val="009B56DA"/>
    <w:rsid w:val="009B6D74"/>
    <w:rsid w:val="009B7358"/>
    <w:rsid w:val="009B7BC9"/>
    <w:rsid w:val="009C0818"/>
    <w:rsid w:val="009C2151"/>
    <w:rsid w:val="009C4383"/>
    <w:rsid w:val="009C4692"/>
    <w:rsid w:val="009C4F0F"/>
    <w:rsid w:val="009C4F58"/>
    <w:rsid w:val="009C548D"/>
    <w:rsid w:val="009C6902"/>
    <w:rsid w:val="009C772C"/>
    <w:rsid w:val="009C785F"/>
    <w:rsid w:val="009D13BB"/>
    <w:rsid w:val="009D278A"/>
    <w:rsid w:val="009D50EB"/>
    <w:rsid w:val="009E04AF"/>
    <w:rsid w:val="009E19D2"/>
    <w:rsid w:val="009E32F5"/>
    <w:rsid w:val="009E40D8"/>
    <w:rsid w:val="009E421C"/>
    <w:rsid w:val="009E6279"/>
    <w:rsid w:val="009E6538"/>
    <w:rsid w:val="009E7A2D"/>
    <w:rsid w:val="009F0238"/>
    <w:rsid w:val="009F0368"/>
    <w:rsid w:val="009F12FA"/>
    <w:rsid w:val="009F2219"/>
    <w:rsid w:val="009F2649"/>
    <w:rsid w:val="009F2C8E"/>
    <w:rsid w:val="009F3E69"/>
    <w:rsid w:val="009F704C"/>
    <w:rsid w:val="009F7C58"/>
    <w:rsid w:val="00A008C7"/>
    <w:rsid w:val="00A00A22"/>
    <w:rsid w:val="00A0101F"/>
    <w:rsid w:val="00A013CA"/>
    <w:rsid w:val="00A014C1"/>
    <w:rsid w:val="00A0215D"/>
    <w:rsid w:val="00A04591"/>
    <w:rsid w:val="00A04865"/>
    <w:rsid w:val="00A04A54"/>
    <w:rsid w:val="00A04FFD"/>
    <w:rsid w:val="00A0528C"/>
    <w:rsid w:val="00A06666"/>
    <w:rsid w:val="00A100E5"/>
    <w:rsid w:val="00A1023A"/>
    <w:rsid w:val="00A105E0"/>
    <w:rsid w:val="00A11018"/>
    <w:rsid w:val="00A127F4"/>
    <w:rsid w:val="00A13980"/>
    <w:rsid w:val="00A16C28"/>
    <w:rsid w:val="00A219C0"/>
    <w:rsid w:val="00A230BE"/>
    <w:rsid w:val="00A2401E"/>
    <w:rsid w:val="00A24FAE"/>
    <w:rsid w:val="00A3018B"/>
    <w:rsid w:val="00A3128D"/>
    <w:rsid w:val="00A31A17"/>
    <w:rsid w:val="00A324EA"/>
    <w:rsid w:val="00A3353D"/>
    <w:rsid w:val="00A33A46"/>
    <w:rsid w:val="00A40DD1"/>
    <w:rsid w:val="00A41298"/>
    <w:rsid w:val="00A415CA"/>
    <w:rsid w:val="00A4230C"/>
    <w:rsid w:val="00A429C1"/>
    <w:rsid w:val="00A42BD9"/>
    <w:rsid w:val="00A42D7E"/>
    <w:rsid w:val="00A43987"/>
    <w:rsid w:val="00A443EA"/>
    <w:rsid w:val="00A4460B"/>
    <w:rsid w:val="00A44914"/>
    <w:rsid w:val="00A45B43"/>
    <w:rsid w:val="00A4794A"/>
    <w:rsid w:val="00A506D5"/>
    <w:rsid w:val="00A51FC8"/>
    <w:rsid w:val="00A527C5"/>
    <w:rsid w:val="00A533DE"/>
    <w:rsid w:val="00A53E2B"/>
    <w:rsid w:val="00A543A9"/>
    <w:rsid w:val="00A546BE"/>
    <w:rsid w:val="00A56379"/>
    <w:rsid w:val="00A567CD"/>
    <w:rsid w:val="00A57087"/>
    <w:rsid w:val="00A60EAF"/>
    <w:rsid w:val="00A6195D"/>
    <w:rsid w:val="00A62EA3"/>
    <w:rsid w:val="00A6569B"/>
    <w:rsid w:val="00A65B0B"/>
    <w:rsid w:val="00A66188"/>
    <w:rsid w:val="00A66979"/>
    <w:rsid w:val="00A67751"/>
    <w:rsid w:val="00A70366"/>
    <w:rsid w:val="00A70A6F"/>
    <w:rsid w:val="00A71230"/>
    <w:rsid w:val="00A72E6B"/>
    <w:rsid w:val="00A7437A"/>
    <w:rsid w:val="00A74827"/>
    <w:rsid w:val="00A74F29"/>
    <w:rsid w:val="00A763AF"/>
    <w:rsid w:val="00A7717D"/>
    <w:rsid w:val="00A80FF2"/>
    <w:rsid w:val="00A81202"/>
    <w:rsid w:val="00A817CE"/>
    <w:rsid w:val="00A82112"/>
    <w:rsid w:val="00A84B80"/>
    <w:rsid w:val="00A85381"/>
    <w:rsid w:val="00A86C3E"/>
    <w:rsid w:val="00A86E0B"/>
    <w:rsid w:val="00A9005B"/>
    <w:rsid w:val="00A9046F"/>
    <w:rsid w:val="00A921A9"/>
    <w:rsid w:val="00A928FA"/>
    <w:rsid w:val="00A95DB8"/>
    <w:rsid w:val="00A96420"/>
    <w:rsid w:val="00AA288B"/>
    <w:rsid w:val="00AA45E5"/>
    <w:rsid w:val="00AA51C6"/>
    <w:rsid w:val="00AA5969"/>
    <w:rsid w:val="00AA5AD0"/>
    <w:rsid w:val="00AA7668"/>
    <w:rsid w:val="00AA7B0B"/>
    <w:rsid w:val="00AB15E4"/>
    <w:rsid w:val="00AB2378"/>
    <w:rsid w:val="00AB32CF"/>
    <w:rsid w:val="00AB4E34"/>
    <w:rsid w:val="00AB65FC"/>
    <w:rsid w:val="00AB6714"/>
    <w:rsid w:val="00AB733A"/>
    <w:rsid w:val="00AC1804"/>
    <w:rsid w:val="00AC2709"/>
    <w:rsid w:val="00AC3090"/>
    <w:rsid w:val="00AC30D1"/>
    <w:rsid w:val="00AC423A"/>
    <w:rsid w:val="00AC4409"/>
    <w:rsid w:val="00AC59EB"/>
    <w:rsid w:val="00AC739E"/>
    <w:rsid w:val="00AC7415"/>
    <w:rsid w:val="00AD049F"/>
    <w:rsid w:val="00AD0A5F"/>
    <w:rsid w:val="00AD115F"/>
    <w:rsid w:val="00AD2235"/>
    <w:rsid w:val="00AD2ADB"/>
    <w:rsid w:val="00AD31B6"/>
    <w:rsid w:val="00AD764D"/>
    <w:rsid w:val="00AE0C3E"/>
    <w:rsid w:val="00AE12EB"/>
    <w:rsid w:val="00AE2B55"/>
    <w:rsid w:val="00AE3B05"/>
    <w:rsid w:val="00AE481F"/>
    <w:rsid w:val="00AF2559"/>
    <w:rsid w:val="00AF4F8A"/>
    <w:rsid w:val="00AF52BB"/>
    <w:rsid w:val="00AF66AC"/>
    <w:rsid w:val="00B0119F"/>
    <w:rsid w:val="00B02137"/>
    <w:rsid w:val="00B0226C"/>
    <w:rsid w:val="00B02599"/>
    <w:rsid w:val="00B037DF"/>
    <w:rsid w:val="00B04CC2"/>
    <w:rsid w:val="00B05387"/>
    <w:rsid w:val="00B065A0"/>
    <w:rsid w:val="00B073AB"/>
    <w:rsid w:val="00B11AD2"/>
    <w:rsid w:val="00B1289D"/>
    <w:rsid w:val="00B14060"/>
    <w:rsid w:val="00B16B3C"/>
    <w:rsid w:val="00B16DD7"/>
    <w:rsid w:val="00B212D1"/>
    <w:rsid w:val="00B229A0"/>
    <w:rsid w:val="00B22D64"/>
    <w:rsid w:val="00B22F13"/>
    <w:rsid w:val="00B25EE3"/>
    <w:rsid w:val="00B269D4"/>
    <w:rsid w:val="00B3357C"/>
    <w:rsid w:val="00B34A7E"/>
    <w:rsid w:val="00B36DA7"/>
    <w:rsid w:val="00B370A7"/>
    <w:rsid w:val="00B4035C"/>
    <w:rsid w:val="00B41816"/>
    <w:rsid w:val="00B42A07"/>
    <w:rsid w:val="00B42FE6"/>
    <w:rsid w:val="00B44804"/>
    <w:rsid w:val="00B473DD"/>
    <w:rsid w:val="00B47812"/>
    <w:rsid w:val="00B514E1"/>
    <w:rsid w:val="00B51CB9"/>
    <w:rsid w:val="00B52BA5"/>
    <w:rsid w:val="00B547C1"/>
    <w:rsid w:val="00B562B3"/>
    <w:rsid w:val="00B577F2"/>
    <w:rsid w:val="00B602B3"/>
    <w:rsid w:val="00B619DA"/>
    <w:rsid w:val="00B61C4A"/>
    <w:rsid w:val="00B61EC9"/>
    <w:rsid w:val="00B61ED1"/>
    <w:rsid w:val="00B621FB"/>
    <w:rsid w:val="00B626D2"/>
    <w:rsid w:val="00B65D18"/>
    <w:rsid w:val="00B66082"/>
    <w:rsid w:val="00B66260"/>
    <w:rsid w:val="00B679AD"/>
    <w:rsid w:val="00B70267"/>
    <w:rsid w:val="00B7109E"/>
    <w:rsid w:val="00B72288"/>
    <w:rsid w:val="00B72742"/>
    <w:rsid w:val="00B748BA"/>
    <w:rsid w:val="00B7744A"/>
    <w:rsid w:val="00B77763"/>
    <w:rsid w:val="00B77EA1"/>
    <w:rsid w:val="00B82D4D"/>
    <w:rsid w:val="00B83547"/>
    <w:rsid w:val="00B83C5F"/>
    <w:rsid w:val="00B84F4F"/>
    <w:rsid w:val="00B853F7"/>
    <w:rsid w:val="00B85FD2"/>
    <w:rsid w:val="00B87EE6"/>
    <w:rsid w:val="00B90D27"/>
    <w:rsid w:val="00B9148E"/>
    <w:rsid w:val="00B9194C"/>
    <w:rsid w:val="00B9260A"/>
    <w:rsid w:val="00B95C68"/>
    <w:rsid w:val="00B96645"/>
    <w:rsid w:val="00B96ABD"/>
    <w:rsid w:val="00B9739F"/>
    <w:rsid w:val="00BA2126"/>
    <w:rsid w:val="00BA4CFE"/>
    <w:rsid w:val="00BA5071"/>
    <w:rsid w:val="00BA60EF"/>
    <w:rsid w:val="00BA655B"/>
    <w:rsid w:val="00BA6FF3"/>
    <w:rsid w:val="00BB042D"/>
    <w:rsid w:val="00BB25C5"/>
    <w:rsid w:val="00BB295E"/>
    <w:rsid w:val="00BB343E"/>
    <w:rsid w:val="00BB4A84"/>
    <w:rsid w:val="00BB7CF3"/>
    <w:rsid w:val="00BC3552"/>
    <w:rsid w:val="00BC4454"/>
    <w:rsid w:val="00BC4FAA"/>
    <w:rsid w:val="00BC6878"/>
    <w:rsid w:val="00BD154F"/>
    <w:rsid w:val="00BD18FC"/>
    <w:rsid w:val="00BD1E22"/>
    <w:rsid w:val="00BD24D6"/>
    <w:rsid w:val="00BD2962"/>
    <w:rsid w:val="00BD36B8"/>
    <w:rsid w:val="00BE4D6B"/>
    <w:rsid w:val="00BE50B7"/>
    <w:rsid w:val="00BE64E1"/>
    <w:rsid w:val="00BF086B"/>
    <w:rsid w:val="00BF18DC"/>
    <w:rsid w:val="00BF36FD"/>
    <w:rsid w:val="00BF56E1"/>
    <w:rsid w:val="00BF5966"/>
    <w:rsid w:val="00BF5FB5"/>
    <w:rsid w:val="00BF6F29"/>
    <w:rsid w:val="00BF788C"/>
    <w:rsid w:val="00C03E28"/>
    <w:rsid w:val="00C04B4F"/>
    <w:rsid w:val="00C04C8C"/>
    <w:rsid w:val="00C06785"/>
    <w:rsid w:val="00C06E2C"/>
    <w:rsid w:val="00C13DE2"/>
    <w:rsid w:val="00C14408"/>
    <w:rsid w:val="00C14776"/>
    <w:rsid w:val="00C147E8"/>
    <w:rsid w:val="00C16660"/>
    <w:rsid w:val="00C17F58"/>
    <w:rsid w:val="00C20202"/>
    <w:rsid w:val="00C2140F"/>
    <w:rsid w:val="00C21938"/>
    <w:rsid w:val="00C21A73"/>
    <w:rsid w:val="00C22819"/>
    <w:rsid w:val="00C26383"/>
    <w:rsid w:val="00C26677"/>
    <w:rsid w:val="00C307E7"/>
    <w:rsid w:val="00C32D48"/>
    <w:rsid w:val="00C33C0B"/>
    <w:rsid w:val="00C34A92"/>
    <w:rsid w:val="00C353B8"/>
    <w:rsid w:val="00C35829"/>
    <w:rsid w:val="00C35C5F"/>
    <w:rsid w:val="00C35F72"/>
    <w:rsid w:val="00C370A7"/>
    <w:rsid w:val="00C411CD"/>
    <w:rsid w:val="00C52175"/>
    <w:rsid w:val="00C55A48"/>
    <w:rsid w:val="00C57E90"/>
    <w:rsid w:val="00C62F1C"/>
    <w:rsid w:val="00C6380F"/>
    <w:rsid w:val="00C64889"/>
    <w:rsid w:val="00C659DA"/>
    <w:rsid w:val="00C676E2"/>
    <w:rsid w:val="00C71EF8"/>
    <w:rsid w:val="00C72514"/>
    <w:rsid w:val="00C72D3A"/>
    <w:rsid w:val="00C7347E"/>
    <w:rsid w:val="00C73A0F"/>
    <w:rsid w:val="00C744A3"/>
    <w:rsid w:val="00C76B64"/>
    <w:rsid w:val="00C774C1"/>
    <w:rsid w:val="00C77633"/>
    <w:rsid w:val="00C80905"/>
    <w:rsid w:val="00C81D4D"/>
    <w:rsid w:val="00C81DB5"/>
    <w:rsid w:val="00C823CD"/>
    <w:rsid w:val="00C84236"/>
    <w:rsid w:val="00C867E1"/>
    <w:rsid w:val="00C87AD1"/>
    <w:rsid w:val="00C900FF"/>
    <w:rsid w:val="00C90EC8"/>
    <w:rsid w:val="00C914D1"/>
    <w:rsid w:val="00C92B4D"/>
    <w:rsid w:val="00C954E1"/>
    <w:rsid w:val="00C96883"/>
    <w:rsid w:val="00C96892"/>
    <w:rsid w:val="00C96FD7"/>
    <w:rsid w:val="00CA077E"/>
    <w:rsid w:val="00CA29EC"/>
    <w:rsid w:val="00CA2ADE"/>
    <w:rsid w:val="00CA2EC1"/>
    <w:rsid w:val="00CA4FF0"/>
    <w:rsid w:val="00CA5C55"/>
    <w:rsid w:val="00CA735A"/>
    <w:rsid w:val="00CB18F8"/>
    <w:rsid w:val="00CB3FC8"/>
    <w:rsid w:val="00CB442A"/>
    <w:rsid w:val="00CB5796"/>
    <w:rsid w:val="00CB709C"/>
    <w:rsid w:val="00CC18FE"/>
    <w:rsid w:val="00CC21C3"/>
    <w:rsid w:val="00CC3BCF"/>
    <w:rsid w:val="00CC40AB"/>
    <w:rsid w:val="00CC4529"/>
    <w:rsid w:val="00CC5F98"/>
    <w:rsid w:val="00CC5F9F"/>
    <w:rsid w:val="00CC6249"/>
    <w:rsid w:val="00CD24DD"/>
    <w:rsid w:val="00CD29E3"/>
    <w:rsid w:val="00CD2DDF"/>
    <w:rsid w:val="00CD2FDE"/>
    <w:rsid w:val="00CD3189"/>
    <w:rsid w:val="00CD4B2E"/>
    <w:rsid w:val="00CD4DE4"/>
    <w:rsid w:val="00CD604F"/>
    <w:rsid w:val="00CD6527"/>
    <w:rsid w:val="00CD6B3F"/>
    <w:rsid w:val="00CE11C3"/>
    <w:rsid w:val="00CE66CE"/>
    <w:rsid w:val="00CF2B31"/>
    <w:rsid w:val="00CF3E63"/>
    <w:rsid w:val="00CF50F3"/>
    <w:rsid w:val="00CF561E"/>
    <w:rsid w:val="00D02D78"/>
    <w:rsid w:val="00D03548"/>
    <w:rsid w:val="00D04296"/>
    <w:rsid w:val="00D04655"/>
    <w:rsid w:val="00D070E8"/>
    <w:rsid w:val="00D0789F"/>
    <w:rsid w:val="00D10738"/>
    <w:rsid w:val="00D12738"/>
    <w:rsid w:val="00D127B6"/>
    <w:rsid w:val="00D128C4"/>
    <w:rsid w:val="00D129E2"/>
    <w:rsid w:val="00D139EC"/>
    <w:rsid w:val="00D143BA"/>
    <w:rsid w:val="00D15933"/>
    <w:rsid w:val="00D20DD2"/>
    <w:rsid w:val="00D32F90"/>
    <w:rsid w:val="00D3490E"/>
    <w:rsid w:val="00D34A19"/>
    <w:rsid w:val="00D34D9B"/>
    <w:rsid w:val="00D34EEE"/>
    <w:rsid w:val="00D363A8"/>
    <w:rsid w:val="00D37BAF"/>
    <w:rsid w:val="00D4160A"/>
    <w:rsid w:val="00D4394F"/>
    <w:rsid w:val="00D452E7"/>
    <w:rsid w:val="00D45951"/>
    <w:rsid w:val="00D45960"/>
    <w:rsid w:val="00D50938"/>
    <w:rsid w:val="00D50A42"/>
    <w:rsid w:val="00D50A91"/>
    <w:rsid w:val="00D50B43"/>
    <w:rsid w:val="00D51B1E"/>
    <w:rsid w:val="00D520F3"/>
    <w:rsid w:val="00D55255"/>
    <w:rsid w:val="00D609ED"/>
    <w:rsid w:val="00D60AE2"/>
    <w:rsid w:val="00D6336D"/>
    <w:rsid w:val="00D638DA"/>
    <w:rsid w:val="00D6732B"/>
    <w:rsid w:val="00D67BBE"/>
    <w:rsid w:val="00D705C7"/>
    <w:rsid w:val="00D73328"/>
    <w:rsid w:val="00D74F02"/>
    <w:rsid w:val="00D76DA0"/>
    <w:rsid w:val="00D77537"/>
    <w:rsid w:val="00D8009D"/>
    <w:rsid w:val="00D826B6"/>
    <w:rsid w:val="00D844E2"/>
    <w:rsid w:val="00D848AD"/>
    <w:rsid w:val="00D85B6C"/>
    <w:rsid w:val="00D8614E"/>
    <w:rsid w:val="00D87755"/>
    <w:rsid w:val="00D920FA"/>
    <w:rsid w:val="00D93B2C"/>
    <w:rsid w:val="00D94184"/>
    <w:rsid w:val="00D94997"/>
    <w:rsid w:val="00D94AEB"/>
    <w:rsid w:val="00D96569"/>
    <w:rsid w:val="00D96598"/>
    <w:rsid w:val="00D96B42"/>
    <w:rsid w:val="00D979EA"/>
    <w:rsid w:val="00D97E8E"/>
    <w:rsid w:val="00DA02B9"/>
    <w:rsid w:val="00DA42EA"/>
    <w:rsid w:val="00DA485C"/>
    <w:rsid w:val="00DA7FEA"/>
    <w:rsid w:val="00DB1B08"/>
    <w:rsid w:val="00DB1E94"/>
    <w:rsid w:val="00DB2114"/>
    <w:rsid w:val="00DB269B"/>
    <w:rsid w:val="00DB3607"/>
    <w:rsid w:val="00DB3BA2"/>
    <w:rsid w:val="00DB4EEE"/>
    <w:rsid w:val="00DB56EB"/>
    <w:rsid w:val="00DB58AF"/>
    <w:rsid w:val="00DB6111"/>
    <w:rsid w:val="00DB681D"/>
    <w:rsid w:val="00DB6822"/>
    <w:rsid w:val="00DC02B5"/>
    <w:rsid w:val="00DC2F18"/>
    <w:rsid w:val="00DC3EF7"/>
    <w:rsid w:val="00DC7589"/>
    <w:rsid w:val="00DD0D82"/>
    <w:rsid w:val="00DD2171"/>
    <w:rsid w:val="00DD2385"/>
    <w:rsid w:val="00DD27D1"/>
    <w:rsid w:val="00DD414E"/>
    <w:rsid w:val="00DD4F85"/>
    <w:rsid w:val="00DD5D28"/>
    <w:rsid w:val="00DD6D44"/>
    <w:rsid w:val="00DD77C3"/>
    <w:rsid w:val="00DE1008"/>
    <w:rsid w:val="00DE1F5B"/>
    <w:rsid w:val="00DE221A"/>
    <w:rsid w:val="00DE2334"/>
    <w:rsid w:val="00DE5C1E"/>
    <w:rsid w:val="00DF12E3"/>
    <w:rsid w:val="00DF2903"/>
    <w:rsid w:val="00DF2F52"/>
    <w:rsid w:val="00DF417E"/>
    <w:rsid w:val="00DF68EB"/>
    <w:rsid w:val="00DF68F0"/>
    <w:rsid w:val="00DF6CDE"/>
    <w:rsid w:val="00DF6DC9"/>
    <w:rsid w:val="00DF7308"/>
    <w:rsid w:val="00E0113D"/>
    <w:rsid w:val="00E039CB"/>
    <w:rsid w:val="00E04F25"/>
    <w:rsid w:val="00E104A3"/>
    <w:rsid w:val="00E120B0"/>
    <w:rsid w:val="00E1276D"/>
    <w:rsid w:val="00E1423B"/>
    <w:rsid w:val="00E1424A"/>
    <w:rsid w:val="00E162A5"/>
    <w:rsid w:val="00E1637F"/>
    <w:rsid w:val="00E16B67"/>
    <w:rsid w:val="00E16D20"/>
    <w:rsid w:val="00E16F20"/>
    <w:rsid w:val="00E17FED"/>
    <w:rsid w:val="00E20B37"/>
    <w:rsid w:val="00E30754"/>
    <w:rsid w:val="00E317E1"/>
    <w:rsid w:val="00E35E0F"/>
    <w:rsid w:val="00E3608D"/>
    <w:rsid w:val="00E36C27"/>
    <w:rsid w:val="00E37BFD"/>
    <w:rsid w:val="00E37E1F"/>
    <w:rsid w:val="00E410FB"/>
    <w:rsid w:val="00E42393"/>
    <w:rsid w:val="00E42989"/>
    <w:rsid w:val="00E4447C"/>
    <w:rsid w:val="00E4447F"/>
    <w:rsid w:val="00E47D7D"/>
    <w:rsid w:val="00E50A0C"/>
    <w:rsid w:val="00E50A67"/>
    <w:rsid w:val="00E553DC"/>
    <w:rsid w:val="00E55ECE"/>
    <w:rsid w:val="00E56973"/>
    <w:rsid w:val="00E56A8B"/>
    <w:rsid w:val="00E570B7"/>
    <w:rsid w:val="00E617EF"/>
    <w:rsid w:val="00E6186E"/>
    <w:rsid w:val="00E63098"/>
    <w:rsid w:val="00E671F3"/>
    <w:rsid w:val="00E7173F"/>
    <w:rsid w:val="00E72F03"/>
    <w:rsid w:val="00E7429A"/>
    <w:rsid w:val="00E75D89"/>
    <w:rsid w:val="00E76104"/>
    <w:rsid w:val="00E76E47"/>
    <w:rsid w:val="00E81552"/>
    <w:rsid w:val="00E8205A"/>
    <w:rsid w:val="00E834B0"/>
    <w:rsid w:val="00E84434"/>
    <w:rsid w:val="00E86A86"/>
    <w:rsid w:val="00E90F8B"/>
    <w:rsid w:val="00E92737"/>
    <w:rsid w:val="00E92BB7"/>
    <w:rsid w:val="00E963A8"/>
    <w:rsid w:val="00E9732D"/>
    <w:rsid w:val="00EA0512"/>
    <w:rsid w:val="00EA1A62"/>
    <w:rsid w:val="00EA3A4D"/>
    <w:rsid w:val="00EA5CA9"/>
    <w:rsid w:val="00EB2104"/>
    <w:rsid w:val="00EB23DF"/>
    <w:rsid w:val="00EB2FB1"/>
    <w:rsid w:val="00EB30F5"/>
    <w:rsid w:val="00EB3D8F"/>
    <w:rsid w:val="00EB55AB"/>
    <w:rsid w:val="00EB5C8B"/>
    <w:rsid w:val="00EB68C5"/>
    <w:rsid w:val="00EB74BC"/>
    <w:rsid w:val="00EB7E0E"/>
    <w:rsid w:val="00EC14FE"/>
    <w:rsid w:val="00EC1734"/>
    <w:rsid w:val="00EC21CB"/>
    <w:rsid w:val="00EC47CA"/>
    <w:rsid w:val="00EC4C30"/>
    <w:rsid w:val="00EC70D2"/>
    <w:rsid w:val="00ED0149"/>
    <w:rsid w:val="00ED101A"/>
    <w:rsid w:val="00ED18BA"/>
    <w:rsid w:val="00ED263C"/>
    <w:rsid w:val="00ED2A28"/>
    <w:rsid w:val="00ED2A92"/>
    <w:rsid w:val="00ED2E83"/>
    <w:rsid w:val="00ED3AA5"/>
    <w:rsid w:val="00ED503D"/>
    <w:rsid w:val="00EE0A6E"/>
    <w:rsid w:val="00EE0BC4"/>
    <w:rsid w:val="00EE0E4B"/>
    <w:rsid w:val="00EE11FD"/>
    <w:rsid w:val="00EE1D07"/>
    <w:rsid w:val="00EE2A66"/>
    <w:rsid w:val="00EE3152"/>
    <w:rsid w:val="00EE3683"/>
    <w:rsid w:val="00EE3CD3"/>
    <w:rsid w:val="00EE5C2B"/>
    <w:rsid w:val="00EE5CC7"/>
    <w:rsid w:val="00EF7105"/>
    <w:rsid w:val="00F02690"/>
    <w:rsid w:val="00F03C0D"/>
    <w:rsid w:val="00F03F22"/>
    <w:rsid w:val="00F04A96"/>
    <w:rsid w:val="00F04E39"/>
    <w:rsid w:val="00F051F5"/>
    <w:rsid w:val="00F05208"/>
    <w:rsid w:val="00F059EB"/>
    <w:rsid w:val="00F070F3"/>
    <w:rsid w:val="00F07860"/>
    <w:rsid w:val="00F07906"/>
    <w:rsid w:val="00F110B1"/>
    <w:rsid w:val="00F11308"/>
    <w:rsid w:val="00F117D7"/>
    <w:rsid w:val="00F12B10"/>
    <w:rsid w:val="00F13235"/>
    <w:rsid w:val="00F13342"/>
    <w:rsid w:val="00F13584"/>
    <w:rsid w:val="00F1494E"/>
    <w:rsid w:val="00F20737"/>
    <w:rsid w:val="00F23798"/>
    <w:rsid w:val="00F260AC"/>
    <w:rsid w:val="00F26DFB"/>
    <w:rsid w:val="00F27043"/>
    <w:rsid w:val="00F30369"/>
    <w:rsid w:val="00F32E6E"/>
    <w:rsid w:val="00F33102"/>
    <w:rsid w:val="00F34372"/>
    <w:rsid w:val="00F344B8"/>
    <w:rsid w:val="00F349AA"/>
    <w:rsid w:val="00F3617B"/>
    <w:rsid w:val="00F366BC"/>
    <w:rsid w:val="00F4134A"/>
    <w:rsid w:val="00F4263A"/>
    <w:rsid w:val="00F461CB"/>
    <w:rsid w:val="00F47E96"/>
    <w:rsid w:val="00F5072B"/>
    <w:rsid w:val="00F50A3A"/>
    <w:rsid w:val="00F5275F"/>
    <w:rsid w:val="00F52CB7"/>
    <w:rsid w:val="00F53DDC"/>
    <w:rsid w:val="00F5590D"/>
    <w:rsid w:val="00F57D6F"/>
    <w:rsid w:val="00F57DCC"/>
    <w:rsid w:val="00F62977"/>
    <w:rsid w:val="00F62A1E"/>
    <w:rsid w:val="00F64DB9"/>
    <w:rsid w:val="00F653CC"/>
    <w:rsid w:val="00F65513"/>
    <w:rsid w:val="00F65938"/>
    <w:rsid w:val="00F6652C"/>
    <w:rsid w:val="00F7022A"/>
    <w:rsid w:val="00F70BC4"/>
    <w:rsid w:val="00F718F5"/>
    <w:rsid w:val="00F71E0C"/>
    <w:rsid w:val="00F71EA4"/>
    <w:rsid w:val="00F72426"/>
    <w:rsid w:val="00F76FA9"/>
    <w:rsid w:val="00F77BA9"/>
    <w:rsid w:val="00F811A6"/>
    <w:rsid w:val="00F81E8B"/>
    <w:rsid w:val="00F8528F"/>
    <w:rsid w:val="00F85399"/>
    <w:rsid w:val="00F87DAB"/>
    <w:rsid w:val="00F925A5"/>
    <w:rsid w:val="00F93043"/>
    <w:rsid w:val="00F93183"/>
    <w:rsid w:val="00F95DF3"/>
    <w:rsid w:val="00F969D7"/>
    <w:rsid w:val="00FA035F"/>
    <w:rsid w:val="00FA1827"/>
    <w:rsid w:val="00FA2D02"/>
    <w:rsid w:val="00FA63DA"/>
    <w:rsid w:val="00FA686C"/>
    <w:rsid w:val="00FA6932"/>
    <w:rsid w:val="00FA6DC1"/>
    <w:rsid w:val="00FA7E33"/>
    <w:rsid w:val="00FB278C"/>
    <w:rsid w:val="00FB3972"/>
    <w:rsid w:val="00FB4E28"/>
    <w:rsid w:val="00FB70A4"/>
    <w:rsid w:val="00FB70DE"/>
    <w:rsid w:val="00FB75AD"/>
    <w:rsid w:val="00FC070C"/>
    <w:rsid w:val="00FC13DC"/>
    <w:rsid w:val="00FC22D1"/>
    <w:rsid w:val="00FC2B6C"/>
    <w:rsid w:val="00FC2BD1"/>
    <w:rsid w:val="00FD0105"/>
    <w:rsid w:val="00FD04D4"/>
    <w:rsid w:val="00FD07BD"/>
    <w:rsid w:val="00FD1593"/>
    <w:rsid w:val="00FD17C2"/>
    <w:rsid w:val="00FD2040"/>
    <w:rsid w:val="00FD2CCA"/>
    <w:rsid w:val="00FD562F"/>
    <w:rsid w:val="00FD634F"/>
    <w:rsid w:val="00FD669F"/>
    <w:rsid w:val="00FD683C"/>
    <w:rsid w:val="00FE0A7C"/>
    <w:rsid w:val="00FE2208"/>
    <w:rsid w:val="00FE2611"/>
    <w:rsid w:val="00FE2725"/>
    <w:rsid w:val="00FE392B"/>
    <w:rsid w:val="00FE482F"/>
    <w:rsid w:val="00FE7EBF"/>
    <w:rsid w:val="00FF1151"/>
    <w:rsid w:val="00FF2067"/>
    <w:rsid w:val="00FF2319"/>
    <w:rsid w:val="00FF3FFA"/>
    <w:rsid w:val="00FF47E1"/>
    <w:rsid w:val="00FF65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6865">
      <o:colormru v:ext="edit" colors="#e1e1ff,#069,#bad1e8,#afd787,#cde6b4,#d1e8ba,#0000ac"/>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footnote text" w:uiPriority="99"/>
    <w:lsdException w:name="annotation text" w:uiPriority="99"/>
    <w:lsdException w:name="header" w:uiPriority="99"/>
    <w:lsdException w:name="footer" w:uiPriority="99"/>
    <w:lsdException w:name="caption" w:qFormat="1"/>
    <w:lsdException w:name="table of figures" w:uiPriority="99"/>
    <w:lsdException w:name="footnote reference" w:uiPriority="99"/>
    <w:lsdException w:name="annotation reference" w:uiPriority="99"/>
    <w:lsdException w:name="Title" w:qFormat="1"/>
    <w:lsdException w:name="Default Paragraph Font" w:uiPriority="1"/>
    <w:lsdException w:name="Body Text" w:uiPriority="99"/>
    <w:lsdException w:name="Subtitle" w:qFormat="1"/>
    <w:lsdException w:name="Hyperlink" w:uiPriority="99"/>
    <w:lsdException w:name="Strong" w:uiPriority="22" w:qFormat="1"/>
    <w:lsdException w:name="Emphasis" w:qFormat="1"/>
    <w:lsdException w:name="Normal (Web)" w:uiPriority="99"/>
    <w:lsdException w:name="annotation subject"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B65FC"/>
    <w:pPr>
      <w:spacing w:after="180"/>
    </w:pPr>
    <w:rPr>
      <w:sz w:val="24"/>
    </w:rPr>
  </w:style>
  <w:style w:type="paragraph" w:styleId="Heading1">
    <w:name w:val="heading 1"/>
    <w:basedOn w:val="Normal"/>
    <w:next w:val="BodyText"/>
    <w:link w:val="Heading1Char"/>
    <w:qFormat/>
    <w:rsid w:val="00DF12E3"/>
    <w:pPr>
      <w:keepNext/>
      <w:keepLines/>
      <w:pageBreakBefore/>
      <w:numPr>
        <w:numId w:val="4"/>
      </w:numPr>
      <w:pBdr>
        <w:top w:val="single" w:sz="12" w:space="1" w:color="898D8D" w:themeColor="text2"/>
        <w:bottom w:val="single" w:sz="12" w:space="2" w:color="898D8D" w:themeColor="text2"/>
      </w:pBdr>
      <w:shd w:val="clear" w:color="auto" w:fill="898D8D" w:themeFill="text2"/>
      <w:tabs>
        <w:tab w:val="clear" w:pos="432"/>
        <w:tab w:val="num" w:pos="720"/>
      </w:tabs>
      <w:ind w:left="720" w:hanging="720"/>
      <w:outlineLvl w:val="0"/>
    </w:pPr>
    <w:rPr>
      <w:rFonts w:ascii="Arial" w:hAnsi="Arial"/>
      <w:b/>
      <w:noProof/>
      <w:color w:val="FFFFFF"/>
      <w:kern w:val="28"/>
      <w:sz w:val="28"/>
    </w:rPr>
  </w:style>
  <w:style w:type="paragraph" w:styleId="Heading2">
    <w:name w:val="heading 2"/>
    <w:basedOn w:val="Normal"/>
    <w:next w:val="BodyText"/>
    <w:link w:val="Heading2Char"/>
    <w:qFormat/>
    <w:rsid w:val="00AF4F8A"/>
    <w:pPr>
      <w:keepNext/>
      <w:numPr>
        <w:ilvl w:val="1"/>
        <w:numId w:val="4"/>
      </w:numPr>
      <w:tabs>
        <w:tab w:val="clear" w:pos="8910"/>
        <w:tab w:val="num" w:pos="720"/>
      </w:tabs>
      <w:spacing w:before="120" w:after="60"/>
      <w:ind w:left="720"/>
      <w:outlineLvl w:val="1"/>
    </w:pPr>
    <w:rPr>
      <w:rFonts w:ascii="Arial" w:hAnsi="Arial" w:cs="Arial"/>
      <w:b/>
      <w:bCs/>
      <w:iCs/>
      <w:color w:val="4F5353"/>
      <w:szCs w:val="28"/>
    </w:rPr>
  </w:style>
  <w:style w:type="paragraph" w:styleId="Heading3">
    <w:name w:val="heading 3"/>
    <w:basedOn w:val="Normal"/>
    <w:next w:val="BodyText"/>
    <w:link w:val="Heading3Char"/>
    <w:autoRedefine/>
    <w:qFormat/>
    <w:rsid w:val="000A26AA"/>
    <w:pPr>
      <w:keepNext/>
      <w:numPr>
        <w:ilvl w:val="2"/>
        <w:numId w:val="4"/>
      </w:numPr>
      <w:tabs>
        <w:tab w:val="clear" w:pos="5400"/>
        <w:tab w:val="num" w:pos="1440"/>
      </w:tabs>
      <w:spacing w:before="60" w:after="60"/>
      <w:ind w:left="720"/>
      <w:outlineLvl w:val="2"/>
    </w:pPr>
    <w:rPr>
      <w:b/>
      <w:color w:val="DA291C" w:themeColor="accent1"/>
      <w:szCs w:val="24"/>
    </w:rPr>
  </w:style>
  <w:style w:type="paragraph" w:styleId="Heading4">
    <w:name w:val="heading 4"/>
    <w:basedOn w:val="Normal"/>
    <w:next w:val="BodyText"/>
    <w:link w:val="Heading4Char"/>
    <w:qFormat/>
    <w:rsid w:val="002222A4"/>
    <w:pPr>
      <w:keepNext/>
      <w:numPr>
        <w:ilvl w:val="3"/>
        <w:numId w:val="4"/>
      </w:numPr>
      <w:spacing w:after="60"/>
      <w:outlineLvl w:val="3"/>
    </w:pPr>
    <w:rPr>
      <w:rFonts w:ascii="Arial Bold" w:hAnsi="Arial Bold"/>
      <w:b/>
      <w:sz w:val="20"/>
    </w:rPr>
  </w:style>
  <w:style w:type="paragraph" w:styleId="Heading5">
    <w:name w:val="heading 5"/>
    <w:basedOn w:val="Normal"/>
    <w:next w:val="BodyText"/>
    <w:qFormat/>
    <w:rsid w:val="004E26E2"/>
    <w:pPr>
      <w:keepNext/>
      <w:keepLines/>
      <w:numPr>
        <w:ilvl w:val="4"/>
        <w:numId w:val="4"/>
      </w:numPr>
      <w:spacing w:after="0"/>
      <w:outlineLvl w:val="4"/>
    </w:pPr>
    <w:rPr>
      <w:rFonts w:ascii="Arial" w:hAnsi="Arial" w:cs="Arial"/>
      <w:b/>
      <w:i/>
      <w:color w:val="DA291C" w:themeColor="accent1"/>
      <w:sz w:val="20"/>
    </w:rPr>
  </w:style>
  <w:style w:type="paragraph" w:styleId="Heading6">
    <w:name w:val="heading 6"/>
    <w:basedOn w:val="Normal"/>
    <w:next w:val="Normal"/>
    <w:qFormat/>
    <w:rsid w:val="00495B91"/>
    <w:pPr>
      <w:numPr>
        <w:ilvl w:val="5"/>
        <w:numId w:val="4"/>
      </w:numPr>
      <w:spacing w:before="60" w:after="60"/>
      <w:outlineLvl w:val="5"/>
    </w:pPr>
    <w:rPr>
      <w:b/>
      <w:bCs/>
      <w:szCs w:val="22"/>
    </w:rPr>
  </w:style>
  <w:style w:type="paragraph" w:styleId="Heading7">
    <w:name w:val="heading 7"/>
    <w:basedOn w:val="Normal"/>
    <w:next w:val="Normal"/>
    <w:qFormat/>
    <w:rsid w:val="003A3403"/>
    <w:pPr>
      <w:numPr>
        <w:ilvl w:val="6"/>
        <w:numId w:val="4"/>
      </w:numPr>
      <w:spacing w:before="240" w:after="60"/>
      <w:outlineLvl w:val="6"/>
    </w:pPr>
    <w:rPr>
      <w:szCs w:val="24"/>
    </w:rPr>
  </w:style>
  <w:style w:type="paragraph" w:styleId="Heading8">
    <w:name w:val="heading 8"/>
    <w:basedOn w:val="Normal"/>
    <w:next w:val="Normal"/>
    <w:qFormat/>
    <w:rsid w:val="003A3403"/>
    <w:pPr>
      <w:numPr>
        <w:ilvl w:val="7"/>
        <w:numId w:val="4"/>
      </w:numPr>
      <w:spacing w:before="240" w:after="60"/>
      <w:outlineLvl w:val="7"/>
    </w:pPr>
    <w:rPr>
      <w:i/>
      <w:iCs/>
      <w:szCs w:val="24"/>
    </w:rPr>
  </w:style>
  <w:style w:type="paragraph" w:styleId="Heading9">
    <w:name w:val="heading 9"/>
    <w:basedOn w:val="Normal"/>
    <w:next w:val="Normal"/>
    <w:qFormat/>
    <w:rsid w:val="003A3403"/>
    <w:pPr>
      <w:numPr>
        <w:ilvl w:val="8"/>
        <w:numId w:val="4"/>
      </w:numPr>
      <w:spacing w:before="240" w:after="60"/>
      <w:outlineLvl w:val="8"/>
    </w:pPr>
    <w:rPr>
      <w:rFonts w:ascii="Arial" w:hAnsi="Arial"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967D7C"/>
    <w:pPr>
      <w:pBdr>
        <w:top w:val="single" w:sz="12" w:space="1" w:color="898D8D"/>
      </w:pBdr>
      <w:tabs>
        <w:tab w:val="center" w:pos="4507"/>
        <w:tab w:val="right" w:pos="9000"/>
      </w:tabs>
      <w:spacing w:after="0"/>
    </w:pPr>
    <w:rPr>
      <w:rFonts w:ascii="Arial" w:hAnsi="Arial"/>
      <w:b/>
      <w:color w:val="595959" w:themeColor="text1" w:themeTint="A6"/>
      <w:sz w:val="18"/>
    </w:rPr>
  </w:style>
  <w:style w:type="character" w:customStyle="1" w:styleId="FooterChar">
    <w:name w:val="Footer Char"/>
    <w:basedOn w:val="DefaultParagraphFont"/>
    <w:link w:val="Footer"/>
    <w:uiPriority w:val="99"/>
    <w:rsid w:val="00967D7C"/>
    <w:rPr>
      <w:rFonts w:ascii="Arial" w:hAnsi="Arial"/>
      <w:b/>
      <w:color w:val="595959" w:themeColor="text1" w:themeTint="A6"/>
      <w:sz w:val="18"/>
    </w:rPr>
  </w:style>
  <w:style w:type="paragraph" w:customStyle="1" w:styleId="ExhibitRowHeader">
    <w:name w:val="Exhibit Row Header"/>
    <w:rsid w:val="003470C3"/>
    <w:pPr>
      <w:spacing w:before="20" w:after="20"/>
    </w:pPr>
    <w:rPr>
      <w:rFonts w:ascii="Arial" w:hAnsi="Arial" w:cs="Arial"/>
      <w:b/>
      <w:color w:val="F8F8F8"/>
    </w:rPr>
  </w:style>
  <w:style w:type="paragraph" w:styleId="BodyText">
    <w:name w:val="Body Text"/>
    <w:basedOn w:val="Normal"/>
    <w:link w:val="BodyTextChar"/>
    <w:uiPriority w:val="99"/>
    <w:rsid w:val="00C55A48"/>
    <w:rPr>
      <w:lang w:val="en-GB"/>
    </w:rPr>
  </w:style>
  <w:style w:type="character" w:customStyle="1" w:styleId="BodyTextChar">
    <w:name w:val="Body Text Char"/>
    <w:basedOn w:val="DefaultParagraphFont"/>
    <w:link w:val="BodyText"/>
    <w:uiPriority w:val="99"/>
    <w:rsid w:val="00C55A48"/>
    <w:rPr>
      <w:sz w:val="24"/>
      <w:lang w:val="en-GB"/>
    </w:rPr>
  </w:style>
  <w:style w:type="character" w:styleId="PageNumber">
    <w:name w:val="page number"/>
    <w:basedOn w:val="DefaultParagraphFont"/>
    <w:rsid w:val="001034D7"/>
    <w:rPr>
      <w:rFonts w:ascii="Arial" w:hAnsi="Arial"/>
      <w:b/>
      <w:dstrike w:val="0"/>
      <w:color w:val="595959" w:themeColor="text1" w:themeTint="A6"/>
      <w:sz w:val="18"/>
      <w:bdr w:val="none" w:sz="0" w:space="0" w:color="auto"/>
      <w:vertAlign w:val="baseline"/>
    </w:rPr>
  </w:style>
  <w:style w:type="paragraph" w:customStyle="1" w:styleId="Bullets">
    <w:name w:val="Bullets"/>
    <w:basedOn w:val="BodyText"/>
    <w:rsid w:val="007406DD"/>
    <w:pPr>
      <w:numPr>
        <w:numId w:val="3"/>
      </w:numPr>
      <w:contextualSpacing/>
    </w:pPr>
  </w:style>
  <w:style w:type="paragraph" w:customStyle="1" w:styleId="RefNumbers">
    <w:name w:val="Ref Numbers"/>
    <w:basedOn w:val="BodyText"/>
    <w:pPr>
      <w:numPr>
        <w:numId w:val="2"/>
      </w:numPr>
      <w:spacing w:after="240"/>
    </w:pPr>
  </w:style>
  <w:style w:type="paragraph" w:styleId="Header">
    <w:name w:val="header"/>
    <w:basedOn w:val="Normal"/>
    <w:link w:val="HeaderChar"/>
    <w:uiPriority w:val="99"/>
    <w:rsid w:val="0042544A"/>
    <w:pPr>
      <w:pBdr>
        <w:top w:val="single" w:sz="12" w:space="1" w:color="4F5353"/>
        <w:bottom w:val="single" w:sz="12" w:space="1" w:color="4F5353"/>
      </w:pBdr>
      <w:shd w:val="clear" w:color="auto" w:fill="4F5353"/>
      <w:tabs>
        <w:tab w:val="right" w:pos="9000"/>
      </w:tabs>
      <w:jc w:val="right"/>
    </w:pPr>
    <w:rPr>
      <w:rFonts w:ascii="Arial" w:hAnsi="Arial" w:cs="Arial"/>
      <w:b/>
      <w:color w:val="FFFFFF"/>
      <w:spacing w:val="20"/>
      <w:szCs w:val="24"/>
    </w:rPr>
  </w:style>
  <w:style w:type="paragraph" w:styleId="TOC1">
    <w:name w:val="toc 1"/>
    <w:next w:val="BodyText"/>
    <w:uiPriority w:val="39"/>
    <w:rsid w:val="00691D3E"/>
    <w:pPr>
      <w:tabs>
        <w:tab w:val="left" w:pos="540"/>
        <w:tab w:val="right" w:leader="dot" w:pos="9360"/>
      </w:tabs>
      <w:spacing w:before="240"/>
      <w:ind w:left="540" w:right="360" w:hanging="540"/>
    </w:pPr>
    <w:rPr>
      <w:rFonts w:ascii="Arial" w:hAnsi="Arial"/>
      <w:b/>
      <w:noProof/>
      <w:sz w:val="24"/>
    </w:rPr>
  </w:style>
  <w:style w:type="character" w:styleId="CommentReference">
    <w:name w:val="annotation reference"/>
    <w:basedOn w:val="DefaultParagraphFont"/>
    <w:uiPriority w:val="99"/>
    <w:semiHidden/>
    <w:rPr>
      <w:sz w:val="16"/>
    </w:rPr>
  </w:style>
  <w:style w:type="paragraph" w:styleId="TOC2">
    <w:name w:val="toc 2"/>
    <w:next w:val="BodyText"/>
    <w:uiPriority w:val="39"/>
    <w:rsid w:val="006247AB"/>
    <w:pPr>
      <w:tabs>
        <w:tab w:val="left" w:pos="1080"/>
        <w:tab w:val="right" w:leader="dot" w:pos="9360"/>
      </w:tabs>
      <w:ind w:left="1080" w:right="360" w:hanging="540"/>
    </w:pPr>
    <w:rPr>
      <w:noProof/>
      <w:sz w:val="24"/>
    </w:rPr>
  </w:style>
  <w:style w:type="paragraph" w:styleId="TOC3">
    <w:name w:val="toc 3"/>
    <w:next w:val="BodyText"/>
    <w:uiPriority w:val="39"/>
    <w:rsid w:val="006247AB"/>
    <w:pPr>
      <w:tabs>
        <w:tab w:val="left" w:pos="1800"/>
        <w:tab w:val="right" w:leader="dot" w:pos="9360"/>
      </w:tabs>
      <w:ind w:left="1800" w:right="360" w:hanging="720"/>
    </w:pPr>
    <w:rPr>
      <w:noProof/>
      <w:sz w:val="24"/>
    </w:rPr>
  </w:style>
  <w:style w:type="paragraph" w:styleId="TOC4">
    <w:name w:val="toc 4"/>
    <w:basedOn w:val="BodyText"/>
    <w:next w:val="BodyText"/>
    <w:uiPriority w:val="39"/>
    <w:rsid w:val="006C61C5"/>
    <w:pPr>
      <w:tabs>
        <w:tab w:val="right" w:leader="dot" w:pos="8990"/>
      </w:tabs>
      <w:spacing w:after="0"/>
      <w:ind w:left="1170"/>
    </w:p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character" w:styleId="FootnoteReference">
    <w:name w:val="footnote reference"/>
    <w:basedOn w:val="DefaultParagraphFont"/>
    <w:uiPriority w:val="99"/>
    <w:rsid w:val="00BB25C5"/>
    <w:rPr>
      <w:rFonts w:ascii="Times New Roman" w:hAnsi="Times New Roman"/>
      <w:sz w:val="20"/>
      <w:vertAlign w:val="superscript"/>
    </w:rPr>
  </w:style>
  <w:style w:type="paragraph" w:styleId="FootnoteText">
    <w:name w:val="footnote text"/>
    <w:basedOn w:val="Normal"/>
    <w:link w:val="FootnoteTextChar"/>
    <w:uiPriority w:val="99"/>
    <w:pPr>
      <w:spacing w:after="120"/>
      <w:ind w:left="360" w:hanging="360"/>
    </w:pPr>
    <w:rPr>
      <w:sz w:val="20"/>
    </w:rPr>
  </w:style>
  <w:style w:type="paragraph" w:styleId="Index1">
    <w:name w:val="index 1"/>
    <w:basedOn w:val="Normal"/>
    <w:next w:val="Normal"/>
    <w:autoRedefine/>
    <w:semiHidden/>
    <w:pPr>
      <w:ind w:left="220" w:hanging="220"/>
    </w:pPr>
    <w:rPr>
      <w:sz w:val="20"/>
    </w:rPr>
  </w:style>
  <w:style w:type="paragraph" w:styleId="Index2">
    <w:name w:val="index 2"/>
    <w:basedOn w:val="Normal"/>
    <w:next w:val="Normal"/>
    <w:autoRedefine/>
    <w:semiHidden/>
    <w:pPr>
      <w:ind w:left="440" w:hanging="220"/>
    </w:pPr>
    <w:rPr>
      <w:sz w:val="20"/>
    </w:rPr>
  </w:style>
  <w:style w:type="paragraph" w:styleId="Index3">
    <w:name w:val="index 3"/>
    <w:basedOn w:val="Normal"/>
    <w:next w:val="Normal"/>
    <w:autoRedefine/>
    <w:semiHidden/>
    <w:pPr>
      <w:ind w:left="660" w:hanging="220"/>
    </w:pPr>
    <w:rPr>
      <w:sz w:val="20"/>
    </w:rPr>
  </w:style>
  <w:style w:type="paragraph" w:customStyle="1" w:styleId="Numbers">
    <w:name w:val="Numbers"/>
    <w:basedOn w:val="BodyText"/>
    <w:pPr>
      <w:numPr>
        <w:numId w:val="1"/>
      </w:numPr>
      <w:ind w:left="720"/>
    </w:pPr>
  </w:style>
  <w:style w:type="paragraph" w:customStyle="1" w:styleId="BoxText">
    <w:name w:val="Box Text"/>
    <w:basedOn w:val="BodyText"/>
    <w:rsid w:val="00C6380F"/>
    <w:rPr>
      <w:rFonts w:ascii="Arial" w:hAnsi="Arial" w:cs="Arial"/>
      <w:sz w:val="18"/>
    </w:rPr>
  </w:style>
  <w:style w:type="paragraph" w:styleId="CommentText">
    <w:name w:val="annotation text"/>
    <w:basedOn w:val="Normal"/>
    <w:link w:val="CommentTextChar"/>
    <w:uiPriority w:val="99"/>
    <w:semiHidden/>
    <w:rsid w:val="00D34EEE"/>
    <w:rPr>
      <w:sz w:val="20"/>
    </w:rPr>
  </w:style>
  <w:style w:type="paragraph" w:styleId="CommentSubject">
    <w:name w:val="annotation subject"/>
    <w:basedOn w:val="CommentText"/>
    <w:next w:val="CommentText"/>
    <w:link w:val="CommentSubjectChar"/>
    <w:uiPriority w:val="99"/>
    <w:semiHidden/>
    <w:rsid w:val="00D34EEE"/>
    <w:rPr>
      <w:b/>
      <w:bCs/>
    </w:rPr>
  </w:style>
  <w:style w:type="paragraph" w:styleId="BalloonText">
    <w:name w:val="Balloon Text"/>
    <w:basedOn w:val="Normal"/>
    <w:link w:val="BalloonTextChar"/>
    <w:uiPriority w:val="99"/>
    <w:semiHidden/>
    <w:rsid w:val="00D34EEE"/>
    <w:rPr>
      <w:rFonts w:ascii="Tahoma" w:hAnsi="Tahoma" w:cs="Tahoma"/>
      <w:sz w:val="16"/>
      <w:szCs w:val="16"/>
    </w:rPr>
  </w:style>
  <w:style w:type="table" w:styleId="TableGrid">
    <w:name w:val="Table Grid"/>
    <w:basedOn w:val="TableNormal"/>
    <w:uiPriority w:val="59"/>
    <w:rsid w:val="005B1A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rsid w:val="00752119"/>
    <w:rPr>
      <w:color w:val="0000FF"/>
      <w:u w:val="single"/>
    </w:rPr>
  </w:style>
  <w:style w:type="paragraph" w:customStyle="1" w:styleId="TOCHeader">
    <w:name w:val="TOC Header"/>
    <w:basedOn w:val="Normal"/>
    <w:next w:val="BodyText"/>
    <w:rsid w:val="002064D3"/>
    <w:rPr>
      <w:rFonts w:ascii="Arial" w:hAnsi="Arial"/>
      <w:b/>
      <w:color w:val="898D8D"/>
    </w:rPr>
  </w:style>
  <w:style w:type="paragraph" w:customStyle="1" w:styleId="VolumeHeader">
    <w:name w:val="Volume Header"/>
    <w:basedOn w:val="Normal"/>
    <w:next w:val="BodyText"/>
    <w:rsid w:val="002064D3"/>
    <w:pPr>
      <w:pBdr>
        <w:top w:val="single" w:sz="2" w:space="2" w:color="DA291C"/>
        <w:bottom w:val="single" w:sz="2" w:space="2" w:color="DA291C"/>
      </w:pBdr>
      <w:shd w:val="clear" w:color="auto" w:fill="DA291C"/>
      <w:tabs>
        <w:tab w:val="left" w:pos="1170"/>
      </w:tabs>
    </w:pPr>
    <w:rPr>
      <w:rFonts w:ascii="Arial Bold" w:hAnsi="Arial Bold"/>
      <w:b/>
      <w:color w:val="FFFFFF"/>
      <w:szCs w:val="24"/>
    </w:rPr>
  </w:style>
  <w:style w:type="paragraph" w:styleId="Caption">
    <w:name w:val="caption"/>
    <w:basedOn w:val="Normal"/>
    <w:next w:val="Normal"/>
    <w:qFormat/>
    <w:rsid w:val="00642069"/>
    <w:pPr>
      <w:keepNext/>
      <w:keepLines/>
      <w:widowControl w:val="0"/>
      <w:tabs>
        <w:tab w:val="left" w:pos="1440"/>
      </w:tabs>
      <w:spacing w:after="120"/>
      <w:ind w:left="1440" w:hanging="1440"/>
    </w:pPr>
    <w:rPr>
      <w:rFonts w:ascii="Arial" w:hAnsi="Arial"/>
      <w:b/>
      <w:bCs/>
    </w:rPr>
  </w:style>
  <w:style w:type="paragraph" w:customStyle="1" w:styleId="FooterLandscape">
    <w:name w:val="Footer Landscape"/>
    <w:basedOn w:val="Footer"/>
    <w:rsid w:val="00EE1D07"/>
    <w:pPr>
      <w:tabs>
        <w:tab w:val="clear" w:pos="4507"/>
        <w:tab w:val="clear" w:pos="9000"/>
        <w:tab w:val="center" w:pos="6480"/>
        <w:tab w:val="right" w:pos="12960"/>
      </w:tabs>
    </w:pPr>
  </w:style>
  <w:style w:type="paragraph" w:customStyle="1" w:styleId="CoverTechorBusiness">
    <w:name w:val="Cover Tech or Business"/>
    <w:basedOn w:val="Normal"/>
    <w:qFormat/>
    <w:rsid w:val="0099262A"/>
    <w:pPr>
      <w:shd w:val="solid" w:color="FFFFFF" w:fill="FFFFFF"/>
      <w:spacing w:line="276" w:lineRule="auto"/>
      <w:jc w:val="right"/>
    </w:pPr>
    <w:rPr>
      <w:rFonts w:ascii="Arial" w:hAnsi="Arial"/>
      <w:color w:val="DA291C"/>
      <w:sz w:val="20"/>
    </w:rPr>
  </w:style>
  <w:style w:type="paragraph" w:customStyle="1" w:styleId="Bullet2">
    <w:name w:val="Bullet2"/>
    <w:basedOn w:val="Normal"/>
    <w:rsid w:val="005E53FA"/>
    <w:pPr>
      <w:numPr>
        <w:numId w:val="5"/>
      </w:numPr>
      <w:contextualSpacing/>
    </w:pPr>
  </w:style>
  <w:style w:type="paragraph" w:customStyle="1" w:styleId="ProposalTitle">
    <w:name w:val="Proposal Title"/>
    <w:basedOn w:val="Normal"/>
    <w:qFormat/>
    <w:rsid w:val="00536DB4"/>
    <w:pPr>
      <w:autoSpaceDE w:val="0"/>
      <w:autoSpaceDN w:val="0"/>
      <w:adjustRightInd w:val="0"/>
      <w:ind w:left="6696" w:right="-792"/>
    </w:pPr>
    <w:rPr>
      <w:b/>
      <w:sz w:val="32"/>
      <w:szCs w:val="32"/>
    </w:rPr>
  </w:style>
  <w:style w:type="paragraph" w:customStyle="1" w:styleId="RFPNumber">
    <w:name w:val="RFP Number"/>
    <w:basedOn w:val="Normal"/>
    <w:qFormat/>
    <w:rsid w:val="00536DB4"/>
    <w:pPr>
      <w:autoSpaceDE w:val="0"/>
      <w:autoSpaceDN w:val="0"/>
      <w:adjustRightInd w:val="0"/>
      <w:ind w:left="6696" w:right="-792"/>
    </w:pPr>
    <w:rPr>
      <w:sz w:val="32"/>
      <w:szCs w:val="32"/>
    </w:rPr>
  </w:style>
  <w:style w:type="paragraph" w:customStyle="1" w:styleId="CoverTextRed14pt">
    <w:name w:val="Cover Text  Red 14pt"/>
    <w:basedOn w:val="Normal"/>
    <w:qFormat/>
    <w:rsid w:val="00AB65FC"/>
    <w:pPr>
      <w:tabs>
        <w:tab w:val="left" w:pos="720"/>
        <w:tab w:val="left" w:pos="1080"/>
        <w:tab w:val="left" w:pos="1440"/>
        <w:tab w:val="left" w:pos="1800"/>
        <w:tab w:val="left" w:pos="6660"/>
      </w:tabs>
      <w:spacing w:after="0"/>
      <w:ind w:left="6494" w:right="-547"/>
      <w:jc w:val="right"/>
    </w:pPr>
    <w:rPr>
      <w:rFonts w:ascii="Arial" w:hAnsi="Arial"/>
      <w:b/>
      <w:color w:val="DA291C" w:themeColor="accent1"/>
      <w:sz w:val="28"/>
      <w:szCs w:val="32"/>
    </w:rPr>
  </w:style>
  <w:style w:type="paragraph" w:customStyle="1" w:styleId="CoverText11pt">
    <w:name w:val="Cover Text 11 pt"/>
    <w:basedOn w:val="Normal"/>
    <w:qFormat/>
    <w:rsid w:val="001E2CF1"/>
    <w:pPr>
      <w:tabs>
        <w:tab w:val="left" w:pos="720"/>
        <w:tab w:val="left" w:pos="1080"/>
        <w:tab w:val="left" w:pos="1440"/>
        <w:tab w:val="left" w:pos="1800"/>
        <w:tab w:val="left" w:pos="6660"/>
      </w:tabs>
      <w:spacing w:after="0"/>
      <w:ind w:left="6490" w:right="-540"/>
      <w:jc w:val="right"/>
    </w:pPr>
    <w:rPr>
      <w:rFonts w:ascii="Arial" w:hAnsi="Arial"/>
      <w:i/>
      <w:color w:val="616662"/>
      <w:szCs w:val="24"/>
    </w:rPr>
  </w:style>
  <w:style w:type="paragraph" w:customStyle="1" w:styleId="CoverText-Address">
    <w:name w:val="Cover Text - Address"/>
    <w:basedOn w:val="Normal"/>
    <w:qFormat/>
    <w:rsid w:val="00AB65FC"/>
    <w:pPr>
      <w:tabs>
        <w:tab w:val="left" w:pos="720"/>
        <w:tab w:val="left" w:pos="1080"/>
        <w:tab w:val="left" w:pos="1440"/>
        <w:tab w:val="left" w:pos="1800"/>
        <w:tab w:val="left" w:pos="6660"/>
      </w:tabs>
      <w:spacing w:after="0"/>
      <w:ind w:left="6494" w:right="-547"/>
      <w:jc w:val="right"/>
    </w:pPr>
    <w:rPr>
      <w:rFonts w:ascii="Arial" w:hAnsi="Arial"/>
      <w:color w:val="616662"/>
      <w:szCs w:val="24"/>
    </w:rPr>
  </w:style>
  <w:style w:type="character" w:customStyle="1" w:styleId="FootnoteTextChar">
    <w:name w:val="Footnote Text Char"/>
    <w:basedOn w:val="DefaultParagraphFont"/>
    <w:link w:val="FootnoteText"/>
    <w:uiPriority w:val="99"/>
    <w:rsid w:val="00574572"/>
  </w:style>
  <w:style w:type="paragraph" w:customStyle="1" w:styleId="TableText">
    <w:name w:val="Table Text"/>
    <w:basedOn w:val="Normal"/>
    <w:qFormat/>
    <w:rsid w:val="009550AD"/>
    <w:pPr>
      <w:spacing w:before="40" w:after="40"/>
    </w:pPr>
    <w:rPr>
      <w:rFonts w:ascii="Arial" w:hAnsi="Arial" w:cs="Arial"/>
      <w:bCs/>
      <w:color w:val="000000"/>
      <w:sz w:val="20"/>
    </w:rPr>
  </w:style>
  <w:style w:type="paragraph" w:customStyle="1" w:styleId="ExhibitSource">
    <w:name w:val="Exhibit Source"/>
    <w:basedOn w:val="Normal"/>
    <w:qFormat/>
    <w:rsid w:val="003729AE"/>
    <w:pPr>
      <w:spacing w:before="120" w:after="240"/>
    </w:pPr>
    <w:rPr>
      <w:rFonts w:ascii="Arial Narrow" w:hAnsi="Arial Narrow" w:cs="Arial"/>
      <w:sz w:val="18"/>
    </w:rPr>
  </w:style>
  <w:style w:type="paragraph" w:customStyle="1" w:styleId="ExhibitText">
    <w:name w:val="Exhibit Text"/>
    <w:basedOn w:val="TableText"/>
    <w:qFormat/>
    <w:rsid w:val="00DB4EEE"/>
    <w:rPr>
      <w:rFonts w:ascii="Arial Narrow" w:hAnsi="Arial Narrow"/>
      <w:sz w:val="22"/>
    </w:rPr>
  </w:style>
  <w:style w:type="paragraph" w:customStyle="1" w:styleId="CoverTextGreyBold">
    <w:name w:val="Cover Text Grey Bold"/>
    <w:basedOn w:val="Normal"/>
    <w:qFormat/>
    <w:rsid w:val="00744E2C"/>
    <w:pPr>
      <w:tabs>
        <w:tab w:val="left" w:pos="720"/>
        <w:tab w:val="left" w:pos="1080"/>
        <w:tab w:val="left" w:pos="1440"/>
        <w:tab w:val="left" w:pos="1800"/>
        <w:tab w:val="left" w:pos="6660"/>
      </w:tabs>
      <w:spacing w:after="0"/>
      <w:ind w:left="6490" w:right="-540"/>
      <w:jc w:val="right"/>
    </w:pPr>
    <w:rPr>
      <w:rFonts w:ascii="Arial" w:hAnsi="Arial"/>
      <w:b/>
      <w:color w:val="616662"/>
      <w:szCs w:val="24"/>
    </w:rPr>
  </w:style>
  <w:style w:type="paragraph" w:customStyle="1" w:styleId="Disclaimer">
    <w:name w:val="Disclaimer"/>
    <w:basedOn w:val="Normal"/>
    <w:qFormat/>
    <w:rsid w:val="00744E2C"/>
    <w:pPr>
      <w:shd w:val="solid" w:color="FFFFFF" w:fill="FFFFFF"/>
      <w:jc w:val="both"/>
    </w:pPr>
    <w:rPr>
      <w:rFonts w:ascii="Arial" w:hAnsi="Arial"/>
      <w:color w:val="000000"/>
      <w:sz w:val="18"/>
    </w:rPr>
  </w:style>
  <w:style w:type="table" w:customStyle="1" w:styleId="AbtFinal">
    <w:name w:val="Abt Final"/>
    <w:basedOn w:val="TableNormal"/>
    <w:uiPriority w:val="99"/>
    <w:rsid w:val="007F5611"/>
    <w:rPr>
      <w:rFonts w:ascii="Arial Narrow" w:hAnsi="Arial Narrow"/>
      <w:sz w:val="18"/>
    </w:rPr>
    <w:tblPr>
      <w:tblStyleRow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jc w:val="left"/>
      </w:pPr>
      <w:rPr>
        <w:rFonts w:ascii="Arial Narrow" w:hAnsi="Arial Narrow"/>
        <w:b/>
        <w:caps w:val="0"/>
        <w:smallCaps w:val="0"/>
        <w:strike w:val="0"/>
        <w:dstrike w:val="0"/>
        <w:vanish w:val="0"/>
        <w:sz w:val="18"/>
        <w:vertAlign w:val="baseline"/>
      </w:rPr>
      <w:tblPr/>
      <w:tcPr>
        <w:tcBorders>
          <w:top w:val="single" w:sz="8" w:space="0" w:color="auto"/>
          <w:left w:val="single" w:sz="8" w:space="0" w:color="auto"/>
          <w:bottom w:val="single" w:sz="8" w:space="0" w:color="auto"/>
          <w:right w:val="single" w:sz="8" w:space="0" w:color="auto"/>
          <w:insideH w:val="single" w:sz="4" w:space="0" w:color="auto"/>
          <w:insideV w:val="single" w:sz="8" w:space="0" w:color="auto"/>
        </w:tcBorders>
        <w:shd w:val="clear" w:color="auto" w:fill="C3C6A8" w:themeFill="accent4"/>
      </w:tcPr>
    </w:tblStylePr>
    <w:tblStylePr w:type="lastRow">
      <w:pPr>
        <w:jc w:val="left"/>
      </w:pPr>
      <w:rPr>
        <w:rFonts w:ascii="Arial" w:hAnsi="Arial"/>
        <w:sz w:val="18"/>
      </w:rPr>
      <w:tblPr/>
      <w:tcPr>
        <w:tcBorders>
          <w:top w:val="single" w:sz="8" w:space="0" w:color="auto"/>
          <w:left w:val="single" w:sz="8" w:space="0" w:color="auto"/>
          <w:bottom w:val="single" w:sz="8" w:space="0" w:color="auto"/>
          <w:right w:val="single" w:sz="8" w:space="0" w:color="auto"/>
          <w:insideH w:val="nil"/>
          <w:insideV w:val="single" w:sz="8" w:space="0" w:color="auto"/>
          <w:tl2br w:val="nil"/>
          <w:tr2bl w:val="nil"/>
        </w:tcBorders>
        <w:shd w:val="clear" w:color="auto" w:fill="898D8D" w:themeFill="accent2"/>
      </w:tcPr>
    </w:tblStylePr>
    <w:tblStylePr w:type="band1Horz">
      <w:rPr>
        <w:rFonts w:ascii="Arial Narrow" w:hAnsi="Arial Narrow"/>
        <w:sz w:val="18"/>
      </w:rPr>
      <w:tblPr/>
      <w:tcPr>
        <w:tcBorders>
          <w:top w:val="single" w:sz="8"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l2br w:val="nil"/>
          <w:tr2bl w:val="nil"/>
        </w:tcBorders>
        <w:shd w:val="clear" w:color="auto" w:fill="E7E8E8" w:themeFill="accent2" w:themeFillTint="33"/>
      </w:tcPr>
    </w:tblStylePr>
    <w:tblStylePr w:type="band2Horz">
      <w:rPr>
        <w:rFonts w:ascii="Arial Narrow" w:hAnsi="Arial Narrow"/>
        <w:sz w:val="18"/>
      </w:rPr>
      <w:tblPr/>
      <w:tcPr>
        <w:tc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l2br w:val="nil"/>
          <w:tr2bl w:val="nil"/>
        </w:tcBorders>
      </w:tcPr>
    </w:tblStylePr>
  </w:style>
  <w:style w:type="paragraph" w:customStyle="1" w:styleId="Default">
    <w:name w:val="Default"/>
    <w:rsid w:val="006C1434"/>
    <w:pPr>
      <w:autoSpaceDE w:val="0"/>
      <w:autoSpaceDN w:val="0"/>
      <w:adjustRightInd w:val="0"/>
    </w:pPr>
    <w:rPr>
      <w:rFonts w:ascii="Gotham" w:hAnsi="Gotham" w:cs="Gotham"/>
      <w:color w:val="000000"/>
      <w:sz w:val="24"/>
      <w:szCs w:val="24"/>
    </w:rPr>
  </w:style>
  <w:style w:type="paragraph" w:styleId="NoSpacing">
    <w:name w:val="No Spacing"/>
    <w:uiPriority w:val="1"/>
    <w:qFormat/>
    <w:rsid w:val="00B9148E"/>
    <w:rPr>
      <w:rFonts w:asciiTheme="minorHAnsi" w:eastAsiaTheme="minorHAnsi" w:hAnsiTheme="minorHAnsi" w:cstheme="minorBidi"/>
      <w:sz w:val="22"/>
      <w:szCs w:val="22"/>
    </w:rPr>
  </w:style>
  <w:style w:type="paragraph" w:customStyle="1" w:styleId="TaskStyle">
    <w:name w:val="Task Style"/>
    <w:basedOn w:val="Heading3"/>
    <w:next w:val="BodyText"/>
    <w:link w:val="TaskStyleChar"/>
    <w:qFormat/>
    <w:rsid w:val="00E8205A"/>
    <w:pPr>
      <w:pBdr>
        <w:bottom w:val="single" w:sz="12" w:space="1" w:color="898D8D" w:themeColor="accent2"/>
      </w:pBdr>
    </w:pPr>
    <w:rPr>
      <w:rFonts w:ascii="Arial" w:hAnsi="Arial" w:cs="Arial"/>
    </w:rPr>
  </w:style>
  <w:style w:type="character" w:customStyle="1" w:styleId="Heading4Char">
    <w:name w:val="Heading 4 Char"/>
    <w:basedOn w:val="DefaultParagraphFont"/>
    <w:link w:val="Heading4"/>
    <w:rsid w:val="002222A4"/>
    <w:rPr>
      <w:rFonts w:ascii="Arial Bold" w:hAnsi="Arial Bold"/>
      <w:b/>
    </w:rPr>
  </w:style>
  <w:style w:type="character" w:customStyle="1" w:styleId="TaskStyleChar">
    <w:name w:val="Task Style Char"/>
    <w:basedOn w:val="Heading4Char"/>
    <w:link w:val="TaskStyle"/>
    <w:rsid w:val="00E8205A"/>
    <w:rPr>
      <w:rFonts w:ascii="Arial" w:hAnsi="Arial" w:cs="Arial"/>
      <w:b/>
      <w:color w:val="DA291C" w:themeColor="accent1"/>
      <w:sz w:val="24"/>
      <w:szCs w:val="24"/>
    </w:rPr>
  </w:style>
  <w:style w:type="paragraph" w:styleId="ListParagraph">
    <w:name w:val="List Paragraph"/>
    <w:basedOn w:val="Normal"/>
    <w:link w:val="ListParagraphChar"/>
    <w:uiPriority w:val="34"/>
    <w:qFormat/>
    <w:rsid w:val="00FC070C"/>
    <w:pPr>
      <w:spacing w:after="200"/>
      <w:ind w:left="720"/>
      <w:contextualSpacing/>
    </w:pPr>
    <w:rPr>
      <w:rFonts w:asciiTheme="minorHAnsi" w:eastAsiaTheme="minorHAnsi" w:hAnsiTheme="minorHAnsi" w:cstheme="minorBidi"/>
      <w:szCs w:val="22"/>
    </w:rPr>
  </w:style>
  <w:style w:type="paragraph" w:customStyle="1" w:styleId="TOCMainHeaders">
    <w:name w:val="TOC Main Headers"/>
    <w:basedOn w:val="TOC1"/>
    <w:qFormat/>
    <w:rsid w:val="0053086A"/>
    <w:pPr>
      <w:tabs>
        <w:tab w:val="left" w:pos="576"/>
        <w:tab w:val="right" w:leader="dot" w:pos="8990"/>
      </w:tabs>
      <w:spacing w:after="180"/>
    </w:pPr>
    <w:rPr>
      <w:rFonts w:cs="Arial"/>
      <w:color w:val="DA291C" w:themeColor="accent1"/>
      <w:sz w:val="28"/>
    </w:rPr>
  </w:style>
  <w:style w:type="paragraph" w:customStyle="1" w:styleId="Call-OutBoxTextHeader">
    <w:name w:val="Call-Out Box Text Header"/>
    <w:basedOn w:val="NoSpacing"/>
    <w:qFormat/>
    <w:rsid w:val="0053086A"/>
    <w:pPr>
      <w:ind w:left="180" w:right="204"/>
    </w:pPr>
    <w:rPr>
      <w:rFonts w:ascii="Arial" w:hAnsi="Arial" w:cs="Arial"/>
      <w:b/>
      <w:color w:val="DA291C" w:themeColor="accent1"/>
    </w:rPr>
  </w:style>
  <w:style w:type="paragraph" w:customStyle="1" w:styleId="Call-OutBoxTextArial">
    <w:name w:val="Call-Out Box Text (Arial)"/>
    <w:basedOn w:val="NoSpacing"/>
    <w:qFormat/>
    <w:rsid w:val="00862448"/>
    <w:pPr>
      <w:ind w:left="180" w:right="204"/>
    </w:pPr>
    <w:rPr>
      <w:rFonts w:ascii="Arial" w:hAnsi="Arial" w:cs="Arial"/>
      <w:i/>
    </w:rPr>
  </w:style>
  <w:style w:type="table" w:styleId="Table3Deffects1">
    <w:name w:val="Table 3D effects 1"/>
    <w:basedOn w:val="TableNormal"/>
    <w:rsid w:val="000247F7"/>
    <w:pPr>
      <w:spacing w:after="180" w:line="264" w:lineRule="auto"/>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Abt">
    <w:name w:val="Abt"/>
    <w:basedOn w:val="AbtFinal"/>
    <w:uiPriority w:val="99"/>
    <w:rsid w:val="00EC14FE"/>
    <w:rPr>
      <w:sz w:val="22"/>
    </w:rPr>
    <w:tblPr/>
    <w:tblStylePr w:type="firstRow">
      <w:pPr>
        <w:jc w:val="left"/>
      </w:pPr>
      <w:rPr>
        <w:rFonts w:ascii="Arial Narrow" w:hAnsi="Arial Narrow"/>
        <w:b/>
        <w:caps w:val="0"/>
        <w:smallCaps w:val="0"/>
        <w:strike w:val="0"/>
        <w:dstrike w:val="0"/>
        <w:vanish w:val="0"/>
        <w:sz w:val="18"/>
        <w:vertAlign w:val="baseline"/>
      </w:rPr>
      <w:tblPr/>
      <w:tcPr>
        <w:tcBorders>
          <w:top w:val="single" w:sz="8" w:space="0" w:color="auto"/>
          <w:left w:val="single" w:sz="8" w:space="0" w:color="auto"/>
          <w:bottom w:val="single" w:sz="8" w:space="0" w:color="auto"/>
          <w:right w:val="single" w:sz="8" w:space="0" w:color="auto"/>
          <w:insideH w:val="single" w:sz="4" w:space="0" w:color="auto"/>
          <w:insideV w:val="single" w:sz="8" w:space="0" w:color="auto"/>
        </w:tcBorders>
        <w:shd w:val="clear" w:color="auto" w:fill="C3C6A8" w:themeFill="accent4"/>
      </w:tcPr>
    </w:tblStylePr>
    <w:tblStylePr w:type="lastRow">
      <w:pPr>
        <w:jc w:val="left"/>
      </w:pPr>
      <w:rPr>
        <w:rFonts w:ascii="Arial" w:hAnsi="Arial"/>
        <w:sz w:val="18"/>
      </w:rPr>
      <w:tblPr/>
      <w:tcPr>
        <w:tcBorders>
          <w:top w:val="single" w:sz="8" w:space="0" w:color="auto"/>
          <w:left w:val="single" w:sz="8" w:space="0" w:color="auto"/>
          <w:bottom w:val="single" w:sz="8" w:space="0" w:color="auto"/>
          <w:right w:val="single" w:sz="8" w:space="0" w:color="auto"/>
          <w:insideH w:val="nil"/>
          <w:insideV w:val="single" w:sz="8" w:space="0" w:color="auto"/>
          <w:tl2br w:val="nil"/>
          <w:tr2bl w:val="nil"/>
        </w:tcBorders>
        <w:shd w:val="clear" w:color="auto" w:fill="898D8D" w:themeFill="accent2"/>
      </w:tcPr>
    </w:tblStylePr>
    <w:tblStylePr w:type="band1Horz">
      <w:rPr>
        <w:rFonts w:ascii="Arial Narrow" w:hAnsi="Arial Narrow"/>
        <w:sz w:val="18"/>
      </w:rPr>
      <w:tblPr/>
      <w:tcPr>
        <w:tcBorders>
          <w:top w:val="single" w:sz="8"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l2br w:val="nil"/>
          <w:tr2bl w:val="nil"/>
        </w:tcBorders>
        <w:shd w:val="clear" w:color="auto" w:fill="E7E8E8" w:themeFill="accent2" w:themeFillTint="33"/>
      </w:tcPr>
    </w:tblStylePr>
    <w:tblStylePr w:type="band2Horz">
      <w:rPr>
        <w:rFonts w:ascii="Arial Narrow" w:hAnsi="Arial Narrow"/>
        <w:sz w:val="18"/>
      </w:rPr>
      <w:tblPr/>
      <w:tcPr>
        <w:tc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l2br w:val="nil"/>
          <w:tr2bl w:val="nil"/>
        </w:tcBorders>
      </w:tcPr>
    </w:tblStylePr>
  </w:style>
  <w:style w:type="paragraph" w:customStyle="1" w:styleId="CoverLetterTextOnly">
    <w:name w:val="Cover Letter Text Only"/>
    <w:qFormat/>
    <w:rsid w:val="00C33C0B"/>
    <w:rPr>
      <w:sz w:val="24"/>
    </w:rPr>
  </w:style>
  <w:style w:type="paragraph" w:customStyle="1" w:styleId="ExhibitColumnHead">
    <w:name w:val="Exhibit Column Head"/>
    <w:qFormat/>
    <w:rsid w:val="006F7FC9"/>
    <w:pPr>
      <w:keepNext/>
      <w:jc w:val="center"/>
    </w:pPr>
    <w:rPr>
      <w:rFonts w:ascii="Arial Narrow" w:hAnsi="Arial Narrow" w:cs="Arial"/>
      <w:b/>
      <w:color w:val="000000" w:themeColor="text1"/>
      <w:sz w:val="22"/>
    </w:rPr>
  </w:style>
  <w:style w:type="paragraph" w:customStyle="1" w:styleId="StaffResumeList">
    <w:name w:val="Staff Resume List"/>
    <w:qFormat/>
    <w:rsid w:val="005707D6"/>
    <w:pPr>
      <w:tabs>
        <w:tab w:val="right" w:pos="9000"/>
      </w:tabs>
    </w:pPr>
    <w:rPr>
      <w:rFonts w:eastAsiaTheme="minorHAnsi"/>
      <w:spacing w:val="-4"/>
      <w:sz w:val="24"/>
    </w:rPr>
  </w:style>
  <w:style w:type="paragraph" w:customStyle="1" w:styleId="Heading1Apps">
    <w:name w:val="Heading 1 Apps"/>
    <w:basedOn w:val="Heading1"/>
    <w:qFormat/>
    <w:rsid w:val="008877CC"/>
    <w:pPr>
      <w:numPr>
        <w:numId w:val="0"/>
      </w:numPr>
    </w:pPr>
  </w:style>
  <w:style w:type="paragraph" w:customStyle="1" w:styleId="ExhibitTextBullets">
    <w:name w:val="Exhibit Text Bullets"/>
    <w:basedOn w:val="ExhibitText"/>
    <w:qFormat/>
    <w:rsid w:val="00C676E2"/>
    <w:pPr>
      <w:numPr>
        <w:numId w:val="6"/>
      </w:numPr>
      <w:spacing w:before="0" w:after="0"/>
      <w:ind w:left="288" w:hanging="288"/>
    </w:pPr>
  </w:style>
  <w:style w:type="paragraph" w:customStyle="1" w:styleId="TableParagraph">
    <w:name w:val="Table Paragraph"/>
    <w:basedOn w:val="Normal"/>
    <w:uiPriority w:val="1"/>
    <w:qFormat/>
    <w:rsid w:val="00AB65FC"/>
    <w:pPr>
      <w:widowControl w:val="0"/>
      <w:spacing w:after="0"/>
    </w:pPr>
    <w:rPr>
      <w:rFonts w:asciiTheme="minorHAnsi" w:eastAsiaTheme="minorHAnsi" w:hAnsiTheme="minorHAnsi" w:cstheme="minorBidi"/>
      <w:sz w:val="22"/>
      <w:szCs w:val="22"/>
    </w:rPr>
  </w:style>
  <w:style w:type="paragraph" w:styleId="TOCHeading">
    <w:name w:val="TOC Heading"/>
    <w:basedOn w:val="Heading1"/>
    <w:next w:val="Normal"/>
    <w:uiPriority w:val="39"/>
    <w:semiHidden/>
    <w:unhideWhenUsed/>
    <w:qFormat/>
    <w:rsid w:val="00D10738"/>
    <w:pPr>
      <w:numPr>
        <w:numId w:val="0"/>
      </w:numPr>
      <w:pBdr>
        <w:top w:val="none" w:sz="0" w:space="0" w:color="auto"/>
        <w:bottom w:val="none" w:sz="0" w:space="0" w:color="auto"/>
      </w:pBdr>
      <w:shd w:val="clear" w:color="auto" w:fill="auto"/>
      <w:spacing w:before="480" w:after="0"/>
      <w:outlineLvl w:val="9"/>
    </w:pPr>
    <w:rPr>
      <w:rFonts w:asciiTheme="majorHAnsi" w:eastAsiaTheme="majorEastAsia" w:hAnsiTheme="majorHAnsi" w:cstheme="majorBidi"/>
      <w:bCs/>
      <w:noProof w:val="0"/>
      <w:color w:val="A31E15" w:themeColor="accent1" w:themeShade="BF"/>
      <w:kern w:val="0"/>
      <w:szCs w:val="28"/>
    </w:rPr>
  </w:style>
  <w:style w:type="character" w:customStyle="1" w:styleId="ListParagraphChar">
    <w:name w:val="List Paragraph Char"/>
    <w:link w:val="ListParagraph"/>
    <w:uiPriority w:val="34"/>
    <w:locked/>
    <w:rsid w:val="00FC070C"/>
    <w:rPr>
      <w:rFonts w:asciiTheme="minorHAnsi" w:eastAsiaTheme="minorHAnsi" w:hAnsiTheme="minorHAnsi" w:cstheme="minorBidi"/>
      <w:sz w:val="24"/>
      <w:szCs w:val="22"/>
    </w:rPr>
  </w:style>
  <w:style w:type="paragraph" w:customStyle="1" w:styleId="Spacer">
    <w:name w:val="Spacer"/>
    <w:basedOn w:val="BodyText"/>
    <w:uiPriority w:val="99"/>
    <w:rsid w:val="00420101"/>
    <w:pPr>
      <w:spacing w:after="0"/>
    </w:pPr>
    <w:rPr>
      <w:sz w:val="18"/>
    </w:rPr>
  </w:style>
  <w:style w:type="character" w:customStyle="1" w:styleId="CommentTextChar">
    <w:name w:val="Comment Text Char"/>
    <w:basedOn w:val="DefaultParagraphFont"/>
    <w:link w:val="CommentText"/>
    <w:uiPriority w:val="99"/>
    <w:semiHidden/>
    <w:rsid w:val="00430EF2"/>
  </w:style>
  <w:style w:type="character" w:customStyle="1" w:styleId="Heading1Char">
    <w:name w:val="Heading 1 Char"/>
    <w:basedOn w:val="DefaultParagraphFont"/>
    <w:link w:val="Heading1"/>
    <w:rsid w:val="00DF12E3"/>
    <w:rPr>
      <w:rFonts w:ascii="Arial" w:hAnsi="Arial"/>
      <w:b/>
      <w:noProof/>
      <w:color w:val="FFFFFF"/>
      <w:kern w:val="28"/>
      <w:sz w:val="28"/>
      <w:shd w:val="clear" w:color="auto" w:fill="898D8D" w:themeFill="text2"/>
    </w:rPr>
  </w:style>
  <w:style w:type="character" w:customStyle="1" w:styleId="Heading2Char">
    <w:name w:val="Heading 2 Char"/>
    <w:basedOn w:val="DefaultParagraphFont"/>
    <w:link w:val="Heading2"/>
    <w:rsid w:val="00AF4F8A"/>
    <w:rPr>
      <w:rFonts w:ascii="Arial" w:hAnsi="Arial" w:cs="Arial"/>
      <w:b/>
      <w:bCs/>
      <w:iCs/>
      <w:color w:val="4F5353"/>
      <w:sz w:val="24"/>
      <w:szCs w:val="28"/>
    </w:rPr>
  </w:style>
  <w:style w:type="character" w:customStyle="1" w:styleId="Heading3Char">
    <w:name w:val="Heading 3 Char"/>
    <w:basedOn w:val="DefaultParagraphFont"/>
    <w:link w:val="Heading3"/>
    <w:rsid w:val="000A26AA"/>
    <w:rPr>
      <w:b/>
      <w:color w:val="DA291C" w:themeColor="accent1"/>
      <w:sz w:val="24"/>
      <w:szCs w:val="24"/>
    </w:rPr>
  </w:style>
  <w:style w:type="paragraph" w:styleId="NormalWeb">
    <w:name w:val="Normal (Web)"/>
    <w:basedOn w:val="Normal"/>
    <w:uiPriority w:val="99"/>
    <w:unhideWhenUsed/>
    <w:rsid w:val="00E92737"/>
    <w:pPr>
      <w:spacing w:before="100" w:beforeAutospacing="1" w:after="100" w:afterAutospacing="1"/>
    </w:pPr>
    <w:rPr>
      <w:szCs w:val="24"/>
    </w:rPr>
  </w:style>
  <w:style w:type="character" w:customStyle="1" w:styleId="BalloonTextChar">
    <w:name w:val="Balloon Text Char"/>
    <w:basedOn w:val="DefaultParagraphFont"/>
    <w:link w:val="BalloonText"/>
    <w:uiPriority w:val="99"/>
    <w:semiHidden/>
    <w:rsid w:val="00E92737"/>
    <w:rPr>
      <w:rFonts w:ascii="Tahoma" w:hAnsi="Tahoma" w:cs="Tahoma"/>
      <w:sz w:val="16"/>
      <w:szCs w:val="16"/>
    </w:rPr>
  </w:style>
  <w:style w:type="character" w:customStyle="1" w:styleId="HeaderChar">
    <w:name w:val="Header Char"/>
    <w:basedOn w:val="DefaultParagraphFont"/>
    <w:link w:val="Header"/>
    <w:uiPriority w:val="99"/>
    <w:rsid w:val="00E92737"/>
    <w:rPr>
      <w:rFonts w:ascii="Arial" w:hAnsi="Arial" w:cs="Arial"/>
      <w:b/>
      <w:color w:val="FFFFFF"/>
      <w:spacing w:val="20"/>
      <w:sz w:val="24"/>
      <w:szCs w:val="24"/>
      <w:shd w:val="clear" w:color="auto" w:fill="4F5353"/>
    </w:rPr>
  </w:style>
  <w:style w:type="character" w:customStyle="1" w:styleId="CommentSubjectChar">
    <w:name w:val="Comment Subject Char"/>
    <w:basedOn w:val="CommentTextChar"/>
    <w:link w:val="CommentSubject"/>
    <w:uiPriority w:val="99"/>
    <w:semiHidden/>
    <w:rsid w:val="00E92737"/>
    <w:rPr>
      <w:b/>
      <w:bCs/>
    </w:rPr>
  </w:style>
  <w:style w:type="character" w:styleId="PlaceholderText">
    <w:name w:val="Placeholder Text"/>
    <w:basedOn w:val="DefaultParagraphFont"/>
    <w:uiPriority w:val="99"/>
    <w:semiHidden/>
    <w:rsid w:val="000C17A5"/>
    <w:rPr>
      <w:color w:val="808080"/>
    </w:rPr>
  </w:style>
  <w:style w:type="paragraph" w:styleId="Revision">
    <w:name w:val="Revision"/>
    <w:hidden/>
    <w:uiPriority w:val="99"/>
    <w:semiHidden/>
    <w:rsid w:val="00C32D48"/>
    <w:rPr>
      <w:sz w:val="24"/>
    </w:rPr>
  </w:style>
  <w:style w:type="character" w:customStyle="1" w:styleId="mw-headline">
    <w:name w:val="mw-headline"/>
    <w:basedOn w:val="DefaultParagraphFont"/>
    <w:rsid w:val="00A04865"/>
  </w:style>
  <w:style w:type="character" w:customStyle="1" w:styleId="mw-editsection">
    <w:name w:val="mw-editsection"/>
    <w:basedOn w:val="DefaultParagraphFont"/>
    <w:rsid w:val="00A04865"/>
  </w:style>
  <w:style w:type="character" w:customStyle="1" w:styleId="mw-editsection-bracket">
    <w:name w:val="mw-editsection-bracket"/>
    <w:basedOn w:val="DefaultParagraphFont"/>
    <w:rsid w:val="00A04865"/>
  </w:style>
  <w:style w:type="character" w:styleId="Strong">
    <w:name w:val="Strong"/>
    <w:basedOn w:val="DefaultParagraphFont"/>
    <w:uiPriority w:val="22"/>
    <w:qFormat/>
    <w:rsid w:val="004305FE"/>
    <w:rPr>
      <w:b/>
      <w:bCs/>
    </w:rPr>
  </w:style>
  <w:style w:type="character" w:customStyle="1" w:styleId="reference-text">
    <w:name w:val="reference-text"/>
    <w:basedOn w:val="DefaultParagraphFont"/>
    <w:rsid w:val="00400295"/>
  </w:style>
  <w:style w:type="table" w:customStyle="1" w:styleId="QQuestionTable">
    <w:name w:val="QQuestionTable"/>
    <w:uiPriority w:val="99"/>
    <w:qFormat/>
    <w:rsid w:val="00A95DB8"/>
    <w:pPr>
      <w:jc w:val="center"/>
    </w:pPr>
    <w:rPr>
      <w:rFonts w:ascii="Arial" w:hAnsi="Arial"/>
      <w:sz w:val="22"/>
      <w:szCs w:val="22"/>
      <w:lang w:val="en-GB" w:eastAsia="en-GB"/>
    </w:rPr>
    <w:tblPr>
      <w:tblStyleRowBandSize w:val="1"/>
      <w:tblInd w:w="0" w:type="dxa"/>
      <w:tblBorders>
        <w:top w:val="single" w:sz="4" w:space="0" w:color="818386"/>
        <w:left w:val="single" w:sz="4" w:space="0" w:color="818386"/>
        <w:bottom w:val="single" w:sz="4" w:space="0" w:color="818386"/>
        <w:right w:val="single" w:sz="4" w:space="0" w:color="818386"/>
        <w:insideV w:val="single" w:sz="4" w:space="0" w:color="808080"/>
      </w:tblBorders>
      <w:tblCellMar>
        <w:top w:w="43" w:type="dxa"/>
        <w:left w:w="115" w:type="dxa"/>
        <w:bottom w:w="43" w:type="dxa"/>
        <w:right w:w="115" w:type="dxa"/>
      </w:tblCellMar>
    </w:tblPr>
    <w:tcPr>
      <w:shd w:val="clear" w:color="auto" w:fill="auto"/>
      <w:vAlign w:val="center"/>
    </w:tcPr>
    <w:tblStylePr w:type="firstRow">
      <w:pPr>
        <w:wordWrap/>
        <w:jc w:val="center"/>
      </w:pPr>
      <w:rPr>
        <w:color w:val="FFFFFF"/>
      </w:rPr>
      <w:tblPr/>
      <w:tcPr>
        <w:tcBorders>
          <w:insideV w:val="single" w:sz="4" w:space="0" w:color="969696"/>
        </w:tcBorders>
        <w:shd w:val="clear" w:color="auto" w:fill="58595B"/>
        <w:vAlign w:val="top"/>
      </w:tcPr>
    </w:tblStylePr>
    <w:tblStylePr w:type="lastRow">
      <w:tblPr/>
      <w:tcPr>
        <w:tcBorders>
          <w:top w:val="single" w:sz="4" w:space="0" w:color="818386"/>
          <w:left w:val="single" w:sz="4" w:space="0" w:color="818386"/>
          <w:bottom w:val="single" w:sz="4" w:space="0" w:color="818386"/>
          <w:right w:val="single" w:sz="4" w:space="0" w:color="818386"/>
          <w:insideH w:val="single" w:sz="4" w:space="0" w:color="818386"/>
          <w:insideV w:val="single" w:sz="4" w:space="0" w:color="818386"/>
        </w:tcBorders>
        <w:shd w:val="clear" w:color="auto" w:fill="FEFBE7"/>
      </w:tcPr>
    </w:tblStylePr>
  </w:style>
  <w:style w:type="numbering" w:customStyle="1" w:styleId="Multipunch">
    <w:name w:val="Multi punch"/>
    <w:rsid w:val="00A95DB8"/>
    <w:pPr>
      <w:numPr>
        <w:numId w:val="9"/>
      </w:numPr>
    </w:pPr>
  </w:style>
  <w:style w:type="numbering" w:customStyle="1" w:styleId="Singlepunch">
    <w:name w:val="Single punch"/>
    <w:rsid w:val="00A95DB8"/>
    <w:pPr>
      <w:numPr>
        <w:numId w:val="10"/>
      </w:numPr>
    </w:pPr>
  </w:style>
  <w:style w:type="paragraph" w:styleId="EndnoteText">
    <w:name w:val="endnote text"/>
    <w:basedOn w:val="Normal"/>
    <w:link w:val="EndnoteTextChar"/>
    <w:rsid w:val="00327EE7"/>
    <w:pPr>
      <w:spacing w:after="0"/>
    </w:pPr>
    <w:rPr>
      <w:sz w:val="20"/>
    </w:rPr>
  </w:style>
  <w:style w:type="character" w:customStyle="1" w:styleId="EndnoteTextChar">
    <w:name w:val="Endnote Text Char"/>
    <w:basedOn w:val="DefaultParagraphFont"/>
    <w:link w:val="EndnoteText"/>
    <w:rsid w:val="00327EE7"/>
  </w:style>
  <w:style w:type="character" w:styleId="EndnoteReference">
    <w:name w:val="endnote reference"/>
    <w:basedOn w:val="DefaultParagraphFont"/>
    <w:rsid w:val="00327EE7"/>
    <w:rPr>
      <w:vertAlign w:val="superscript"/>
    </w:rPr>
  </w:style>
  <w:style w:type="character" w:styleId="FollowedHyperlink">
    <w:name w:val="FollowedHyperlink"/>
    <w:basedOn w:val="DefaultParagraphFont"/>
    <w:rsid w:val="006E4244"/>
    <w:rPr>
      <w:color w:val="0070C0" w:themeColor="followedHyperlink"/>
      <w:u w:val="single"/>
    </w:rPr>
  </w:style>
  <w:style w:type="paragraph" w:styleId="TableofFigures">
    <w:name w:val="table of figures"/>
    <w:basedOn w:val="Normal"/>
    <w:next w:val="Normal"/>
    <w:uiPriority w:val="99"/>
    <w:rsid w:val="00CA29EC"/>
    <w:pPr>
      <w:spacing w:after="0"/>
      <w:ind w:left="1296" w:hanging="1296"/>
    </w:pPr>
  </w:style>
  <w:style w:type="paragraph" w:customStyle="1" w:styleId="BulletsLessSpace">
    <w:name w:val="BulletsLessSpace"/>
    <w:basedOn w:val="Bullets"/>
    <w:rsid w:val="005E53FA"/>
    <w:pPr>
      <w:keepNext/>
      <w:spacing w:after="4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footnote text" w:uiPriority="99"/>
    <w:lsdException w:name="annotation text" w:uiPriority="99"/>
    <w:lsdException w:name="header" w:uiPriority="99"/>
    <w:lsdException w:name="footer" w:uiPriority="99"/>
    <w:lsdException w:name="caption" w:qFormat="1"/>
    <w:lsdException w:name="table of figures" w:uiPriority="99"/>
    <w:lsdException w:name="footnote reference" w:uiPriority="99"/>
    <w:lsdException w:name="annotation reference" w:uiPriority="99"/>
    <w:lsdException w:name="Title" w:qFormat="1"/>
    <w:lsdException w:name="Default Paragraph Font" w:uiPriority="1"/>
    <w:lsdException w:name="Body Text" w:uiPriority="99"/>
    <w:lsdException w:name="Subtitle" w:qFormat="1"/>
    <w:lsdException w:name="Hyperlink" w:uiPriority="99"/>
    <w:lsdException w:name="Strong" w:uiPriority="22" w:qFormat="1"/>
    <w:lsdException w:name="Emphasis" w:qFormat="1"/>
    <w:lsdException w:name="Normal (Web)" w:uiPriority="99"/>
    <w:lsdException w:name="annotation subject"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B65FC"/>
    <w:pPr>
      <w:spacing w:after="180"/>
    </w:pPr>
    <w:rPr>
      <w:sz w:val="24"/>
    </w:rPr>
  </w:style>
  <w:style w:type="paragraph" w:styleId="Heading1">
    <w:name w:val="heading 1"/>
    <w:basedOn w:val="Normal"/>
    <w:next w:val="BodyText"/>
    <w:link w:val="Heading1Char"/>
    <w:qFormat/>
    <w:rsid w:val="00DF12E3"/>
    <w:pPr>
      <w:keepNext/>
      <w:keepLines/>
      <w:pageBreakBefore/>
      <w:numPr>
        <w:numId w:val="4"/>
      </w:numPr>
      <w:pBdr>
        <w:top w:val="single" w:sz="12" w:space="1" w:color="898D8D" w:themeColor="text2"/>
        <w:bottom w:val="single" w:sz="12" w:space="2" w:color="898D8D" w:themeColor="text2"/>
      </w:pBdr>
      <w:shd w:val="clear" w:color="auto" w:fill="898D8D" w:themeFill="text2"/>
      <w:tabs>
        <w:tab w:val="clear" w:pos="432"/>
        <w:tab w:val="num" w:pos="720"/>
      </w:tabs>
      <w:ind w:left="720" w:hanging="720"/>
      <w:outlineLvl w:val="0"/>
    </w:pPr>
    <w:rPr>
      <w:rFonts w:ascii="Arial" w:hAnsi="Arial"/>
      <w:b/>
      <w:noProof/>
      <w:color w:val="FFFFFF"/>
      <w:kern w:val="28"/>
      <w:sz w:val="28"/>
    </w:rPr>
  </w:style>
  <w:style w:type="paragraph" w:styleId="Heading2">
    <w:name w:val="heading 2"/>
    <w:basedOn w:val="Normal"/>
    <w:next w:val="BodyText"/>
    <w:link w:val="Heading2Char"/>
    <w:qFormat/>
    <w:rsid w:val="00AF4F8A"/>
    <w:pPr>
      <w:keepNext/>
      <w:numPr>
        <w:ilvl w:val="1"/>
        <w:numId w:val="4"/>
      </w:numPr>
      <w:tabs>
        <w:tab w:val="clear" w:pos="8910"/>
        <w:tab w:val="num" w:pos="720"/>
      </w:tabs>
      <w:spacing w:before="120" w:after="60"/>
      <w:ind w:left="720"/>
      <w:outlineLvl w:val="1"/>
    </w:pPr>
    <w:rPr>
      <w:rFonts w:ascii="Arial" w:hAnsi="Arial" w:cs="Arial"/>
      <w:b/>
      <w:bCs/>
      <w:iCs/>
      <w:color w:val="4F5353"/>
      <w:szCs w:val="28"/>
    </w:rPr>
  </w:style>
  <w:style w:type="paragraph" w:styleId="Heading3">
    <w:name w:val="heading 3"/>
    <w:basedOn w:val="Normal"/>
    <w:next w:val="BodyText"/>
    <w:link w:val="Heading3Char"/>
    <w:autoRedefine/>
    <w:qFormat/>
    <w:rsid w:val="000A26AA"/>
    <w:pPr>
      <w:keepNext/>
      <w:numPr>
        <w:ilvl w:val="2"/>
        <w:numId w:val="4"/>
      </w:numPr>
      <w:tabs>
        <w:tab w:val="clear" w:pos="5400"/>
        <w:tab w:val="num" w:pos="1440"/>
      </w:tabs>
      <w:spacing w:before="60" w:after="60"/>
      <w:ind w:left="720"/>
      <w:outlineLvl w:val="2"/>
    </w:pPr>
    <w:rPr>
      <w:b/>
      <w:color w:val="DA291C" w:themeColor="accent1"/>
      <w:szCs w:val="24"/>
    </w:rPr>
  </w:style>
  <w:style w:type="paragraph" w:styleId="Heading4">
    <w:name w:val="heading 4"/>
    <w:basedOn w:val="Normal"/>
    <w:next w:val="BodyText"/>
    <w:link w:val="Heading4Char"/>
    <w:qFormat/>
    <w:rsid w:val="002222A4"/>
    <w:pPr>
      <w:keepNext/>
      <w:numPr>
        <w:ilvl w:val="3"/>
        <w:numId w:val="4"/>
      </w:numPr>
      <w:spacing w:after="60"/>
      <w:outlineLvl w:val="3"/>
    </w:pPr>
    <w:rPr>
      <w:rFonts w:ascii="Arial Bold" w:hAnsi="Arial Bold"/>
      <w:b/>
      <w:sz w:val="20"/>
    </w:rPr>
  </w:style>
  <w:style w:type="paragraph" w:styleId="Heading5">
    <w:name w:val="heading 5"/>
    <w:basedOn w:val="Normal"/>
    <w:next w:val="BodyText"/>
    <w:qFormat/>
    <w:rsid w:val="004E26E2"/>
    <w:pPr>
      <w:keepNext/>
      <w:keepLines/>
      <w:numPr>
        <w:ilvl w:val="4"/>
        <w:numId w:val="4"/>
      </w:numPr>
      <w:spacing w:after="0"/>
      <w:outlineLvl w:val="4"/>
    </w:pPr>
    <w:rPr>
      <w:rFonts w:ascii="Arial" w:hAnsi="Arial" w:cs="Arial"/>
      <w:b/>
      <w:i/>
      <w:color w:val="DA291C" w:themeColor="accent1"/>
      <w:sz w:val="20"/>
    </w:rPr>
  </w:style>
  <w:style w:type="paragraph" w:styleId="Heading6">
    <w:name w:val="heading 6"/>
    <w:basedOn w:val="Normal"/>
    <w:next w:val="Normal"/>
    <w:qFormat/>
    <w:rsid w:val="00495B91"/>
    <w:pPr>
      <w:numPr>
        <w:ilvl w:val="5"/>
        <w:numId w:val="4"/>
      </w:numPr>
      <w:spacing w:before="60" w:after="60"/>
      <w:outlineLvl w:val="5"/>
    </w:pPr>
    <w:rPr>
      <w:b/>
      <w:bCs/>
      <w:szCs w:val="22"/>
    </w:rPr>
  </w:style>
  <w:style w:type="paragraph" w:styleId="Heading7">
    <w:name w:val="heading 7"/>
    <w:basedOn w:val="Normal"/>
    <w:next w:val="Normal"/>
    <w:qFormat/>
    <w:rsid w:val="003A3403"/>
    <w:pPr>
      <w:numPr>
        <w:ilvl w:val="6"/>
        <w:numId w:val="4"/>
      </w:numPr>
      <w:spacing w:before="240" w:after="60"/>
      <w:outlineLvl w:val="6"/>
    </w:pPr>
    <w:rPr>
      <w:szCs w:val="24"/>
    </w:rPr>
  </w:style>
  <w:style w:type="paragraph" w:styleId="Heading8">
    <w:name w:val="heading 8"/>
    <w:basedOn w:val="Normal"/>
    <w:next w:val="Normal"/>
    <w:qFormat/>
    <w:rsid w:val="003A3403"/>
    <w:pPr>
      <w:numPr>
        <w:ilvl w:val="7"/>
        <w:numId w:val="4"/>
      </w:numPr>
      <w:spacing w:before="240" w:after="60"/>
      <w:outlineLvl w:val="7"/>
    </w:pPr>
    <w:rPr>
      <w:i/>
      <w:iCs/>
      <w:szCs w:val="24"/>
    </w:rPr>
  </w:style>
  <w:style w:type="paragraph" w:styleId="Heading9">
    <w:name w:val="heading 9"/>
    <w:basedOn w:val="Normal"/>
    <w:next w:val="Normal"/>
    <w:qFormat/>
    <w:rsid w:val="003A3403"/>
    <w:pPr>
      <w:numPr>
        <w:ilvl w:val="8"/>
        <w:numId w:val="4"/>
      </w:numPr>
      <w:spacing w:before="240" w:after="60"/>
      <w:outlineLvl w:val="8"/>
    </w:pPr>
    <w:rPr>
      <w:rFonts w:ascii="Arial" w:hAnsi="Arial"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967D7C"/>
    <w:pPr>
      <w:pBdr>
        <w:top w:val="single" w:sz="12" w:space="1" w:color="898D8D"/>
      </w:pBdr>
      <w:tabs>
        <w:tab w:val="center" w:pos="4507"/>
        <w:tab w:val="right" w:pos="9000"/>
      </w:tabs>
      <w:spacing w:after="0"/>
    </w:pPr>
    <w:rPr>
      <w:rFonts w:ascii="Arial" w:hAnsi="Arial"/>
      <w:b/>
      <w:color w:val="595959" w:themeColor="text1" w:themeTint="A6"/>
      <w:sz w:val="18"/>
    </w:rPr>
  </w:style>
  <w:style w:type="character" w:customStyle="1" w:styleId="FooterChar">
    <w:name w:val="Footer Char"/>
    <w:basedOn w:val="DefaultParagraphFont"/>
    <w:link w:val="Footer"/>
    <w:uiPriority w:val="99"/>
    <w:rsid w:val="00967D7C"/>
    <w:rPr>
      <w:rFonts w:ascii="Arial" w:hAnsi="Arial"/>
      <w:b/>
      <w:color w:val="595959" w:themeColor="text1" w:themeTint="A6"/>
      <w:sz w:val="18"/>
    </w:rPr>
  </w:style>
  <w:style w:type="paragraph" w:customStyle="1" w:styleId="ExhibitRowHeader">
    <w:name w:val="Exhibit Row Header"/>
    <w:rsid w:val="003470C3"/>
    <w:pPr>
      <w:spacing w:before="20" w:after="20"/>
    </w:pPr>
    <w:rPr>
      <w:rFonts w:ascii="Arial" w:hAnsi="Arial" w:cs="Arial"/>
      <w:b/>
      <w:color w:val="F8F8F8"/>
    </w:rPr>
  </w:style>
  <w:style w:type="paragraph" w:styleId="BodyText">
    <w:name w:val="Body Text"/>
    <w:basedOn w:val="Normal"/>
    <w:link w:val="BodyTextChar"/>
    <w:uiPriority w:val="99"/>
    <w:rsid w:val="00C55A48"/>
    <w:rPr>
      <w:lang w:val="en-GB"/>
    </w:rPr>
  </w:style>
  <w:style w:type="character" w:customStyle="1" w:styleId="BodyTextChar">
    <w:name w:val="Body Text Char"/>
    <w:basedOn w:val="DefaultParagraphFont"/>
    <w:link w:val="BodyText"/>
    <w:uiPriority w:val="99"/>
    <w:rsid w:val="00C55A48"/>
    <w:rPr>
      <w:sz w:val="24"/>
      <w:lang w:val="en-GB"/>
    </w:rPr>
  </w:style>
  <w:style w:type="character" w:styleId="PageNumber">
    <w:name w:val="page number"/>
    <w:basedOn w:val="DefaultParagraphFont"/>
    <w:rsid w:val="001034D7"/>
    <w:rPr>
      <w:rFonts w:ascii="Arial" w:hAnsi="Arial"/>
      <w:b/>
      <w:dstrike w:val="0"/>
      <w:color w:val="595959" w:themeColor="text1" w:themeTint="A6"/>
      <w:sz w:val="18"/>
      <w:bdr w:val="none" w:sz="0" w:space="0" w:color="auto"/>
      <w:vertAlign w:val="baseline"/>
    </w:rPr>
  </w:style>
  <w:style w:type="paragraph" w:customStyle="1" w:styleId="Bullets">
    <w:name w:val="Bullets"/>
    <w:basedOn w:val="BodyText"/>
    <w:rsid w:val="007406DD"/>
    <w:pPr>
      <w:numPr>
        <w:numId w:val="3"/>
      </w:numPr>
      <w:contextualSpacing/>
    </w:pPr>
  </w:style>
  <w:style w:type="paragraph" w:customStyle="1" w:styleId="RefNumbers">
    <w:name w:val="Ref Numbers"/>
    <w:basedOn w:val="BodyText"/>
    <w:pPr>
      <w:numPr>
        <w:numId w:val="2"/>
      </w:numPr>
      <w:spacing w:after="240"/>
    </w:pPr>
  </w:style>
  <w:style w:type="paragraph" w:styleId="Header">
    <w:name w:val="header"/>
    <w:basedOn w:val="Normal"/>
    <w:link w:val="HeaderChar"/>
    <w:uiPriority w:val="99"/>
    <w:rsid w:val="0042544A"/>
    <w:pPr>
      <w:pBdr>
        <w:top w:val="single" w:sz="12" w:space="1" w:color="4F5353"/>
        <w:bottom w:val="single" w:sz="12" w:space="1" w:color="4F5353"/>
      </w:pBdr>
      <w:shd w:val="clear" w:color="auto" w:fill="4F5353"/>
      <w:tabs>
        <w:tab w:val="right" w:pos="9000"/>
      </w:tabs>
      <w:jc w:val="right"/>
    </w:pPr>
    <w:rPr>
      <w:rFonts w:ascii="Arial" w:hAnsi="Arial" w:cs="Arial"/>
      <w:b/>
      <w:color w:val="FFFFFF"/>
      <w:spacing w:val="20"/>
      <w:szCs w:val="24"/>
    </w:rPr>
  </w:style>
  <w:style w:type="paragraph" w:styleId="TOC1">
    <w:name w:val="toc 1"/>
    <w:next w:val="BodyText"/>
    <w:uiPriority w:val="39"/>
    <w:rsid w:val="00691D3E"/>
    <w:pPr>
      <w:tabs>
        <w:tab w:val="left" w:pos="540"/>
        <w:tab w:val="right" w:leader="dot" w:pos="9360"/>
      </w:tabs>
      <w:spacing w:before="240"/>
      <w:ind w:left="540" w:right="360" w:hanging="540"/>
    </w:pPr>
    <w:rPr>
      <w:rFonts w:ascii="Arial" w:hAnsi="Arial"/>
      <w:b/>
      <w:noProof/>
      <w:sz w:val="24"/>
    </w:rPr>
  </w:style>
  <w:style w:type="character" w:styleId="CommentReference">
    <w:name w:val="annotation reference"/>
    <w:basedOn w:val="DefaultParagraphFont"/>
    <w:uiPriority w:val="99"/>
    <w:semiHidden/>
    <w:rPr>
      <w:sz w:val="16"/>
    </w:rPr>
  </w:style>
  <w:style w:type="paragraph" w:styleId="TOC2">
    <w:name w:val="toc 2"/>
    <w:next w:val="BodyText"/>
    <w:uiPriority w:val="39"/>
    <w:rsid w:val="006247AB"/>
    <w:pPr>
      <w:tabs>
        <w:tab w:val="left" w:pos="1080"/>
        <w:tab w:val="right" w:leader="dot" w:pos="9360"/>
      </w:tabs>
      <w:ind w:left="1080" w:right="360" w:hanging="540"/>
    </w:pPr>
    <w:rPr>
      <w:noProof/>
      <w:sz w:val="24"/>
    </w:rPr>
  </w:style>
  <w:style w:type="paragraph" w:styleId="TOC3">
    <w:name w:val="toc 3"/>
    <w:next w:val="BodyText"/>
    <w:uiPriority w:val="39"/>
    <w:rsid w:val="006247AB"/>
    <w:pPr>
      <w:tabs>
        <w:tab w:val="left" w:pos="1800"/>
        <w:tab w:val="right" w:leader="dot" w:pos="9360"/>
      </w:tabs>
      <w:ind w:left="1800" w:right="360" w:hanging="720"/>
    </w:pPr>
    <w:rPr>
      <w:noProof/>
      <w:sz w:val="24"/>
    </w:rPr>
  </w:style>
  <w:style w:type="paragraph" w:styleId="TOC4">
    <w:name w:val="toc 4"/>
    <w:basedOn w:val="BodyText"/>
    <w:next w:val="BodyText"/>
    <w:uiPriority w:val="39"/>
    <w:rsid w:val="006C61C5"/>
    <w:pPr>
      <w:tabs>
        <w:tab w:val="right" w:leader="dot" w:pos="8990"/>
      </w:tabs>
      <w:spacing w:after="0"/>
      <w:ind w:left="1170"/>
    </w:p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character" w:styleId="FootnoteReference">
    <w:name w:val="footnote reference"/>
    <w:basedOn w:val="DefaultParagraphFont"/>
    <w:uiPriority w:val="99"/>
    <w:rsid w:val="00BB25C5"/>
    <w:rPr>
      <w:rFonts w:ascii="Times New Roman" w:hAnsi="Times New Roman"/>
      <w:sz w:val="20"/>
      <w:vertAlign w:val="superscript"/>
    </w:rPr>
  </w:style>
  <w:style w:type="paragraph" w:styleId="FootnoteText">
    <w:name w:val="footnote text"/>
    <w:basedOn w:val="Normal"/>
    <w:link w:val="FootnoteTextChar"/>
    <w:uiPriority w:val="99"/>
    <w:pPr>
      <w:spacing w:after="120"/>
      <w:ind w:left="360" w:hanging="360"/>
    </w:pPr>
    <w:rPr>
      <w:sz w:val="20"/>
    </w:rPr>
  </w:style>
  <w:style w:type="paragraph" w:styleId="Index1">
    <w:name w:val="index 1"/>
    <w:basedOn w:val="Normal"/>
    <w:next w:val="Normal"/>
    <w:autoRedefine/>
    <w:semiHidden/>
    <w:pPr>
      <w:ind w:left="220" w:hanging="220"/>
    </w:pPr>
    <w:rPr>
      <w:sz w:val="20"/>
    </w:rPr>
  </w:style>
  <w:style w:type="paragraph" w:styleId="Index2">
    <w:name w:val="index 2"/>
    <w:basedOn w:val="Normal"/>
    <w:next w:val="Normal"/>
    <w:autoRedefine/>
    <w:semiHidden/>
    <w:pPr>
      <w:ind w:left="440" w:hanging="220"/>
    </w:pPr>
    <w:rPr>
      <w:sz w:val="20"/>
    </w:rPr>
  </w:style>
  <w:style w:type="paragraph" w:styleId="Index3">
    <w:name w:val="index 3"/>
    <w:basedOn w:val="Normal"/>
    <w:next w:val="Normal"/>
    <w:autoRedefine/>
    <w:semiHidden/>
    <w:pPr>
      <w:ind w:left="660" w:hanging="220"/>
    </w:pPr>
    <w:rPr>
      <w:sz w:val="20"/>
    </w:rPr>
  </w:style>
  <w:style w:type="paragraph" w:customStyle="1" w:styleId="Numbers">
    <w:name w:val="Numbers"/>
    <w:basedOn w:val="BodyText"/>
    <w:pPr>
      <w:numPr>
        <w:numId w:val="1"/>
      </w:numPr>
      <w:ind w:left="720"/>
    </w:pPr>
  </w:style>
  <w:style w:type="paragraph" w:customStyle="1" w:styleId="BoxText">
    <w:name w:val="Box Text"/>
    <w:basedOn w:val="BodyText"/>
    <w:rsid w:val="00C6380F"/>
    <w:rPr>
      <w:rFonts w:ascii="Arial" w:hAnsi="Arial" w:cs="Arial"/>
      <w:sz w:val="18"/>
    </w:rPr>
  </w:style>
  <w:style w:type="paragraph" w:styleId="CommentText">
    <w:name w:val="annotation text"/>
    <w:basedOn w:val="Normal"/>
    <w:link w:val="CommentTextChar"/>
    <w:uiPriority w:val="99"/>
    <w:semiHidden/>
    <w:rsid w:val="00D34EEE"/>
    <w:rPr>
      <w:sz w:val="20"/>
    </w:rPr>
  </w:style>
  <w:style w:type="paragraph" w:styleId="CommentSubject">
    <w:name w:val="annotation subject"/>
    <w:basedOn w:val="CommentText"/>
    <w:next w:val="CommentText"/>
    <w:link w:val="CommentSubjectChar"/>
    <w:uiPriority w:val="99"/>
    <w:semiHidden/>
    <w:rsid w:val="00D34EEE"/>
    <w:rPr>
      <w:b/>
      <w:bCs/>
    </w:rPr>
  </w:style>
  <w:style w:type="paragraph" w:styleId="BalloonText">
    <w:name w:val="Balloon Text"/>
    <w:basedOn w:val="Normal"/>
    <w:link w:val="BalloonTextChar"/>
    <w:uiPriority w:val="99"/>
    <w:semiHidden/>
    <w:rsid w:val="00D34EEE"/>
    <w:rPr>
      <w:rFonts w:ascii="Tahoma" w:hAnsi="Tahoma" w:cs="Tahoma"/>
      <w:sz w:val="16"/>
      <w:szCs w:val="16"/>
    </w:rPr>
  </w:style>
  <w:style w:type="table" w:styleId="TableGrid">
    <w:name w:val="Table Grid"/>
    <w:basedOn w:val="TableNormal"/>
    <w:uiPriority w:val="59"/>
    <w:rsid w:val="005B1A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rsid w:val="00752119"/>
    <w:rPr>
      <w:color w:val="0000FF"/>
      <w:u w:val="single"/>
    </w:rPr>
  </w:style>
  <w:style w:type="paragraph" w:customStyle="1" w:styleId="TOCHeader">
    <w:name w:val="TOC Header"/>
    <w:basedOn w:val="Normal"/>
    <w:next w:val="BodyText"/>
    <w:rsid w:val="002064D3"/>
    <w:rPr>
      <w:rFonts w:ascii="Arial" w:hAnsi="Arial"/>
      <w:b/>
      <w:color w:val="898D8D"/>
    </w:rPr>
  </w:style>
  <w:style w:type="paragraph" w:customStyle="1" w:styleId="VolumeHeader">
    <w:name w:val="Volume Header"/>
    <w:basedOn w:val="Normal"/>
    <w:next w:val="BodyText"/>
    <w:rsid w:val="002064D3"/>
    <w:pPr>
      <w:pBdr>
        <w:top w:val="single" w:sz="2" w:space="2" w:color="DA291C"/>
        <w:bottom w:val="single" w:sz="2" w:space="2" w:color="DA291C"/>
      </w:pBdr>
      <w:shd w:val="clear" w:color="auto" w:fill="DA291C"/>
      <w:tabs>
        <w:tab w:val="left" w:pos="1170"/>
      </w:tabs>
    </w:pPr>
    <w:rPr>
      <w:rFonts w:ascii="Arial Bold" w:hAnsi="Arial Bold"/>
      <w:b/>
      <w:color w:val="FFFFFF"/>
      <w:szCs w:val="24"/>
    </w:rPr>
  </w:style>
  <w:style w:type="paragraph" w:styleId="Caption">
    <w:name w:val="caption"/>
    <w:basedOn w:val="Normal"/>
    <w:next w:val="Normal"/>
    <w:qFormat/>
    <w:rsid w:val="00642069"/>
    <w:pPr>
      <w:keepNext/>
      <w:keepLines/>
      <w:widowControl w:val="0"/>
      <w:tabs>
        <w:tab w:val="left" w:pos="1440"/>
      </w:tabs>
      <w:spacing w:after="120"/>
      <w:ind w:left="1440" w:hanging="1440"/>
    </w:pPr>
    <w:rPr>
      <w:rFonts w:ascii="Arial" w:hAnsi="Arial"/>
      <w:b/>
      <w:bCs/>
    </w:rPr>
  </w:style>
  <w:style w:type="paragraph" w:customStyle="1" w:styleId="FooterLandscape">
    <w:name w:val="Footer Landscape"/>
    <w:basedOn w:val="Footer"/>
    <w:rsid w:val="00EE1D07"/>
    <w:pPr>
      <w:tabs>
        <w:tab w:val="clear" w:pos="4507"/>
        <w:tab w:val="clear" w:pos="9000"/>
        <w:tab w:val="center" w:pos="6480"/>
        <w:tab w:val="right" w:pos="12960"/>
      </w:tabs>
    </w:pPr>
  </w:style>
  <w:style w:type="paragraph" w:customStyle="1" w:styleId="CoverTechorBusiness">
    <w:name w:val="Cover Tech or Business"/>
    <w:basedOn w:val="Normal"/>
    <w:qFormat/>
    <w:rsid w:val="0099262A"/>
    <w:pPr>
      <w:shd w:val="solid" w:color="FFFFFF" w:fill="FFFFFF"/>
      <w:spacing w:line="276" w:lineRule="auto"/>
      <w:jc w:val="right"/>
    </w:pPr>
    <w:rPr>
      <w:rFonts w:ascii="Arial" w:hAnsi="Arial"/>
      <w:color w:val="DA291C"/>
      <w:sz w:val="20"/>
    </w:rPr>
  </w:style>
  <w:style w:type="paragraph" w:customStyle="1" w:styleId="Bullet2">
    <w:name w:val="Bullet2"/>
    <w:basedOn w:val="Normal"/>
    <w:rsid w:val="005E53FA"/>
    <w:pPr>
      <w:numPr>
        <w:numId w:val="5"/>
      </w:numPr>
      <w:contextualSpacing/>
    </w:pPr>
  </w:style>
  <w:style w:type="paragraph" w:customStyle="1" w:styleId="ProposalTitle">
    <w:name w:val="Proposal Title"/>
    <w:basedOn w:val="Normal"/>
    <w:qFormat/>
    <w:rsid w:val="00536DB4"/>
    <w:pPr>
      <w:autoSpaceDE w:val="0"/>
      <w:autoSpaceDN w:val="0"/>
      <w:adjustRightInd w:val="0"/>
      <w:ind w:left="6696" w:right="-792"/>
    </w:pPr>
    <w:rPr>
      <w:b/>
      <w:sz w:val="32"/>
      <w:szCs w:val="32"/>
    </w:rPr>
  </w:style>
  <w:style w:type="paragraph" w:customStyle="1" w:styleId="RFPNumber">
    <w:name w:val="RFP Number"/>
    <w:basedOn w:val="Normal"/>
    <w:qFormat/>
    <w:rsid w:val="00536DB4"/>
    <w:pPr>
      <w:autoSpaceDE w:val="0"/>
      <w:autoSpaceDN w:val="0"/>
      <w:adjustRightInd w:val="0"/>
      <w:ind w:left="6696" w:right="-792"/>
    </w:pPr>
    <w:rPr>
      <w:sz w:val="32"/>
      <w:szCs w:val="32"/>
    </w:rPr>
  </w:style>
  <w:style w:type="paragraph" w:customStyle="1" w:styleId="CoverTextRed14pt">
    <w:name w:val="Cover Text  Red 14pt"/>
    <w:basedOn w:val="Normal"/>
    <w:qFormat/>
    <w:rsid w:val="00AB65FC"/>
    <w:pPr>
      <w:tabs>
        <w:tab w:val="left" w:pos="720"/>
        <w:tab w:val="left" w:pos="1080"/>
        <w:tab w:val="left" w:pos="1440"/>
        <w:tab w:val="left" w:pos="1800"/>
        <w:tab w:val="left" w:pos="6660"/>
      </w:tabs>
      <w:spacing w:after="0"/>
      <w:ind w:left="6494" w:right="-547"/>
      <w:jc w:val="right"/>
    </w:pPr>
    <w:rPr>
      <w:rFonts w:ascii="Arial" w:hAnsi="Arial"/>
      <w:b/>
      <w:color w:val="DA291C" w:themeColor="accent1"/>
      <w:sz w:val="28"/>
      <w:szCs w:val="32"/>
    </w:rPr>
  </w:style>
  <w:style w:type="paragraph" w:customStyle="1" w:styleId="CoverText11pt">
    <w:name w:val="Cover Text 11 pt"/>
    <w:basedOn w:val="Normal"/>
    <w:qFormat/>
    <w:rsid w:val="001E2CF1"/>
    <w:pPr>
      <w:tabs>
        <w:tab w:val="left" w:pos="720"/>
        <w:tab w:val="left" w:pos="1080"/>
        <w:tab w:val="left" w:pos="1440"/>
        <w:tab w:val="left" w:pos="1800"/>
        <w:tab w:val="left" w:pos="6660"/>
      </w:tabs>
      <w:spacing w:after="0"/>
      <w:ind w:left="6490" w:right="-540"/>
      <w:jc w:val="right"/>
    </w:pPr>
    <w:rPr>
      <w:rFonts w:ascii="Arial" w:hAnsi="Arial"/>
      <w:i/>
      <w:color w:val="616662"/>
      <w:szCs w:val="24"/>
    </w:rPr>
  </w:style>
  <w:style w:type="paragraph" w:customStyle="1" w:styleId="CoverText-Address">
    <w:name w:val="Cover Text - Address"/>
    <w:basedOn w:val="Normal"/>
    <w:qFormat/>
    <w:rsid w:val="00AB65FC"/>
    <w:pPr>
      <w:tabs>
        <w:tab w:val="left" w:pos="720"/>
        <w:tab w:val="left" w:pos="1080"/>
        <w:tab w:val="left" w:pos="1440"/>
        <w:tab w:val="left" w:pos="1800"/>
        <w:tab w:val="left" w:pos="6660"/>
      </w:tabs>
      <w:spacing w:after="0"/>
      <w:ind w:left="6494" w:right="-547"/>
      <w:jc w:val="right"/>
    </w:pPr>
    <w:rPr>
      <w:rFonts w:ascii="Arial" w:hAnsi="Arial"/>
      <w:color w:val="616662"/>
      <w:szCs w:val="24"/>
    </w:rPr>
  </w:style>
  <w:style w:type="character" w:customStyle="1" w:styleId="FootnoteTextChar">
    <w:name w:val="Footnote Text Char"/>
    <w:basedOn w:val="DefaultParagraphFont"/>
    <w:link w:val="FootnoteText"/>
    <w:uiPriority w:val="99"/>
    <w:rsid w:val="00574572"/>
  </w:style>
  <w:style w:type="paragraph" w:customStyle="1" w:styleId="TableText">
    <w:name w:val="Table Text"/>
    <w:basedOn w:val="Normal"/>
    <w:qFormat/>
    <w:rsid w:val="009550AD"/>
    <w:pPr>
      <w:spacing w:before="40" w:after="40"/>
    </w:pPr>
    <w:rPr>
      <w:rFonts w:ascii="Arial" w:hAnsi="Arial" w:cs="Arial"/>
      <w:bCs/>
      <w:color w:val="000000"/>
      <w:sz w:val="20"/>
    </w:rPr>
  </w:style>
  <w:style w:type="paragraph" w:customStyle="1" w:styleId="ExhibitSource">
    <w:name w:val="Exhibit Source"/>
    <w:basedOn w:val="Normal"/>
    <w:qFormat/>
    <w:rsid w:val="003729AE"/>
    <w:pPr>
      <w:spacing w:before="120" w:after="240"/>
    </w:pPr>
    <w:rPr>
      <w:rFonts w:ascii="Arial Narrow" w:hAnsi="Arial Narrow" w:cs="Arial"/>
      <w:sz w:val="18"/>
    </w:rPr>
  </w:style>
  <w:style w:type="paragraph" w:customStyle="1" w:styleId="ExhibitText">
    <w:name w:val="Exhibit Text"/>
    <w:basedOn w:val="TableText"/>
    <w:qFormat/>
    <w:rsid w:val="00DB4EEE"/>
    <w:rPr>
      <w:rFonts w:ascii="Arial Narrow" w:hAnsi="Arial Narrow"/>
      <w:sz w:val="22"/>
    </w:rPr>
  </w:style>
  <w:style w:type="paragraph" w:customStyle="1" w:styleId="CoverTextGreyBold">
    <w:name w:val="Cover Text Grey Bold"/>
    <w:basedOn w:val="Normal"/>
    <w:qFormat/>
    <w:rsid w:val="00744E2C"/>
    <w:pPr>
      <w:tabs>
        <w:tab w:val="left" w:pos="720"/>
        <w:tab w:val="left" w:pos="1080"/>
        <w:tab w:val="left" w:pos="1440"/>
        <w:tab w:val="left" w:pos="1800"/>
        <w:tab w:val="left" w:pos="6660"/>
      </w:tabs>
      <w:spacing w:after="0"/>
      <w:ind w:left="6490" w:right="-540"/>
      <w:jc w:val="right"/>
    </w:pPr>
    <w:rPr>
      <w:rFonts w:ascii="Arial" w:hAnsi="Arial"/>
      <w:b/>
      <w:color w:val="616662"/>
      <w:szCs w:val="24"/>
    </w:rPr>
  </w:style>
  <w:style w:type="paragraph" w:customStyle="1" w:styleId="Disclaimer">
    <w:name w:val="Disclaimer"/>
    <w:basedOn w:val="Normal"/>
    <w:qFormat/>
    <w:rsid w:val="00744E2C"/>
    <w:pPr>
      <w:shd w:val="solid" w:color="FFFFFF" w:fill="FFFFFF"/>
      <w:jc w:val="both"/>
    </w:pPr>
    <w:rPr>
      <w:rFonts w:ascii="Arial" w:hAnsi="Arial"/>
      <w:color w:val="000000"/>
      <w:sz w:val="18"/>
    </w:rPr>
  </w:style>
  <w:style w:type="table" w:customStyle="1" w:styleId="AbtFinal">
    <w:name w:val="Abt Final"/>
    <w:basedOn w:val="TableNormal"/>
    <w:uiPriority w:val="99"/>
    <w:rsid w:val="007F5611"/>
    <w:rPr>
      <w:rFonts w:ascii="Arial Narrow" w:hAnsi="Arial Narrow"/>
      <w:sz w:val="18"/>
    </w:rPr>
    <w:tblPr>
      <w:tblStyleRow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jc w:val="left"/>
      </w:pPr>
      <w:rPr>
        <w:rFonts w:ascii="Arial Narrow" w:hAnsi="Arial Narrow"/>
        <w:b/>
        <w:caps w:val="0"/>
        <w:smallCaps w:val="0"/>
        <w:strike w:val="0"/>
        <w:dstrike w:val="0"/>
        <w:vanish w:val="0"/>
        <w:sz w:val="18"/>
        <w:vertAlign w:val="baseline"/>
      </w:rPr>
      <w:tblPr/>
      <w:tcPr>
        <w:tcBorders>
          <w:top w:val="single" w:sz="8" w:space="0" w:color="auto"/>
          <w:left w:val="single" w:sz="8" w:space="0" w:color="auto"/>
          <w:bottom w:val="single" w:sz="8" w:space="0" w:color="auto"/>
          <w:right w:val="single" w:sz="8" w:space="0" w:color="auto"/>
          <w:insideH w:val="single" w:sz="4" w:space="0" w:color="auto"/>
          <w:insideV w:val="single" w:sz="8" w:space="0" w:color="auto"/>
        </w:tcBorders>
        <w:shd w:val="clear" w:color="auto" w:fill="C3C6A8" w:themeFill="accent4"/>
      </w:tcPr>
    </w:tblStylePr>
    <w:tblStylePr w:type="lastRow">
      <w:pPr>
        <w:jc w:val="left"/>
      </w:pPr>
      <w:rPr>
        <w:rFonts w:ascii="Arial" w:hAnsi="Arial"/>
        <w:sz w:val="18"/>
      </w:rPr>
      <w:tblPr/>
      <w:tcPr>
        <w:tcBorders>
          <w:top w:val="single" w:sz="8" w:space="0" w:color="auto"/>
          <w:left w:val="single" w:sz="8" w:space="0" w:color="auto"/>
          <w:bottom w:val="single" w:sz="8" w:space="0" w:color="auto"/>
          <w:right w:val="single" w:sz="8" w:space="0" w:color="auto"/>
          <w:insideH w:val="nil"/>
          <w:insideV w:val="single" w:sz="8" w:space="0" w:color="auto"/>
          <w:tl2br w:val="nil"/>
          <w:tr2bl w:val="nil"/>
        </w:tcBorders>
        <w:shd w:val="clear" w:color="auto" w:fill="898D8D" w:themeFill="accent2"/>
      </w:tcPr>
    </w:tblStylePr>
    <w:tblStylePr w:type="band1Horz">
      <w:rPr>
        <w:rFonts w:ascii="Arial Narrow" w:hAnsi="Arial Narrow"/>
        <w:sz w:val="18"/>
      </w:rPr>
      <w:tblPr/>
      <w:tcPr>
        <w:tcBorders>
          <w:top w:val="single" w:sz="8"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l2br w:val="nil"/>
          <w:tr2bl w:val="nil"/>
        </w:tcBorders>
        <w:shd w:val="clear" w:color="auto" w:fill="E7E8E8" w:themeFill="accent2" w:themeFillTint="33"/>
      </w:tcPr>
    </w:tblStylePr>
    <w:tblStylePr w:type="band2Horz">
      <w:rPr>
        <w:rFonts w:ascii="Arial Narrow" w:hAnsi="Arial Narrow"/>
        <w:sz w:val="18"/>
      </w:rPr>
      <w:tblPr/>
      <w:tcPr>
        <w:tc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l2br w:val="nil"/>
          <w:tr2bl w:val="nil"/>
        </w:tcBorders>
      </w:tcPr>
    </w:tblStylePr>
  </w:style>
  <w:style w:type="paragraph" w:customStyle="1" w:styleId="Default">
    <w:name w:val="Default"/>
    <w:rsid w:val="006C1434"/>
    <w:pPr>
      <w:autoSpaceDE w:val="0"/>
      <w:autoSpaceDN w:val="0"/>
      <w:adjustRightInd w:val="0"/>
    </w:pPr>
    <w:rPr>
      <w:rFonts w:ascii="Gotham" w:hAnsi="Gotham" w:cs="Gotham"/>
      <w:color w:val="000000"/>
      <w:sz w:val="24"/>
      <w:szCs w:val="24"/>
    </w:rPr>
  </w:style>
  <w:style w:type="paragraph" w:styleId="NoSpacing">
    <w:name w:val="No Spacing"/>
    <w:uiPriority w:val="1"/>
    <w:qFormat/>
    <w:rsid w:val="00B9148E"/>
    <w:rPr>
      <w:rFonts w:asciiTheme="minorHAnsi" w:eastAsiaTheme="minorHAnsi" w:hAnsiTheme="minorHAnsi" w:cstheme="minorBidi"/>
      <w:sz w:val="22"/>
      <w:szCs w:val="22"/>
    </w:rPr>
  </w:style>
  <w:style w:type="paragraph" w:customStyle="1" w:styleId="TaskStyle">
    <w:name w:val="Task Style"/>
    <w:basedOn w:val="Heading3"/>
    <w:next w:val="BodyText"/>
    <w:link w:val="TaskStyleChar"/>
    <w:qFormat/>
    <w:rsid w:val="00E8205A"/>
    <w:pPr>
      <w:pBdr>
        <w:bottom w:val="single" w:sz="12" w:space="1" w:color="898D8D" w:themeColor="accent2"/>
      </w:pBdr>
    </w:pPr>
    <w:rPr>
      <w:rFonts w:ascii="Arial" w:hAnsi="Arial" w:cs="Arial"/>
    </w:rPr>
  </w:style>
  <w:style w:type="character" w:customStyle="1" w:styleId="Heading4Char">
    <w:name w:val="Heading 4 Char"/>
    <w:basedOn w:val="DefaultParagraphFont"/>
    <w:link w:val="Heading4"/>
    <w:rsid w:val="002222A4"/>
    <w:rPr>
      <w:rFonts w:ascii="Arial Bold" w:hAnsi="Arial Bold"/>
      <w:b/>
    </w:rPr>
  </w:style>
  <w:style w:type="character" w:customStyle="1" w:styleId="TaskStyleChar">
    <w:name w:val="Task Style Char"/>
    <w:basedOn w:val="Heading4Char"/>
    <w:link w:val="TaskStyle"/>
    <w:rsid w:val="00E8205A"/>
    <w:rPr>
      <w:rFonts w:ascii="Arial" w:hAnsi="Arial" w:cs="Arial"/>
      <w:b/>
      <w:color w:val="DA291C" w:themeColor="accent1"/>
      <w:sz w:val="24"/>
      <w:szCs w:val="24"/>
    </w:rPr>
  </w:style>
  <w:style w:type="paragraph" w:styleId="ListParagraph">
    <w:name w:val="List Paragraph"/>
    <w:basedOn w:val="Normal"/>
    <w:link w:val="ListParagraphChar"/>
    <w:uiPriority w:val="34"/>
    <w:qFormat/>
    <w:rsid w:val="00FC070C"/>
    <w:pPr>
      <w:spacing w:after="200"/>
      <w:ind w:left="720"/>
      <w:contextualSpacing/>
    </w:pPr>
    <w:rPr>
      <w:rFonts w:asciiTheme="minorHAnsi" w:eastAsiaTheme="minorHAnsi" w:hAnsiTheme="minorHAnsi" w:cstheme="minorBidi"/>
      <w:szCs w:val="22"/>
    </w:rPr>
  </w:style>
  <w:style w:type="paragraph" w:customStyle="1" w:styleId="TOCMainHeaders">
    <w:name w:val="TOC Main Headers"/>
    <w:basedOn w:val="TOC1"/>
    <w:qFormat/>
    <w:rsid w:val="0053086A"/>
    <w:pPr>
      <w:tabs>
        <w:tab w:val="left" w:pos="576"/>
        <w:tab w:val="right" w:leader="dot" w:pos="8990"/>
      </w:tabs>
      <w:spacing w:after="180"/>
    </w:pPr>
    <w:rPr>
      <w:rFonts w:cs="Arial"/>
      <w:color w:val="DA291C" w:themeColor="accent1"/>
      <w:sz w:val="28"/>
    </w:rPr>
  </w:style>
  <w:style w:type="paragraph" w:customStyle="1" w:styleId="Call-OutBoxTextHeader">
    <w:name w:val="Call-Out Box Text Header"/>
    <w:basedOn w:val="NoSpacing"/>
    <w:qFormat/>
    <w:rsid w:val="0053086A"/>
    <w:pPr>
      <w:ind w:left="180" w:right="204"/>
    </w:pPr>
    <w:rPr>
      <w:rFonts w:ascii="Arial" w:hAnsi="Arial" w:cs="Arial"/>
      <w:b/>
      <w:color w:val="DA291C" w:themeColor="accent1"/>
    </w:rPr>
  </w:style>
  <w:style w:type="paragraph" w:customStyle="1" w:styleId="Call-OutBoxTextArial">
    <w:name w:val="Call-Out Box Text (Arial)"/>
    <w:basedOn w:val="NoSpacing"/>
    <w:qFormat/>
    <w:rsid w:val="00862448"/>
    <w:pPr>
      <w:ind w:left="180" w:right="204"/>
    </w:pPr>
    <w:rPr>
      <w:rFonts w:ascii="Arial" w:hAnsi="Arial" w:cs="Arial"/>
      <w:i/>
    </w:rPr>
  </w:style>
  <w:style w:type="table" w:styleId="Table3Deffects1">
    <w:name w:val="Table 3D effects 1"/>
    <w:basedOn w:val="TableNormal"/>
    <w:rsid w:val="000247F7"/>
    <w:pPr>
      <w:spacing w:after="180" w:line="264" w:lineRule="auto"/>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Abt">
    <w:name w:val="Abt"/>
    <w:basedOn w:val="AbtFinal"/>
    <w:uiPriority w:val="99"/>
    <w:rsid w:val="00EC14FE"/>
    <w:rPr>
      <w:sz w:val="22"/>
    </w:rPr>
    <w:tblPr/>
    <w:tblStylePr w:type="firstRow">
      <w:pPr>
        <w:jc w:val="left"/>
      </w:pPr>
      <w:rPr>
        <w:rFonts w:ascii="Arial Narrow" w:hAnsi="Arial Narrow"/>
        <w:b/>
        <w:caps w:val="0"/>
        <w:smallCaps w:val="0"/>
        <w:strike w:val="0"/>
        <w:dstrike w:val="0"/>
        <w:vanish w:val="0"/>
        <w:sz w:val="18"/>
        <w:vertAlign w:val="baseline"/>
      </w:rPr>
      <w:tblPr/>
      <w:tcPr>
        <w:tcBorders>
          <w:top w:val="single" w:sz="8" w:space="0" w:color="auto"/>
          <w:left w:val="single" w:sz="8" w:space="0" w:color="auto"/>
          <w:bottom w:val="single" w:sz="8" w:space="0" w:color="auto"/>
          <w:right w:val="single" w:sz="8" w:space="0" w:color="auto"/>
          <w:insideH w:val="single" w:sz="4" w:space="0" w:color="auto"/>
          <w:insideV w:val="single" w:sz="8" w:space="0" w:color="auto"/>
        </w:tcBorders>
        <w:shd w:val="clear" w:color="auto" w:fill="C3C6A8" w:themeFill="accent4"/>
      </w:tcPr>
    </w:tblStylePr>
    <w:tblStylePr w:type="lastRow">
      <w:pPr>
        <w:jc w:val="left"/>
      </w:pPr>
      <w:rPr>
        <w:rFonts w:ascii="Arial" w:hAnsi="Arial"/>
        <w:sz w:val="18"/>
      </w:rPr>
      <w:tblPr/>
      <w:tcPr>
        <w:tcBorders>
          <w:top w:val="single" w:sz="8" w:space="0" w:color="auto"/>
          <w:left w:val="single" w:sz="8" w:space="0" w:color="auto"/>
          <w:bottom w:val="single" w:sz="8" w:space="0" w:color="auto"/>
          <w:right w:val="single" w:sz="8" w:space="0" w:color="auto"/>
          <w:insideH w:val="nil"/>
          <w:insideV w:val="single" w:sz="8" w:space="0" w:color="auto"/>
          <w:tl2br w:val="nil"/>
          <w:tr2bl w:val="nil"/>
        </w:tcBorders>
        <w:shd w:val="clear" w:color="auto" w:fill="898D8D" w:themeFill="accent2"/>
      </w:tcPr>
    </w:tblStylePr>
    <w:tblStylePr w:type="band1Horz">
      <w:rPr>
        <w:rFonts w:ascii="Arial Narrow" w:hAnsi="Arial Narrow"/>
        <w:sz w:val="18"/>
      </w:rPr>
      <w:tblPr/>
      <w:tcPr>
        <w:tcBorders>
          <w:top w:val="single" w:sz="8"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l2br w:val="nil"/>
          <w:tr2bl w:val="nil"/>
        </w:tcBorders>
        <w:shd w:val="clear" w:color="auto" w:fill="E7E8E8" w:themeFill="accent2" w:themeFillTint="33"/>
      </w:tcPr>
    </w:tblStylePr>
    <w:tblStylePr w:type="band2Horz">
      <w:rPr>
        <w:rFonts w:ascii="Arial Narrow" w:hAnsi="Arial Narrow"/>
        <w:sz w:val="18"/>
      </w:rPr>
      <w:tblPr/>
      <w:tcPr>
        <w:tc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l2br w:val="nil"/>
          <w:tr2bl w:val="nil"/>
        </w:tcBorders>
      </w:tcPr>
    </w:tblStylePr>
  </w:style>
  <w:style w:type="paragraph" w:customStyle="1" w:styleId="CoverLetterTextOnly">
    <w:name w:val="Cover Letter Text Only"/>
    <w:qFormat/>
    <w:rsid w:val="00C33C0B"/>
    <w:rPr>
      <w:sz w:val="24"/>
    </w:rPr>
  </w:style>
  <w:style w:type="paragraph" w:customStyle="1" w:styleId="ExhibitColumnHead">
    <w:name w:val="Exhibit Column Head"/>
    <w:qFormat/>
    <w:rsid w:val="006F7FC9"/>
    <w:pPr>
      <w:keepNext/>
      <w:jc w:val="center"/>
    </w:pPr>
    <w:rPr>
      <w:rFonts w:ascii="Arial Narrow" w:hAnsi="Arial Narrow" w:cs="Arial"/>
      <w:b/>
      <w:color w:val="000000" w:themeColor="text1"/>
      <w:sz w:val="22"/>
    </w:rPr>
  </w:style>
  <w:style w:type="paragraph" w:customStyle="1" w:styleId="StaffResumeList">
    <w:name w:val="Staff Resume List"/>
    <w:qFormat/>
    <w:rsid w:val="005707D6"/>
    <w:pPr>
      <w:tabs>
        <w:tab w:val="right" w:pos="9000"/>
      </w:tabs>
    </w:pPr>
    <w:rPr>
      <w:rFonts w:eastAsiaTheme="minorHAnsi"/>
      <w:spacing w:val="-4"/>
      <w:sz w:val="24"/>
    </w:rPr>
  </w:style>
  <w:style w:type="paragraph" w:customStyle="1" w:styleId="Heading1Apps">
    <w:name w:val="Heading 1 Apps"/>
    <w:basedOn w:val="Heading1"/>
    <w:qFormat/>
    <w:rsid w:val="008877CC"/>
    <w:pPr>
      <w:numPr>
        <w:numId w:val="0"/>
      </w:numPr>
    </w:pPr>
  </w:style>
  <w:style w:type="paragraph" w:customStyle="1" w:styleId="ExhibitTextBullets">
    <w:name w:val="Exhibit Text Bullets"/>
    <w:basedOn w:val="ExhibitText"/>
    <w:qFormat/>
    <w:rsid w:val="00C676E2"/>
    <w:pPr>
      <w:numPr>
        <w:numId w:val="6"/>
      </w:numPr>
      <w:spacing w:before="0" w:after="0"/>
      <w:ind w:left="288" w:hanging="288"/>
    </w:pPr>
  </w:style>
  <w:style w:type="paragraph" w:customStyle="1" w:styleId="TableParagraph">
    <w:name w:val="Table Paragraph"/>
    <w:basedOn w:val="Normal"/>
    <w:uiPriority w:val="1"/>
    <w:qFormat/>
    <w:rsid w:val="00AB65FC"/>
    <w:pPr>
      <w:widowControl w:val="0"/>
      <w:spacing w:after="0"/>
    </w:pPr>
    <w:rPr>
      <w:rFonts w:asciiTheme="minorHAnsi" w:eastAsiaTheme="minorHAnsi" w:hAnsiTheme="minorHAnsi" w:cstheme="minorBidi"/>
      <w:sz w:val="22"/>
      <w:szCs w:val="22"/>
    </w:rPr>
  </w:style>
  <w:style w:type="paragraph" w:styleId="TOCHeading">
    <w:name w:val="TOC Heading"/>
    <w:basedOn w:val="Heading1"/>
    <w:next w:val="Normal"/>
    <w:uiPriority w:val="39"/>
    <w:semiHidden/>
    <w:unhideWhenUsed/>
    <w:qFormat/>
    <w:rsid w:val="00D10738"/>
    <w:pPr>
      <w:numPr>
        <w:numId w:val="0"/>
      </w:numPr>
      <w:pBdr>
        <w:top w:val="none" w:sz="0" w:space="0" w:color="auto"/>
        <w:bottom w:val="none" w:sz="0" w:space="0" w:color="auto"/>
      </w:pBdr>
      <w:shd w:val="clear" w:color="auto" w:fill="auto"/>
      <w:spacing w:before="480" w:after="0"/>
      <w:outlineLvl w:val="9"/>
    </w:pPr>
    <w:rPr>
      <w:rFonts w:asciiTheme="majorHAnsi" w:eastAsiaTheme="majorEastAsia" w:hAnsiTheme="majorHAnsi" w:cstheme="majorBidi"/>
      <w:bCs/>
      <w:noProof w:val="0"/>
      <w:color w:val="A31E15" w:themeColor="accent1" w:themeShade="BF"/>
      <w:kern w:val="0"/>
      <w:szCs w:val="28"/>
    </w:rPr>
  </w:style>
  <w:style w:type="character" w:customStyle="1" w:styleId="ListParagraphChar">
    <w:name w:val="List Paragraph Char"/>
    <w:link w:val="ListParagraph"/>
    <w:uiPriority w:val="34"/>
    <w:locked/>
    <w:rsid w:val="00FC070C"/>
    <w:rPr>
      <w:rFonts w:asciiTheme="minorHAnsi" w:eastAsiaTheme="minorHAnsi" w:hAnsiTheme="minorHAnsi" w:cstheme="minorBidi"/>
      <w:sz w:val="24"/>
      <w:szCs w:val="22"/>
    </w:rPr>
  </w:style>
  <w:style w:type="paragraph" w:customStyle="1" w:styleId="Spacer">
    <w:name w:val="Spacer"/>
    <w:basedOn w:val="BodyText"/>
    <w:uiPriority w:val="99"/>
    <w:rsid w:val="00420101"/>
    <w:pPr>
      <w:spacing w:after="0"/>
    </w:pPr>
    <w:rPr>
      <w:sz w:val="18"/>
    </w:rPr>
  </w:style>
  <w:style w:type="character" w:customStyle="1" w:styleId="CommentTextChar">
    <w:name w:val="Comment Text Char"/>
    <w:basedOn w:val="DefaultParagraphFont"/>
    <w:link w:val="CommentText"/>
    <w:uiPriority w:val="99"/>
    <w:semiHidden/>
    <w:rsid w:val="00430EF2"/>
  </w:style>
  <w:style w:type="character" w:customStyle="1" w:styleId="Heading1Char">
    <w:name w:val="Heading 1 Char"/>
    <w:basedOn w:val="DefaultParagraphFont"/>
    <w:link w:val="Heading1"/>
    <w:rsid w:val="00DF12E3"/>
    <w:rPr>
      <w:rFonts w:ascii="Arial" w:hAnsi="Arial"/>
      <w:b/>
      <w:noProof/>
      <w:color w:val="FFFFFF"/>
      <w:kern w:val="28"/>
      <w:sz w:val="28"/>
      <w:shd w:val="clear" w:color="auto" w:fill="898D8D" w:themeFill="text2"/>
    </w:rPr>
  </w:style>
  <w:style w:type="character" w:customStyle="1" w:styleId="Heading2Char">
    <w:name w:val="Heading 2 Char"/>
    <w:basedOn w:val="DefaultParagraphFont"/>
    <w:link w:val="Heading2"/>
    <w:rsid w:val="00AF4F8A"/>
    <w:rPr>
      <w:rFonts w:ascii="Arial" w:hAnsi="Arial" w:cs="Arial"/>
      <w:b/>
      <w:bCs/>
      <w:iCs/>
      <w:color w:val="4F5353"/>
      <w:sz w:val="24"/>
      <w:szCs w:val="28"/>
    </w:rPr>
  </w:style>
  <w:style w:type="character" w:customStyle="1" w:styleId="Heading3Char">
    <w:name w:val="Heading 3 Char"/>
    <w:basedOn w:val="DefaultParagraphFont"/>
    <w:link w:val="Heading3"/>
    <w:rsid w:val="000A26AA"/>
    <w:rPr>
      <w:b/>
      <w:color w:val="DA291C" w:themeColor="accent1"/>
      <w:sz w:val="24"/>
      <w:szCs w:val="24"/>
    </w:rPr>
  </w:style>
  <w:style w:type="paragraph" w:styleId="NormalWeb">
    <w:name w:val="Normal (Web)"/>
    <w:basedOn w:val="Normal"/>
    <w:uiPriority w:val="99"/>
    <w:unhideWhenUsed/>
    <w:rsid w:val="00E92737"/>
    <w:pPr>
      <w:spacing w:before="100" w:beforeAutospacing="1" w:after="100" w:afterAutospacing="1"/>
    </w:pPr>
    <w:rPr>
      <w:szCs w:val="24"/>
    </w:rPr>
  </w:style>
  <w:style w:type="character" w:customStyle="1" w:styleId="BalloonTextChar">
    <w:name w:val="Balloon Text Char"/>
    <w:basedOn w:val="DefaultParagraphFont"/>
    <w:link w:val="BalloonText"/>
    <w:uiPriority w:val="99"/>
    <w:semiHidden/>
    <w:rsid w:val="00E92737"/>
    <w:rPr>
      <w:rFonts w:ascii="Tahoma" w:hAnsi="Tahoma" w:cs="Tahoma"/>
      <w:sz w:val="16"/>
      <w:szCs w:val="16"/>
    </w:rPr>
  </w:style>
  <w:style w:type="character" w:customStyle="1" w:styleId="HeaderChar">
    <w:name w:val="Header Char"/>
    <w:basedOn w:val="DefaultParagraphFont"/>
    <w:link w:val="Header"/>
    <w:uiPriority w:val="99"/>
    <w:rsid w:val="00E92737"/>
    <w:rPr>
      <w:rFonts w:ascii="Arial" w:hAnsi="Arial" w:cs="Arial"/>
      <w:b/>
      <w:color w:val="FFFFFF"/>
      <w:spacing w:val="20"/>
      <w:sz w:val="24"/>
      <w:szCs w:val="24"/>
      <w:shd w:val="clear" w:color="auto" w:fill="4F5353"/>
    </w:rPr>
  </w:style>
  <w:style w:type="character" w:customStyle="1" w:styleId="CommentSubjectChar">
    <w:name w:val="Comment Subject Char"/>
    <w:basedOn w:val="CommentTextChar"/>
    <w:link w:val="CommentSubject"/>
    <w:uiPriority w:val="99"/>
    <w:semiHidden/>
    <w:rsid w:val="00E92737"/>
    <w:rPr>
      <w:b/>
      <w:bCs/>
    </w:rPr>
  </w:style>
  <w:style w:type="character" w:styleId="PlaceholderText">
    <w:name w:val="Placeholder Text"/>
    <w:basedOn w:val="DefaultParagraphFont"/>
    <w:uiPriority w:val="99"/>
    <w:semiHidden/>
    <w:rsid w:val="000C17A5"/>
    <w:rPr>
      <w:color w:val="808080"/>
    </w:rPr>
  </w:style>
  <w:style w:type="paragraph" w:styleId="Revision">
    <w:name w:val="Revision"/>
    <w:hidden/>
    <w:uiPriority w:val="99"/>
    <w:semiHidden/>
    <w:rsid w:val="00C32D48"/>
    <w:rPr>
      <w:sz w:val="24"/>
    </w:rPr>
  </w:style>
  <w:style w:type="character" w:customStyle="1" w:styleId="mw-headline">
    <w:name w:val="mw-headline"/>
    <w:basedOn w:val="DefaultParagraphFont"/>
    <w:rsid w:val="00A04865"/>
  </w:style>
  <w:style w:type="character" w:customStyle="1" w:styleId="mw-editsection">
    <w:name w:val="mw-editsection"/>
    <w:basedOn w:val="DefaultParagraphFont"/>
    <w:rsid w:val="00A04865"/>
  </w:style>
  <w:style w:type="character" w:customStyle="1" w:styleId="mw-editsection-bracket">
    <w:name w:val="mw-editsection-bracket"/>
    <w:basedOn w:val="DefaultParagraphFont"/>
    <w:rsid w:val="00A04865"/>
  </w:style>
  <w:style w:type="character" w:styleId="Strong">
    <w:name w:val="Strong"/>
    <w:basedOn w:val="DefaultParagraphFont"/>
    <w:uiPriority w:val="22"/>
    <w:qFormat/>
    <w:rsid w:val="004305FE"/>
    <w:rPr>
      <w:b/>
      <w:bCs/>
    </w:rPr>
  </w:style>
  <w:style w:type="character" w:customStyle="1" w:styleId="reference-text">
    <w:name w:val="reference-text"/>
    <w:basedOn w:val="DefaultParagraphFont"/>
    <w:rsid w:val="00400295"/>
  </w:style>
  <w:style w:type="table" w:customStyle="1" w:styleId="QQuestionTable">
    <w:name w:val="QQuestionTable"/>
    <w:uiPriority w:val="99"/>
    <w:qFormat/>
    <w:rsid w:val="00A95DB8"/>
    <w:pPr>
      <w:jc w:val="center"/>
    </w:pPr>
    <w:rPr>
      <w:rFonts w:ascii="Arial" w:hAnsi="Arial"/>
      <w:sz w:val="22"/>
      <w:szCs w:val="22"/>
      <w:lang w:val="en-GB" w:eastAsia="en-GB"/>
    </w:rPr>
    <w:tblPr>
      <w:tblStyleRowBandSize w:val="1"/>
      <w:tblInd w:w="0" w:type="dxa"/>
      <w:tblBorders>
        <w:top w:val="single" w:sz="4" w:space="0" w:color="818386"/>
        <w:left w:val="single" w:sz="4" w:space="0" w:color="818386"/>
        <w:bottom w:val="single" w:sz="4" w:space="0" w:color="818386"/>
        <w:right w:val="single" w:sz="4" w:space="0" w:color="818386"/>
        <w:insideV w:val="single" w:sz="4" w:space="0" w:color="808080"/>
      </w:tblBorders>
      <w:tblCellMar>
        <w:top w:w="43" w:type="dxa"/>
        <w:left w:w="115" w:type="dxa"/>
        <w:bottom w:w="43" w:type="dxa"/>
        <w:right w:w="115" w:type="dxa"/>
      </w:tblCellMar>
    </w:tblPr>
    <w:tcPr>
      <w:shd w:val="clear" w:color="auto" w:fill="auto"/>
      <w:vAlign w:val="center"/>
    </w:tcPr>
    <w:tblStylePr w:type="firstRow">
      <w:pPr>
        <w:wordWrap/>
        <w:jc w:val="center"/>
      </w:pPr>
      <w:rPr>
        <w:color w:val="FFFFFF"/>
      </w:rPr>
      <w:tblPr/>
      <w:tcPr>
        <w:tcBorders>
          <w:insideV w:val="single" w:sz="4" w:space="0" w:color="969696"/>
        </w:tcBorders>
        <w:shd w:val="clear" w:color="auto" w:fill="58595B"/>
        <w:vAlign w:val="top"/>
      </w:tcPr>
    </w:tblStylePr>
    <w:tblStylePr w:type="lastRow">
      <w:tblPr/>
      <w:tcPr>
        <w:tcBorders>
          <w:top w:val="single" w:sz="4" w:space="0" w:color="818386"/>
          <w:left w:val="single" w:sz="4" w:space="0" w:color="818386"/>
          <w:bottom w:val="single" w:sz="4" w:space="0" w:color="818386"/>
          <w:right w:val="single" w:sz="4" w:space="0" w:color="818386"/>
          <w:insideH w:val="single" w:sz="4" w:space="0" w:color="818386"/>
          <w:insideV w:val="single" w:sz="4" w:space="0" w:color="818386"/>
        </w:tcBorders>
        <w:shd w:val="clear" w:color="auto" w:fill="FEFBE7"/>
      </w:tcPr>
    </w:tblStylePr>
  </w:style>
  <w:style w:type="numbering" w:customStyle="1" w:styleId="Multipunch">
    <w:name w:val="Multi punch"/>
    <w:rsid w:val="00A95DB8"/>
    <w:pPr>
      <w:numPr>
        <w:numId w:val="9"/>
      </w:numPr>
    </w:pPr>
  </w:style>
  <w:style w:type="numbering" w:customStyle="1" w:styleId="Singlepunch">
    <w:name w:val="Single punch"/>
    <w:rsid w:val="00A95DB8"/>
    <w:pPr>
      <w:numPr>
        <w:numId w:val="10"/>
      </w:numPr>
    </w:pPr>
  </w:style>
  <w:style w:type="paragraph" w:styleId="EndnoteText">
    <w:name w:val="endnote text"/>
    <w:basedOn w:val="Normal"/>
    <w:link w:val="EndnoteTextChar"/>
    <w:rsid w:val="00327EE7"/>
    <w:pPr>
      <w:spacing w:after="0"/>
    </w:pPr>
    <w:rPr>
      <w:sz w:val="20"/>
    </w:rPr>
  </w:style>
  <w:style w:type="character" w:customStyle="1" w:styleId="EndnoteTextChar">
    <w:name w:val="Endnote Text Char"/>
    <w:basedOn w:val="DefaultParagraphFont"/>
    <w:link w:val="EndnoteText"/>
    <w:rsid w:val="00327EE7"/>
  </w:style>
  <w:style w:type="character" w:styleId="EndnoteReference">
    <w:name w:val="endnote reference"/>
    <w:basedOn w:val="DefaultParagraphFont"/>
    <w:rsid w:val="00327EE7"/>
    <w:rPr>
      <w:vertAlign w:val="superscript"/>
    </w:rPr>
  </w:style>
  <w:style w:type="character" w:styleId="FollowedHyperlink">
    <w:name w:val="FollowedHyperlink"/>
    <w:basedOn w:val="DefaultParagraphFont"/>
    <w:rsid w:val="006E4244"/>
    <w:rPr>
      <w:color w:val="0070C0" w:themeColor="followedHyperlink"/>
      <w:u w:val="single"/>
    </w:rPr>
  </w:style>
  <w:style w:type="paragraph" w:styleId="TableofFigures">
    <w:name w:val="table of figures"/>
    <w:basedOn w:val="Normal"/>
    <w:next w:val="Normal"/>
    <w:uiPriority w:val="99"/>
    <w:rsid w:val="00CA29EC"/>
    <w:pPr>
      <w:spacing w:after="0"/>
      <w:ind w:left="1296" w:hanging="1296"/>
    </w:pPr>
  </w:style>
  <w:style w:type="paragraph" w:customStyle="1" w:styleId="BulletsLessSpace">
    <w:name w:val="BulletsLessSpace"/>
    <w:basedOn w:val="Bullets"/>
    <w:rsid w:val="005E53FA"/>
    <w:pPr>
      <w:keepNext/>
      <w:spacing w:after="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68458">
      <w:bodyDiv w:val="1"/>
      <w:marLeft w:val="0"/>
      <w:marRight w:val="0"/>
      <w:marTop w:val="0"/>
      <w:marBottom w:val="0"/>
      <w:divBdr>
        <w:top w:val="none" w:sz="0" w:space="0" w:color="auto"/>
        <w:left w:val="none" w:sz="0" w:space="0" w:color="auto"/>
        <w:bottom w:val="none" w:sz="0" w:space="0" w:color="auto"/>
        <w:right w:val="none" w:sz="0" w:space="0" w:color="auto"/>
      </w:divBdr>
    </w:div>
    <w:div w:id="32313349">
      <w:bodyDiv w:val="1"/>
      <w:marLeft w:val="0"/>
      <w:marRight w:val="0"/>
      <w:marTop w:val="0"/>
      <w:marBottom w:val="0"/>
      <w:divBdr>
        <w:top w:val="none" w:sz="0" w:space="0" w:color="auto"/>
        <w:left w:val="none" w:sz="0" w:space="0" w:color="auto"/>
        <w:bottom w:val="none" w:sz="0" w:space="0" w:color="auto"/>
        <w:right w:val="none" w:sz="0" w:space="0" w:color="auto"/>
      </w:divBdr>
    </w:div>
    <w:div w:id="36854386">
      <w:bodyDiv w:val="1"/>
      <w:marLeft w:val="0"/>
      <w:marRight w:val="0"/>
      <w:marTop w:val="0"/>
      <w:marBottom w:val="0"/>
      <w:divBdr>
        <w:top w:val="none" w:sz="0" w:space="0" w:color="auto"/>
        <w:left w:val="none" w:sz="0" w:space="0" w:color="auto"/>
        <w:bottom w:val="none" w:sz="0" w:space="0" w:color="auto"/>
        <w:right w:val="none" w:sz="0" w:space="0" w:color="auto"/>
      </w:divBdr>
    </w:div>
    <w:div w:id="153179943">
      <w:bodyDiv w:val="1"/>
      <w:marLeft w:val="0"/>
      <w:marRight w:val="0"/>
      <w:marTop w:val="0"/>
      <w:marBottom w:val="0"/>
      <w:divBdr>
        <w:top w:val="none" w:sz="0" w:space="0" w:color="auto"/>
        <w:left w:val="none" w:sz="0" w:space="0" w:color="auto"/>
        <w:bottom w:val="none" w:sz="0" w:space="0" w:color="auto"/>
        <w:right w:val="none" w:sz="0" w:space="0" w:color="auto"/>
      </w:divBdr>
    </w:div>
    <w:div w:id="429592179">
      <w:bodyDiv w:val="1"/>
      <w:marLeft w:val="0"/>
      <w:marRight w:val="0"/>
      <w:marTop w:val="0"/>
      <w:marBottom w:val="0"/>
      <w:divBdr>
        <w:top w:val="none" w:sz="0" w:space="0" w:color="auto"/>
        <w:left w:val="none" w:sz="0" w:space="0" w:color="auto"/>
        <w:bottom w:val="none" w:sz="0" w:space="0" w:color="auto"/>
        <w:right w:val="none" w:sz="0" w:space="0" w:color="auto"/>
      </w:divBdr>
    </w:div>
    <w:div w:id="594172891">
      <w:bodyDiv w:val="1"/>
      <w:marLeft w:val="0"/>
      <w:marRight w:val="0"/>
      <w:marTop w:val="0"/>
      <w:marBottom w:val="0"/>
      <w:divBdr>
        <w:top w:val="none" w:sz="0" w:space="0" w:color="auto"/>
        <w:left w:val="none" w:sz="0" w:space="0" w:color="auto"/>
        <w:bottom w:val="none" w:sz="0" w:space="0" w:color="auto"/>
        <w:right w:val="none" w:sz="0" w:space="0" w:color="auto"/>
      </w:divBdr>
    </w:div>
    <w:div w:id="615909341">
      <w:bodyDiv w:val="1"/>
      <w:marLeft w:val="0"/>
      <w:marRight w:val="0"/>
      <w:marTop w:val="0"/>
      <w:marBottom w:val="0"/>
      <w:divBdr>
        <w:top w:val="none" w:sz="0" w:space="0" w:color="auto"/>
        <w:left w:val="none" w:sz="0" w:space="0" w:color="auto"/>
        <w:bottom w:val="none" w:sz="0" w:space="0" w:color="auto"/>
        <w:right w:val="none" w:sz="0" w:space="0" w:color="auto"/>
      </w:divBdr>
    </w:div>
    <w:div w:id="621691117">
      <w:bodyDiv w:val="1"/>
      <w:marLeft w:val="0"/>
      <w:marRight w:val="0"/>
      <w:marTop w:val="0"/>
      <w:marBottom w:val="0"/>
      <w:divBdr>
        <w:top w:val="none" w:sz="0" w:space="0" w:color="auto"/>
        <w:left w:val="none" w:sz="0" w:space="0" w:color="auto"/>
        <w:bottom w:val="none" w:sz="0" w:space="0" w:color="auto"/>
        <w:right w:val="none" w:sz="0" w:space="0" w:color="auto"/>
      </w:divBdr>
    </w:div>
    <w:div w:id="657347497">
      <w:bodyDiv w:val="1"/>
      <w:marLeft w:val="0"/>
      <w:marRight w:val="0"/>
      <w:marTop w:val="0"/>
      <w:marBottom w:val="1800"/>
      <w:divBdr>
        <w:top w:val="none" w:sz="0" w:space="0" w:color="auto"/>
        <w:left w:val="none" w:sz="0" w:space="0" w:color="auto"/>
        <w:bottom w:val="none" w:sz="0" w:space="0" w:color="auto"/>
        <w:right w:val="none" w:sz="0" w:space="0" w:color="auto"/>
      </w:divBdr>
      <w:divsChild>
        <w:div w:id="1440101814">
          <w:marLeft w:val="0"/>
          <w:marRight w:val="0"/>
          <w:marTop w:val="0"/>
          <w:marBottom w:val="0"/>
          <w:divBdr>
            <w:top w:val="none" w:sz="0" w:space="0" w:color="auto"/>
            <w:left w:val="none" w:sz="0" w:space="0" w:color="auto"/>
            <w:bottom w:val="none" w:sz="0" w:space="0" w:color="auto"/>
            <w:right w:val="none" w:sz="0" w:space="0" w:color="auto"/>
          </w:divBdr>
          <w:divsChild>
            <w:div w:id="849493669">
              <w:marLeft w:val="0"/>
              <w:marRight w:val="0"/>
              <w:marTop w:val="360"/>
              <w:marBottom w:val="330"/>
              <w:divBdr>
                <w:top w:val="none" w:sz="0" w:space="0" w:color="auto"/>
                <w:left w:val="none" w:sz="0" w:space="0" w:color="auto"/>
                <w:bottom w:val="none" w:sz="0" w:space="0" w:color="auto"/>
                <w:right w:val="none" w:sz="0" w:space="0" w:color="auto"/>
              </w:divBdr>
              <w:divsChild>
                <w:div w:id="126823485">
                  <w:marLeft w:val="0"/>
                  <w:marRight w:val="0"/>
                  <w:marTop w:val="0"/>
                  <w:marBottom w:val="0"/>
                  <w:divBdr>
                    <w:top w:val="none" w:sz="0" w:space="0" w:color="auto"/>
                    <w:left w:val="none" w:sz="0" w:space="0" w:color="auto"/>
                    <w:bottom w:val="none" w:sz="0" w:space="0" w:color="auto"/>
                    <w:right w:val="none" w:sz="0" w:space="0" w:color="auto"/>
                  </w:divBdr>
                  <w:divsChild>
                    <w:div w:id="1718431948">
                      <w:marLeft w:val="0"/>
                      <w:marRight w:val="0"/>
                      <w:marTop w:val="0"/>
                      <w:marBottom w:val="0"/>
                      <w:divBdr>
                        <w:top w:val="none" w:sz="0" w:space="0" w:color="auto"/>
                        <w:left w:val="none" w:sz="0" w:space="0" w:color="auto"/>
                        <w:bottom w:val="none" w:sz="0" w:space="0" w:color="auto"/>
                        <w:right w:val="none" w:sz="0" w:space="0" w:color="auto"/>
                      </w:divBdr>
                      <w:divsChild>
                        <w:div w:id="736245366">
                          <w:marLeft w:val="0"/>
                          <w:marRight w:val="735"/>
                          <w:marTop w:val="0"/>
                          <w:marBottom w:val="300"/>
                          <w:divBdr>
                            <w:top w:val="none" w:sz="0" w:space="0" w:color="auto"/>
                            <w:left w:val="none" w:sz="0" w:space="0" w:color="auto"/>
                            <w:bottom w:val="none" w:sz="0" w:space="0" w:color="auto"/>
                            <w:right w:val="none" w:sz="0" w:space="0" w:color="auto"/>
                          </w:divBdr>
                        </w:div>
                      </w:divsChild>
                    </w:div>
                  </w:divsChild>
                </w:div>
              </w:divsChild>
            </w:div>
          </w:divsChild>
        </w:div>
      </w:divsChild>
    </w:div>
    <w:div w:id="725566725">
      <w:bodyDiv w:val="1"/>
      <w:marLeft w:val="0"/>
      <w:marRight w:val="0"/>
      <w:marTop w:val="0"/>
      <w:marBottom w:val="0"/>
      <w:divBdr>
        <w:top w:val="none" w:sz="0" w:space="0" w:color="auto"/>
        <w:left w:val="none" w:sz="0" w:space="0" w:color="auto"/>
        <w:bottom w:val="none" w:sz="0" w:space="0" w:color="auto"/>
        <w:right w:val="none" w:sz="0" w:space="0" w:color="auto"/>
      </w:divBdr>
    </w:div>
    <w:div w:id="753207666">
      <w:bodyDiv w:val="1"/>
      <w:marLeft w:val="0"/>
      <w:marRight w:val="0"/>
      <w:marTop w:val="0"/>
      <w:marBottom w:val="0"/>
      <w:divBdr>
        <w:top w:val="none" w:sz="0" w:space="0" w:color="auto"/>
        <w:left w:val="none" w:sz="0" w:space="0" w:color="auto"/>
        <w:bottom w:val="none" w:sz="0" w:space="0" w:color="auto"/>
        <w:right w:val="none" w:sz="0" w:space="0" w:color="auto"/>
      </w:divBdr>
    </w:div>
    <w:div w:id="759372221">
      <w:bodyDiv w:val="1"/>
      <w:marLeft w:val="0"/>
      <w:marRight w:val="0"/>
      <w:marTop w:val="0"/>
      <w:marBottom w:val="0"/>
      <w:divBdr>
        <w:top w:val="none" w:sz="0" w:space="0" w:color="auto"/>
        <w:left w:val="none" w:sz="0" w:space="0" w:color="auto"/>
        <w:bottom w:val="none" w:sz="0" w:space="0" w:color="auto"/>
        <w:right w:val="none" w:sz="0" w:space="0" w:color="auto"/>
      </w:divBdr>
    </w:div>
    <w:div w:id="798886505">
      <w:bodyDiv w:val="1"/>
      <w:marLeft w:val="0"/>
      <w:marRight w:val="0"/>
      <w:marTop w:val="0"/>
      <w:marBottom w:val="0"/>
      <w:divBdr>
        <w:top w:val="none" w:sz="0" w:space="0" w:color="auto"/>
        <w:left w:val="none" w:sz="0" w:space="0" w:color="auto"/>
        <w:bottom w:val="none" w:sz="0" w:space="0" w:color="auto"/>
        <w:right w:val="none" w:sz="0" w:space="0" w:color="auto"/>
      </w:divBdr>
    </w:div>
    <w:div w:id="898787079">
      <w:bodyDiv w:val="1"/>
      <w:marLeft w:val="0"/>
      <w:marRight w:val="0"/>
      <w:marTop w:val="0"/>
      <w:marBottom w:val="0"/>
      <w:divBdr>
        <w:top w:val="none" w:sz="0" w:space="0" w:color="auto"/>
        <w:left w:val="none" w:sz="0" w:space="0" w:color="auto"/>
        <w:bottom w:val="none" w:sz="0" w:space="0" w:color="auto"/>
        <w:right w:val="none" w:sz="0" w:space="0" w:color="auto"/>
      </w:divBdr>
    </w:div>
    <w:div w:id="966009507">
      <w:bodyDiv w:val="1"/>
      <w:marLeft w:val="0"/>
      <w:marRight w:val="0"/>
      <w:marTop w:val="0"/>
      <w:marBottom w:val="0"/>
      <w:divBdr>
        <w:top w:val="none" w:sz="0" w:space="0" w:color="auto"/>
        <w:left w:val="none" w:sz="0" w:space="0" w:color="auto"/>
        <w:bottom w:val="none" w:sz="0" w:space="0" w:color="auto"/>
        <w:right w:val="none" w:sz="0" w:space="0" w:color="auto"/>
      </w:divBdr>
    </w:div>
    <w:div w:id="995062566">
      <w:bodyDiv w:val="1"/>
      <w:marLeft w:val="0"/>
      <w:marRight w:val="0"/>
      <w:marTop w:val="0"/>
      <w:marBottom w:val="0"/>
      <w:divBdr>
        <w:top w:val="none" w:sz="0" w:space="0" w:color="auto"/>
        <w:left w:val="none" w:sz="0" w:space="0" w:color="auto"/>
        <w:bottom w:val="none" w:sz="0" w:space="0" w:color="auto"/>
        <w:right w:val="none" w:sz="0" w:space="0" w:color="auto"/>
      </w:divBdr>
    </w:div>
    <w:div w:id="1037000453">
      <w:bodyDiv w:val="1"/>
      <w:marLeft w:val="0"/>
      <w:marRight w:val="0"/>
      <w:marTop w:val="0"/>
      <w:marBottom w:val="0"/>
      <w:divBdr>
        <w:top w:val="none" w:sz="0" w:space="0" w:color="auto"/>
        <w:left w:val="none" w:sz="0" w:space="0" w:color="auto"/>
        <w:bottom w:val="none" w:sz="0" w:space="0" w:color="auto"/>
        <w:right w:val="none" w:sz="0" w:space="0" w:color="auto"/>
      </w:divBdr>
    </w:div>
    <w:div w:id="1095706802">
      <w:bodyDiv w:val="1"/>
      <w:marLeft w:val="0"/>
      <w:marRight w:val="0"/>
      <w:marTop w:val="0"/>
      <w:marBottom w:val="0"/>
      <w:divBdr>
        <w:top w:val="none" w:sz="0" w:space="0" w:color="auto"/>
        <w:left w:val="none" w:sz="0" w:space="0" w:color="auto"/>
        <w:bottom w:val="none" w:sz="0" w:space="0" w:color="auto"/>
        <w:right w:val="none" w:sz="0" w:space="0" w:color="auto"/>
      </w:divBdr>
    </w:div>
    <w:div w:id="1283347093">
      <w:bodyDiv w:val="1"/>
      <w:marLeft w:val="0"/>
      <w:marRight w:val="0"/>
      <w:marTop w:val="0"/>
      <w:marBottom w:val="0"/>
      <w:divBdr>
        <w:top w:val="none" w:sz="0" w:space="0" w:color="auto"/>
        <w:left w:val="none" w:sz="0" w:space="0" w:color="auto"/>
        <w:bottom w:val="none" w:sz="0" w:space="0" w:color="auto"/>
        <w:right w:val="none" w:sz="0" w:space="0" w:color="auto"/>
      </w:divBdr>
    </w:div>
    <w:div w:id="1287586945">
      <w:bodyDiv w:val="1"/>
      <w:marLeft w:val="0"/>
      <w:marRight w:val="0"/>
      <w:marTop w:val="0"/>
      <w:marBottom w:val="0"/>
      <w:divBdr>
        <w:top w:val="none" w:sz="0" w:space="0" w:color="auto"/>
        <w:left w:val="none" w:sz="0" w:space="0" w:color="auto"/>
        <w:bottom w:val="none" w:sz="0" w:space="0" w:color="auto"/>
        <w:right w:val="none" w:sz="0" w:space="0" w:color="auto"/>
      </w:divBdr>
    </w:div>
    <w:div w:id="1321808725">
      <w:bodyDiv w:val="1"/>
      <w:marLeft w:val="0"/>
      <w:marRight w:val="0"/>
      <w:marTop w:val="0"/>
      <w:marBottom w:val="0"/>
      <w:divBdr>
        <w:top w:val="none" w:sz="0" w:space="0" w:color="auto"/>
        <w:left w:val="none" w:sz="0" w:space="0" w:color="auto"/>
        <w:bottom w:val="none" w:sz="0" w:space="0" w:color="auto"/>
        <w:right w:val="none" w:sz="0" w:space="0" w:color="auto"/>
      </w:divBdr>
    </w:div>
    <w:div w:id="1340766221">
      <w:bodyDiv w:val="1"/>
      <w:marLeft w:val="0"/>
      <w:marRight w:val="0"/>
      <w:marTop w:val="0"/>
      <w:marBottom w:val="0"/>
      <w:divBdr>
        <w:top w:val="none" w:sz="0" w:space="0" w:color="auto"/>
        <w:left w:val="none" w:sz="0" w:space="0" w:color="auto"/>
        <w:bottom w:val="none" w:sz="0" w:space="0" w:color="auto"/>
        <w:right w:val="none" w:sz="0" w:space="0" w:color="auto"/>
      </w:divBdr>
    </w:div>
    <w:div w:id="1342393544">
      <w:bodyDiv w:val="1"/>
      <w:marLeft w:val="0"/>
      <w:marRight w:val="0"/>
      <w:marTop w:val="0"/>
      <w:marBottom w:val="0"/>
      <w:divBdr>
        <w:top w:val="none" w:sz="0" w:space="0" w:color="auto"/>
        <w:left w:val="none" w:sz="0" w:space="0" w:color="auto"/>
        <w:bottom w:val="none" w:sz="0" w:space="0" w:color="auto"/>
        <w:right w:val="none" w:sz="0" w:space="0" w:color="auto"/>
      </w:divBdr>
    </w:div>
    <w:div w:id="1348487955">
      <w:bodyDiv w:val="1"/>
      <w:marLeft w:val="0"/>
      <w:marRight w:val="0"/>
      <w:marTop w:val="0"/>
      <w:marBottom w:val="0"/>
      <w:divBdr>
        <w:top w:val="none" w:sz="0" w:space="0" w:color="auto"/>
        <w:left w:val="none" w:sz="0" w:space="0" w:color="auto"/>
        <w:bottom w:val="none" w:sz="0" w:space="0" w:color="auto"/>
        <w:right w:val="none" w:sz="0" w:space="0" w:color="auto"/>
      </w:divBdr>
    </w:div>
    <w:div w:id="1375815313">
      <w:bodyDiv w:val="1"/>
      <w:marLeft w:val="0"/>
      <w:marRight w:val="0"/>
      <w:marTop w:val="0"/>
      <w:marBottom w:val="0"/>
      <w:divBdr>
        <w:top w:val="none" w:sz="0" w:space="0" w:color="auto"/>
        <w:left w:val="none" w:sz="0" w:space="0" w:color="auto"/>
        <w:bottom w:val="none" w:sz="0" w:space="0" w:color="auto"/>
        <w:right w:val="none" w:sz="0" w:space="0" w:color="auto"/>
      </w:divBdr>
    </w:div>
    <w:div w:id="1382944361">
      <w:bodyDiv w:val="1"/>
      <w:marLeft w:val="0"/>
      <w:marRight w:val="0"/>
      <w:marTop w:val="0"/>
      <w:marBottom w:val="0"/>
      <w:divBdr>
        <w:top w:val="none" w:sz="0" w:space="0" w:color="auto"/>
        <w:left w:val="none" w:sz="0" w:space="0" w:color="auto"/>
        <w:bottom w:val="none" w:sz="0" w:space="0" w:color="auto"/>
        <w:right w:val="none" w:sz="0" w:space="0" w:color="auto"/>
      </w:divBdr>
    </w:div>
    <w:div w:id="1444036780">
      <w:bodyDiv w:val="1"/>
      <w:marLeft w:val="0"/>
      <w:marRight w:val="0"/>
      <w:marTop w:val="0"/>
      <w:marBottom w:val="0"/>
      <w:divBdr>
        <w:top w:val="none" w:sz="0" w:space="0" w:color="auto"/>
        <w:left w:val="none" w:sz="0" w:space="0" w:color="auto"/>
        <w:bottom w:val="none" w:sz="0" w:space="0" w:color="auto"/>
        <w:right w:val="none" w:sz="0" w:space="0" w:color="auto"/>
      </w:divBdr>
    </w:div>
    <w:div w:id="1445228207">
      <w:bodyDiv w:val="1"/>
      <w:marLeft w:val="0"/>
      <w:marRight w:val="0"/>
      <w:marTop w:val="0"/>
      <w:marBottom w:val="0"/>
      <w:divBdr>
        <w:top w:val="none" w:sz="0" w:space="0" w:color="auto"/>
        <w:left w:val="none" w:sz="0" w:space="0" w:color="auto"/>
        <w:bottom w:val="none" w:sz="0" w:space="0" w:color="auto"/>
        <w:right w:val="none" w:sz="0" w:space="0" w:color="auto"/>
      </w:divBdr>
    </w:div>
    <w:div w:id="1498812429">
      <w:bodyDiv w:val="1"/>
      <w:marLeft w:val="0"/>
      <w:marRight w:val="0"/>
      <w:marTop w:val="0"/>
      <w:marBottom w:val="0"/>
      <w:divBdr>
        <w:top w:val="none" w:sz="0" w:space="0" w:color="auto"/>
        <w:left w:val="none" w:sz="0" w:space="0" w:color="auto"/>
        <w:bottom w:val="none" w:sz="0" w:space="0" w:color="auto"/>
        <w:right w:val="none" w:sz="0" w:space="0" w:color="auto"/>
      </w:divBdr>
      <w:divsChild>
        <w:div w:id="1410158249">
          <w:marLeft w:val="0"/>
          <w:marRight w:val="0"/>
          <w:marTop w:val="0"/>
          <w:marBottom w:val="0"/>
          <w:divBdr>
            <w:top w:val="none" w:sz="0" w:space="0" w:color="auto"/>
            <w:left w:val="none" w:sz="0" w:space="0" w:color="auto"/>
            <w:bottom w:val="none" w:sz="0" w:space="0" w:color="auto"/>
            <w:right w:val="none" w:sz="0" w:space="0" w:color="auto"/>
          </w:divBdr>
          <w:divsChild>
            <w:div w:id="1323460567">
              <w:marLeft w:val="0"/>
              <w:marRight w:val="0"/>
              <w:marTop w:val="0"/>
              <w:marBottom w:val="0"/>
              <w:divBdr>
                <w:top w:val="none" w:sz="0" w:space="0" w:color="auto"/>
                <w:left w:val="none" w:sz="0" w:space="0" w:color="auto"/>
                <w:bottom w:val="none" w:sz="0" w:space="0" w:color="auto"/>
                <w:right w:val="none" w:sz="0" w:space="0" w:color="auto"/>
              </w:divBdr>
              <w:divsChild>
                <w:div w:id="1098211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8178199">
      <w:bodyDiv w:val="1"/>
      <w:marLeft w:val="0"/>
      <w:marRight w:val="0"/>
      <w:marTop w:val="0"/>
      <w:marBottom w:val="0"/>
      <w:divBdr>
        <w:top w:val="none" w:sz="0" w:space="0" w:color="auto"/>
        <w:left w:val="none" w:sz="0" w:space="0" w:color="auto"/>
        <w:bottom w:val="none" w:sz="0" w:space="0" w:color="auto"/>
        <w:right w:val="none" w:sz="0" w:space="0" w:color="auto"/>
      </w:divBdr>
      <w:divsChild>
        <w:div w:id="807550729">
          <w:marLeft w:val="0"/>
          <w:marRight w:val="0"/>
          <w:marTop w:val="0"/>
          <w:marBottom w:val="0"/>
          <w:divBdr>
            <w:top w:val="none" w:sz="0" w:space="0" w:color="auto"/>
            <w:left w:val="none" w:sz="0" w:space="0" w:color="auto"/>
            <w:bottom w:val="none" w:sz="0" w:space="0" w:color="auto"/>
            <w:right w:val="none" w:sz="0" w:space="0" w:color="auto"/>
          </w:divBdr>
          <w:divsChild>
            <w:div w:id="370114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1042643">
      <w:bodyDiv w:val="1"/>
      <w:marLeft w:val="0"/>
      <w:marRight w:val="0"/>
      <w:marTop w:val="0"/>
      <w:marBottom w:val="0"/>
      <w:divBdr>
        <w:top w:val="none" w:sz="0" w:space="0" w:color="auto"/>
        <w:left w:val="none" w:sz="0" w:space="0" w:color="auto"/>
        <w:bottom w:val="none" w:sz="0" w:space="0" w:color="auto"/>
        <w:right w:val="none" w:sz="0" w:space="0" w:color="auto"/>
      </w:divBdr>
    </w:div>
    <w:div w:id="1544712581">
      <w:bodyDiv w:val="1"/>
      <w:marLeft w:val="0"/>
      <w:marRight w:val="0"/>
      <w:marTop w:val="0"/>
      <w:marBottom w:val="0"/>
      <w:divBdr>
        <w:top w:val="none" w:sz="0" w:space="0" w:color="auto"/>
        <w:left w:val="none" w:sz="0" w:space="0" w:color="auto"/>
        <w:bottom w:val="none" w:sz="0" w:space="0" w:color="auto"/>
        <w:right w:val="none" w:sz="0" w:space="0" w:color="auto"/>
      </w:divBdr>
      <w:divsChild>
        <w:div w:id="501437868">
          <w:marLeft w:val="0"/>
          <w:marRight w:val="0"/>
          <w:marTop w:val="0"/>
          <w:marBottom w:val="0"/>
          <w:divBdr>
            <w:top w:val="none" w:sz="0" w:space="0" w:color="auto"/>
            <w:left w:val="none" w:sz="0" w:space="0" w:color="auto"/>
            <w:bottom w:val="none" w:sz="0" w:space="0" w:color="auto"/>
            <w:right w:val="none" w:sz="0" w:space="0" w:color="auto"/>
          </w:divBdr>
          <w:divsChild>
            <w:div w:id="1260943579">
              <w:marLeft w:val="0"/>
              <w:marRight w:val="0"/>
              <w:marTop w:val="0"/>
              <w:marBottom w:val="0"/>
              <w:divBdr>
                <w:top w:val="none" w:sz="0" w:space="0" w:color="auto"/>
                <w:left w:val="none" w:sz="0" w:space="0" w:color="auto"/>
                <w:bottom w:val="none" w:sz="0" w:space="0" w:color="auto"/>
                <w:right w:val="none" w:sz="0" w:space="0" w:color="auto"/>
              </w:divBdr>
              <w:divsChild>
                <w:div w:id="2066442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6711768">
      <w:bodyDiv w:val="1"/>
      <w:marLeft w:val="0"/>
      <w:marRight w:val="0"/>
      <w:marTop w:val="0"/>
      <w:marBottom w:val="0"/>
      <w:divBdr>
        <w:top w:val="none" w:sz="0" w:space="0" w:color="auto"/>
        <w:left w:val="none" w:sz="0" w:space="0" w:color="auto"/>
        <w:bottom w:val="none" w:sz="0" w:space="0" w:color="auto"/>
        <w:right w:val="none" w:sz="0" w:space="0" w:color="auto"/>
      </w:divBdr>
    </w:div>
    <w:div w:id="1774014152">
      <w:bodyDiv w:val="1"/>
      <w:marLeft w:val="0"/>
      <w:marRight w:val="0"/>
      <w:marTop w:val="0"/>
      <w:marBottom w:val="0"/>
      <w:divBdr>
        <w:top w:val="none" w:sz="0" w:space="0" w:color="auto"/>
        <w:left w:val="none" w:sz="0" w:space="0" w:color="auto"/>
        <w:bottom w:val="none" w:sz="0" w:space="0" w:color="auto"/>
        <w:right w:val="none" w:sz="0" w:space="0" w:color="auto"/>
      </w:divBdr>
    </w:div>
    <w:div w:id="1900701327">
      <w:bodyDiv w:val="1"/>
      <w:marLeft w:val="0"/>
      <w:marRight w:val="0"/>
      <w:marTop w:val="0"/>
      <w:marBottom w:val="0"/>
      <w:divBdr>
        <w:top w:val="none" w:sz="0" w:space="0" w:color="auto"/>
        <w:left w:val="none" w:sz="0" w:space="0" w:color="auto"/>
        <w:bottom w:val="none" w:sz="0" w:space="0" w:color="auto"/>
        <w:right w:val="none" w:sz="0" w:space="0" w:color="auto"/>
      </w:divBdr>
    </w:div>
    <w:div w:id="1905413727">
      <w:bodyDiv w:val="1"/>
      <w:marLeft w:val="0"/>
      <w:marRight w:val="0"/>
      <w:marTop w:val="0"/>
      <w:marBottom w:val="0"/>
      <w:divBdr>
        <w:top w:val="none" w:sz="0" w:space="0" w:color="auto"/>
        <w:left w:val="none" w:sz="0" w:space="0" w:color="auto"/>
        <w:bottom w:val="none" w:sz="0" w:space="0" w:color="auto"/>
        <w:right w:val="none" w:sz="0" w:space="0" w:color="auto"/>
      </w:divBdr>
    </w:div>
    <w:div w:id="1913852762">
      <w:bodyDiv w:val="1"/>
      <w:marLeft w:val="0"/>
      <w:marRight w:val="0"/>
      <w:marTop w:val="0"/>
      <w:marBottom w:val="0"/>
      <w:divBdr>
        <w:top w:val="none" w:sz="0" w:space="0" w:color="auto"/>
        <w:left w:val="none" w:sz="0" w:space="0" w:color="auto"/>
        <w:bottom w:val="none" w:sz="0" w:space="0" w:color="auto"/>
        <w:right w:val="none" w:sz="0" w:space="0" w:color="auto"/>
      </w:divBdr>
    </w:div>
    <w:div w:id="21283490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2.png"/><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yperlink" Target="http://www.questia.com/library/1G1-267133538" TargetMode="External"/><Relationship Id="rId2" Type="http://schemas.openxmlformats.org/officeDocument/2006/relationships/numbering" Target="numbering.xml"/><Relationship Id="rId16" Type="http://schemas.openxmlformats.org/officeDocument/2006/relationships/image" Target="media/image5.jpe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image" Target="media/image4.emf"/><Relationship Id="rId10" Type="http://schemas.openxmlformats.org/officeDocument/2006/relationships/header" Target="header1.xml"/><Relationship Id="rId19"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image" Target="media/image3.emf"/></Relationships>
</file>

<file path=word/theme/theme1.xml><?xml version="1.0" encoding="utf-8"?>
<a:theme xmlns:a="http://schemas.openxmlformats.org/drawingml/2006/main" name="Office Theme">
  <a:themeElements>
    <a:clrScheme name="Abt New Branding Colors">
      <a:dk1>
        <a:sysClr val="windowText" lastClr="000000"/>
      </a:dk1>
      <a:lt1>
        <a:srgbClr val="B7C9D3"/>
      </a:lt1>
      <a:dk2>
        <a:srgbClr val="898D8D"/>
      </a:dk2>
      <a:lt2>
        <a:srgbClr val="D0D3D4"/>
      </a:lt2>
      <a:accent1>
        <a:srgbClr val="DA291C"/>
      </a:accent1>
      <a:accent2>
        <a:srgbClr val="898D8D"/>
      </a:accent2>
      <a:accent3>
        <a:srgbClr val="D0D3D4"/>
      </a:accent3>
      <a:accent4>
        <a:srgbClr val="C3C6A8"/>
      </a:accent4>
      <a:accent5>
        <a:srgbClr val="DFD1A7"/>
      </a:accent5>
      <a:accent6>
        <a:srgbClr val="E87722"/>
      </a:accent6>
      <a:hlink>
        <a:srgbClr val="0070C0"/>
      </a:hlink>
      <a:folHlink>
        <a:srgbClr val="0070C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E2149D-9BF1-4DF8-A3F8-994590FD65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72</Pages>
  <Words>29785</Words>
  <Characters>169775</Characters>
  <Application>Microsoft Office Word</Application>
  <DocSecurity>0</DocSecurity>
  <Lines>1414</Lines>
  <Paragraphs>398</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199162</CharactersWithSpaces>
  <SharedDoc>false</SharedDoc>
  <HLinks>
    <vt:vector size="18" baseType="variant">
      <vt:variant>
        <vt:i4>1507382</vt:i4>
      </vt:variant>
      <vt:variant>
        <vt:i4>14</vt:i4>
      </vt:variant>
      <vt:variant>
        <vt:i4>0</vt:i4>
      </vt:variant>
      <vt:variant>
        <vt:i4>5</vt:i4>
      </vt:variant>
      <vt:variant>
        <vt:lpwstr/>
      </vt:variant>
      <vt:variant>
        <vt:lpwstr>_Toc245919048</vt:lpwstr>
      </vt:variant>
      <vt:variant>
        <vt:i4>1507382</vt:i4>
      </vt:variant>
      <vt:variant>
        <vt:i4>8</vt:i4>
      </vt:variant>
      <vt:variant>
        <vt:i4>0</vt:i4>
      </vt:variant>
      <vt:variant>
        <vt:i4>5</vt:i4>
      </vt:variant>
      <vt:variant>
        <vt:lpwstr/>
      </vt:variant>
      <vt:variant>
        <vt:lpwstr>_Toc245919047</vt:lpwstr>
      </vt:variant>
      <vt:variant>
        <vt:i4>1507382</vt:i4>
      </vt:variant>
      <vt:variant>
        <vt:i4>2</vt:i4>
      </vt:variant>
      <vt:variant>
        <vt:i4>0</vt:i4>
      </vt:variant>
      <vt:variant>
        <vt:i4>5</vt:i4>
      </vt:variant>
      <vt:variant>
        <vt:lpwstr/>
      </vt:variant>
      <vt:variant>
        <vt:lpwstr>_Toc245919046</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2015-02-18T14:47:00Z</dcterms:created>
  <dcterms:modified xsi:type="dcterms:W3CDTF">2015-02-27T14:40:00Z</dcterms:modified>
</cp:coreProperties>
</file>