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E8C" w:rsidRPr="00AC5E8C" w:rsidRDefault="00AC5E8C" w:rsidP="00AC5E8C">
      <w:pPr>
        <w:spacing w:after="0" w:line="300" w:lineRule="atLeast"/>
        <w:jc w:val="center"/>
        <w:rPr>
          <w:rFonts w:eastAsia="Times New Roman" w:cs="Times New Roman"/>
          <w:sz w:val="36"/>
          <w:szCs w:val="36"/>
        </w:rPr>
      </w:pPr>
      <w:r w:rsidRPr="00AC5E8C">
        <w:rPr>
          <w:rFonts w:eastAsia="Times New Roman" w:cs="Times New Roman"/>
          <w:sz w:val="36"/>
          <w:szCs w:val="36"/>
        </w:rPr>
        <w:t>Analysis Plan for</w:t>
      </w:r>
    </w:p>
    <w:p w:rsidR="00AC5E8C" w:rsidRPr="00AC5E8C" w:rsidRDefault="00AC5E8C" w:rsidP="00AC5E8C">
      <w:pPr>
        <w:spacing w:after="0" w:line="300" w:lineRule="atLeast"/>
        <w:jc w:val="center"/>
        <w:rPr>
          <w:rFonts w:eastAsia="Times New Roman" w:cs="Times New Roman"/>
          <w:b/>
          <w:sz w:val="24"/>
          <w:szCs w:val="24"/>
        </w:rPr>
      </w:pPr>
      <w:r w:rsidRPr="00AC5E8C">
        <w:rPr>
          <w:rFonts w:eastAsia="Times New Roman" w:cs="Times New Roman"/>
          <w:b/>
          <w:sz w:val="24"/>
          <w:szCs w:val="24"/>
        </w:rPr>
        <w:t>Improving Adherence to ART at Reproductive and Child Health Clinics Integrating Option B+ in Tanzania</w:t>
      </w:r>
    </w:p>
    <w:p w:rsidR="00AC5E8C" w:rsidRPr="00AC5E8C" w:rsidRDefault="00AC5E8C" w:rsidP="00AC5E8C">
      <w:pPr>
        <w:autoSpaceDE w:val="0"/>
        <w:autoSpaceDN w:val="0"/>
        <w:adjustRightInd w:val="0"/>
        <w:spacing w:after="0" w:line="240" w:lineRule="auto"/>
        <w:rPr>
          <w:rFonts w:cs="Times New Roman"/>
          <w:lang w:val="en-GB"/>
        </w:rPr>
      </w:pPr>
    </w:p>
    <w:p w:rsidR="00AC5E8C" w:rsidRPr="00AC5E8C" w:rsidRDefault="00AC5E8C" w:rsidP="00AC5E8C">
      <w:pPr>
        <w:autoSpaceDE w:val="0"/>
        <w:autoSpaceDN w:val="0"/>
        <w:adjustRightInd w:val="0"/>
        <w:spacing w:after="0" w:line="240" w:lineRule="auto"/>
        <w:rPr>
          <w:rFonts w:cs="Times New Roman"/>
          <w:lang w:val="en-GB"/>
        </w:rPr>
      </w:pPr>
    </w:p>
    <w:p w:rsidR="00AC5E8C" w:rsidRPr="00AC5E8C" w:rsidRDefault="00AC5E8C" w:rsidP="00AC5E8C">
      <w:pPr>
        <w:autoSpaceDE w:val="0"/>
        <w:autoSpaceDN w:val="0"/>
        <w:adjustRightInd w:val="0"/>
        <w:spacing w:after="0" w:line="240" w:lineRule="auto"/>
        <w:rPr>
          <w:rFonts w:cs="Times New Roman"/>
          <w:lang w:val="en-GB"/>
        </w:rPr>
      </w:pPr>
    </w:p>
    <w:p w:rsidR="00AC5E8C" w:rsidRPr="00AC5E8C" w:rsidRDefault="00AC5E8C" w:rsidP="00AC5E8C">
      <w:pPr>
        <w:autoSpaceDE w:val="0"/>
        <w:autoSpaceDN w:val="0"/>
        <w:adjustRightInd w:val="0"/>
        <w:spacing w:after="0" w:line="240" w:lineRule="auto"/>
        <w:rPr>
          <w:rFonts w:cs="Times New Roman"/>
          <w:lang w:val="en-GB"/>
        </w:rPr>
      </w:pPr>
      <w:r w:rsidRPr="00AC5E8C">
        <w:rPr>
          <w:rFonts w:cs="Times New Roman"/>
          <w:lang w:val="en-GB"/>
        </w:rPr>
        <w:t xml:space="preserve">Our main analytic method will be </w:t>
      </w:r>
      <w:r w:rsidRPr="00AC5E8C">
        <w:rPr>
          <w:rFonts w:cs="Times New Roman"/>
          <w:u w:val="single"/>
          <w:lang w:val="en-GB"/>
        </w:rPr>
        <w:t>interrupted time series (ITS) with comparison series analysis</w:t>
      </w:r>
      <w:r w:rsidRPr="00AC5E8C">
        <w:rPr>
          <w:rFonts w:cs="Times New Roman"/>
          <w:lang w:val="en-GB"/>
        </w:rPr>
        <w:t>,</w:t>
      </w:r>
      <w:bookmarkStart w:id="0" w:name="_Ref398372793"/>
      <w:r w:rsidRPr="00AC5E8C">
        <w:rPr>
          <w:rFonts w:cs="Times New Roman"/>
          <w:vertAlign w:val="superscript"/>
          <w:lang w:val="en-GB"/>
        </w:rPr>
        <w:footnoteReference w:id="1"/>
      </w:r>
      <w:bookmarkEnd w:id="0"/>
      <w:r w:rsidRPr="00AC5E8C">
        <w:rPr>
          <w:rFonts w:cs="Times New Roman"/>
          <w:vertAlign w:val="superscript"/>
          <w:lang w:val="en-GB"/>
        </w:rPr>
        <w:t>,</w:t>
      </w:r>
      <w:r w:rsidRPr="00AC5E8C">
        <w:rPr>
          <w:rFonts w:cs="Times New Roman"/>
          <w:vertAlign w:val="superscript"/>
          <w:lang w:val="en-GB"/>
        </w:rPr>
        <w:footnoteReference w:id="2"/>
      </w:r>
      <w:r w:rsidRPr="00AC5E8C">
        <w:rPr>
          <w:rFonts w:cs="Times New Roman"/>
          <w:lang w:val="en-GB"/>
        </w:rPr>
        <w:t xml:space="preserve"> comparing changes in clinic attendance and medication adherence in the intervention and control groups from 1</w:t>
      </w:r>
      <w:r w:rsidR="0087174E">
        <w:rPr>
          <w:rFonts w:cs="Times New Roman"/>
          <w:lang w:val="en-GB"/>
        </w:rPr>
        <w:t>2</w:t>
      </w:r>
      <w:r w:rsidRPr="00AC5E8C">
        <w:rPr>
          <w:rFonts w:cs="Times New Roman"/>
          <w:lang w:val="en-GB"/>
        </w:rPr>
        <w:t xml:space="preserve"> months before to 7 months after initial intervention implementation. We will use both aggregate and individual level ITS models.</w:t>
      </w:r>
      <w:r w:rsidRPr="00AC5E8C">
        <w:rPr>
          <w:rFonts w:cs="Times New Roman"/>
          <w:vertAlign w:val="superscript"/>
          <w:lang w:val="en-GB"/>
        </w:rPr>
        <w:fldChar w:fldCharType="begin"/>
      </w:r>
      <w:r w:rsidRPr="00AC5E8C">
        <w:rPr>
          <w:rFonts w:cs="Times New Roman"/>
          <w:vertAlign w:val="superscript"/>
          <w:lang w:val="en-GB"/>
        </w:rPr>
        <w:instrText xml:space="preserve"> NOTEREF _Ref398372793 \h  \* MERGEFORMAT </w:instrText>
      </w:r>
      <w:r w:rsidRPr="00AC5E8C">
        <w:rPr>
          <w:rFonts w:cs="Times New Roman"/>
          <w:vertAlign w:val="superscript"/>
          <w:lang w:val="en-GB"/>
        </w:rPr>
      </w:r>
      <w:r w:rsidRPr="00AC5E8C">
        <w:rPr>
          <w:rFonts w:cs="Times New Roman"/>
          <w:vertAlign w:val="superscript"/>
          <w:lang w:val="en-GB"/>
        </w:rPr>
        <w:fldChar w:fldCharType="separate"/>
      </w:r>
      <w:r w:rsidRPr="00AC5E8C">
        <w:rPr>
          <w:rFonts w:cs="Times New Roman"/>
          <w:vertAlign w:val="superscript"/>
          <w:lang w:val="en-GB"/>
        </w:rPr>
        <w:t>7</w:t>
      </w:r>
      <w:r w:rsidRPr="00AC5E8C">
        <w:rPr>
          <w:rFonts w:cs="Times New Roman"/>
          <w:vertAlign w:val="superscript"/>
          <w:lang w:val="en-GB"/>
        </w:rPr>
        <w:fldChar w:fldCharType="end"/>
      </w:r>
      <w:r w:rsidRPr="00AC5E8C">
        <w:rPr>
          <w:rFonts w:cs="Times New Roman"/>
          <w:vertAlign w:val="superscript"/>
          <w:lang w:val="en-GB"/>
        </w:rPr>
        <w:t>,</w:t>
      </w:r>
      <w:r w:rsidRPr="00AC5E8C">
        <w:rPr>
          <w:rFonts w:cs="Times New Roman"/>
          <w:vertAlign w:val="superscript"/>
          <w:lang w:val="en-GB"/>
        </w:rPr>
        <w:footnoteReference w:id="3"/>
      </w:r>
      <w:r w:rsidRPr="00AC5E8C">
        <w:rPr>
          <w:rFonts w:cs="Times New Roman"/>
          <w:lang w:val="en-GB"/>
        </w:rPr>
        <w:t xml:space="preserve"> To evaluate changes in time until gaps in clinic attendance and time until loss to follow-up, we will use </w:t>
      </w:r>
      <w:r w:rsidRPr="00AC5E8C">
        <w:rPr>
          <w:rFonts w:cs="Times New Roman"/>
          <w:u w:val="single"/>
          <w:lang w:val="en-GB"/>
        </w:rPr>
        <w:t xml:space="preserve">Kaplan-Meier survival curves </w:t>
      </w:r>
      <w:r w:rsidRPr="00AC5E8C">
        <w:rPr>
          <w:rFonts w:cs="Times New Roman"/>
          <w:iCs/>
          <w:u w:val="single"/>
          <w:lang w:val="en-GB"/>
        </w:rPr>
        <w:t>with accelerated failure time models</w:t>
      </w:r>
      <w:r w:rsidRPr="00AC5E8C">
        <w:rPr>
          <w:rFonts w:cs="Times New Roman"/>
          <w:lang w:val="en-GB"/>
        </w:rPr>
        <w:t>,</w:t>
      </w:r>
      <w:r w:rsidRPr="00AC5E8C">
        <w:rPr>
          <w:rFonts w:cs="Times New Roman"/>
          <w:vertAlign w:val="superscript"/>
          <w:lang w:val="en-GB"/>
        </w:rPr>
        <w:footnoteReference w:id="4"/>
      </w:r>
      <w:r w:rsidRPr="00AC5E8C">
        <w:rPr>
          <w:rFonts w:cs="Times New Roman"/>
          <w:vertAlign w:val="superscript"/>
          <w:lang w:val="en-GB"/>
        </w:rPr>
        <w:t>,</w:t>
      </w:r>
      <w:r w:rsidRPr="00AC5E8C">
        <w:rPr>
          <w:rFonts w:cs="Times New Roman"/>
          <w:vertAlign w:val="superscript"/>
          <w:lang w:val="en-GB"/>
        </w:rPr>
        <w:footnoteReference w:id="5"/>
      </w:r>
      <w:r w:rsidRPr="00AC5E8C">
        <w:rPr>
          <w:rFonts w:cs="Times New Roman"/>
          <w:lang w:val="en-GB"/>
        </w:rPr>
        <w:t xml:space="preserve"> to compare pre- and post-intervention adjusted survival curves in the intervention and control groups.</w:t>
      </w:r>
    </w:p>
    <w:p w:rsidR="00AC5E8C" w:rsidRPr="00AC5E8C" w:rsidRDefault="00AC5E8C" w:rsidP="00AC5E8C">
      <w:pPr>
        <w:autoSpaceDE w:val="0"/>
        <w:autoSpaceDN w:val="0"/>
        <w:adjustRightInd w:val="0"/>
        <w:spacing w:after="0" w:line="240" w:lineRule="auto"/>
        <w:rPr>
          <w:rFonts w:cs="Times New Roman"/>
          <w:lang w:val="en-GB"/>
        </w:rPr>
      </w:pPr>
    </w:p>
    <w:p w:rsidR="00AC5E8C" w:rsidRPr="00AC5E8C" w:rsidRDefault="00AC5E8C" w:rsidP="00AC5E8C">
      <w:pPr>
        <w:autoSpaceDE w:val="0"/>
        <w:autoSpaceDN w:val="0"/>
        <w:adjustRightInd w:val="0"/>
        <w:spacing w:after="0" w:line="240" w:lineRule="auto"/>
        <w:rPr>
          <w:rFonts w:cs="Times New Roman"/>
          <w:lang w:val="en-GB"/>
        </w:rPr>
      </w:pPr>
      <w:r w:rsidRPr="00AC5E8C">
        <w:rPr>
          <w:rFonts w:cs="Times New Roman"/>
          <w:lang w:val="en-GB"/>
        </w:rPr>
        <w:t xml:space="preserve">Random allocation of health facilities to receive the intervention is our primary strategy to increase internal validity and strengthen causal inference about intervention effects; pre-post changes in randomly assigned control facilities will represent the counterfactual, while pre-post changes in intervention facilities minus pre-post changes in control facilities will represent intervention effects. Random allocation minimizes the likelihood of selection bias as well as most other threats to internal </w:t>
      </w:r>
      <w:proofErr w:type="gramStart"/>
      <w:r w:rsidRPr="00AC5E8C">
        <w:rPr>
          <w:rFonts w:cs="Times New Roman"/>
          <w:lang w:val="en-GB"/>
        </w:rPr>
        <w:t>validity.</w:t>
      </w:r>
      <w:bookmarkStart w:id="1" w:name="_Ref398370957"/>
      <w:r w:rsidRPr="00AC5E8C">
        <w:rPr>
          <w:rFonts w:cs="Times New Roman"/>
          <w:vertAlign w:val="superscript"/>
          <w:lang w:val="en-GB"/>
        </w:rPr>
        <w:footnoteReference w:id="6"/>
      </w:r>
      <w:bookmarkEnd w:id="1"/>
      <w:r w:rsidRPr="00AC5E8C">
        <w:rPr>
          <w:rFonts w:cs="Times New Roman"/>
          <w:vertAlign w:val="superscript"/>
          <w:lang w:val="en-GB"/>
        </w:rPr>
        <w:t>,</w:t>
      </w:r>
      <w:proofErr w:type="gramEnd"/>
      <w:r w:rsidRPr="00AC5E8C">
        <w:rPr>
          <w:rFonts w:cs="Times New Roman"/>
          <w:vertAlign w:val="superscript"/>
          <w:lang w:val="en-GB"/>
        </w:rPr>
        <w:footnoteReference w:id="7"/>
      </w:r>
      <w:r w:rsidRPr="00AC5E8C">
        <w:rPr>
          <w:rFonts w:cs="Times New Roman"/>
          <w:lang w:val="en-GB"/>
        </w:rPr>
        <w:t xml:space="preserve"> By assigning facilities to district pairs, we maximize geographic separation between facilities to minimize contamination. In addition, while ITS with comparison series analyses of group-randomized clinical trials has been shown to produce results that are generally equivalent to more typical difference-in-difference analyses of randomized clinical trial designs,</w:t>
      </w:r>
      <w:r w:rsidRPr="00AC5E8C">
        <w:rPr>
          <w:rFonts w:cs="Times New Roman"/>
          <w:vertAlign w:val="superscript"/>
          <w:lang w:val="en-GB"/>
        </w:rPr>
        <w:footnoteReference w:id="8"/>
      </w:r>
      <w:r w:rsidRPr="00AC5E8C">
        <w:rPr>
          <w:rFonts w:cs="Times New Roman"/>
          <w:vertAlign w:val="superscript"/>
          <w:lang w:val="en-GB"/>
        </w:rPr>
        <w:t>,</w:t>
      </w:r>
      <w:r w:rsidRPr="00AC5E8C">
        <w:rPr>
          <w:rFonts w:cs="Times New Roman"/>
          <w:vertAlign w:val="superscript"/>
          <w:lang w:val="en-GB"/>
        </w:rPr>
        <w:footnoteReference w:id="9"/>
      </w:r>
      <w:r w:rsidRPr="00AC5E8C">
        <w:rPr>
          <w:rFonts w:cs="Times New Roman"/>
          <w:lang w:val="en-GB"/>
        </w:rPr>
        <w:t xml:space="preserve"> this type of longitudinal analysis has the additional advantage of being able to also adjust for differences in pre-intervention trends between groups, which are commonly observed in group-randomized trials with relatively small numbers of groups.</w:t>
      </w:r>
      <w:r w:rsidRPr="00AC5E8C">
        <w:rPr>
          <w:rFonts w:cs="Times New Roman"/>
          <w:vertAlign w:val="superscript"/>
          <w:lang w:val="en-GB"/>
        </w:rPr>
        <w:footnoteReference w:id="10"/>
      </w:r>
      <w:r w:rsidRPr="00AC5E8C" w:rsidDel="00FB3D46">
        <w:rPr>
          <w:rFonts w:cs="Times New Roman"/>
          <w:vertAlign w:val="superscript"/>
          <w:lang w:val="en-GB"/>
        </w:rPr>
        <w:t xml:space="preserve"> </w:t>
      </w:r>
      <w:r w:rsidRPr="00AC5E8C">
        <w:rPr>
          <w:rFonts w:cs="Times New Roman"/>
          <w:vertAlign w:val="superscript"/>
          <w:lang w:val="en-GB"/>
        </w:rPr>
        <w:t>,</w:t>
      </w:r>
      <w:r w:rsidRPr="00AC5E8C">
        <w:rPr>
          <w:rFonts w:cs="Times New Roman"/>
          <w:vertAlign w:val="superscript"/>
          <w:lang w:val="en-GB"/>
        </w:rPr>
        <w:footnoteReference w:id="11"/>
      </w:r>
      <w:r w:rsidRPr="00AC5E8C">
        <w:rPr>
          <w:rFonts w:cs="Times New Roman"/>
          <w:lang w:val="en-GB"/>
        </w:rPr>
        <w:t xml:space="preserve"> Furthermore, ITS analysis can detect dynamic effects that increase or decrease over the course of the post-intervention period, which may occur during and after the period of post-intervention supervisory visits. Similarly, segmented survival models of time until gaps in clinical attendance and dropout can </w:t>
      </w:r>
      <w:r w:rsidRPr="00AC5E8C">
        <w:rPr>
          <w:rFonts w:cs="Times New Roman"/>
          <w:lang w:val="en-GB"/>
        </w:rPr>
        <w:lastRenderedPageBreak/>
        <w:t xml:space="preserve">establish the equivalence of the baseline hazard functions in the intervention and control groups prior to the intervention and compare changes in hazard functions between groups post intervention (see Figures </w:t>
      </w:r>
      <w:r w:rsidR="00DE2301">
        <w:rPr>
          <w:rFonts w:cs="Times New Roman"/>
          <w:lang w:val="en-GB"/>
        </w:rPr>
        <w:t>1</w:t>
      </w:r>
      <w:r w:rsidRPr="00AC5E8C">
        <w:rPr>
          <w:rFonts w:cs="Times New Roman"/>
          <w:lang w:val="en-GB"/>
        </w:rPr>
        <w:t xml:space="preserve"> and </w:t>
      </w:r>
      <w:r w:rsidR="00DE2301">
        <w:rPr>
          <w:rFonts w:cs="Times New Roman"/>
          <w:lang w:val="en-GB"/>
        </w:rPr>
        <w:t>2</w:t>
      </w:r>
      <w:r w:rsidRPr="00AC5E8C">
        <w:rPr>
          <w:rFonts w:cs="Times New Roman"/>
          <w:lang w:val="en-GB"/>
        </w:rPr>
        <w:t>).</w:t>
      </w:r>
    </w:p>
    <w:p w:rsidR="00AC5E8C" w:rsidRPr="00AC5E8C" w:rsidRDefault="00AC5E8C" w:rsidP="00AC5E8C">
      <w:pPr>
        <w:autoSpaceDE w:val="0"/>
        <w:autoSpaceDN w:val="0"/>
        <w:adjustRightInd w:val="0"/>
        <w:spacing w:after="0" w:line="240" w:lineRule="auto"/>
        <w:rPr>
          <w:rFonts w:cs="Times New Roman"/>
          <w:lang w:val="en-GB"/>
        </w:rPr>
      </w:pPr>
    </w:p>
    <w:p w:rsidR="00AC5E8C" w:rsidRDefault="00AC5E8C" w:rsidP="00AC5E8C">
      <w:pPr>
        <w:pStyle w:val="Default"/>
        <w:rPr>
          <w:color w:val="auto"/>
        </w:rPr>
      </w:pPr>
    </w:p>
    <w:p w:rsidR="00DE2301" w:rsidRDefault="00DE2301" w:rsidP="00AC5E8C">
      <w:pPr>
        <w:pStyle w:val="Default"/>
        <w:rPr>
          <w:color w:val="auto"/>
        </w:rPr>
      </w:pPr>
    </w:p>
    <w:p w:rsidR="00DE2301" w:rsidRPr="00AC5E8C" w:rsidRDefault="00DE2301" w:rsidP="00AC5E8C">
      <w:pPr>
        <w:pStyle w:val="Default"/>
        <w:rPr>
          <w:color w:val="auto"/>
        </w:rPr>
      </w:pPr>
      <w:r w:rsidRPr="00DE2301">
        <w:drawing>
          <wp:inline distT="0" distB="0" distL="0" distR="0" wp14:anchorId="637537F2" wp14:editId="22F0256B">
            <wp:extent cx="5943600" cy="2946818"/>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946818"/>
                    </a:xfrm>
                    <a:prstGeom prst="rect">
                      <a:avLst/>
                    </a:prstGeom>
                    <a:noFill/>
                    <a:ln>
                      <a:noFill/>
                    </a:ln>
                  </pic:spPr>
                </pic:pic>
              </a:graphicData>
            </a:graphic>
          </wp:inline>
        </w:drawing>
      </w:r>
    </w:p>
    <w:p w:rsidR="00AC5E8C" w:rsidRPr="00AC5E8C" w:rsidRDefault="00AC5E8C" w:rsidP="00AC5E8C">
      <w:pPr>
        <w:autoSpaceDE w:val="0"/>
        <w:autoSpaceDN w:val="0"/>
        <w:adjustRightInd w:val="0"/>
        <w:spacing w:after="0" w:line="240" w:lineRule="auto"/>
        <w:rPr>
          <w:rFonts w:cs="Times New Roman"/>
          <w:lang w:val="en-GB"/>
        </w:rPr>
      </w:pPr>
    </w:p>
    <w:p w:rsidR="00AC5E8C" w:rsidRPr="00AC5E8C" w:rsidRDefault="00AC5E8C" w:rsidP="00AC5E8C">
      <w:pPr>
        <w:autoSpaceDE w:val="0"/>
        <w:autoSpaceDN w:val="0"/>
        <w:adjustRightInd w:val="0"/>
        <w:spacing w:after="0" w:line="240" w:lineRule="auto"/>
        <w:rPr>
          <w:rFonts w:cs="Times New Roman"/>
          <w:lang w:val="en-GB"/>
        </w:rPr>
      </w:pPr>
      <w:r w:rsidRPr="00AC5E8C">
        <w:rPr>
          <w:rFonts w:cs="Times New Roman"/>
          <w:lang w:val="en-GB"/>
        </w:rPr>
        <w:t>All women on ART in the RCH facilities in the intervention districts will receive the intervention. Our analytic sample will include all women (up to 200) who received ART at any time during the baseline period prior to the initial assessment (including women who had discontinued ART at the time of the assessment). We will capture data on all visits by these women to the sampled health facilities during the entire study observation period. Our individual-level ITS and survival models will use data on patient demographics and clinical characteristics to adjust for differences between intervention and control groups and to accommodate changes in the study population over time.</w:t>
      </w:r>
    </w:p>
    <w:p w:rsidR="00AC5E8C" w:rsidRPr="00AC5E8C" w:rsidRDefault="00AC5E8C" w:rsidP="00AC5E8C">
      <w:pPr>
        <w:autoSpaceDE w:val="0"/>
        <w:autoSpaceDN w:val="0"/>
        <w:adjustRightInd w:val="0"/>
        <w:spacing w:after="0" w:line="240" w:lineRule="auto"/>
        <w:rPr>
          <w:rFonts w:cs="Times New Roman"/>
          <w:lang w:val="en-GB"/>
        </w:rPr>
      </w:pPr>
    </w:p>
    <w:p w:rsidR="00AC5E8C" w:rsidRPr="00AC5E8C" w:rsidRDefault="00AC5E8C" w:rsidP="00AC5E8C">
      <w:pPr>
        <w:autoSpaceDE w:val="0"/>
        <w:autoSpaceDN w:val="0"/>
        <w:adjustRightInd w:val="0"/>
        <w:spacing w:after="0" w:line="240" w:lineRule="auto"/>
        <w:rPr>
          <w:rFonts w:cs="Times New Roman"/>
          <w:lang w:val="en-GB"/>
        </w:rPr>
      </w:pPr>
      <w:r w:rsidRPr="00AC5E8C">
        <w:rPr>
          <w:rFonts w:cs="Times New Roman"/>
          <w:lang w:val="en-GB"/>
        </w:rPr>
        <w:t xml:space="preserve">Our primary outcome will be missed clinic visits on the scheduled day, as measured from data in clinic records. Secondary outcomes will include: clinic attendance within three days and seven days of scheduled date; monthly percentage of days covered by dispensed ARVs; time until occurrence of a gap in clinic attendance of 15 or more days; time until loss to follow-up, defined as no clinic contact for the previous 60 days; and retention rates, defined as no clinic visit within 60 days of a missed appointment. All outcomes will be calculated from fields related to dates of visit attendance and medications dispensed in the standardized clinic record used in both intervention and control clinics.  </w:t>
      </w:r>
    </w:p>
    <w:p w:rsidR="00AC5E8C" w:rsidRPr="00AC5E8C" w:rsidRDefault="00AC5E8C" w:rsidP="00AC5E8C">
      <w:pPr>
        <w:autoSpaceDE w:val="0"/>
        <w:autoSpaceDN w:val="0"/>
        <w:adjustRightInd w:val="0"/>
        <w:spacing w:after="0" w:line="240" w:lineRule="auto"/>
        <w:rPr>
          <w:rFonts w:cs="Times New Roman"/>
          <w:lang w:val="en-GB"/>
        </w:rPr>
      </w:pPr>
    </w:p>
    <w:p w:rsidR="00AC5E8C" w:rsidRPr="00AC5E8C" w:rsidRDefault="00AC5E8C" w:rsidP="00AC5E8C">
      <w:pPr>
        <w:autoSpaceDE w:val="0"/>
        <w:autoSpaceDN w:val="0"/>
        <w:adjustRightInd w:val="0"/>
        <w:spacing w:after="0" w:line="240" w:lineRule="auto"/>
      </w:pPr>
      <w:r w:rsidRPr="00AC5E8C">
        <w:t xml:space="preserve">To examine </w:t>
      </w:r>
      <w:r w:rsidRPr="00AC5E8C">
        <w:rPr>
          <w:rFonts w:cs="Times New Roman"/>
          <w:lang w:val="en-GB"/>
        </w:rPr>
        <w:t>unadjusted</w:t>
      </w:r>
      <w:r w:rsidRPr="00AC5E8C">
        <w:t xml:space="preserve"> changes in level and trend of use in our outcomes measured as rates (3 measuring missed visits at 1, 3 and 7 days; monthly percentage of days covered by dispensed medications)</w:t>
      </w:r>
      <w:proofErr w:type="gramStart"/>
      <w:r w:rsidRPr="00AC5E8C">
        <w:t>,</w:t>
      </w:r>
      <w:proofErr w:type="gramEnd"/>
      <w:r w:rsidRPr="00AC5E8C">
        <w:t xml:space="preserve"> we will first create monthly time series comparing intervention and control groups. We will then test the statistical significance of level or trend changes following the intervention using individual-level General Estimating Equations models, adjusting for the </w:t>
      </w:r>
      <w:r w:rsidR="00DE2301" w:rsidRPr="00AC5E8C">
        <w:t>correlation</w:t>
      </w:r>
      <w:bookmarkStart w:id="2" w:name="_GoBack"/>
      <w:bookmarkEnd w:id="2"/>
      <w:r w:rsidRPr="00AC5E8C">
        <w:t xml:space="preserve"> of different visits within patient, different patients within clinic, and first-order autocorrelation between sequential monthly measurements using the empirical sandwich estimator. Our analytic model for our primary outcome compares temporal changes in the odds of missing a visit before and after the intervention between intervention and control groups. An example of a model would be:</w:t>
      </w:r>
    </w:p>
    <w:p w:rsidR="00AC5E8C" w:rsidRPr="00AC5E8C" w:rsidRDefault="00AC5E8C" w:rsidP="00AC5E8C">
      <w:pPr>
        <w:autoSpaceDE w:val="0"/>
        <w:autoSpaceDN w:val="0"/>
        <w:adjustRightInd w:val="0"/>
        <w:spacing w:after="0" w:line="240" w:lineRule="auto"/>
      </w:pPr>
    </w:p>
    <w:p w:rsidR="00AC5E8C" w:rsidRPr="00AC5E8C" w:rsidRDefault="00AC5E8C" w:rsidP="00AC5E8C">
      <w:pPr>
        <w:spacing w:before="60" w:after="60"/>
        <w:jc w:val="center"/>
        <w:rPr>
          <w:sz w:val="20"/>
          <w:szCs w:val="20"/>
        </w:rPr>
      </w:pPr>
      <w:r w:rsidRPr="00AC5E8C">
        <w:rPr>
          <w:sz w:val="18"/>
          <w:szCs w:val="20"/>
        </w:rPr>
        <w:lastRenderedPageBreak/>
        <w:t xml:space="preserve">Missed </w:t>
      </w:r>
      <w:proofErr w:type="spellStart"/>
      <w:r w:rsidRPr="00AC5E8C">
        <w:rPr>
          <w:sz w:val="18"/>
          <w:szCs w:val="20"/>
        </w:rPr>
        <w:t>visit</w:t>
      </w:r>
      <w:r w:rsidRPr="00AC5E8C">
        <w:rPr>
          <w:sz w:val="18"/>
          <w:szCs w:val="20"/>
          <w:vertAlign w:val="subscript"/>
        </w:rPr>
        <w:t>t</w:t>
      </w:r>
      <w:proofErr w:type="spellEnd"/>
      <w:r w:rsidRPr="00AC5E8C">
        <w:rPr>
          <w:sz w:val="18"/>
          <w:szCs w:val="20"/>
        </w:rPr>
        <w:t xml:space="preserve"> = 0 + β</w:t>
      </w:r>
      <w:r w:rsidRPr="00AC5E8C">
        <w:rPr>
          <w:sz w:val="18"/>
          <w:szCs w:val="20"/>
          <w:vertAlign w:val="subscript"/>
        </w:rPr>
        <w:t>1</w:t>
      </w:r>
      <w:r w:rsidRPr="00AC5E8C">
        <w:rPr>
          <w:sz w:val="18"/>
          <w:szCs w:val="20"/>
        </w:rPr>
        <w:t>*group + β</w:t>
      </w:r>
      <w:r w:rsidRPr="00AC5E8C">
        <w:rPr>
          <w:sz w:val="18"/>
          <w:szCs w:val="20"/>
          <w:vertAlign w:val="subscript"/>
        </w:rPr>
        <w:t>2</w:t>
      </w:r>
      <w:r w:rsidRPr="00AC5E8C">
        <w:rPr>
          <w:sz w:val="18"/>
          <w:szCs w:val="20"/>
        </w:rPr>
        <w:t>*</w:t>
      </w:r>
      <w:proofErr w:type="spellStart"/>
      <w:r w:rsidRPr="00AC5E8C">
        <w:rPr>
          <w:sz w:val="18"/>
          <w:szCs w:val="20"/>
        </w:rPr>
        <w:t>month</w:t>
      </w:r>
      <w:r w:rsidRPr="00AC5E8C">
        <w:rPr>
          <w:sz w:val="18"/>
          <w:szCs w:val="20"/>
          <w:vertAlign w:val="subscript"/>
        </w:rPr>
        <w:t>t</w:t>
      </w:r>
      <w:proofErr w:type="spellEnd"/>
      <w:r w:rsidRPr="00AC5E8C">
        <w:rPr>
          <w:sz w:val="18"/>
          <w:szCs w:val="20"/>
        </w:rPr>
        <w:t xml:space="preserve"> + β</w:t>
      </w:r>
      <w:r w:rsidRPr="00AC5E8C">
        <w:rPr>
          <w:sz w:val="18"/>
          <w:szCs w:val="20"/>
          <w:vertAlign w:val="subscript"/>
        </w:rPr>
        <w:t>3</w:t>
      </w:r>
      <w:r w:rsidRPr="00AC5E8C">
        <w:rPr>
          <w:sz w:val="18"/>
          <w:szCs w:val="20"/>
        </w:rPr>
        <w:t>*period + β</w:t>
      </w:r>
      <w:r w:rsidRPr="00AC5E8C">
        <w:rPr>
          <w:sz w:val="18"/>
          <w:szCs w:val="20"/>
          <w:vertAlign w:val="subscript"/>
        </w:rPr>
        <w:t>4</w:t>
      </w:r>
      <w:r w:rsidRPr="00AC5E8C">
        <w:rPr>
          <w:sz w:val="18"/>
          <w:szCs w:val="20"/>
        </w:rPr>
        <w:t>*period*</w:t>
      </w:r>
      <w:proofErr w:type="spellStart"/>
      <w:r w:rsidRPr="00AC5E8C">
        <w:rPr>
          <w:sz w:val="18"/>
          <w:szCs w:val="20"/>
        </w:rPr>
        <w:t>month</w:t>
      </w:r>
      <w:r w:rsidRPr="00AC5E8C">
        <w:rPr>
          <w:sz w:val="18"/>
          <w:szCs w:val="20"/>
          <w:vertAlign w:val="subscript"/>
        </w:rPr>
        <w:t>t</w:t>
      </w:r>
      <w:proofErr w:type="spellEnd"/>
      <w:r w:rsidRPr="00AC5E8C">
        <w:rPr>
          <w:sz w:val="18"/>
          <w:szCs w:val="20"/>
        </w:rPr>
        <w:t xml:space="preserve"> + β</w:t>
      </w:r>
      <w:r w:rsidRPr="00AC5E8C">
        <w:rPr>
          <w:sz w:val="18"/>
          <w:szCs w:val="20"/>
          <w:vertAlign w:val="subscript"/>
        </w:rPr>
        <w:t>5-n</w:t>
      </w:r>
      <w:r w:rsidRPr="00AC5E8C">
        <w:rPr>
          <w:sz w:val="18"/>
          <w:szCs w:val="20"/>
        </w:rPr>
        <w:t xml:space="preserve">*interaction(s) with group + </w:t>
      </w:r>
      <w:proofErr w:type="gramStart"/>
      <w:r w:rsidRPr="00AC5E8C">
        <w:rPr>
          <w:sz w:val="18"/>
          <w:szCs w:val="20"/>
        </w:rPr>
        <w:t>∑(</w:t>
      </w:r>
      <w:proofErr w:type="gramEnd"/>
      <w:r w:rsidRPr="00AC5E8C">
        <w:rPr>
          <w:sz w:val="18"/>
          <w:szCs w:val="20"/>
        </w:rPr>
        <w:t>confounders)</w:t>
      </w:r>
    </w:p>
    <w:p w:rsidR="00AC5E8C" w:rsidRDefault="00AC5E8C" w:rsidP="00AC5E8C">
      <w:pPr>
        <w:autoSpaceDE w:val="0"/>
        <w:autoSpaceDN w:val="0"/>
        <w:adjustRightInd w:val="0"/>
        <w:spacing w:after="0" w:line="240" w:lineRule="auto"/>
      </w:pPr>
    </w:p>
    <w:p w:rsidR="00AC5E8C" w:rsidRPr="00AC5E8C" w:rsidRDefault="00AC5E8C" w:rsidP="00AC5E8C">
      <w:pPr>
        <w:autoSpaceDE w:val="0"/>
        <w:autoSpaceDN w:val="0"/>
        <w:adjustRightInd w:val="0"/>
        <w:spacing w:line="240" w:lineRule="auto"/>
      </w:pPr>
      <w:r>
        <w:t xml:space="preserve">In this model, </w:t>
      </w:r>
      <w:r w:rsidRPr="00D711E0">
        <w:t>β</w:t>
      </w:r>
      <w:r w:rsidRPr="00D711E0">
        <w:rPr>
          <w:vertAlign w:val="subscript"/>
        </w:rPr>
        <w:t xml:space="preserve">1 </w:t>
      </w:r>
      <w:r>
        <w:t xml:space="preserve">represents baseline differences in odds of missing appointments between groups; </w:t>
      </w:r>
      <w:r w:rsidRPr="006F152D">
        <w:t>β</w:t>
      </w:r>
      <w:r>
        <w:rPr>
          <w:vertAlign w:val="subscript"/>
        </w:rPr>
        <w:t>2</w:t>
      </w:r>
      <w:r w:rsidRPr="006F152D">
        <w:rPr>
          <w:vertAlign w:val="subscript"/>
        </w:rPr>
        <w:t xml:space="preserve"> </w:t>
      </w:r>
      <w:r>
        <w:rPr>
          <w:vertAlign w:val="subscript"/>
        </w:rPr>
        <w:t xml:space="preserve">the </w:t>
      </w:r>
      <w:r>
        <w:t xml:space="preserve">baseline trend in odds; </w:t>
      </w:r>
      <w:r w:rsidRPr="006F152D">
        <w:t>β</w:t>
      </w:r>
      <w:r>
        <w:rPr>
          <w:vertAlign w:val="subscript"/>
        </w:rPr>
        <w:t>3</w:t>
      </w:r>
      <w:r w:rsidRPr="006F152D">
        <w:rPr>
          <w:vertAlign w:val="subscript"/>
        </w:rPr>
        <w:t xml:space="preserve"> </w:t>
      </w:r>
      <w:r>
        <w:t xml:space="preserve">the post-intervention level change in odds across all study groups; </w:t>
      </w:r>
      <w:r w:rsidRPr="006F152D">
        <w:t>β</w:t>
      </w:r>
      <w:r>
        <w:rPr>
          <w:vertAlign w:val="subscript"/>
        </w:rPr>
        <w:t>4</w:t>
      </w:r>
      <w:r w:rsidRPr="006F152D">
        <w:rPr>
          <w:vertAlign w:val="subscript"/>
        </w:rPr>
        <w:t xml:space="preserve"> </w:t>
      </w:r>
      <w:r>
        <w:t xml:space="preserve">post-intervention trend change in odds in all study groups. The parameters </w:t>
      </w:r>
      <w:r w:rsidRPr="006F152D">
        <w:t>β</w:t>
      </w:r>
      <w:r>
        <w:rPr>
          <w:vertAlign w:val="subscript"/>
        </w:rPr>
        <w:t>5-n</w:t>
      </w:r>
      <w:r>
        <w:t xml:space="preserve"> represents interaction terms of interest, including of group with period and period*month; these represent the relative change in odds in </w:t>
      </w:r>
      <w:r w:rsidRPr="00AC5E8C">
        <w:t xml:space="preserve">the intervention group and thus measure the effects of the intervention.  If the interaction of group with period*month is not significant, we will drop the term, reducing the models to different-in-difference models.  In all statistical models, we will include </w:t>
      </w:r>
      <w:r w:rsidRPr="00AC5E8C">
        <w:rPr>
          <w:rFonts w:cs="Times New Roman"/>
          <w:lang w:val="en-GB"/>
        </w:rPr>
        <w:t>additional covariates to adjust for study group differences, which are common in group randomized trials. These will include: age, parity, duration of HIV infection, duration of previous treatment, WHO stage at start of treatment, CD4 count at start of treatment, and weight at start of treatment.  We will retain predictors in the model only if they are meaningful predictors (P&lt;0.10) of study outcomes.</w:t>
      </w:r>
    </w:p>
    <w:p w:rsidR="00AC5E8C" w:rsidRPr="00AC5E8C" w:rsidRDefault="00AC5E8C" w:rsidP="00AC5E8C">
      <w:pPr>
        <w:spacing w:after="0" w:line="240" w:lineRule="auto"/>
        <w:rPr>
          <w:rFonts w:eastAsiaTheme="minorEastAsia"/>
          <w:bCs/>
          <w:kern w:val="24"/>
          <w:szCs w:val="24"/>
          <w:lang w:val="en-GB"/>
        </w:rPr>
      </w:pPr>
      <w:r w:rsidRPr="00AC5E8C">
        <w:rPr>
          <w:rFonts w:eastAsiaTheme="minorEastAsia"/>
          <w:bCs/>
          <w:kern w:val="24"/>
          <w:szCs w:val="24"/>
          <w:lang w:val="en-GB"/>
        </w:rPr>
        <w:t>Our Cox proportional hazards survival models examining changes in time until gap in attendance of 15 days or dropout will be conceptually similar, examining changes in the differences in hazard ratios between study groups from before to after the intervention. We will censor all women participating in the pre-intervention analyses at the data of dropout or at the date of the intervention; all women still in treatment at the time of the intervention will participate in the post-intervention analyses, censoring at date of dropout or at the end of the study period.  We will evaluate the same array of covariates for inclusion in the models.</w:t>
      </w:r>
    </w:p>
    <w:p w:rsidR="00AC5E8C" w:rsidRPr="00AC5E8C" w:rsidRDefault="00AC5E8C" w:rsidP="00AC5E8C">
      <w:pPr>
        <w:spacing w:after="0" w:line="240" w:lineRule="auto"/>
        <w:rPr>
          <w:rFonts w:eastAsiaTheme="minorEastAsia"/>
          <w:bCs/>
          <w:kern w:val="24"/>
          <w:szCs w:val="24"/>
          <w:lang w:val="en-GB"/>
        </w:rPr>
      </w:pPr>
    </w:p>
    <w:p w:rsidR="00AC5E8C" w:rsidRPr="00AC5E8C" w:rsidRDefault="00AC5E8C" w:rsidP="00AC5E8C">
      <w:pPr>
        <w:spacing w:after="0" w:line="240" w:lineRule="auto"/>
        <w:rPr>
          <w:rFonts w:cs="Times New Roman"/>
          <w:lang w:val="en-GB"/>
        </w:rPr>
      </w:pPr>
      <w:r w:rsidRPr="00AC5E8C">
        <w:rPr>
          <w:rFonts w:cs="Times New Roman"/>
          <w:lang w:val="en-GB"/>
        </w:rPr>
        <w:t>Qualitative data will be collected by trained interviewers not connected with the intervention.  Interview material will be transcribed, coded, and checked for coding consistency using a framework of relevant themes that addressed key issues defined by our study objectives. Codes will be reviewed and grouped into categories and themes for analysis.</w:t>
      </w:r>
      <w:r w:rsidRPr="00AC5E8C">
        <w:rPr>
          <w:rFonts w:eastAsiaTheme="minorEastAsia"/>
          <w:b/>
          <w:bCs/>
          <w:kern w:val="24"/>
          <w:szCs w:val="24"/>
          <w:lang w:val="en-GB"/>
        </w:rPr>
        <w:t xml:space="preserve"> </w:t>
      </w:r>
      <w:r w:rsidRPr="00AC5E8C">
        <w:rPr>
          <w:rFonts w:cs="Times New Roman"/>
          <w:lang w:val="en-GB"/>
        </w:rPr>
        <w:t xml:space="preserve">The main themes will be perceived barriers and facilitators to clinic attendance and medication adherence; issues and challenges in implementing the appointment and community outreach systems; and successes and failures of the intervention. Additional themes will be allowed to emerge during analysis. </w:t>
      </w:r>
    </w:p>
    <w:p w:rsidR="006F2A68" w:rsidRPr="00AC5E8C" w:rsidRDefault="006F2A68"/>
    <w:sectPr w:rsidR="006F2A68" w:rsidRPr="00AC5E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A99" w:rsidRDefault="001B2A99" w:rsidP="00AC5E8C">
      <w:pPr>
        <w:spacing w:after="0" w:line="240" w:lineRule="auto"/>
      </w:pPr>
      <w:r>
        <w:separator/>
      </w:r>
    </w:p>
  </w:endnote>
  <w:endnote w:type="continuationSeparator" w:id="0">
    <w:p w:rsidR="001B2A99" w:rsidRDefault="001B2A99" w:rsidP="00AC5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A99" w:rsidRDefault="001B2A99" w:rsidP="00AC5E8C">
      <w:pPr>
        <w:spacing w:after="0" w:line="240" w:lineRule="auto"/>
      </w:pPr>
      <w:r>
        <w:separator/>
      </w:r>
    </w:p>
  </w:footnote>
  <w:footnote w:type="continuationSeparator" w:id="0">
    <w:p w:rsidR="001B2A99" w:rsidRDefault="001B2A99" w:rsidP="00AC5E8C">
      <w:pPr>
        <w:spacing w:after="0" w:line="240" w:lineRule="auto"/>
      </w:pPr>
      <w:r>
        <w:continuationSeparator/>
      </w:r>
    </w:p>
  </w:footnote>
  <w:footnote w:id="1">
    <w:p w:rsidR="00AC5E8C" w:rsidRDefault="00AC5E8C" w:rsidP="00AC5E8C">
      <w:pPr>
        <w:pStyle w:val="FootnoteText"/>
      </w:pPr>
      <w:r>
        <w:rPr>
          <w:rStyle w:val="FootnoteReference"/>
        </w:rPr>
        <w:footnoteRef/>
      </w:r>
      <w:r>
        <w:t xml:space="preserve"> </w:t>
      </w:r>
      <w:r w:rsidRPr="006A6921">
        <w:t xml:space="preserve">Wagner AK, </w:t>
      </w:r>
      <w:proofErr w:type="spellStart"/>
      <w:r w:rsidRPr="006A6921">
        <w:t>Soumerai</w:t>
      </w:r>
      <w:proofErr w:type="spellEnd"/>
      <w:r w:rsidRPr="006A6921">
        <w:t xml:space="preserve"> SB, Zhang F, Ross-Degnan D. Segmented regression analysis of interrupted time series studies in medication use research. </w:t>
      </w:r>
      <w:proofErr w:type="gramStart"/>
      <w:r w:rsidRPr="006A6921">
        <w:t xml:space="preserve">J </w:t>
      </w:r>
      <w:proofErr w:type="spellStart"/>
      <w:r w:rsidRPr="006A6921">
        <w:t>Clin</w:t>
      </w:r>
      <w:proofErr w:type="spellEnd"/>
      <w:r w:rsidRPr="006A6921">
        <w:t xml:space="preserve"> Pharm </w:t>
      </w:r>
      <w:proofErr w:type="spellStart"/>
      <w:r w:rsidRPr="006A6921">
        <w:t>Ther</w:t>
      </w:r>
      <w:proofErr w:type="spellEnd"/>
      <w:r w:rsidRPr="006A6921">
        <w:t>.</w:t>
      </w:r>
      <w:proofErr w:type="gramEnd"/>
      <w:r w:rsidRPr="006A6921">
        <w:t xml:space="preserve"> 2002 Aug; 27 (4):299-309. PMID: 12174032.</w:t>
      </w:r>
    </w:p>
  </w:footnote>
  <w:footnote w:id="2">
    <w:p w:rsidR="00AC5E8C" w:rsidRDefault="00AC5E8C" w:rsidP="00AC5E8C">
      <w:pPr>
        <w:pStyle w:val="FootnoteText"/>
      </w:pPr>
      <w:r>
        <w:rPr>
          <w:rStyle w:val="FootnoteReference"/>
        </w:rPr>
        <w:footnoteRef/>
      </w:r>
      <w:r>
        <w:t xml:space="preserve"> </w:t>
      </w:r>
      <w:proofErr w:type="gramStart"/>
      <w:r w:rsidRPr="006A6921">
        <w:t xml:space="preserve">Zhang F, Wagner AK, </w:t>
      </w:r>
      <w:proofErr w:type="spellStart"/>
      <w:r w:rsidRPr="006A6921">
        <w:t>Soumerai</w:t>
      </w:r>
      <w:proofErr w:type="spellEnd"/>
      <w:r w:rsidRPr="006A6921">
        <w:t xml:space="preserve"> SB, Ross-Degnan D. Methods for estimating confidence intervals in interrupted time series analyses of health interventions.</w:t>
      </w:r>
      <w:proofErr w:type="gramEnd"/>
      <w:r w:rsidRPr="006A6921">
        <w:t xml:space="preserve"> </w:t>
      </w:r>
      <w:proofErr w:type="gramStart"/>
      <w:r w:rsidRPr="006A6921">
        <w:t xml:space="preserve">J </w:t>
      </w:r>
      <w:proofErr w:type="spellStart"/>
      <w:r w:rsidRPr="006A6921">
        <w:t>Clin</w:t>
      </w:r>
      <w:proofErr w:type="spellEnd"/>
      <w:r w:rsidRPr="006A6921">
        <w:t xml:space="preserve"> </w:t>
      </w:r>
      <w:proofErr w:type="spellStart"/>
      <w:r w:rsidRPr="006A6921">
        <w:t>Epidemiol</w:t>
      </w:r>
      <w:proofErr w:type="spellEnd"/>
      <w:r w:rsidRPr="006A6921">
        <w:t>.</w:t>
      </w:r>
      <w:proofErr w:type="gramEnd"/>
      <w:r w:rsidRPr="006A6921">
        <w:t xml:space="preserve"> 2009 Feb; 62 (2):143-8. PMID: 19010644.</w:t>
      </w:r>
    </w:p>
  </w:footnote>
  <w:footnote w:id="3">
    <w:p w:rsidR="00AC5E8C" w:rsidRDefault="00AC5E8C" w:rsidP="00AC5E8C">
      <w:pPr>
        <w:pStyle w:val="FootnoteText"/>
      </w:pPr>
      <w:r>
        <w:rPr>
          <w:rStyle w:val="FootnoteReference"/>
        </w:rPr>
        <w:footnoteRef/>
      </w:r>
      <w:r>
        <w:t xml:space="preserve"> Kong M, </w:t>
      </w:r>
      <w:proofErr w:type="spellStart"/>
      <w:r>
        <w:t>Cambon</w:t>
      </w:r>
      <w:proofErr w:type="spellEnd"/>
      <w:r>
        <w:t xml:space="preserve"> A, Smith MJ. </w:t>
      </w:r>
      <w:proofErr w:type="gramStart"/>
      <w:r>
        <w:t>Extended Logistic Regression Model for Studies with Interrupted Events, Seasonal Trend, and Serial Correlation.</w:t>
      </w:r>
      <w:proofErr w:type="gramEnd"/>
      <w:r>
        <w:t xml:space="preserve"> </w:t>
      </w:r>
      <w:proofErr w:type="gramStart"/>
      <w:r>
        <w:t>Communication in Statistics – Theory and Methods.</w:t>
      </w:r>
      <w:proofErr w:type="gramEnd"/>
      <w:r>
        <w:t xml:space="preserve"> </w:t>
      </w:r>
      <w:proofErr w:type="gramStart"/>
      <w:r>
        <w:t>2012; 31: 3528-3543.</w:t>
      </w:r>
      <w:proofErr w:type="gramEnd"/>
    </w:p>
  </w:footnote>
  <w:footnote w:id="4">
    <w:p w:rsidR="00AC5E8C" w:rsidRDefault="00AC5E8C" w:rsidP="00AC5E8C">
      <w:pPr>
        <w:pStyle w:val="FootnoteText"/>
      </w:pPr>
      <w:r>
        <w:rPr>
          <w:rStyle w:val="FootnoteReference"/>
        </w:rPr>
        <w:footnoteRef/>
      </w:r>
      <w:r>
        <w:t xml:space="preserve"> </w:t>
      </w:r>
      <w:proofErr w:type="spellStart"/>
      <w:r w:rsidRPr="00652B27">
        <w:t>Hosmer</w:t>
      </w:r>
      <w:proofErr w:type="spellEnd"/>
      <w:r w:rsidRPr="00652B27">
        <w:t xml:space="preserve"> DW, </w:t>
      </w:r>
      <w:proofErr w:type="spellStart"/>
      <w:r w:rsidRPr="00652B27">
        <w:t>Lemeshow</w:t>
      </w:r>
      <w:proofErr w:type="spellEnd"/>
      <w:r w:rsidRPr="00652B27">
        <w:t xml:space="preserve"> S. Chapter 7. </w:t>
      </w:r>
      <w:proofErr w:type="gramStart"/>
      <w:r w:rsidRPr="00652B27">
        <w:t>Extensions of the Proportional Hazards Model.</w:t>
      </w:r>
      <w:proofErr w:type="gramEnd"/>
      <w:r w:rsidRPr="00652B27">
        <w:t xml:space="preserve"> </w:t>
      </w:r>
      <w:proofErr w:type="gramStart"/>
      <w:r w:rsidRPr="00652B27">
        <w:t>Applied Survival Analysis.</w:t>
      </w:r>
      <w:proofErr w:type="gramEnd"/>
      <w:r w:rsidRPr="00652B27">
        <w:t xml:space="preserve"> John Wiley &amp; Sons, NY: 1999.</w:t>
      </w:r>
    </w:p>
  </w:footnote>
  <w:footnote w:id="5">
    <w:p w:rsidR="00AC5E8C" w:rsidRDefault="00AC5E8C" w:rsidP="00AC5E8C">
      <w:pPr>
        <w:pStyle w:val="FootnoteText"/>
      </w:pPr>
      <w:r>
        <w:rPr>
          <w:rStyle w:val="FootnoteReference"/>
        </w:rPr>
        <w:footnoteRef/>
      </w:r>
      <w:r>
        <w:t xml:space="preserve"> </w:t>
      </w:r>
      <w:r w:rsidRPr="00652B27">
        <w:t xml:space="preserve">Wagner A, Ross-Degnan D, </w:t>
      </w:r>
      <w:proofErr w:type="spellStart"/>
      <w:r w:rsidRPr="00652B27">
        <w:t>Gurwitz</w:t>
      </w:r>
      <w:proofErr w:type="spellEnd"/>
      <w:r w:rsidRPr="00652B27">
        <w:t xml:space="preserve"> J, Zhang F, </w:t>
      </w:r>
      <w:proofErr w:type="spellStart"/>
      <w:r w:rsidRPr="00652B27">
        <w:t>Gilden</w:t>
      </w:r>
      <w:proofErr w:type="spellEnd"/>
      <w:r w:rsidRPr="00652B27">
        <w:t xml:space="preserve"> D, </w:t>
      </w:r>
      <w:proofErr w:type="spellStart"/>
      <w:r w:rsidRPr="00652B27">
        <w:t>Soumerai</w:t>
      </w:r>
      <w:proofErr w:type="spellEnd"/>
      <w:r w:rsidRPr="00652B27">
        <w:t xml:space="preserve"> S. Effect of New York state regulatory action on benzodiazepine prescribing and hip fracture rates. Annals of Internal Medicine 2007</w:t>
      </w:r>
      <w:proofErr w:type="gramStart"/>
      <w:r w:rsidRPr="00652B27">
        <w:t>;146:96</w:t>
      </w:r>
      <w:proofErr w:type="gramEnd"/>
      <w:r w:rsidRPr="00652B27">
        <w:t xml:space="preserve"> - 103.</w:t>
      </w:r>
    </w:p>
  </w:footnote>
  <w:footnote w:id="6">
    <w:p w:rsidR="00AC5E8C" w:rsidRDefault="00AC5E8C" w:rsidP="00AC5E8C">
      <w:pPr>
        <w:pStyle w:val="FootnoteText"/>
      </w:pPr>
      <w:r>
        <w:rPr>
          <w:rStyle w:val="FootnoteReference"/>
        </w:rPr>
        <w:footnoteRef/>
      </w:r>
      <w:r>
        <w:t xml:space="preserve"> </w:t>
      </w:r>
      <w:proofErr w:type="spellStart"/>
      <w:r>
        <w:t>Shadish</w:t>
      </w:r>
      <w:proofErr w:type="spellEnd"/>
      <w:r>
        <w:t>,</w:t>
      </w:r>
      <w:r w:rsidRPr="008E7EFE">
        <w:t xml:space="preserve"> Cook</w:t>
      </w:r>
      <w:r>
        <w:t xml:space="preserve"> TD,</w:t>
      </w:r>
      <w:r w:rsidRPr="008E7EFE">
        <w:t xml:space="preserve"> </w:t>
      </w:r>
      <w:proofErr w:type="spellStart"/>
      <w:r w:rsidRPr="008E7EFE">
        <w:t>Cambell</w:t>
      </w:r>
      <w:proofErr w:type="spellEnd"/>
      <w:r>
        <w:t xml:space="preserve"> DT</w:t>
      </w:r>
      <w:r w:rsidRPr="008E7EFE">
        <w:t xml:space="preserve">. </w:t>
      </w:r>
      <w:proofErr w:type="gramStart"/>
      <w:r w:rsidRPr="008E7EFE">
        <w:t>Experimental and Quasi-Experimental Designs for Gener</w:t>
      </w:r>
      <w:r>
        <w:t>alized Causal Inference.</w:t>
      </w:r>
      <w:proofErr w:type="gramEnd"/>
      <w:r>
        <w:t xml:space="preserve"> Boston;</w:t>
      </w:r>
      <w:r w:rsidRPr="008E7EFE">
        <w:t xml:space="preserve"> Houghton </w:t>
      </w:r>
      <w:proofErr w:type="gramStart"/>
      <w:r w:rsidRPr="008E7EFE">
        <w:t>Mifflin.</w:t>
      </w:r>
      <w:r>
        <w:t>:</w:t>
      </w:r>
      <w:proofErr w:type="gramEnd"/>
      <w:r>
        <w:t xml:space="preserve"> 2002.</w:t>
      </w:r>
    </w:p>
  </w:footnote>
  <w:footnote w:id="7">
    <w:p w:rsidR="00AC5E8C" w:rsidRDefault="00AC5E8C" w:rsidP="00AC5E8C">
      <w:pPr>
        <w:pStyle w:val="FootnoteText"/>
      </w:pPr>
      <w:r>
        <w:rPr>
          <w:rStyle w:val="FootnoteReference"/>
        </w:rPr>
        <w:footnoteRef/>
      </w:r>
      <w:r>
        <w:t xml:space="preserve"> </w:t>
      </w:r>
      <w:r w:rsidRPr="00575F8F">
        <w:t>Rossi</w:t>
      </w:r>
      <w:r>
        <w:t xml:space="preserve"> PH, </w:t>
      </w:r>
      <w:proofErr w:type="spellStart"/>
      <w:r w:rsidRPr="00575F8F">
        <w:t>Lipsey</w:t>
      </w:r>
      <w:proofErr w:type="spellEnd"/>
      <w:r>
        <w:t xml:space="preserve"> MW, </w:t>
      </w:r>
      <w:r w:rsidRPr="00575F8F">
        <w:t>Freeman</w:t>
      </w:r>
      <w:r>
        <w:t xml:space="preserve"> HE.</w:t>
      </w:r>
      <w:r w:rsidRPr="00575F8F">
        <w:t xml:space="preserve"> Evaluation: A Syst</w:t>
      </w:r>
      <w:r>
        <w:t xml:space="preserve">ematic Approach (7th </w:t>
      </w:r>
      <w:proofErr w:type="gramStart"/>
      <w:r>
        <w:t>ed</w:t>
      </w:r>
      <w:proofErr w:type="gramEnd"/>
      <w:r>
        <w:t>.). Los Angeles; SAGE Publications: 2004</w:t>
      </w:r>
      <w:r w:rsidRPr="00575F8F">
        <w:t>.</w:t>
      </w:r>
    </w:p>
  </w:footnote>
  <w:footnote w:id="8">
    <w:p w:rsidR="00AC5E8C" w:rsidRDefault="00AC5E8C" w:rsidP="00AC5E8C">
      <w:pPr>
        <w:pStyle w:val="FootnoteText"/>
      </w:pPr>
      <w:r>
        <w:rPr>
          <w:rStyle w:val="FootnoteReference"/>
        </w:rPr>
        <w:footnoteRef/>
      </w:r>
      <w:r>
        <w:t xml:space="preserve"> </w:t>
      </w:r>
      <w:proofErr w:type="spellStart"/>
      <w:r w:rsidRPr="00E229EF">
        <w:t>Fretheim</w:t>
      </w:r>
      <w:proofErr w:type="spellEnd"/>
      <w:r w:rsidRPr="00E229EF">
        <w:t xml:space="preserve"> A, </w:t>
      </w:r>
      <w:proofErr w:type="spellStart"/>
      <w:r w:rsidRPr="00E229EF">
        <w:t>Soumerai</w:t>
      </w:r>
      <w:proofErr w:type="spellEnd"/>
      <w:r w:rsidRPr="00E229EF">
        <w:t xml:space="preserve"> SB, Zhang F, </w:t>
      </w:r>
      <w:proofErr w:type="spellStart"/>
      <w:r w:rsidRPr="00E229EF">
        <w:t>Oxman</w:t>
      </w:r>
      <w:proofErr w:type="spellEnd"/>
      <w:r w:rsidRPr="00E229EF">
        <w:t xml:space="preserve"> AD, Ross-Degnan D. Interrupted time series analysis yielded an effect estimate concordant with the cluster-randomized controlled trial result. Journal of Clinical Epidemiology</w:t>
      </w:r>
      <w:r>
        <w:t xml:space="preserve"> </w:t>
      </w:r>
      <w:r w:rsidRPr="00E229EF">
        <w:t>2013 Aug</w:t>
      </w:r>
      <w:proofErr w:type="gramStart"/>
      <w:r w:rsidRPr="00E229EF">
        <w:t>;66</w:t>
      </w:r>
      <w:proofErr w:type="gramEnd"/>
      <w:r w:rsidRPr="00E229EF">
        <w:t xml:space="preserve">(8):883-7. </w:t>
      </w:r>
    </w:p>
  </w:footnote>
  <w:footnote w:id="9">
    <w:p w:rsidR="00AC5E8C" w:rsidRDefault="00AC5E8C" w:rsidP="00AC5E8C">
      <w:pPr>
        <w:pStyle w:val="FootnoteText"/>
      </w:pPr>
      <w:r>
        <w:rPr>
          <w:rStyle w:val="FootnoteReference"/>
        </w:rPr>
        <w:footnoteRef/>
      </w:r>
      <w:r>
        <w:t xml:space="preserve"> </w:t>
      </w:r>
      <w:proofErr w:type="spellStart"/>
      <w:r w:rsidRPr="00E229EF">
        <w:t>Fretheim</w:t>
      </w:r>
      <w:proofErr w:type="spellEnd"/>
      <w:r w:rsidRPr="00E229EF">
        <w:t xml:space="preserve"> A, Zhang F, Ross-Degnan D, </w:t>
      </w:r>
      <w:proofErr w:type="spellStart"/>
      <w:r w:rsidRPr="00E229EF">
        <w:t>Oxman</w:t>
      </w:r>
      <w:proofErr w:type="spellEnd"/>
      <w:r w:rsidRPr="00E229EF">
        <w:t xml:space="preserve"> AD, </w:t>
      </w:r>
      <w:proofErr w:type="spellStart"/>
      <w:r w:rsidRPr="00E229EF">
        <w:t>Cheyne</w:t>
      </w:r>
      <w:proofErr w:type="spellEnd"/>
      <w:r w:rsidRPr="00E229EF">
        <w:t xml:space="preserve"> H, Foy R, </w:t>
      </w:r>
      <w:proofErr w:type="spellStart"/>
      <w:r w:rsidRPr="00E229EF">
        <w:t>Goodacre</w:t>
      </w:r>
      <w:proofErr w:type="spellEnd"/>
      <w:r w:rsidRPr="00E229EF">
        <w:t xml:space="preserve"> S, Herrin J, </w:t>
      </w:r>
      <w:proofErr w:type="spellStart"/>
      <w:r w:rsidRPr="00E229EF">
        <w:t>Kerse</w:t>
      </w:r>
      <w:proofErr w:type="spellEnd"/>
      <w:r w:rsidRPr="00E229EF">
        <w:t xml:space="preserve"> N, </w:t>
      </w:r>
      <w:proofErr w:type="spellStart"/>
      <w:r w:rsidRPr="00E229EF">
        <w:t>McKinlay</w:t>
      </w:r>
      <w:proofErr w:type="spellEnd"/>
      <w:r w:rsidRPr="00E229EF">
        <w:t xml:space="preserve"> RJ, Wright A, </w:t>
      </w:r>
      <w:proofErr w:type="spellStart"/>
      <w:r w:rsidRPr="00E229EF">
        <w:t>Soumerai</w:t>
      </w:r>
      <w:proofErr w:type="spellEnd"/>
      <w:r w:rsidRPr="00E229EF">
        <w:t xml:space="preserve"> SB. Cluster Randomized Trials versus Interrupted Time-Series: A comparative study of methods for evaluating health system interventions. (in revision)</w:t>
      </w:r>
    </w:p>
  </w:footnote>
  <w:footnote w:id="10">
    <w:p w:rsidR="00AC5E8C" w:rsidRDefault="00AC5E8C" w:rsidP="00AC5E8C">
      <w:pPr>
        <w:pStyle w:val="FootnoteText"/>
      </w:pPr>
      <w:r>
        <w:rPr>
          <w:rStyle w:val="FootnoteReference"/>
        </w:rPr>
        <w:footnoteRef/>
      </w:r>
      <w:r>
        <w:t xml:space="preserve"> </w:t>
      </w:r>
      <w:r w:rsidRPr="006A6921">
        <w:t xml:space="preserve">Wagner AK, </w:t>
      </w:r>
      <w:proofErr w:type="spellStart"/>
      <w:r w:rsidRPr="006A6921">
        <w:t>Soumerai</w:t>
      </w:r>
      <w:proofErr w:type="spellEnd"/>
      <w:r w:rsidRPr="006A6921">
        <w:t xml:space="preserve"> SB, Zhang F, Ross-Degnan D. Segmented regression analysis of interrupted time series studies in medication use research. </w:t>
      </w:r>
      <w:proofErr w:type="gramStart"/>
      <w:r w:rsidRPr="006A6921">
        <w:t xml:space="preserve">J </w:t>
      </w:r>
      <w:proofErr w:type="spellStart"/>
      <w:r w:rsidRPr="006A6921">
        <w:t>Clin</w:t>
      </w:r>
      <w:proofErr w:type="spellEnd"/>
      <w:r w:rsidRPr="006A6921">
        <w:t xml:space="preserve"> Pharm </w:t>
      </w:r>
      <w:proofErr w:type="spellStart"/>
      <w:r w:rsidRPr="006A6921">
        <w:t>Ther</w:t>
      </w:r>
      <w:proofErr w:type="spellEnd"/>
      <w:r w:rsidRPr="006A6921">
        <w:t>.</w:t>
      </w:r>
      <w:proofErr w:type="gramEnd"/>
      <w:r w:rsidRPr="006A6921">
        <w:t xml:space="preserve"> 2002 Aug; 27 (4):299-309. PMID: 12174032</w:t>
      </w:r>
      <w:r>
        <w:t>.</w:t>
      </w:r>
    </w:p>
  </w:footnote>
  <w:footnote w:id="11">
    <w:p w:rsidR="00AC5E8C" w:rsidRDefault="00AC5E8C" w:rsidP="00AC5E8C">
      <w:pPr>
        <w:pStyle w:val="FootnoteText"/>
      </w:pPr>
      <w:r>
        <w:rPr>
          <w:rStyle w:val="FootnoteReference"/>
        </w:rPr>
        <w:footnoteRef/>
      </w:r>
      <w:r>
        <w:t xml:space="preserve"> </w:t>
      </w:r>
      <w:r w:rsidRPr="008E7EFE">
        <w:t>Cook TD, Campbell, DT. Quasi-Experimentation: Design and Analysis Issues for Field Settings. Boston: Houghton Mifflin; 1979.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E8C"/>
    <w:rsid w:val="00000284"/>
    <w:rsid w:val="00000B35"/>
    <w:rsid w:val="000018C4"/>
    <w:rsid w:val="0000277E"/>
    <w:rsid w:val="00005643"/>
    <w:rsid w:val="00006834"/>
    <w:rsid w:val="00006A33"/>
    <w:rsid w:val="00006F13"/>
    <w:rsid w:val="00007201"/>
    <w:rsid w:val="00007AAC"/>
    <w:rsid w:val="00011969"/>
    <w:rsid w:val="0001292E"/>
    <w:rsid w:val="000157DB"/>
    <w:rsid w:val="000174F3"/>
    <w:rsid w:val="00020157"/>
    <w:rsid w:val="00020AE3"/>
    <w:rsid w:val="00022309"/>
    <w:rsid w:val="00022AE1"/>
    <w:rsid w:val="00023CCB"/>
    <w:rsid w:val="000247DF"/>
    <w:rsid w:val="00030401"/>
    <w:rsid w:val="00033AF7"/>
    <w:rsid w:val="000350E1"/>
    <w:rsid w:val="000352A9"/>
    <w:rsid w:val="000354B0"/>
    <w:rsid w:val="000359CD"/>
    <w:rsid w:val="00037BD9"/>
    <w:rsid w:val="00041910"/>
    <w:rsid w:val="00042F6F"/>
    <w:rsid w:val="00043683"/>
    <w:rsid w:val="00044386"/>
    <w:rsid w:val="0004473C"/>
    <w:rsid w:val="00045356"/>
    <w:rsid w:val="000503C9"/>
    <w:rsid w:val="00051266"/>
    <w:rsid w:val="000532E1"/>
    <w:rsid w:val="00053551"/>
    <w:rsid w:val="00053B46"/>
    <w:rsid w:val="00053C4A"/>
    <w:rsid w:val="00053CDD"/>
    <w:rsid w:val="00053D40"/>
    <w:rsid w:val="00053D9B"/>
    <w:rsid w:val="00055B67"/>
    <w:rsid w:val="00056DBA"/>
    <w:rsid w:val="00057E63"/>
    <w:rsid w:val="000628CB"/>
    <w:rsid w:val="00063DF5"/>
    <w:rsid w:val="00065057"/>
    <w:rsid w:val="00065500"/>
    <w:rsid w:val="000666F5"/>
    <w:rsid w:val="000676A6"/>
    <w:rsid w:val="0007019E"/>
    <w:rsid w:val="00070EA7"/>
    <w:rsid w:val="00071A9C"/>
    <w:rsid w:val="00071DA6"/>
    <w:rsid w:val="00071DB2"/>
    <w:rsid w:val="000724BC"/>
    <w:rsid w:val="00073645"/>
    <w:rsid w:val="000738E7"/>
    <w:rsid w:val="00073D51"/>
    <w:rsid w:val="00074CA9"/>
    <w:rsid w:val="0007561B"/>
    <w:rsid w:val="00076D8C"/>
    <w:rsid w:val="0007778B"/>
    <w:rsid w:val="000777AD"/>
    <w:rsid w:val="000833A1"/>
    <w:rsid w:val="00085DAD"/>
    <w:rsid w:val="00086592"/>
    <w:rsid w:val="0009063C"/>
    <w:rsid w:val="0009089C"/>
    <w:rsid w:val="0009104D"/>
    <w:rsid w:val="00091D01"/>
    <w:rsid w:val="00092308"/>
    <w:rsid w:val="00092E82"/>
    <w:rsid w:val="00094C24"/>
    <w:rsid w:val="00096338"/>
    <w:rsid w:val="00097169"/>
    <w:rsid w:val="000975E9"/>
    <w:rsid w:val="000A0376"/>
    <w:rsid w:val="000A15B7"/>
    <w:rsid w:val="000A210D"/>
    <w:rsid w:val="000A5671"/>
    <w:rsid w:val="000A5C9E"/>
    <w:rsid w:val="000A5F7B"/>
    <w:rsid w:val="000A6FC9"/>
    <w:rsid w:val="000A7B0F"/>
    <w:rsid w:val="000A7D32"/>
    <w:rsid w:val="000B0A78"/>
    <w:rsid w:val="000B1209"/>
    <w:rsid w:val="000B1566"/>
    <w:rsid w:val="000B1B4C"/>
    <w:rsid w:val="000B2746"/>
    <w:rsid w:val="000B3C53"/>
    <w:rsid w:val="000B45BB"/>
    <w:rsid w:val="000B49AE"/>
    <w:rsid w:val="000B762D"/>
    <w:rsid w:val="000B76B4"/>
    <w:rsid w:val="000C150A"/>
    <w:rsid w:val="000C2213"/>
    <w:rsid w:val="000C2D14"/>
    <w:rsid w:val="000C402E"/>
    <w:rsid w:val="000C4CFA"/>
    <w:rsid w:val="000C4DA7"/>
    <w:rsid w:val="000C5D92"/>
    <w:rsid w:val="000C5FCC"/>
    <w:rsid w:val="000C6B52"/>
    <w:rsid w:val="000D0217"/>
    <w:rsid w:val="000D15E9"/>
    <w:rsid w:val="000D1CD0"/>
    <w:rsid w:val="000D2046"/>
    <w:rsid w:val="000D29C9"/>
    <w:rsid w:val="000D2EEE"/>
    <w:rsid w:val="000D32B7"/>
    <w:rsid w:val="000D33BE"/>
    <w:rsid w:val="000D39B2"/>
    <w:rsid w:val="000D3A9B"/>
    <w:rsid w:val="000D4D96"/>
    <w:rsid w:val="000D52F3"/>
    <w:rsid w:val="000D6CBD"/>
    <w:rsid w:val="000D785F"/>
    <w:rsid w:val="000E06E0"/>
    <w:rsid w:val="000E1155"/>
    <w:rsid w:val="000E5D78"/>
    <w:rsid w:val="000E5F2E"/>
    <w:rsid w:val="000E67DD"/>
    <w:rsid w:val="000E7D19"/>
    <w:rsid w:val="000F0B23"/>
    <w:rsid w:val="000F2A21"/>
    <w:rsid w:val="000F7568"/>
    <w:rsid w:val="000F7DA8"/>
    <w:rsid w:val="0010031B"/>
    <w:rsid w:val="001003B0"/>
    <w:rsid w:val="00102972"/>
    <w:rsid w:val="001070F5"/>
    <w:rsid w:val="00107B1B"/>
    <w:rsid w:val="00107EDA"/>
    <w:rsid w:val="00110F55"/>
    <w:rsid w:val="001111F9"/>
    <w:rsid w:val="001115E6"/>
    <w:rsid w:val="0011193C"/>
    <w:rsid w:val="00112B7A"/>
    <w:rsid w:val="00112C62"/>
    <w:rsid w:val="00114AAB"/>
    <w:rsid w:val="00116C5D"/>
    <w:rsid w:val="001171FF"/>
    <w:rsid w:val="001202BF"/>
    <w:rsid w:val="00125AA9"/>
    <w:rsid w:val="00126472"/>
    <w:rsid w:val="00127AF8"/>
    <w:rsid w:val="00133E1F"/>
    <w:rsid w:val="00133F46"/>
    <w:rsid w:val="0013675B"/>
    <w:rsid w:val="001368BF"/>
    <w:rsid w:val="001377ED"/>
    <w:rsid w:val="001377F1"/>
    <w:rsid w:val="001379DB"/>
    <w:rsid w:val="00137C45"/>
    <w:rsid w:val="00141965"/>
    <w:rsid w:val="00146F8C"/>
    <w:rsid w:val="001501C0"/>
    <w:rsid w:val="0015095D"/>
    <w:rsid w:val="00151DAD"/>
    <w:rsid w:val="0015304E"/>
    <w:rsid w:val="00153F6E"/>
    <w:rsid w:val="00155BC6"/>
    <w:rsid w:val="00156DF0"/>
    <w:rsid w:val="001611E3"/>
    <w:rsid w:val="00161368"/>
    <w:rsid w:val="00165624"/>
    <w:rsid w:val="0016562F"/>
    <w:rsid w:val="00166075"/>
    <w:rsid w:val="00166D78"/>
    <w:rsid w:val="00170EBA"/>
    <w:rsid w:val="00172B09"/>
    <w:rsid w:val="001756BB"/>
    <w:rsid w:val="00177765"/>
    <w:rsid w:val="00177C4A"/>
    <w:rsid w:val="00180596"/>
    <w:rsid w:val="00180B91"/>
    <w:rsid w:val="001810FE"/>
    <w:rsid w:val="00181891"/>
    <w:rsid w:val="00182FE3"/>
    <w:rsid w:val="00185639"/>
    <w:rsid w:val="00192C5D"/>
    <w:rsid w:val="00193DF5"/>
    <w:rsid w:val="00194C25"/>
    <w:rsid w:val="00194DDD"/>
    <w:rsid w:val="001958C0"/>
    <w:rsid w:val="00196215"/>
    <w:rsid w:val="00196273"/>
    <w:rsid w:val="001A14BA"/>
    <w:rsid w:val="001A2C32"/>
    <w:rsid w:val="001A3A24"/>
    <w:rsid w:val="001A47BB"/>
    <w:rsid w:val="001A528C"/>
    <w:rsid w:val="001A56A2"/>
    <w:rsid w:val="001A65D5"/>
    <w:rsid w:val="001A7B0F"/>
    <w:rsid w:val="001B0896"/>
    <w:rsid w:val="001B0E65"/>
    <w:rsid w:val="001B15E7"/>
    <w:rsid w:val="001B175D"/>
    <w:rsid w:val="001B2145"/>
    <w:rsid w:val="001B2A99"/>
    <w:rsid w:val="001B362B"/>
    <w:rsid w:val="001B482B"/>
    <w:rsid w:val="001B620E"/>
    <w:rsid w:val="001B7C4E"/>
    <w:rsid w:val="001C2C1A"/>
    <w:rsid w:val="001C388E"/>
    <w:rsid w:val="001C402F"/>
    <w:rsid w:val="001C503A"/>
    <w:rsid w:val="001C6EA0"/>
    <w:rsid w:val="001C7CDD"/>
    <w:rsid w:val="001D05E1"/>
    <w:rsid w:val="001D21B6"/>
    <w:rsid w:val="001D2E20"/>
    <w:rsid w:val="001D2EA8"/>
    <w:rsid w:val="001D2EBA"/>
    <w:rsid w:val="001D3564"/>
    <w:rsid w:val="001D5104"/>
    <w:rsid w:val="001D588B"/>
    <w:rsid w:val="001D5B35"/>
    <w:rsid w:val="001D6572"/>
    <w:rsid w:val="001D66C7"/>
    <w:rsid w:val="001E0C55"/>
    <w:rsid w:val="001E1034"/>
    <w:rsid w:val="001E1624"/>
    <w:rsid w:val="001E1B63"/>
    <w:rsid w:val="001E294F"/>
    <w:rsid w:val="001E5C8C"/>
    <w:rsid w:val="001E5F68"/>
    <w:rsid w:val="001E6420"/>
    <w:rsid w:val="001F0F0A"/>
    <w:rsid w:val="001F14A7"/>
    <w:rsid w:val="001F153E"/>
    <w:rsid w:val="001F1C8C"/>
    <w:rsid w:val="001F1F2A"/>
    <w:rsid w:val="001F3871"/>
    <w:rsid w:val="001F3A65"/>
    <w:rsid w:val="001F4A62"/>
    <w:rsid w:val="001F4B23"/>
    <w:rsid w:val="001F4B5A"/>
    <w:rsid w:val="00200DA9"/>
    <w:rsid w:val="002011D5"/>
    <w:rsid w:val="00203338"/>
    <w:rsid w:val="002044E0"/>
    <w:rsid w:val="00204852"/>
    <w:rsid w:val="00204A7B"/>
    <w:rsid w:val="002051D2"/>
    <w:rsid w:val="0020617C"/>
    <w:rsid w:val="002076B1"/>
    <w:rsid w:val="0021066F"/>
    <w:rsid w:val="00212A5D"/>
    <w:rsid w:val="00212AAC"/>
    <w:rsid w:val="00213737"/>
    <w:rsid w:val="00215FE1"/>
    <w:rsid w:val="00216D19"/>
    <w:rsid w:val="0022181B"/>
    <w:rsid w:val="0022217A"/>
    <w:rsid w:val="00222911"/>
    <w:rsid w:val="00223D09"/>
    <w:rsid w:val="00227520"/>
    <w:rsid w:val="00230A91"/>
    <w:rsid w:val="00231A23"/>
    <w:rsid w:val="00233AA9"/>
    <w:rsid w:val="00234920"/>
    <w:rsid w:val="002361E7"/>
    <w:rsid w:val="002362D7"/>
    <w:rsid w:val="00237C50"/>
    <w:rsid w:val="00237FF7"/>
    <w:rsid w:val="00245756"/>
    <w:rsid w:val="00245A63"/>
    <w:rsid w:val="00250370"/>
    <w:rsid w:val="00250CD3"/>
    <w:rsid w:val="0025114D"/>
    <w:rsid w:val="002514AF"/>
    <w:rsid w:val="00251854"/>
    <w:rsid w:val="00252B6C"/>
    <w:rsid w:val="00252D04"/>
    <w:rsid w:val="0025664D"/>
    <w:rsid w:val="0025695A"/>
    <w:rsid w:val="00257BF1"/>
    <w:rsid w:val="0026066A"/>
    <w:rsid w:val="00262828"/>
    <w:rsid w:val="00263FBA"/>
    <w:rsid w:val="00266469"/>
    <w:rsid w:val="0026693A"/>
    <w:rsid w:val="00267E5B"/>
    <w:rsid w:val="00271364"/>
    <w:rsid w:val="00271460"/>
    <w:rsid w:val="00275B2E"/>
    <w:rsid w:val="002766DF"/>
    <w:rsid w:val="00276A5A"/>
    <w:rsid w:val="00280EB3"/>
    <w:rsid w:val="002817D2"/>
    <w:rsid w:val="002818AD"/>
    <w:rsid w:val="00282EAB"/>
    <w:rsid w:val="0028312E"/>
    <w:rsid w:val="002848C7"/>
    <w:rsid w:val="00284BB0"/>
    <w:rsid w:val="00284D2F"/>
    <w:rsid w:val="00284F90"/>
    <w:rsid w:val="002858CC"/>
    <w:rsid w:val="00286E1D"/>
    <w:rsid w:val="00287AAB"/>
    <w:rsid w:val="00296648"/>
    <w:rsid w:val="00296736"/>
    <w:rsid w:val="002967E3"/>
    <w:rsid w:val="002A08B2"/>
    <w:rsid w:val="002A2CFC"/>
    <w:rsid w:val="002A41F4"/>
    <w:rsid w:val="002A42D3"/>
    <w:rsid w:val="002A4A93"/>
    <w:rsid w:val="002A4AA8"/>
    <w:rsid w:val="002A664B"/>
    <w:rsid w:val="002A6E25"/>
    <w:rsid w:val="002B019F"/>
    <w:rsid w:val="002B10CC"/>
    <w:rsid w:val="002B23AA"/>
    <w:rsid w:val="002B281A"/>
    <w:rsid w:val="002B3110"/>
    <w:rsid w:val="002B3FC7"/>
    <w:rsid w:val="002B6FB2"/>
    <w:rsid w:val="002B7110"/>
    <w:rsid w:val="002C190C"/>
    <w:rsid w:val="002C191D"/>
    <w:rsid w:val="002C5D06"/>
    <w:rsid w:val="002C616F"/>
    <w:rsid w:val="002C75A7"/>
    <w:rsid w:val="002D1D07"/>
    <w:rsid w:val="002D2330"/>
    <w:rsid w:val="002D5DB9"/>
    <w:rsid w:val="002D67D6"/>
    <w:rsid w:val="002D7753"/>
    <w:rsid w:val="002E1916"/>
    <w:rsid w:val="002E2641"/>
    <w:rsid w:val="002E7819"/>
    <w:rsid w:val="002E7F57"/>
    <w:rsid w:val="002F0D9E"/>
    <w:rsid w:val="002F252B"/>
    <w:rsid w:val="002F28B0"/>
    <w:rsid w:val="002F2B8C"/>
    <w:rsid w:val="002F3CB6"/>
    <w:rsid w:val="002F457C"/>
    <w:rsid w:val="002F49BF"/>
    <w:rsid w:val="002F68B1"/>
    <w:rsid w:val="002F6AC1"/>
    <w:rsid w:val="002F79D0"/>
    <w:rsid w:val="00301098"/>
    <w:rsid w:val="003016F6"/>
    <w:rsid w:val="00301D2C"/>
    <w:rsid w:val="003023EF"/>
    <w:rsid w:val="0030311E"/>
    <w:rsid w:val="00303125"/>
    <w:rsid w:val="003043DE"/>
    <w:rsid w:val="003058C7"/>
    <w:rsid w:val="00305B52"/>
    <w:rsid w:val="003067DF"/>
    <w:rsid w:val="00310F0B"/>
    <w:rsid w:val="0031145D"/>
    <w:rsid w:val="00311D10"/>
    <w:rsid w:val="00312501"/>
    <w:rsid w:val="0031330A"/>
    <w:rsid w:val="00317661"/>
    <w:rsid w:val="003216A6"/>
    <w:rsid w:val="00321D48"/>
    <w:rsid w:val="003221ED"/>
    <w:rsid w:val="00323F6B"/>
    <w:rsid w:val="003246FA"/>
    <w:rsid w:val="0032546C"/>
    <w:rsid w:val="003263BD"/>
    <w:rsid w:val="003276B9"/>
    <w:rsid w:val="00331EAB"/>
    <w:rsid w:val="0033388A"/>
    <w:rsid w:val="003340F7"/>
    <w:rsid w:val="00335B92"/>
    <w:rsid w:val="003374E6"/>
    <w:rsid w:val="003375DC"/>
    <w:rsid w:val="00340A55"/>
    <w:rsid w:val="00340FB9"/>
    <w:rsid w:val="00341FD5"/>
    <w:rsid w:val="00342925"/>
    <w:rsid w:val="00343E40"/>
    <w:rsid w:val="00344DB0"/>
    <w:rsid w:val="00346D7F"/>
    <w:rsid w:val="00350118"/>
    <w:rsid w:val="0035058F"/>
    <w:rsid w:val="00356107"/>
    <w:rsid w:val="00356B7D"/>
    <w:rsid w:val="003571E5"/>
    <w:rsid w:val="00357B89"/>
    <w:rsid w:val="00357EDF"/>
    <w:rsid w:val="00360B0B"/>
    <w:rsid w:val="00363CAB"/>
    <w:rsid w:val="0036458C"/>
    <w:rsid w:val="00364D0C"/>
    <w:rsid w:val="003657D6"/>
    <w:rsid w:val="00366510"/>
    <w:rsid w:val="00366809"/>
    <w:rsid w:val="00366B69"/>
    <w:rsid w:val="003677D8"/>
    <w:rsid w:val="0037065E"/>
    <w:rsid w:val="00371E34"/>
    <w:rsid w:val="00372711"/>
    <w:rsid w:val="00372912"/>
    <w:rsid w:val="00372BC4"/>
    <w:rsid w:val="00373510"/>
    <w:rsid w:val="00376813"/>
    <w:rsid w:val="00380122"/>
    <w:rsid w:val="00381959"/>
    <w:rsid w:val="003828AE"/>
    <w:rsid w:val="003830D3"/>
    <w:rsid w:val="0038317A"/>
    <w:rsid w:val="003835CD"/>
    <w:rsid w:val="00383C4D"/>
    <w:rsid w:val="003840C0"/>
    <w:rsid w:val="00386325"/>
    <w:rsid w:val="0039037A"/>
    <w:rsid w:val="00396205"/>
    <w:rsid w:val="00396701"/>
    <w:rsid w:val="0039692B"/>
    <w:rsid w:val="00396BAE"/>
    <w:rsid w:val="00397DD2"/>
    <w:rsid w:val="003A28FA"/>
    <w:rsid w:val="003A2B99"/>
    <w:rsid w:val="003A3A68"/>
    <w:rsid w:val="003A44DB"/>
    <w:rsid w:val="003A4CB2"/>
    <w:rsid w:val="003A6323"/>
    <w:rsid w:val="003A7062"/>
    <w:rsid w:val="003A723F"/>
    <w:rsid w:val="003A7398"/>
    <w:rsid w:val="003A7BE3"/>
    <w:rsid w:val="003B109D"/>
    <w:rsid w:val="003B1524"/>
    <w:rsid w:val="003B19ED"/>
    <w:rsid w:val="003B1B41"/>
    <w:rsid w:val="003B220C"/>
    <w:rsid w:val="003B25DE"/>
    <w:rsid w:val="003B2909"/>
    <w:rsid w:val="003B427D"/>
    <w:rsid w:val="003B46F3"/>
    <w:rsid w:val="003B54A7"/>
    <w:rsid w:val="003B615F"/>
    <w:rsid w:val="003B769F"/>
    <w:rsid w:val="003C154B"/>
    <w:rsid w:val="003C7A0F"/>
    <w:rsid w:val="003D0F59"/>
    <w:rsid w:val="003D340E"/>
    <w:rsid w:val="003D47A1"/>
    <w:rsid w:val="003D52D3"/>
    <w:rsid w:val="003D5F6A"/>
    <w:rsid w:val="003D7615"/>
    <w:rsid w:val="003E1B8C"/>
    <w:rsid w:val="003E456F"/>
    <w:rsid w:val="003E4644"/>
    <w:rsid w:val="003E4EF8"/>
    <w:rsid w:val="003E7691"/>
    <w:rsid w:val="003F09DD"/>
    <w:rsid w:val="003F10D7"/>
    <w:rsid w:val="003F1A9A"/>
    <w:rsid w:val="003F2405"/>
    <w:rsid w:val="003F3A19"/>
    <w:rsid w:val="003F40F2"/>
    <w:rsid w:val="003F457A"/>
    <w:rsid w:val="003F6226"/>
    <w:rsid w:val="003F6EA1"/>
    <w:rsid w:val="003F7D11"/>
    <w:rsid w:val="00400C37"/>
    <w:rsid w:val="004010B8"/>
    <w:rsid w:val="00402C3C"/>
    <w:rsid w:val="00403D9D"/>
    <w:rsid w:val="004108ED"/>
    <w:rsid w:val="00410EE6"/>
    <w:rsid w:val="004123AB"/>
    <w:rsid w:val="00412C93"/>
    <w:rsid w:val="00414701"/>
    <w:rsid w:val="004163D6"/>
    <w:rsid w:val="00416D9E"/>
    <w:rsid w:val="0041773C"/>
    <w:rsid w:val="00420420"/>
    <w:rsid w:val="00422222"/>
    <w:rsid w:val="00423C58"/>
    <w:rsid w:val="00423F0B"/>
    <w:rsid w:val="00425C6E"/>
    <w:rsid w:val="00430869"/>
    <w:rsid w:val="004340A2"/>
    <w:rsid w:val="004349C6"/>
    <w:rsid w:val="0043519F"/>
    <w:rsid w:val="00435F0B"/>
    <w:rsid w:val="004360CE"/>
    <w:rsid w:val="00436E5D"/>
    <w:rsid w:val="00437BE7"/>
    <w:rsid w:val="00437E15"/>
    <w:rsid w:val="00442EC2"/>
    <w:rsid w:val="0044437D"/>
    <w:rsid w:val="00444614"/>
    <w:rsid w:val="00444C19"/>
    <w:rsid w:val="00444D2A"/>
    <w:rsid w:val="00444DB0"/>
    <w:rsid w:val="00445286"/>
    <w:rsid w:val="0044562B"/>
    <w:rsid w:val="004458A8"/>
    <w:rsid w:val="00446A60"/>
    <w:rsid w:val="00446AA0"/>
    <w:rsid w:val="00450ACC"/>
    <w:rsid w:val="00454651"/>
    <w:rsid w:val="00454F38"/>
    <w:rsid w:val="004551A2"/>
    <w:rsid w:val="00455C88"/>
    <w:rsid w:val="00456235"/>
    <w:rsid w:val="004578DD"/>
    <w:rsid w:val="00460F3B"/>
    <w:rsid w:val="00463C28"/>
    <w:rsid w:val="0046454D"/>
    <w:rsid w:val="0046510F"/>
    <w:rsid w:val="004656DF"/>
    <w:rsid w:val="00465E00"/>
    <w:rsid w:val="00466DE5"/>
    <w:rsid w:val="004672D1"/>
    <w:rsid w:val="00467F62"/>
    <w:rsid w:val="004705EF"/>
    <w:rsid w:val="004709F9"/>
    <w:rsid w:val="00471137"/>
    <w:rsid w:val="00473E01"/>
    <w:rsid w:val="00473E05"/>
    <w:rsid w:val="0047588E"/>
    <w:rsid w:val="00477C7F"/>
    <w:rsid w:val="0048068A"/>
    <w:rsid w:val="00482E72"/>
    <w:rsid w:val="00483168"/>
    <w:rsid w:val="004855FD"/>
    <w:rsid w:val="00491032"/>
    <w:rsid w:val="004925B7"/>
    <w:rsid w:val="00493308"/>
    <w:rsid w:val="004939D3"/>
    <w:rsid w:val="00495378"/>
    <w:rsid w:val="00497501"/>
    <w:rsid w:val="004977F6"/>
    <w:rsid w:val="0049788B"/>
    <w:rsid w:val="004A1239"/>
    <w:rsid w:val="004A1AB2"/>
    <w:rsid w:val="004A1D99"/>
    <w:rsid w:val="004A1F9D"/>
    <w:rsid w:val="004A319C"/>
    <w:rsid w:val="004A56A1"/>
    <w:rsid w:val="004A6415"/>
    <w:rsid w:val="004A6578"/>
    <w:rsid w:val="004B00C3"/>
    <w:rsid w:val="004B2E8F"/>
    <w:rsid w:val="004B6E1C"/>
    <w:rsid w:val="004B76F7"/>
    <w:rsid w:val="004C1ADE"/>
    <w:rsid w:val="004C2E26"/>
    <w:rsid w:val="004C41B6"/>
    <w:rsid w:val="004C44C6"/>
    <w:rsid w:val="004C4A4E"/>
    <w:rsid w:val="004C55E0"/>
    <w:rsid w:val="004C5C47"/>
    <w:rsid w:val="004C609E"/>
    <w:rsid w:val="004D3F7D"/>
    <w:rsid w:val="004D4511"/>
    <w:rsid w:val="004D4E2B"/>
    <w:rsid w:val="004D52D6"/>
    <w:rsid w:val="004D56D4"/>
    <w:rsid w:val="004D67F4"/>
    <w:rsid w:val="004E0646"/>
    <w:rsid w:val="004E2FE8"/>
    <w:rsid w:val="004E3082"/>
    <w:rsid w:val="004E433E"/>
    <w:rsid w:val="004E589C"/>
    <w:rsid w:val="004E6E86"/>
    <w:rsid w:val="004E6F2B"/>
    <w:rsid w:val="004F0456"/>
    <w:rsid w:val="004F1A83"/>
    <w:rsid w:val="004F2028"/>
    <w:rsid w:val="004F342D"/>
    <w:rsid w:val="004F4E5F"/>
    <w:rsid w:val="004F7B79"/>
    <w:rsid w:val="00500581"/>
    <w:rsid w:val="00500B3B"/>
    <w:rsid w:val="0050172C"/>
    <w:rsid w:val="0050653B"/>
    <w:rsid w:val="0050671D"/>
    <w:rsid w:val="00506FE8"/>
    <w:rsid w:val="00510240"/>
    <w:rsid w:val="00510267"/>
    <w:rsid w:val="00513694"/>
    <w:rsid w:val="005138A8"/>
    <w:rsid w:val="0051420B"/>
    <w:rsid w:val="00515D25"/>
    <w:rsid w:val="0051613B"/>
    <w:rsid w:val="00517241"/>
    <w:rsid w:val="00517A55"/>
    <w:rsid w:val="005233E7"/>
    <w:rsid w:val="005243BF"/>
    <w:rsid w:val="00526B44"/>
    <w:rsid w:val="00527263"/>
    <w:rsid w:val="00536089"/>
    <w:rsid w:val="00540D4D"/>
    <w:rsid w:val="0054116A"/>
    <w:rsid w:val="005414CF"/>
    <w:rsid w:val="005423F3"/>
    <w:rsid w:val="00542E3E"/>
    <w:rsid w:val="00543134"/>
    <w:rsid w:val="00546575"/>
    <w:rsid w:val="00546C53"/>
    <w:rsid w:val="0054760A"/>
    <w:rsid w:val="00550F83"/>
    <w:rsid w:val="00552B07"/>
    <w:rsid w:val="00554BDC"/>
    <w:rsid w:val="00555104"/>
    <w:rsid w:val="00556E42"/>
    <w:rsid w:val="00557481"/>
    <w:rsid w:val="005577E8"/>
    <w:rsid w:val="00561266"/>
    <w:rsid w:val="0056162D"/>
    <w:rsid w:val="005618A8"/>
    <w:rsid w:val="0056216A"/>
    <w:rsid w:val="005623C6"/>
    <w:rsid w:val="00563643"/>
    <w:rsid w:val="00563C48"/>
    <w:rsid w:val="005641AD"/>
    <w:rsid w:val="005658A6"/>
    <w:rsid w:val="0056676E"/>
    <w:rsid w:val="00570657"/>
    <w:rsid w:val="005716D2"/>
    <w:rsid w:val="00573CD7"/>
    <w:rsid w:val="005741AD"/>
    <w:rsid w:val="00574419"/>
    <w:rsid w:val="00575C81"/>
    <w:rsid w:val="00576F1E"/>
    <w:rsid w:val="00577928"/>
    <w:rsid w:val="00580249"/>
    <w:rsid w:val="005876AD"/>
    <w:rsid w:val="00591612"/>
    <w:rsid w:val="00592836"/>
    <w:rsid w:val="005929A9"/>
    <w:rsid w:val="00592EE0"/>
    <w:rsid w:val="00595339"/>
    <w:rsid w:val="0059553E"/>
    <w:rsid w:val="00595A88"/>
    <w:rsid w:val="00596AC5"/>
    <w:rsid w:val="005A07D5"/>
    <w:rsid w:val="005A1A25"/>
    <w:rsid w:val="005A1F58"/>
    <w:rsid w:val="005A2C2C"/>
    <w:rsid w:val="005A3074"/>
    <w:rsid w:val="005A31CD"/>
    <w:rsid w:val="005A4733"/>
    <w:rsid w:val="005A4B1A"/>
    <w:rsid w:val="005A6AB2"/>
    <w:rsid w:val="005A6E22"/>
    <w:rsid w:val="005A70D6"/>
    <w:rsid w:val="005A76C0"/>
    <w:rsid w:val="005B0BE4"/>
    <w:rsid w:val="005B143D"/>
    <w:rsid w:val="005B1908"/>
    <w:rsid w:val="005B5304"/>
    <w:rsid w:val="005B5AE9"/>
    <w:rsid w:val="005B7864"/>
    <w:rsid w:val="005C19BC"/>
    <w:rsid w:val="005C2CF4"/>
    <w:rsid w:val="005C3C43"/>
    <w:rsid w:val="005C57AA"/>
    <w:rsid w:val="005C6560"/>
    <w:rsid w:val="005C6973"/>
    <w:rsid w:val="005C7B91"/>
    <w:rsid w:val="005D170B"/>
    <w:rsid w:val="005D2DD4"/>
    <w:rsid w:val="005D3531"/>
    <w:rsid w:val="005E119A"/>
    <w:rsid w:val="005E1A70"/>
    <w:rsid w:val="005E35D7"/>
    <w:rsid w:val="005E4233"/>
    <w:rsid w:val="005E4242"/>
    <w:rsid w:val="005E4290"/>
    <w:rsid w:val="005E69A4"/>
    <w:rsid w:val="005E7258"/>
    <w:rsid w:val="005E774C"/>
    <w:rsid w:val="005F0ACE"/>
    <w:rsid w:val="005F119E"/>
    <w:rsid w:val="005F1C0A"/>
    <w:rsid w:val="005F22AC"/>
    <w:rsid w:val="005F2A72"/>
    <w:rsid w:val="005F2F89"/>
    <w:rsid w:val="005F3400"/>
    <w:rsid w:val="005F4825"/>
    <w:rsid w:val="005F53F4"/>
    <w:rsid w:val="005F5C68"/>
    <w:rsid w:val="005F6D40"/>
    <w:rsid w:val="00601B48"/>
    <w:rsid w:val="0060229A"/>
    <w:rsid w:val="00603009"/>
    <w:rsid w:val="0060348D"/>
    <w:rsid w:val="006047E5"/>
    <w:rsid w:val="00606612"/>
    <w:rsid w:val="00606970"/>
    <w:rsid w:val="00606B1C"/>
    <w:rsid w:val="00611377"/>
    <w:rsid w:val="00611650"/>
    <w:rsid w:val="006123DA"/>
    <w:rsid w:val="0061284A"/>
    <w:rsid w:val="00614A4D"/>
    <w:rsid w:val="00614ED2"/>
    <w:rsid w:val="00617057"/>
    <w:rsid w:val="00617C7E"/>
    <w:rsid w:val="0062020B"/>
    <w:rsid w:val="00620ADB"/>
    <w:rsid w:val="00620B60"/>
    <w:rsid w:val="00623634"/>
    <w:rsid w:val="00623B8A"/>
    <w:rsid w:val="00625118"/>
    <w:rsid w:val="00626AF8"/>
    <w:rsid w:val="00627D72"/>
    <w:rsid w:val="006302CE"/>
    <w:rsid w:val="006307FE"/>
    <w:rsid w:val="00630935"/>
    <w:rsid w:val="00631E6C"/>
    <w:rsid w:val="006321B8"/>
    <w:rsid w:val="006328E2"/>
    <w:rsid w:val="006330AD"/>
    <w:rsid w:val="006337E5"/>
    <w:rsid w:val="006350D8"/>
    <w:rsid w:val="00636297"/>
    <w:rsid w:val="00637534"/>
    <w:rsid w:val="0064016E"/>
    <w:rsid w:val="00640B05"/>
    <w:rsid w:val="00644125"/>
    <w:rsid w:val="0064575C"/>
    <w:rsid w:val="0064575F"/>
    <w:rsid w:val="00645DFC"/>
    <w:rsid w:val="00647341"/>
    <w:rsid w:val="00647B3D"/>
    <w:rsid w:val="00654002"/>
    <w:rsid w:val="00656144"/>
    <w:rsid w:val="006567FC"/>
    <w:rsid w:val="00660D82"/>
    <w:rsid w:val="00663AC1"/>
    <w:rsid w:val="00663ED7"/>
    <w:rsid w:val="00664849"/>
    <w:rsid w:val="00665006"/>
    <w:rsid w:val="006663B1"/>
    <w:rsid w:val="00667B67"/>
    <w:rsid w:val="006703BC"/>
    <w:rsid w:val="00670A6B"/>
    <w:rsid w:val="00670F91"/>
    <w:rsid w:val="006710C2"/>
    <w:rsid w:val="00672818"/>
    <w:rsid w:val="006728FA"/>
    <w:rsid w:val="0067388D"/>
    <w:rsid w:val="0067445A"/>
    <w:rsid w:val="00674B98"/>
    <w:rsid w:val="00677112"/>
    <w:rsid w:val="00677FF7"/>
    <w:rsid w:val="00680EB5"/>
    <w:rsid w:val="00681AD7"/>
    <w:rsid w:val="0068213B"/>
    <w:rsid w:val="006835BA"/>
    <w:rsid w:val="0068645D"/>
    <w:rsid w:val="00686894"/>
    <w:rsid w:val="006870FD"/>
    <w:rsid w:val="00687373"/>
    <w:rsid w:val="00695905"/>
    <w:rsid w:val="00695C4B"/>
    <w:rsid w:val="0069665B"/>
    <w:rsid w:val="006969C6"/>
    <w:rsid w:val="0069722C"/>
    <w:rsid w:val="00697386"/>
    <w:rsid w:val="006A07BB"/>
    <w:rsid w:val="006A0DAD"/>
    <w:rsid w:val="006A2FAC"/>
    <w:rsid w:val="006A4087"/>
    <w:rsid w:val="006A4224"/>
    <w:rsid w:val="006A601B"/>
    <w:rsid w:val="006A7651"/>
    <w:rsid w:val="006A7BAF"/>
    <w:rsid w:val="006B0590"/>
    <w:rsid w:val="006B1168"/>
    <w:rsid w:val="006B1EC6"/>
    <w:rsid w:val="006B23E0"/>
    <w:rsid w:val="006B4E95"/>
    <w:rsid w:val="006B51A7"/>
    <w:rsid w:val="006B5499"/>
    <w:rsid w:val="006B6BE1"/>
    <w:rsid w:val="006C00A3"/>
    <w:rsid w:val="006C29FA"/>
    <w:rsid w:val="006C2A7C"/>
    <w:rsid w:val="006C2B19"/>
    <w:rsid w:val="006C702F"/>
    <w:rsid w:val="006D11F6"/>
    <w:rsid w:val="006D1872"/>
    <w:rsid w:val="006D29E2"/>
    <w:rsid w:val="006D4E73"/>
    <w:rsid w:val="006D6A48"/>
    <w:rsid w:val="006D7EB0"/>
    <w:rsid w:val="006E00AE"/>
    <w:rsid w:val="006E1F65"/>
    <w:rsid w:val="006E2FC0"/>
    <w:rsid w:val="006E4C27"/>
    <w:rsid w:val="006E5619"/>
    <w:rsid w:val="006E6C7F"/>
    <w:rsid w:val="006F07E2"/>
    <w:rsid w:val="006F2A68"/>
    <w:rsid w:val="006F3198"/>
    <w:rsid w:val="006F36FC"/>
    <w:rsid w:val="006F5528"/>
    <w:rsid w:val="006F6C6B"/>
    <w:rsid w:val="006F797B"/>
    <w:rsid w:val="0070318E"/>
    <w:rsid w:val="00704359"/>
    <w:rsid w:val="00704539"/>
    <w:rsid w:val="007065D3"/>
    <w:rsid w:val="00706E4B"/>
    <w:rsid w:val="00707630"/>
    <w:rsid w:val="00710FE2"/>
    <w:rsid w:val="007116C7"/>
    <w:rsid w:val="0071293C"/>
    <w:rsid w:val="00712A99"/>
    <w:rsid w:val="00713898"/>
    <w:rsid w:val="00717C68"/>
    <w:rsid w:val="00717E62"/>
    <w:rsid w:val="00720FE1"/>
    <w:rsid w:val="0072228C"/>
    <w:rsid w:val="0072262F"/>
    <w:rsid w:val="00722E2A"/>
    <w:rsid w:val="00723DCF"/>
    <w:rsid w:val="00723E3A"/>
    <w:rsid w:val="00724757"/>
    <w:rsid w:val="007263C5"/>
    <w:rsid w:val="00732906"/>
    <w:rsid w:val="00732A17"/>
    <w:rsid w:val="00733811"/>
    <w:rsid w:val="00733B61"/>
    <w:rsid w:val="007348AB"/>
    <w:rsid w:val="00735B8C"/>
    <w:rsid w:val="00740D11"/>
    <w:rsid w:val="0074103C"/>
    <w:rsid w:val="00741F9E"/>
    <w:rsid w:val="00742E34"/>
    <w:rsid w:val="007442C1"/>
    <w:rsid w:val="00745CB3"/>
    <w:rsid w:val="00746244"/>
    <w:rsid w:val="007464CF"/>
    <w:rsid w:val="00746FCE"/>
    <w:rsid w:val="007471FE"/>
    <w:rsid w:val="007477DB"/>
    <w:rsid w:val="00747902"/>
    <w:rsid w:val="007500BB"/>
    <w:rsid w:val="00750838"/>
    <w:rsid w:val="007526E1"/>
    <w:rsid w:val="00753CE4"/>
    <w:rsid w:val="0075457D"/>
    <w:rsid w:val="00754CE6"/>
    <w:rsid w:val="00755CB1"/>
    <w:rsid w:val="0075603C"/>
    <w:rsid w:val="00756295"/>
    <w:rsid w:val="00756723"/>
    <w:rsid w:val="00762112"/>
    <w:rsid w:val="00762AF9"/>
    <w:rsid w:val="00763333"/>
    <w:rsid w:val="0076363C"/>
    <w:rsid w:val="007640DD"/>
    <w:rsid w:val="00766605"/>
    <w:rsid w:val="00766747"/>
    <w:rsid w:val="00766BE1"/>
    <w:rsid w:val="00767324"/>
    <w:rsid w:val="00771B53"/>
    <w:rsid w:val="00771BCB"/>
    <w:rsid w:val="007729E0"/>
    <w:rsid w:val="0077352F"/>
    <w:rsid w:val="00773A16"/>
    <w:rsid w:val="0077432D"/>
    <w:rsid w:val="00774C51"/>
    <w:rsid w:val="00775132"/>
    <w:rsid w:val="00775EB1"/>
    <w:rsid w:val="007763BB"/>
    <w:rsid w:val="00776948"/>
    <w:rsid w:val="00780DCE"/>
    <w:rsid w:val="00780F57"/>
    <w:rsid w:val="007823DE"/>
    <w:rsid w:val="00782B56"/>
    <w:rsid w:val="007836C2"/>
    <w:rsid w:val="0078466D"/>
    <w:rsid w:val="00784D70"/>
    <w:rsid w:val="0078545B"/>
    <w:rsid w:val="007855E9"/>
    <w:rsid w:val="0078615A"/>
    <w:rsid w:val="007868C9"/>
    <w:rsid w:val="00787A80"/>
    <w:rsid w:val="0079015D"/>
    <w:rsid w:val="00791F43"/>
    <w:rsid w:val="007937A0"/>
    <w:rsid w:val="007941E5"/>
    <w:rsid w:val="00796EE7"/>
    <w:rsid w:val="00797408"/>
    <w:rsid w:val="00797BEC"/>
    <w:rsid w:val="007A21B8"/>
    <w:rsid w:val="007A5390"/>
    <w:rsid w:val="007A5773"/>
    <w:rsid w:val="007A61F8"/>
    <w:rsid w:val="007A668C"/>
    <w:rsid w:val="007A761A"/>
    <w:rsid w:val="007A7E07"/>
    <w:rsid w:val="007B05F8"/>
    <w:rsid w:val="007B09FA"/>
    <w:rsid w:val="007B276B"/>
    <w:rsid w:val="007B5B9A"/>
    <w:rsid w:val="007B6AC0"/>
    <w:rsid w:val="007B749C"/>
    <w:rsid w:val="007C04C4"/>
    <w:rsid w:val="007C1B56"/>
    <w:rsid w:val="007C584D"/>
    <w:rsid w:val="007D0C2A"/>
    <w:rsid w:val="007D1123"/>
    <w:rsid w:val="007D381A"/>
    <w:rsid w:val="007D4CCE"/>
    <w:rsid w:val="007D7811"/>
    <w:rsid w:val="007E18BE"/>
    <w:rsid w:val="007E392C"/>
    <w:rsid w:val="007E4236"/>
    <w:rsid w:val="007E5A63"/>
    <w:rsid w:val="007E6D2E"/>
    <w:rsid w:val="007E6FC1"/>
    <w:rsid w:val="007F0105"/>
    <w:rsid w:val="007F0282"/>
    <w:rsid w:val="007F0987"/>
    <w:rsid w:val="007F111B"/>
    <w:rsid w:val="007F1E6E"/>
    <w:rsid w:val="007F347E"/>
    <w:rsid w:val="007F51BD"/>
    <w:rsid w:val="007F5C80"/>
    <w:rsid w:val="007F6285"/>
    <w:rsid w:val="007F7E27"/>
    <w:rsid w:val="00800166"/>
    <w:rsid w:val="0080130B"/>
    <w:rsid w:val="00801526"/>
    <w:rsid w:val="00801AA8"/>
    <w:rsid w:val="0080268C"/>
    <w:rsid w:val="00802962"/>
    <w:rsid w:val="0080347D"/>
    <w:rsid w:val="008034A0"/>
    <w:rsid w:val="00805C97"/>
    <w:rsid w:val="00806173"/>
    <w:rsid w:val="00806B77"/>
    <w:rsid w:val="00811DA7"/>
    <w:rsid w:val="00814217"/>
    <w:rsid w:val="008172E8"/>
    <w:rsid w:val="00817D2C"/>
    <w:rsid w:val="00822D36"/>
    <w:rsid w:val="0082361F"/>
    <w:rsid w:val="008267B4"/>
    <w:rsid w:val="00826DE5"/>
    <w:rsid w:val="00827498"/>
    <w:rsid w:val="00827CC1"/>
    <w:rsid w:val="00830952"/>
    <w:rsid w:val="0083177D"/>
    <w:rsid w:val="008318C5"/>
    <w:rsid w:val="00832C50"/>
    <w:rsid w:val="00833967"/>
    <w:rsid w:val="00833A33"/>
    <w:rsid w:val="00834292"/>
    <w:rsid w:val="00835A92"/>
    <w:rsid w:val="00836BF3"/>
    <w:rsid w:val="00836C2A"/>
    <w:rsid w:val="008370CD"/>
    <w:rsid w:val="00840E89"/>
    <w:rsid w:val="00842BD6"/>
    <w:rsid w:val="008430B8"/>
    <w:rsid w:val="00843B43"/>
    <w:rsid w:val="00846C70"/>
    <w:rsid w:val="0085038B"/>
    <w:rsid w:val="00853096"/>
    <w:rsid w:val="00855300"/>
    <w:rsid w:val="0085693A"/>
    <w:rsid w:val="0085768E"/>
    <w:rsid w:val="00857FAE"/>
    <w:rsid w:val="00860B5E"/>
    <w:rsid w:val="00861147"/>
    <w:rsid w:val="00861DF2"/>
    <w:rsid w:val="00862A9A"/>
    <w:rsid w:val="00862FC1"/>
    <w:rsid w:val="00864DFF"/>
    <w:rsid w:val="00865176"/>
    <w:rsid w:val="00865601"/>
    <w:rsid w:val="0086565C"/>
    <w:rsid w:val="0086644F"/>
    <w:rsid w:val="00866BAE"/>
    <w:rsid w:val="0087174E"/>
    <w:rsid w:val="00872086"/>
    <w:rsid w:val="00873ACC"/>
    <w:rsid w:val="00877EDE"/>
    <w:rsid w:val="008809C0"/>
    <w:rsid w:val="00880D47"/>
    <w:rsid w:val="00881A57"/>
    <w:rsid w:val="00882322"/>
    <w:rsid w:val="0088309E"/>
    <w:rsid w:val="00883108"/>
    <w:rsid w:val="00883C43"/>
    <w:rsid w:val="00884DC0"/>
    <w:rsid w:val="00885E98"/>
    <w:rsid w:val="0088696C"/>
    <w:rsid w:val="00887CB9"/>
    <w:rsid w:val="00887F1E"/>
    <w:rsid w:val="00890876"/>
    <w:rsid w:val="00890E60"/>
    <w:rsid w:val="00890FD2"/>
    <w:rsid w:val="00893166"/>
    <w:rsid w:val="00893781"/>
    <w:rsid w:val="008944D4"/>
    <w:rsid w:val="00894AD2"/>
    <w:rsid w:val="00895616"/>
    <w:rsid w:val="00895673"/>
    <w:rsid w:val="0089773F"/>
    <w:rsid w:val="008A00C3"/>
    <w:rsid w:val="008A12AE"/>
    <w:rsid w:val="008A18E9"/>
    <w:rsid w:val="008A1B32"/>
    <w:rsid w:val="008A4A61"/>
    <w:rsid w:val="008A4C79"/>
    <w:rsid w:val="008A63E0"/>
    <w:rsid w:val="008A78AF"/>
    <w:rsid w:val="008B1700"/>
    <w:rsid w:val="008B3CED"/>
    <w:rsid w:val="008B68AB"/>
    <w:rsid w:val="008B7899"/>
    <w:rsid w:val="008B7FA3"/>
    <w:rsid w:val="008C04EA"/>
    <w:rsid w:val="008C0B47"/>
    <w:rsid w:val="008C4D24"/>
    <w:rsid w:val="008C5630"/>
    <w:rsid w:val="008C5DCE"/>
    <w:rsid w:val="008C5E5D"/>
    <w:rsid w:val="008C6073"/>
    <w:rsid w:val="008C6C28"/>
    <w:rsid w:val="008C7BF1"/>
    <w:rsid w:val="008D1F6F"/>
    <w:rsid w:val="008D27A1"/>
    <w:rsid w:val="008D3930"/>
    <w:rsid w:val="008D605B"/>
    <w:rsid w:val="008D6EB7"/>
    <w:rsid w:val="008D7952"/>
    <w:rsid w:val="008E09AB"/>
    <w:rsid w:val="008E1B0C"/>
    <w:rsid w:val="008E1DBB"/>
    <w:rsid w:val="008E25F0"/>
    <w:rsid w:val="008E30B5"/>
    <w:rsid w:val="008E3F43"/>
    <w:rsid w:val="008E5471"/>
    <w:rsid w:val="008E6E3F"/>
    <w:rsid w:val="008F0BA3"/>
    <w:rsid w:val="008F1791"/>
    <w:rsid w:val="008F3B00"/>
    <w:rsid w:val="008F4BBA"/>
    <w:rsid w:val="008F4CEC"/>
    <w:rsid w:val="008F5472"/>
    <w:rsid w:val="008F6647"/>
    <w:rsid w:val="008F75CE"/>
    <w:rsid w:val="008F7A76"/>
    <w:rsid w:val="00900CB4"/>
    <w:rsid w:val="009017B8"/>
    <w:rsid w:val="00901D15"/>
    <w:rsid w:val="00902A5C"/>
    <w:rsid w:val="00902FEC"/>
    <w:rsid w:val="0090376E"/>
    <w:rsid w:val="00903A25"/>
    <w:rsid w:val="00904FBE"/>
    <w:rsid w:val="00905533"/>
    <w:rsid w:val="00906482"/>
    <w:rsid w:val="009067E6"/>
    <w:rsid w:val="00910553"/>
    <w:rsid w:val="009120F7"/>
    <w:rsid w:val="00913256"/>
    <w:rsid w:val="00913DAF"/>
    <w:rsid w:val="00914766"/>
    <w:rsid w:val="00915AEA"/>
    <w:rsid w:val="0091650E"/>
    <w:rsid w:val="00916AC9"/>
    <w:rsid w:val="00917405"/>
    <w:rsid w:val="00917F2C"/>
    <w:rsid w:val="00921C59"/>
    <w:rsid w:val="00925B43"/>
    <w:rsid w:val="009271D5"/>
    <w:rsid w:val="00927F5D"/>
    <w:rsid w:val="00934B24"/>
    <w:rsid w:val="00936C19"/>
    <w:rsid w:val="009374AA"/>
    <w:rsid w:val="0094103E"/>
    <w:rsid w:val="00941E42"/>
    <w:rsid w:val="009427D5"/>
    <w:rsid w:val="009429E3"/>
    <w:rsid w:val="00946E93"/>
    <w:rsid w:val="00950453"/>
    <w:rsid w:val="00950927"/>
    <w:rsid w:val="00951727"/>
    <w:rsid w:val="0095215C"/>
    <w:rsid w:val="009523C3"/>
    <w:rsid w:val="009551A5"/>
    <w:rsid w:val="00956723"/>
    <w:rsid w:val="00960253"/>
    <w:rsid w:val="0096133C"/>
    <w:rsid w:val="009615FB"/>
    <w:rsid w:val="00962CB4"/>
    <w:rsid w:val="0096432A"/>
    <w:rsid w:val="00964377"/>
    <w:rsid w:val="009660DD"/>
    <w:rsid w:val="009667AC"/>
    <w:rsid w:val="009679BB"/>
    <w:rsid w:val="00970F81"/>
    <w:rsid w:val="0097258E"/>
    <w:rsid w:val="009739FC"/>
    <w:rsid w:val="00975FD7"/>
    <w:rsid w:val="00977EA9"/>
    <w:rsid w:val="00980616"/>
    <w:rsid w:val="009818BE"/>
    <w:rsid w:val="00981D4D"/>
    <w:rsid w:val="00984616"/>
    <w:rsid w:val="00984E77"/>
    <w:rsid w:val="0098552D"/>
    <w:rsid w:val="0098766E"/>
    <w:rsid w:val="00987E02"/>
    <w:rsid w:val="00987EFB"/>
    <w:rsid w:val="009905CA"/>
    <w:rsid w:val="00993753"/>
    <w:rsid w:val="00993F3A"/>
    <w:rsid w:val="00994293"/>
    <w:rsid w:val="009948BB"/>
    <w:rsid w:val="00994FF3"/>
    <w:rsid w:val="0099525D"/>
    <w:rsid w:val="009970E6"/>
    <w:rsid w:val="009A05A9"/>
    <w:rsid w:val="009A0ED5"/>
    <w:rsid w:val="009A1B95"/>
    <w:rsid w:val="009A27A9"/>
    <w:rsid w:val="009A2EF6"/>
    <w:rsid w:val="009A3208"/>
    <w:rsid w:val="009A3638"/>
    <w:rsid w:val="009A3E7C"/>
    <w:rsid w:val="009A4F24"/>
    <w:rsid w:val="009A5151"/>
    <w:rsid w:val="009B29EE"/>
    <w:rsid w:val="009B4122"/>
    <w:rsid w:val="009C02D1"/>
    <w:rsid w:val="009C11DC"/>
    <w:rsid w:val="009C2CEF"/>
    <w:rsid w:val="009C3993"/>
    <w:rsid w:val="009C3A7C"/>
    <w:rsid w:val="009C45B7"/>
    <w:rsid w:val="009C5449"/>
    <w:rsid w:val="009C65D5"/>
    <w:rsid w:val="009C71A1"/>
    <w:rsid w:val="009C7504"/>
    <w:rsid w:val="009C7DE7"/>
    <w:rsid w:val="009C7F9A"/>
    <w:rsid w:val="009D0F92"/>
    <w:rsid w:val="009D179B"/>
    <w:rsid w:val="009D1CE8"/>
    <w:rsid w:val="009D227F"/>
    <w:rsid w:val="009D253E"/>
    <w:rsid w:val="009D2A2A"/>
    <w:rsid w:val="009D3804"/>
    <w:rsid w:val="009D61AD"/>
    <w:rsid w:val="009D6D78"/>
    <w:rsid w:val="009D74AD"/>
    <w:rsid w:val="009E13DE"/>
    <w:rsid w:val="009E146C"/>
    <w:rsid w:val="009E229A"/>
    <w:rsid w:val="009E359C"/>
    <w:rsid w:val="009E364B"/>
    <w:rsid w:val="009E5B20"/>
    <w:rsid w:val="009E5BB4"/>
    <w:rsid w:val="009E6325"/>
    <w:rsid w:val="009E6F19"/>
    <w:rsid w:val="009E6F3E"/>
    <w:rsid w:val="009E77CE"/>
    <w:rsid w:val="009F23A9"/>
    <w:rsid w:val="009F2CA3"/>
    <w:rsid w:val="009F2E05"/>
    <w:rsid w:val="009F3291"/>
    <w:rsid w:val="009F3B08"/>
    <w:rsid w:val="009F44CB"/>
    <w:rsid w:val="009F494F"/>
    <w:rsid w:val="009F54A3"/>
    <w:rsid w:val="009F5781"/>
    <w:rsid w:val="009F5A11"/>
    <w:rsid w:val="009F636C"/>
    <w:rsid w:val="00A015D3"/>
    <w:rsid w:val="00A01D4A"/>
    <w:rsid w:val="00A03ED1"/>
    <w:rsid w:val="00A04C36"/>
    <w:rsid w:val="00A0604C"/>
    <w:rsid w:val="00A060BC"/>
    <w:rsid w:val="00A071E7"/>
    <w:rsid w:val="00A1022A"/>
    <w:rsid w:val="00A10843"/>
    <w:rsid w:val="00A10D68"/>
    <w:rsid w:val="00A115C3"/>
    <w:rsid w:val="00A14C58"/>
    <w:rsid w:val="00A157CB"/>
    <w:rsid w:val="00A16A92"/>
    <w:rsid w:val="00A16BB7"/>
    <w:rsid w:val="00A16D0D"/>
    <w:rsid w:val="00A2261F"/>
    <w:rsid w:val="00A22C23"/>
    <w:rsid w:val="00A23EE2"/>
    <w:rsid w:val="00A24925"/>
    <w:rsid w:val="00A24ECD"/>
    <w:rsid w:val="00A25203"/>
    <w:rsid w:val="00A2537C"/>
    <w:rsid w:val="00A26E2D"/>
    <w:rsid w:val="00A30012"/>
    <w:rsid w:val="00A304E9"/>
    <w:rsid w:val="00A30D0D"/>
    <w:rsid w:val="00A31CF1"/>
    <w:rsid w:val="00A34ADE"/>
    <w:rsid w:val="00A351D5"/>
    <w:rsid w:val="00A35A09"/>
    <w:rsid w:val="00A35B46"/>
    <w:rsid w:val="00A40023"/>
    <w:rsid w:val="00A40A2C"/>
    <w:rsid w:val="00A4353C"/>
    <w:rsid w:val="00A43C0B"/>
    <w:rsid w:val="00A4542E"/>
    <w:rsid w:val="00A45616"/>
    <w:rsid w:val="00A45E2A"/>
    <w:rsid w:val="00A465CC"/>
    <w:rsid w:val="00A46CE7"/>
    <w:rsid w:val="00A511D5"/>
    <w:rsid w:val="00A57DE3"/>
    <w:rsid w:val="00A60470"/>
    <w:rsid w:val="00A64895"/>
    <w:rsid w:val="00A6776C"/>
    <w:rsid w:val="00A67D2B"/>
    <w:rsid w:val="00A70796"/>
    <w:rsid w:val="00A72152"/>
    <w:rsid w:val="00A72272"/>
    <w:rsid w:val="00A730FB"/>
    <w:rsid w:val="00A7492C"/>
    <w:rsid w:val="00A76163"/>
    <w:rsid w:val="00A77541"/>
    <w:rsid w:val="00A777C7"/>
    <w:rsid w:val="00A805A3"/>
    <w:rsid w:val="00A80C85"/>
    <w:rsid w:val="00A81EB9"/>
    <w:rsid w:val="00A830CD"/>
    <w:rsid w:val="00A834C0"/>
    <w:rsid w:val="00A8463A"/>
    <w:rsid w:val="00A850A9"/>
    <w:rsid w:val="00A85624"/>
    <w:rsid w:val="00A858D9"/>
    <w:rsid w:val="00A87315"/>
    <w:rsid w:val="00A91F48"/>
    <w:rsid w:val="00A947F0"/>
    <w:rsid w:val="00A94FDE"/>
    <w:rsid w:val="00A9547E"/>
    <w:rsid w:val="00A957AF"/>
    <w:rsid w:val="00AA0E9A"/>
    <w:rsid w:val="00AA11CB"/>
    <w:rsid w:val="00AA170B"/>
    <w:rsid w:val="00AA5092"/>
    <w:rsid w:val="00AA5E1F"/>
    <w:rsid w:val="00AA7737"/>
    <w:rsid w:val="00AB12B6"/>
    <w:rsid w:val="00AB26D4"/>
    <w:rsid w:val="00AB38B9"/>
    <w:rsid w:val="00AB4251"/>
    <w:rsid w:val="00AB46D0"/>
    <w:rsid w:val="00AB501F"/>
    <w:rsid w:val="00AB54BE"/>
    <w:rsid w:val="00AB678D"/>
    <w:rsid w:val="00AB69B6"/>
    <w:rsid w:val="00AB74A4"/>
    <w:rsid w:val="00AC174A"/>
    <w:rsid w:val="00AC1F25"/>
    <w:rsid w:val="00AC2AC1"/>
    <w:rsid w:val="00AC3611"/>
    <w:rsid w:val="00AC3DCE"/>
    <w:rsid w:val="00AC4B37"/>
    <w:rsid w:val="00AC5E8C"/>
    <w:rsid w:val="00AC6139"/>
    <w:rsid w:val="00AC751F"/>
    <w:rsid w:val="00AC7C29"/>
    <w:rsid w:val="00AD0751"/>
    <w:rsid w:val="00AD0AFB"/>
    <w:rsid w:val="00AD0E1A"/>
    <w:rsid w:val="00AD0F8A"/>
    <w:rsid w:val="00AD1143"/>
    <w:rsid w:val="00AD1802"/>
    <w:rsid w:val="00AD345F"/>
    <w:rsid w:val="00AD664D"/>
    <w:rsid w:val="00AD6818"/>
    <w:rsid w:val="00AD7C70"/>
    <w:rsid w:val="00AE0451"/>
    <w:rsid w:val="00AE0E74"/>
    <w:rsid w:val="00AE32CB"/>
    <w:rsid w:val="00AE34C8"/>
    <w:rsid w:val="00AE3D70"/>
    <w:rsid w:val="00AE44F3"/>
    <w:rsid w:val="00AE574C"/>
    <w:rsid w:val="00AE6B0E"/>
    <w:rsid w:val="00AF0B61"/>
    <w:rsid w:val="00AF0D9A"/>
    <w:rsid w:val="00AF0E86"/>
    <w:rsid w:val="00AF1B5B"/>
    <w:rsid w:val="00AF24E6"/>
    <w:rsid w:val="00AF2A09"/>
    <w:rsid w:val="00AF3104"/>
    <w:rsid w:val="00AF3272"/>
    <w:rsid w:val="00AF7158"/>
    <w:rsid w:val="00B01D34"/>
    <w:rsid w:val="00B01DA9"/>
    <w:rsid w:val="00B03F1E"/>
    <w:rsid w:val="00B040C2"/>
    <w:rsid w:val="00B1349D"/>
    <w:rsid w:val="00B1416E"/>
    <w:rsid w:val="00B16621"/>
    <w:rsid w:val="00B17535"/>
    <w:rsid w:val="00B20D7E"/>
    <w:rsid w:val="00B27FA0"/>
    <w:rsid w:val="00B3056A"/>
    <w:rsid w:val="00B30EA0"/>
    <w:rsid w:val="00B32C98"/>
    <w:rsid w:val="00B32CA9"/>
    <w:rsid w:val="00B33FEF"/>
    <w:rsid w:val="00B34E05"/>
    <w:rsid w:val="00B34EA4"/>
    <w:rsid w:val="00B35B41"/>
    <w:rsid w:val="00B35DA5"/>
    <w:rsid w:val="00B3694A"/>
    <w:rsid w:val="00B37305"/>
    <w:rsid w:val="00B37394"/>
    <w:rsid w:val="00B37871"/>
    <w:rsid w:val="00B417F8"/>
    <w:rsid w:val="00B418ED"/>
    <w:rsid w:val="00B44600"/>
    <w:rsid w:val="00B44C12"/>
    <w:rsid w:val="00B455AA"/>
    <w:rsid w:val="00B45C8B"/>
    <w:rsid w:val="00B45FCB"/>
    <w:rsid w:val="00B46CC1"/>
    <w:rsid w:val="00B50AFF"/>
    <w:rsid w:val="00B53C89"/>
    <w:rsid w:val="00B542D6"/>
    <w:rsid w:val="00B56CE8"/>
    <w:rsid w:val="00B63B9F"/>
    <w:rsid w:val="00B657DE"/>
    <w:rsid w:val="00B660A1"/>
    <w:rsid w:val="00B66946"/>
    <w:rsid w:val="00B66AAE"/>
    <w:rsid w:val="00B67A6F"/>
    <w:rsid w:val="00B705F8"/>
    <w:rsid w:val="00B70FEB"/>
    <w:rsid w:val="00B71799"/>
    <w:rsid w:val="00B7256A"/>
    <w:rsid w:val="00B72B88"/>
    <w:rsid w:val="00B77877"/>
    <w:rsid w:val="00B77C57"/>
    <w:rsid w:val="00B77CA1"/>
    <w:rsid w:val="00B8228B"/>
    <w:rsid w:val="00B83232"/>
    <w:rsid w:val="00B854F6"/>
    <w:rsid w:val="00B87354"/>
    <w:rsid w:val="00B878C3"/>
    <w:rsid w:val="00B87FEF"/>
    <w:rsid w:val="00B907A4"/>
    <w:rsid w:val="00B90A35"/>
    <w:rsid w:val="00B922A3"/>
    <w:rsid w:val="00B93079"/>
    <w:rsid w:val="00B93202"/>
    <w:rsid w:val="00B93E6B"/>
    <w:rsid w:val="00B9435A"/>
    <w:rsid w:val="00B96641"/>
    <w:rsid w:val="00BA048F"/>
    <w:rsid w:val="00BA1179"/>
    <w:rsid w:val="00BA1DF8"/>
    <w:rsid w:val="00BA24C0"/>
    <w:rsid w:val="00BA2F29"/>
    <w:rsid w:val="00BA305C"/>
    <w:rsid w:val="00BA47E1"/>
    <w:rsid w:val="00BA4F16"/>
    <w:rsid w:val="00BA7B36"/>
    <w:rsid w:val="00BB09CE"/>
    <w:rsid w:val="00BB0D76"/>
    <w:rsid w:val="00BB3895"/>
    <w:rsid w:val="00BB4376"/>
    <w:rsid w:val="00BB43E9"/>
    <w:rsid w:val="00BB7709"/>
    <w:rsid w:val="00BC1021"/>
    <w:rsid w:val="00BC15DE"/>
    <w:rsid w:val="00BC3815"/>
    <w:rsid w:val="00BC40C4"/>
    <w:rsid w:val="00BC4547"/>
    <w:rsid w:val="00BC4F60"/>
    <w:rsid w:val="00BC5A60"/>
    <w:rsid w:val="00BC5B63"/>
    <w:rsid w:val="00BC77E6"/>
    <w:rsid w:val="00BD1398"/>
    <w:rsid w:val="00BD23D9"/>
    <w:rsid w:val="00BD5426"/>
    <w:rsid w:val="00BD5E1B"/>
    <w:rsid w:val="00BD63D0"/>
    <w:rsid w:val="00BD6562"/>
    <w:rsid w:val="00BD6CE4"/>
    <w:rsid w:val="00BE1677"/>
    <w:rsid w:val="00BE3726"/>
    <w:rsid w:val="00BE6A3B"/>
    <w:rsid w:val="00BF16D1"/>
    <w:rsid w:val="00BF303E"/>
    <w:rsid w:val="00BF4F41"/>
    <w:rsid w:val="00BF545F"/>
    <w:rsid w:val="00BF67E0"/>
    <w:rsid w:val="00BF7338"/>
    <w:rsid w:val="00BF77B1"/>
    <w:rsid w:val="00C0192B"/>
    <w:rsid w:val="00C02895"/>
    <w:rsid w:val="00C0332A"/>
    <w:rsid w:val="00C03422"/>
    <w:rsid w:val="00C03F88"/>
    <w:rsid w:val="00C04F96"/>
    <w:rsid w:val="00C05E78"/>
    <w:rsid w:val="00C05FBF"/>
    <w:rsid w:val="00C070A9"/>
    <w:rsid w:val="00C0733C"/>
    <w:rsid w:val="00C07809"/>
    <w:rsid w:val="00C07982"/>
    <w:rsid w:val="00C10DD7"/>
    <w:rsid w:val="00C15DFB"/>
    <w:rsid w:val="00C15E36"/>
    <w:rsid w:val="00C16562"/>
    <w:rsid w:val="00C16750"/>
    <w:rsid w:val="00C16D16"/>
    <w:rsid w:val="00C213C3"/>
    <w:rsid w:val="00C23029"/>
    <w:rsid w:val="00C27DA2"/>
    <w:rsid w:val="00C30E07"/>
    <w:rsid w:val="00C31113"/>
    <w:rsid w:val="00C31172"/>
    <w:rsid w:val="00C31452"/>
    <w:rsid w:val="00C32434"/>
    <w:rsid w:val="00C34C19"/>
    <w:rsid w:val="00C37677"/>
    <w:rsid w:val="00C376AC"/>
    <w:rsid w:val="00C443C7"/>
    <w:rsid w:val="00C46281"/>
    <w:rsid w:val="00C469D0"/>
    <w:rsid w:val="00C46CC7"/>
    <w:rsid w:val="00C46F44"/>
    <w:rsid w:val="00C47135"/>
    <w:rsid w:val="00C50971"/>
    <w:rsid w:val="00C528AB"/>
    <w:rsid w:val="00C533D2"/>
    <w:rsid w:val="00C53A12"/>
    <w:rsid w:val="00C53AD0"/>
    <w:rsid w:val="00C54A8E"/>
    <w:rsid w:val="00C5546E"/>
    <w:rsid w:val="00C564BE"/>
    <w:rsid w:val="00C56B6A"/>
    <w:rsid w:val="00C57153"/>
    <w:rsid w:val="00C606E0"/>
    <w:rsid w:val="00C60F7C"/>
    <w:rsid w:val="00C6135E"/>
    <w:rsid w:val="00C6208A"/>
    <w:rsid w:val="00C635DD"/>
    <w:rsid w:val="00C637AD"/>
    <w:rsid w:val="00C6402B"/>
    <w:rsid w:val="00C64F63"/>
    <w:rsid w:val="00C6699F"/>
    <w:rsid w:val="00C7129C"/>
    <w:rsid w:val="00C71B71"/>
    <w:rsid w:val="00C731AD"/>
    <w:rsid w:val="00C7411F"/>
    <w:rsid w:val="00C74294"/>
    <w:rsid w:val="00C74986"/>
    <w:rsid w:val="00C75AA9"/>
    <w:rsid w:val="00C75FCA"/>
    <w:rsid w:val="00C767B5"/>
    <w:rsid w:val="00C7745D"/>
    <w:rsid w:val="00C77AFF"/>
    <w:rsid w:val="00C81087"/>
    <w:rsid w:val="00C81332"/>
    <w:rsid w:val="00C817D6"/>
    <w:rsid w:val="00C81EA5"/>
    <w:rsid w:val="00C836BD"/>
    <w:rsid w:val="00C85362"/>
    <w:rsid w:val="00C86CF8"/>
    <w:rsid w:val="00C90A9E"/>
    <w:rsid w:val="00C90FF7"/>
    <w:rsid w:val="00C93A6B"/>
    <w:rsid w:val="00C941EF"/>
    <w:rsid w:val="00C9493A"/>
    <w:rsid w:val="00C94F5C"/>
    <w:rsid w:val="00CA0342"/>
    <w:rsid w:val="00CA38DF"/>
    <w:rsid w:val="00CA4FAF"/>
    <w:rsid w:val="00CA64AE"/>
    <w:rsid w:val="00CA6509"/>
    <w:rsid w:val="00CA7F87"/>
    <w:rsid w:val="00CB0216"/>
    <w:rsid w:val="00CB02E8"/>
    <w:rsid w:val="00CB22B2"/>
    <w:rsid w:val="00CB3ECB"/>
    <w:rsid w:val="00CB6827"/>
    <w:rsid w:val="00CC071D"/>
    <w:rsid w:val="00CC2B75"/>
    <w:rsid w:val="00CC42CB"/>
    <w:rsid w:val="00CC432E"/>
    <w:rsid w:val="00CC5C20"/>
    <w:rsid w:val="00CC67DF"/>
    <w:rsid w:val="00CC6E3C"/>
    <w:rsid w:val="00CC755B"/>
    <w:rsid w:val="00CC7C84"/>
    <w:rsid w:val="00CD0CBA"/>
    <w:rsid w:val="00CD1C31"/>
    <w:rsid w:val="00CD1E4A"/>
    <w:rsid w:val="00CD2840"/>
    <w:rsid w:val="00CD375D"/>
    <w:rsid w:val="00CD3C43"/>
    <w:rsid w:val="00CD44E2"/>
    <w:rsid w:val="00CD45B2"/>
    <w:rsid w:val="00CD4B13"/>
    <w:rsid w:val="00CD5271"/>
    <w:rsid w:val="00CD5C38"/>
    <w:rsid w:val="00CD60B5"/>
    <w:rsid w:val="00CD6503"/>
    <w:rsid w:val="00CE0946"/>
    <w:rsid w:val="00CE18BE"/>
    <w:rsid w:val="00CE3213"/>
    <w:rsid w:val="00CE65EC"/>
    <w:rsid w:val="00CE7253"/>
    <w:rsid w:val="00CE76A0"/>
    <w:rsid w:val="00CF0A27"/>
    <w:rsid w:val="00CF1A67"/>
    <w:rsid w:val="00CF2167"/>
    <w:rsid w:val="00CF2560"/>
    <w:rsid w:val="00CF35F3"/>
    <w:rsid w:val="00CF756A"/>
    <w:rsid w:val="00CF7641"/>
    <w:rsid w:val="00D01675"/>
    <w:rsid w:val="00D01D87"/>
    <w:rsid w:val="00D02BB7"/>
    <w:rsid w:val="00D02CCA"/>
    <w:rsid w:val="00D030BB"/>
    <w:rsid w:val="00D060E8"/>
    <w:rsid w:val="00D06C53"/>
    <w:rsid w:val="00D079EE"/>
    <w:rsid w:val="00D106AD"/>
    <w:rsid w:val="00D10D9A"/>
    <w:rsid w:val="00D11DBF"/>
    <w:rsid w:val="00D12944"/>
    <w:rsid w:val="00D14E42"/>
    <w:rsid w:val="00D1594C"/>
    <w:rsid w:val="00D161BF"/>
    <w:rsid w:val="00D2254E"/>
    <w:rsid w:val="00D22795"/>
    <w:rsid w:val="00D2737B"/>
    <w:rsid w:val="00D27651"/>
    <w:rsid w:val="00D32742"/>
    <w:rsid w:val="00D32DE7"/>
    <w:rsid w:val="00D333DF"/>
    <w:rsid w:val="00D33983"/>
    <w:rsid w:val="00D34508"/>
    <w:rsid w:val="00D351C8"/>
    <w:rsid w:val="00D355C6"/>
    <w:rsid w:val="00D37093"/>
    <w:rsid w:val="00D37FF8"/>
    <w:rsid w:val="00D4134F"/>
    <w:rsid w:val="00D41F02"/>
    <w:rsid w:val="00D42379"/>
    <w:rsid w:val="00D44082"/>
    <w:rsid w:val="00D4423B"/>
    <w:rsid w:val="00D450FE"/>
    <w:rsid w:val="00D50C57"/>
    <w:rsid w:val="00D51B74"/>
    <w:rsid w:val="00D52E8C"/>
    <w:rsid w:val="00D539FC"/>
    <w:rsid w:val="00D53AE0"/>
    <w:rsid w:val="00D54A40"/>
    <w:rsid w:val="00D553D7"/>
    <w:rsid w:val="00D56288"/>
    <w:rsid w:val="00D60067"/>
    <w:rsid w:val="00D6049E"/>
    <w:rsid w:val="00D60BFB"/>
    <w:rsid w:val="00D60DE2"/>
    <w:rsid w:val="00D61C49"/>
    <w:rsid w:val="00D6377B"/>
    <w:rsid w:val="00D65B72"/>
    <w:rsid w:val="00D678E9"/>
    <w:rsid w:val="00D71F3E"/>
    <w:rsid w:val="00D72003"/>
    <w:rsid w:val="00D72F09"/>
    <w:rsid w:val="00D72F54"/>
    <w:rsid w:val="00D73389"/>
    <w:rsid w:val="00D73B0F"/>
    <w:rsid w:val="00D74967"/>
    <w:rsid w:val="00D753BE"/>
    <w:rsid w:val="00D7667D"/>
    <w:rsid w:val="00D77D99"/>
    <w:rsid w:val="00D80E75"/>
    <w:rsid w:val="00D83371"/>
    <w:rsid w:val="00D83E66"/>
    <w:rsid w:val="00D84FBA"/>
    <w:rsid w:val="00D85556"/>
    <w:rsid w:val="00D86A41"/>
    <w:rsid w:val="00D93469"/>
    <w:rsid w:val="00D93EED"/>
    <w:rsid w:val="00D97794"/>
    <w:rsid w:val="00DA1D89"/>
    <w:rsid w:val="00DA23A2"/>
    <w:rsid w:val="00DA2704"/>
    <w:rsid w:val="00DA283F"/>
    <w:rsid w:val="00DA2D8C"/>
    <w:rsid w:val="00DA3378"/>
    <w:rsid w:val="00DA3400"/>
    <w:rsid w:val="00DA3668"/>
    <w:rsid w:val="00DA4C65"/>
    <w:rsid w:val="00DA5FED"/>
    <w:rsid w:val="00DA694B"/>
    <w:rsid w:val="00DB1514"/>
    <w:rsid w:val="00DB197C"/>
    <w:rsid w:val="00DB5DF8"/>
    <w:rsid w:val="00DB621E"/>
    <w:rsid w:val="00DB7572"/>
    <w:rsid w:val="00DB78B5"/>
    <w:rsid w:val="00DC1578"/>
    <w:rsid w:val="00DC1767"/>
    <w:rsid w:val="00DC2E33"/>
    <w:rsid w:val="00DC4E6D"/>
    <w:rsid w:val="00DC6366"/>
    <w:rsid w:val="00DC65A5"/>
    <w:rsid w:val="00DC6869"/>
    <w:rsid w:val="00DD053E"/>
    <w:rsid w:val="00DD06F5"/>
    <w:rsid w:val="00DD0BD6"/>
    <w:rsid w:val="00DD1E99"/>
    <w:rsid w:val="00DD2171"/>
    <w:rsid w:val="00DD3310"/>
    <w:rsid w:val="00DD3428"/>
    <w:rsid w:val="00DD3B73"/>
    <w:rsid w:val="00DD48B7"/>
    <w:rsid w:val="00DD5346"/>
    <w:rsid w:val="00DD67D4"/>
    <w:rsid w:val="00DD74ED"/>
    <w:rsid w:val="00DD7DC4"/>
    <w:rsid w:val="00DE2301"/>
    <w:rsid w:val="00DE2A62"/>
    <w:rsid w:val="00DE2C88"/>
    <w:rsid w:val="00DE2D03"/>
    <w:rsid w:val="00DE380B"/>
    <w:rsid w:val="00DE488C"/>
    <w:rsid w:val="00DE4CF2"/>
    <w:rsid w:val="00DE62BD"/>
    <w:rsid w:val="00DE643E"/>
    <w:rsid w:val="00DE6C6C"/>
    <w:rsid w:val="00DF017B"/>
    <w:rsid w:val="00DF1281"/>
    <w:rsid w:val="00DF576D"/>
    <w:rsid w:val="00DF5D88"/>
    <w:rsid w:val="00E01FF8"/>
    <w:rsid w:val="00E0330D"/>
    <w:rsid w:val="00E0334C"/>
    <w:rsid w:val="00E03814"/>
    <w:rsid w:val="00E0439B"/>
    <w:rsid w:val="00E05198"/>
    <w:rsid w:val="00E06861"/>
    <w:rsid w:val="00E10A9E"/>
    <w:rsid w:val="00E11D1C"/>
    <w:rsid w:val="00E122B1"/>
    <w:rsid w:val="00E1467C"/>
    <w:rsid w:val="00E17BA9"/>
    <w:rsid w:val="00E206A0"/>
    <w:rsid w:val="00E20CCC"/>
    <w:rsid w:val="00E21095"/>
    <w:rsid w:val="00E21F7A"/>
    <w:rsid w:val="00E23ACC"/>
    <w:rsid w:val="00E255F4"/>
    <w:rsid w:val="00E25786"/>
    <w:rsid w:val="00E327A6"/>
    <w:rsid w:val="00E344E5"/>
    <w:rsid w:val="00E35B52"/>
    <w:rsid w:val="00E35DC1"/>
    <w:rsid w:val="00E367DE"/>
    <w:rsid w:val="00E3765E"/>
    <w:rsid w:val="00E37B13"/>
    <w:rsid w:val="00E40048"/>
    <w:rsid w:val="00E40F5C"/>
    <w:rsid w:val="00E4592F"/>
    <w:rsid w:val="00E4606E"/>
    <w:rsid w:val="00E47BBA"/>
    <w:rsid w:val="00E47ED1"/>
    <w:rsid w:val="00E50C21"/>
    <w:rsid w:val="00E554FC"/>
    <w:rsid w:val="00E55AF0"/>
    <w:rsid w:val="00E61217"/>
    <w:rsid w:val="00E61D36"/>
    <w:rsid w:val="00E62882"/>
    <w:rsid w:val="00E6356B"/>
    <w:rsid w:val="00E65384"/>
    <w:rsid w:val="00E6758D"/>
    <w:rsid w:val="00E703A2"/>
    <w:rsid w:val="00E7450D"/>
    <w:rsid w:val="00E7630F"/>
    <w:rsid w:val="00E773DE"/>
    <w:rsid w:val="00E80F80"/>
    <w:rsid w:val="00E81282"/>
    <w:rsid w:val="00E82C66"/>
    <w:rsid w:val="00E83969"/>
    <w:rsid w:val="00E83B7E"/>
    <w:rsid w:val="00E84DD0"/>
    <w:rsid w:val="00E851B2"/>
    <w:rsid w:val="00E85878"/>
    <w:rsid w:val="00E85A87"/>
    <w:rsid w:val="00E862A5"/>
    <w:rsid w:val="00E871D6"/>
    <w:rsid w:val="00E90071"/>
    <w:rsid w:val="00E90A08"/>
    <w:rsid w:val="00E91A12"/>
    <w:rsid w:val="00E926AF"/>
    <w:rsid w:val="00E93CCA"/>
    <w:rsid w:val="00E9519E"/>
    <w:rsid w:val="00E9582F"/>
    <w:rsid w:val="00EA0090"/>
    <w:rsid w:val="00EA08F1"/>
    <w:rsid w:val="00EA0AAF"/>
    <w:rsid w:val="00EA2EA0"/>
    <w:rsid w:val="00EA4623"/>
    <w:rsid w:val="00EA6B45"/>
    <w:rsid w:val="00EB079D"/>
    <w:rsid w:val="00EB0D1A"/>
    <w:rsid w:val="00EB13F6"/>
    <w:rsid w:val="00EB21D0"/>
    <w:rsid w:val="00EB543D"/>
    <w:rsid w:val="00EB598E"/>
    <w:rsid w:val="00EB5C0B"/>
    <w:rsid w:val="00EC05A6"/>
    <w:rsid w:val="00EC1DB8"/>
    <w:rsid w:val="00EC38DC"/>
    <w:rsid w:val="00EC403A"/>
    <w:rsid w:val="00EC5459"/>
    <w:rsid w:val="00EC57D6"/>
    <w:rsid w:val="00EC5A02"/>
    <w:rsid w:val="00EC5B0B"/>
    <w:rsid w:val="00ED0C4B"/>
    <w:rsid w:val="00ED1F2C"/>
    <w:rsid w:val="00ED36A6"/>
    <w:rsid w:val="00ED42AA"/>
    <w:rsid w:val="00ED5265"/>
    <w:rsid w:val="00ED6854"/>
    <w:rsid w:val="00ED6F36"/>
    <w:rsid w:val="00EE0BF5"/>
    <w:rsid w:val="00EE1482"/>
    <w:rsid w:val="00EE2CAB"/>
    <w:rsid w:val="00EE2E3A"/>
    <w:rsid w:val="00EE3C55"/>
    <w:rsid w:val="00EE42C8"/>
    <w:rsid w:val="00EE4CD6"/>
    <w:rsid w:val="00EE719B"/>
    <w:rsid w:val="00EF26E2"/>
    <w:rsid w:val="00EF312B"/>
    <w:rsid w:val="00EF4B43"/>
    <w:rsid w:val="00EF5C6E"/>
    <w:rsid w:val="00EF69DE"/>
    <w:rsid w:val="00F0212D"/>
    <w:rsid w:val="00F02509"/>
    <w:rsid w:val="00F02EF1"/>
    <w:rsid w:val="00F1188A"/>
    <w:rsid w:val="00F11992"/>
    <w:rsid w:val="00F12934"/>
    <w:rsid w:val="00F13FA7"/>
    <w:rsid w:val="00F17E41"/>
    <w:rsid w:val="00F24791"/>
    <w:rsid w:val="00F26190"/>
    <w:rsid w:val="00F26642"/>
    <w:rsid w:val="00F276B2"/>
    <w:rsid w:val="00F27E0B"/>
    <w:rsid w:val="00F30F3A"/>
    <w:rsid w:val="00F320BD"/>
    <w:rsid w:val="00F36C1E"/>
    <w:rsid w:val="00F37F76"/>
    <w:rsid w:val="00F453DF"/>
    <w:rsid w:val="00F47191"/>
    <w:rsid w:val="00F52D0B"/>
    <w:rsid w:val="00F5586D"/>
    <w:rsid w:val="00F567BD"/>
    <w:rsid w:val="00F56934"/>
    <w:rsid w:val="00F610E1"/>
    <w:rsid w:val="00F64188"/>
    <w:rsid w:val="00F675DB"/>
    <w:rsid w:val="00F72399"/>
    <w:rsid w:val="00F7260C"/>
    <w:rsid w:val="00F73C4C"/>
    <w:rsid w:val="00F746C0"/>
    <w:rsid w:val="00F7512E"/>
    <w:rsid w:val="00F758B0"/>
    <w:rsid w:val="00F75A20"/>
    <w:rsid w:val="00F77566"/>
    <w:rsid w:val="00F77753"/>
    <w:rsid w:val="00F77C1F"/>
    <w:rsid w:val="00F77ECD"/>
    <w:rsid w:val="00F8001F"/>
    <w:rsid w:val="00F82786"/>
    <w:rsid w:val="00F828AB"/>
    <w:rsid w:val="00F83366"/>
    <w:rsid w:val="00F84FE8"/>
    <w:rsid w:val="00F85B6C"/>
    <w:rsid w:val="00F87F92"/>
    <w:rsid w:val="00F9158C"/>
    <w:rsid w:val="00F92144"/>
    <w:rsid w:val="00F92823"/>
    <w:rsid w:val="00F9311F"/>
    <w:rsid w:val="00F94299"/>
    <w:rsid w:val="00F944EE"/>
    <w:rsid w:val="00F947B1"/>
    <w:rsid w:val="00F96111"/>
    <w:rsid w:val="00F96332"/>
    <w:rsid w:val="00FA051A"/>
    <w:rsid w:val="00FA2931"/>
    <w:rsid w:val="00FA38A8"/>
    <w:rsid w:val="00FA3C93"/>
    <w:rsid w:val="00FA4CD8"/>
    <w:rsid w:val="00FA598B"/>
    <w:rsid w:val="00FA5E03"/>
    <w:rsid w:val="00FA5EFC"/>
    <w:rsid w:val="00FA67AB"/>
    <w:rsid w:val="00FB1128"/>
    <w:rsid w:val="00FB263F"/>
    <w:rsid w:val="00FB2D1E"/>
    <w:rsid w:val="00FB3120"/>
    <w:rsid w:val="00FB39CB"/>
    <w:rsid w:val="00FB6BEA"/>
    <w:rsid w:val="00FC0033"/>
    <w:rsid w:val="00FC290D"/>
    <w:rsid w:val="00FC378F"/>
    <w:rsid w:val="00FC409D"/>
    <w:rsid w:val="00FC49B2"/>
    <w:rsid w:val="00FD1967"/>
    <w:rsid w:val="00FD2910"/>
    <w:rsid w:val="00FD30B4"/>
    <w:rsid w:val="00FD34CC"/>
    <w:rsid w:val="00FD36B0"/>
    <w:rsid w:val="00FD38B9"/>
    <w:rsid w:val="00FD4DB8"/>
    <w:rsid w:val="00FD6772"/>
    <w:rsid w:val="00FD6E7F"/>
    <w:rsid w:val="00FD7D6D"/>
    <w:rsid w:val="00FE0F5E"/>
    <w:rsid w:val="00FE365D"/>
    <w:rsid w:val="00FE5EB5"/>
    <w:rsid w:val="00FE60D9"/>
    <w:rsid w:val="00FE6798"/>
    <w:rsid w:val="00FE7D0B"/>
    <w:rsid w:val="00FF2397"/>
    <w:rsid w:val="00FF29C6"/>
    <w:rsid w:val="00FF3AEF"/>
    <w:rsid w:val="00FF3B5B"/>
    <w:rsid w:val="00FF4630"/>
    <w:rsid w:val="00FF6AA4"/>
    <w:rsid w:val="00FF7909"/>
    <w:rsid w:val="00FF7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E8C"/>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autoRedefine/>
    <w:rsid w:val="00AC5E8C"/>
    <w:pPr>
      <w:autoSpaceDE w:val="0"/>
      <w:autoSpaceDN w:val="0"/>
      <w:adjustRightInd w:val="0"/>
      <w:spacing w:after="0" w:line="240" w:lineRule="auto"/>
    </w:pPr>
    <w:rPr>
      <w:rFonts w:ascii="Times New Roman" w:hAnsi="Times New Roman" w:cs="Times New Roman"/>
      <w:color w:val="FF0000"/>
      <w:sz w:val="18"/>
      <w:lang w:val="en-GB"/>
    </w:rPr>
  </w:style>
  <w:style w:type="character" w:customStyle="1" w:styleId="DefaultChar">
    <w:name w:val="Default Char"/>
    <w:basedOn w:val="DefaultParagraphFont"/>
    <w:link w:val="Default"/>
    <w:rsid w:val="00AC5E8C"/>
    <w:rPr>
      <w:rFonts w:ascii="Times New Roman" w:hAnsi="Times New Roman" w:cs="Times New Roman"/>
      <w:color w:val="FF0000"/>
      <w:sz w:val="18"/>
      <w:lang w:val="en-GB"/>
    </w:rPr>
  </w:style>
  <w:style w:type="paragraph" w:styleId="FootnoteText">
    <w:name w:val="footnote text"/>
    <w:basedOn w:val="Normal"/>
    <w:link w:val="FootnoteTextChar"/>
    <w:uiPriority w:val="99"/>
    <w:semiHidden/>
    <w:unhideWhenUsed/>
    <w:rsid w:val="00AC5E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E8C"/>
    <w:rPr>
      <w:rFonts w:ascii="Times New Roman" w:hAnsi="Times New Roman"/>
      <w:sz w:val="20"/>
      <w:szCs w:val="20"/>
    </w:rPr>
  </w:style>
  <w:style w:type="character" w:styleId="FootnoteReference">
    <w:name w:val="footnote reference"/>
    <w:basedOn w:val="DefaultParagraphFont"/>
    <w:uiPriority w:val="99"/>
    <w:semiHidden/>
    <w:unhideWhenUsed/>
    <w:rsid w:val="00AC5E8C"/>
    <w:rPr>
      <w:vertAlign w:val="superscript"/>
    </w:rPr>
  </w:style>
  <w:style w:type="table" w:styleId="TableGrid">
    <w:name w:val="Table Grid"/>
    <w:basedOn w:val="TableNormal"/>
    <w:uiPriority w:val="59"/>
    <w:rsid w:val="00AC5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E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E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E8C"/>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autoRedefine/>
    <w:rsid w:val="00AC5E8C"/>
    <w:pPr>
      <w:autoSpaceDE w:val="0"/>
      <w:autoSpaceDN w:val="0"/>
      <w:adjustRightInd w:val="0"/>
      <w:spacing w:after="0" w:line="240" w:lineRule="auto"/>
    </w:pPr>
    <w:rPr>
      <w:rFonts w:ascii="Times New Roman" w:hAnsi="Times New Roman" w:cs="Times New Roman"/>
      <w:color w:val="FF0000"/>
      <w:sz w:val="18"/>
      <w:lang w:val="en-GB"/>
    </w:rPr>
  </w:style>
  <w:style w:type="character" w:customStyle="1" w:styleId="DefaultChar">
    <w:name w:val="Default Char"/>
    <w:basedOn w:val="DefaultParagraphFont"/>
    <w:link w:val="Default"/>
    <w:rsid w:val="00AC5E8C"/>
    <w:rPr>
      <w:rFonts w:ascii="Times New Roman" w:hAnsi="Times New Roman" w:cs="Times New Roman"/>
      <w:color w:val="FF0000"/>
      <w:sz w:val="18"/>
      <w:lang w:val="en-GB"/>
    </w:rPr>
  </w:style>
  <w:style w:type="paragraph" w:styleId="FootnoteText">
    <w:name w:val="footnote text"/>
    <w:basedOn w:val="Normal"/>
    <w:link w:val="FootnoteTextChar"/>
    <w:uiPriority w:val="99"/>
    <w:semiHidden/>
    <w:unhideWhenUsed/>
    <w:rsid w:val="00AC5E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E8C"/>
    <w:rPr>
      <w:rFonts w:ascii="Times New Roman" w:hAnsi="Times New Roman"/>
      <w:sz w:val="20"/>
      <w:szCs w:val="20"/>
    </w:rPr>
  </w:style>
  <w:style w:type="character" w:styleId="FootnoteReference">
    <w:name w:val="footnote reference"/>
    <w:basedOn w:val="DefaultParagraphFont"/>
    <w:uiPriority w:val="99"/>
    <w:semiHidden/>
    <w:unhideWhenUsed/>
    <w:rsid w:val="00AC5E8C"/>
    <w:rPr>
      <w:vertAlign w:val="superscript"/>
    </w:rPr>
  </w:style>
  <w:style w:type="table" w:styleId="TableGrid">
    <w:name w:val="Table Grid"/>
    <w:basedOn w:val="TableNormal"/>
    <w:uiPriority w:val="59"/>
    <w:rsid w:val="00AC5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E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E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1079</Words>
  <Characters>6153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Chalker</dc:creator>
  <cp:lastModifiedBy>John Chalker</cp:lastModifiedBy>
  <cp:revision>3</cp:revision>
  <dcterms:created xsi:type="dcterms:W3CDTF">2015-04-02T13:58:00Z</dcterms:created>
  <dcterms:modified xsi:type="dcterms:W3CDTF">2015-04-02T14:04:00Z</dcterms:modified>
</cp:coreProperties>
</file>