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CA1C2" w14:textId="5BBE5619" w:rsidR="00467605" w:rsidRDefault="00467605" w:rsidP="002D1AFE">
      <w:pPr>
        <w:jc w:val="center"/>
        <w:rPr>
          <w:b/>
          <w:sz w:val="36"/>
          <w:szCs w:val="36"/>
          <w:u w:val="single"/>
        </w:rPr>
      </w:pPr>
    </w:p>
    <w:p w14:paraId="7CC27385" w14:textId="77777777" w:rsidR="00AF7049" w:rsidRPr="00503622" w:rsidRDefault="00AF7049" w:rsidP="00AF7049">
      <w:pPr>
        <w:pStyle w:val="NoSpacing"/>
        <w:rPr>
          <w:rFonts w:asciiTheme="majorHAnsi" w:hAnsiTheme="majorHAnsi"/>
          <w:b/>
          <w:color w:val="1F4E79" w:themeColor="accent1" w:themeShade="80"/>
          <w:sz w:val="36"/>
          <w:szCs w:val="36"/>
        </w:rPr>
      </w:pPr>
    </w:p>
    <w:p w14:paraId="4AD6B48B" w14:textId="77777777" w:rsidR="00AF7049" w:rsidRPr="00503622" w:rsidRDefault="00AF7049" w:rsidP="00AF7049">
      <w:pPr>
        <w:rPr>
          <w:rFonts w:asciiTheme="majorHAnsi" w:hAnsiTheme="majorHAnsi"/>
        </w:rPr>
      </w:pPr>
    </w:p>
    <w:p w14:paraId="29D922D2" w14:textId="77777777" w:rsidR="00AF7049" w:rsidRPr="00503622" w:rsidRDefault="00AF7049" w:rsidP="00AF7049">
      <w:pPr>
        <w:rPr>
          <w:rFonts w:asciiTheme="majorHAnsi" w:hAnsiTheme="majorHAnsi"/>
        </w:rPr>
      </w:pPr>
    </w:p>
    <w:p w14:paraId="0A19A277" w14:textId="77777777" w:rsidR="00AF7049" w:rsidRPr="00503622" w:rsidRDefault="00AF7049" w:rsidP="00AF7049">
      <w:pPr>
        <w:rPr>
          <w:rFonts w:asciiTheme="majorHAnsi" w:hAnsiTheme="majorHAnsi"/>
        </w:rPr>
      </w:pPr>
    </w:p>
    <w:p w14:paraId="147A7059" w14:textId="77777777" w:rsidR="00AF7049" w:rsidRPr="00503622" w:rsidRDefault="00AF7049" w:rsidP="00AF7049">
      <w:pPr>
        <w:rPr>
          <w:rFonts w:asciiTheme="majorHAnsi" w:hAnsiTheme="majorHAnsi"/>
        </w:rPr>
      </w:pPr>
    </w:p>
    <w:p w14:paraId="3834B3E4" w14:textId="77777777" w:rsidR="00AF7049" w:rsidRPr="00503622" w:rsidRDefault="00AF7049" w:rsidP="00AF7049">
      <w:pPr>
        <w:rPr>
          <w:rFonts w:asciiTheme="majorHAnsi" w:hAnsiTheme="majorHAnsi"/>
        </w:rPr>
      </w:pPr>
    </w:p>
    <w:p w14:paraId="58E5F616" w14:textId="77777777" w:rsidR="00AF7049" w:rsidRPr="00503622" w:rsidRDefault="00AF7049" w:rsidP="00AF7049">
      <w:pPr>
        <w:rPr>
          <w:rFonts w:asciiTheme="majorHAnsi" w:hAnsiTheme="majorHAnsi"/>
        </w:rPr>
      </w:pPr>
    </w:p>
    <w:p w14:paraId="091E960B" w14:textId="77777777" w:rsidR="00AF7049" w:rsidRPr="00503622" w:rsidRDefault="00AF7049" w:rsidP="00AF7049">
      <w:pPr>
        <w:rPr>
          <w:rFonts w:asciiTheme="majorHAnsi" w:hAnsiTheme="majorHAnsi"/>
        </w:rPr>
      </w:pPr>
    </w:p>
    <w:p w14:paraId="756ED49F" w14:textId="77777777" w:rsidR="00AF7049" w:rsidRPr="00503622" w:rsidRDefault="00AF7049" w:rsidP="00AF7049">
      <w:pPr>
        <w:rPr>
          <w:rFonts w:asciiTheme="majorHAnsi" w:hAnsiTheme="majorHAnsi"/>
        </w:rPr>
      </w:pPr>
    </w:p>
    <w:p w14:paraId="37DFD38B" w14:textId="6DDB46C9" w:rsidR="00AF7049" w:rsidRPr="00856C8B" w:rsidRDefault="00AF7049" w:rsidP="00AF7049">
      <w:pPr>
        <w:rPr>
          <w:rFonts w:asciiTheme="majorHAnsi" w:hAnsiTheme="majorHAnsi"/>
          <w:color w:val="808080" w:themeColor="background1" w:themeShade="80"/>
          <w:sz w:val="36"/>
        </w:rPr>
      </w:pPr>
      <w:r w:rsidRPr="00856C8B">
        <w:rPr>
          <w:rFonts w:asciiTheme="majorHAnsi" w:hAnsiTheme="majorHAnsi"/>
          <w:color w:val="808080" w:themeColor="background1" w:themeShade="80"/>
          <w:sz w:val="36"/>
        </w:rPr>
        <w:t>Pre-Analysis Plan</w:t>
      </w:r>
    </w:p>
    <w:p w14:paraId="20C35809" w14:textId="4634F530" w:rsidR="00AF7049" w:rsidRPr="00C879F9" w:rsidRDefault="00AF7049" w:rsidP="00AF7049">
      <w:pPr>
        <w:rPr>
          <w:rFonts w:asciiTheme="majorHAnsi" w:hAnsiTheme="majorHAnsi"/>
        </w:rPr>
      </w:pPr>
    </w:p>
    <w:p w14:paraId="01151143" w14:textId="77777777" w:rsidR="00AF7049" w:rsidRPr="00C879F9" w:rsidRDefault="00AF7049" w:rsidP="00AF7049">
      <w:pPr>
        <w:rPr>
          <w:rFonts w:asciiTheme="majorHAnsi" w:hAnsiTheme="majorHAnsi"/>
        </w:rPr>
      </w:pPr>
    </w:p>
    <w:p w14:paraId="2043EF77" w14:textId="7C81D298" w:rsidR="00AF7049" w:rsidRPr="00C879F9" w:rsidRDefault="0015728E" w:rsidP="00AF7049">
      <w:pPr>
        <w:rPr>
          <w:rFonts w:asciiTheme="majorHAnsi" w:hAnsiTheme="majorHAnsi"/>
          <w:b/>
          <w:color w:val="1F4E79" w:themeColor="accent1" w:themeShade="80"/>
          <w:sz w:val="48"/>
          <w:szCs w:val="48"/>
        </w:rPr>
      </w:pPr>
      <w:r>
        <w:rPr>
          <w:rFonts w:asciiTheme="majorHAnsi" w:hAnsiTheme="majorHAnsi"/>
          <w:b/>
          <w:color w:val="1F4E79" w:themeColor="accent1" w:themeShade="80"/>
          <w:sz w:val="48"/>
          <w:szCs w:val="48"/>
        </w:rPr>
        <w:t>GiveDirectly Iganga Cash Transfer Program</w:t>
      </w:r>
    </w:p>
    <w:p w14:paraId="69465D94" w14:textId="77777777" w:rsidR="00AF7049" w:rsidRPr="00C879F9" w:rsidRDefault="00AF7049" w:rsidP="00AF7049">
      <w:pPr>
        <w:rPr>
          <w:rFonts w:asciiTheme="majorHAnsi" w:hAnsiTheme="majorHAnsi"/>
          <w:color w:val="5B9BD5" w:themeColor="accent1"/>
          <w:sz w:val="28"/>
        </w:rPr>
      </w:pPr>
    </w:p>
    <w:p w14:paraId="4B80E8B2" w14:textId="77777777" w:rsidR="00AF7049" w:rsidRPr="00C879F9" w:rsidRDefault="00AF7049" w:rsidP="00AF7049">
      <w:pPr>
        <w:rPr>
          <w:rFonts w:asciiTheme="majorHAnsi" w:hAnsiTheme="majorHAnsi"/>
          <w:color w:val="5B9BD5" w:themeColor="accent1"/>
          <w:sz w:val="28"/>
        </w:rPr>
      </w:pPr>
    </w:p>
    <w:p w14:paraId="2B6BC271" w14:textId="3288FB34" w:rsidR="00AF7049" w:rsidRPr="00856C8B" w:rsidRDefault="00AF7049" w:rsidP="00AF7049">
      <w:pPr>
        <w:rPr>
          <w:rFonts w:asciiTheme="majorHAnsi" w:hAnsiTheme="majorHAnsi"/>
          <w:color w:val="808080" w:themeColor="background1" w:themeShade="80"/>
          <w:sz w:val="28"/>
        </w:rPr>
      </w:pPr>
      <w:r w:rsidRPr="00856C8B">
        <w:rPr>
          <w:rFonts w:asciiTheme="majorHAnsi" w:hAnsiTheme="majorHAnsi"/>
          <w:color w:val="808080" w:themeColor="background1" w:themeShade="80"/>
          <w:sz w:val="28"/>
        </w:rPr>
        <w:t xml:space="preserve">Submitted by: </w:t>
      </w:r>
      <w:r w:rsidR="00EF7747" w:rsidRPr="00856C8B">
        <w:rPr>
          <w:rFonts w:asciiTheme="majorHAnsi" w:hAnsiTheme="majorHAnsi"/>
          <w:b/>
          <w:color w:val="808080" w:themeColor="background1" w:themeShade="80"/>
          <w:sz w:val="28"/>
        </w:rPr>
        <w:t>GiveDirectly</w:t>
      </w:r>
    </w:p>
    <w:p w14:paraId="600F315B" w14:textId="7FEE6C64" w:rsidR="00AF7049" w:rsidRPr="00856C8B" w:rsidRDefault="008F0DC8" w:rsidP="00AF7049">
      <w:pPr>
        <w:rPr>
          <w:rFonts w:asciiTheme="majorHAnsi" w:hAnsiTheme="majorHAnsi"/>
          <w:color w:val="808080" w:themeColor="background1" w:themeShade="80"/>
        </w:rPr>
      </w:pPr>
      <w:r>
        <w:rPr>
          <w:rFonts w:asciiTheme="majorHAnsi" w:hAnsiTheme="majorHAnsi"/>
          <w:color w:val="808080" w:themeColor="background1" w:themeShade="80"/>
          <w:sz w:val="28"/>
        </w:rPr>
        <w:t>May 2018</w:t>
      </w:r>
    </w:p>
    <w:p w14:paraId="41E554C3" w14:textId="77777777" w:rsidR="00AF7049" w:rsidRPr="00C879F9" w:rsidRDefault="00AF7049" w:rsidP="00AF7049">
      <w:pPr>
        <w:rPr>
          <w:rFonts w:asciiTheme="majorHAnsi" w:hAnsiTheme="majorHAnsi"/>
        </w:rPr>
      </w:pPr>
    </w:p>
    <w:p w14:paraId="15F19B7A" w14:textId="77777777" w:rsidR="00AF7049" w:rsidRPr="00C879F9" w:rsidRDefault="00AF7049" w:rsidP="00AF7049">
      <w:pPr>
        <w:rPr>
          <w:rFonts w:asciiTheme="majorHAnsi" w:hAnsiTheme="majorHAnsi"/>
        </w:rPr>
      </w:pPr>
    </w:p>
    <w:p w14:paraId="70E65A9A" w14:textId="5C5E5E6B" w:rsidR="00AF7049" w:rsidRPr="00C879F9" w:rsidRDefault="00AF7049" w:rsidP="00AF7049">
      <w:pPr>
        <w:rPr>
          <w:rFonts w:asciiTheme="majorHAnsi" w:hAnsiTheme="majorHAnsi"/>
        </w:rPr>
      </w:pPr>
    </w:p>
    <w:p w14:paraId="6B497431" w14:textId="2BE42749" w:rsidR="000358AE" w:rsidRPr="00767106" w:rsidRDefault="000358AE" w:rsidP="00767106"/>
    <w:p w14:paraId="09D73D27" w14:textId="7D824C0B" w:rsidR="00767106" w:rsidRPr="00767106" w:rsidRDefault="00767106" w:rsidP="00767106"/>
    <w:p w14:paraId="516330AC" w14:textId="02266A3E" w:rsidR="00767106" w:rsidRDefault="00767106" w:rsidP="00767106"/>
    <w:p w14:paraId="16C67284" w14:textId="77777777" w:rsidR="00767106" w:rsidRPr="00767106" w:rsidRDefault="00767106" w:rsidP="00767106"/>
    <w:p w14:paraId="2E1B2A0D" w14:textId="77777777" w:rsidR="00AF7049" w:rsidRPr="00C879F9" w:rsidRDefault="00AF7049" w:rsidP="00767106"/>
    <w:p w14:paraId="63290C3D" w14:textId="77777777" w:rsidR="00AF7049" w:rsidRPr="00C879F9" w:rsidRDefault="00AF7049" w:rsidP="00AF7049">
      <w:pPr>
        <w:rPr>
          <w:rFonts w:asciiTheme="majorHAnsi" w:hAnsiTheme="majorHAnsi"/>
        </w:rPr>
      </w:pPr>
    </w:p>
    <w:p w14:paraId="38C75FFF" w14:textId="1686B2E6" w:rsidR="00AF7049" w:rsidRPr="00856C8B" w:rsidRDefault="00AF7049" w:rsidP="00AF7049">
      <w:pPr>
        <w:rPr>
          <w:rFonts w:asciiTheme="majorHAnsi" w:hAnsiTheme="majorHAnsi"/>
          <w:color w:val="808080" w:themeColor="background1" w:themeShade="80"/>
          <w:sz w:val="144"/>
          <w:szCs w:val="144"/>
        </w:rPr>
      </w:pPr>
    </w:p>
    <w:p w14:paraId="53BA7953" w14:textId="77777777" w:rsidR="00AF7049" w:rsidRPr="00C879F9" w:rsidRDefault="00AF7049" w:rsidP="00AF7049">
      <w:pPr>
        <w:rPr>
          <w:rFonts w:asciiTheme="majorHAnsi" w:hAnsiTheme="majorHAnsi"/>
        </w:rPr>
      </w:pPr>
    </w:p>
    <w:p w14:paraId="33CD4E21" w14:textId="77777777" w:rsidR="00AF7049" w:rsidRPr="00C879F9" w:rsidRDefault="00AF7049" w:rsidP="00AF7049">
      <w:pPr>
        <w:rPr>
          <w:rFonts w:asciiTheme="majorHAnsi" w:hAnsiTheme="majorHAnsi"/>
        </w:rPr>
      </w:pPr>
    </w:p>
    <w:p w14:paraId="663B0DD2" w14:textId="77777777" w:rsidR="00AF7049" w:rsidRPr="00C879F9" w:rsidRDefault="00AF7049" w:rsidP="00AF7049">
      <w:pPr>
        <w:rPr>
          <w:rFonts w:asciiTheme="majorHAnsi" w:hAnsiTheme="majorHAnsi"/>
        </w:rPr>
      </w:pPr>
    </w:p>
    <w:p w14:paraId="028E1639" w14:textId="77777777" w:rsidR="00AF7049" w:rsidRPr="00C879F9" w:rsidRDefault="00AF7049" w:rsidP="00AF7049">
      <w:pPr>
        <w:rPr>
          <w:rFonts w:asciiTheme="majorHAnsi" w:hAnsiTheme="majorHAnsi"/>
        </w:rPr>
      </w:pPr>
    </w:p>
    <w:p w14:paraId="1FF72F86" w14:textId="77777777" w:rsidR="00AF7049" w:rsidRPr="00C879F9" w:rsidRDefault="00AF7049" w:rsidP="00AF7049">
      <w:pPr>
        <w:rPr>
          <w:rFonts w:asciiTheme="majorHAnsi" w:hAnsiTheme="majorHAnsi"/>
        </w:rPr>
      </w:pPr>
    </w:p>
    <w:p w14:paraId="68E6DE9A" w14:textId="77777777" w:rsidR="00AF7049" w:rsidRPr="00C879F9" w:rsidRDefault="00AF7049" w:rsidP="00AF7049">
      <w:pPr>
        <w:rPr>
          <w:rFonts w:asciiTheme="majorHAnsi" w:hAnsiTheme="majorHAnsi"/>
        </w:rPr>
      </w:pPr>
    </w:p>
    <w:p w14:paraId="7BF6B041" w14:textId="77777777" w:rsidR="00AF7049" w:rsidRPr="00C879F9" w:rsidRDefault="00AF7049" w:rsidP="00AF7049">
      <w:pPr>
        <w:rPr>
          <w:rFonts w:asciiTheme="majorHAnsi" w:hAnsiTheme="majorHAnsi"/>
        </w:rPr>
      </w:pPr>
    </w:p>
    <w:p w14:paraId="41D4A68C" w14:textId="77777777" w:rsidR="00AF7049" w:rsidRPr="00C879F9" w:rsidRDefault="00AF7049" w:rsidP="00AF7049">
      <w:pPr>
        <w:rPr>
          <w:rFonts w:asciiTheme="majorHAnsi" w:hAnsiTheme="majorHAnsi"/>
        </w:rPr>
      </w:pPr>
    </w:p>
    <w:p w14:paraId="1606294C" w14:textId="77777777" w:rsidR="00AF7049" w:rsidRPr="00C879F9" w:rsidRDefault="00AF7049" w:rsidP="00AF7049">
      <w:pPr>
        <w:rPr>
          <w:rFonts w:asciiTheme="majorHAnsi" w:hAnsiTheme="majorHAnsi"/>
        </w:rPr>
      </w:pPr>
    </w:p>
    <w:p w14:paraId="056AF353" w14:textId="77777777" w:rsidR="00AF7049" w:rsidRPr="00C879F9" w:rsidRDefault="00AF7049" w:rsidP="00AF7049">
      <w:pPr>
        <w:rPr>
          <w:rFonts w:asciiTheme="majorHAnsi" w:hAnsiTheme="majorHAnsi"/>
        </w:rPr>
      </w:pPr>
    </w:p>
    <w:p w14:paraId="7A63F95F" w14:textId="31226833" w:rsidR="002D1AFE" w:rsidRDefault="002D1AFE" w:rsidP="00086122">
      <w:pPr>
        <w:pStyle w:val="Heading1"/>
      </w:pPr>
      <w:r>
        <w:lastRenderedPageBreak/>
        <w:t>Meta-information</w:t>
      </w:r>
    </w:p>
    <w:p w14:paraId="6862AC9E" w14:textId="77777777" w:rsidR="00817BD4" w:rsidRDefault="00817BD4" w:rsidP="00817BD4">
      <w:pPr>
        <w:pStyle w:val="ListParagraph"/>
      </w:pPr>
    </w:p>
    <w:p w14:paraId="15D4510D" w14:textId="77777777" w:rsidR="00E73B77" w:rsidRPr="00E73B77" w:rsidRDefault="008A7A5A" w:rsidP="008C0537">
      <w:pPr>
        <w:pStyle w:val="ListParagraph"/>
        <w:numPr>
          <w:ilvl w:val="0"/>
          <w:numId w:val="2"/>
        </w:numPr>
        <w:jc w:val="both"/>
        <w:rPr>
          <w:u w:val="single"/>
        </w:rPr>
      </w:pPr>
      <w:r>
        <w:t xml:space="preserve">This is </w:t>
      </w:r>
      <w:r w:rsidR="004526B9">
        <w:t xml:space="preserve">the </w:t>
      </w:r>
      <w:r w:rsidR="00202B0B">
        <w:t xml:space="preserve">second </w:t>
      </w:r>
      <w:r w:rsidR="004526B9">
        <w:t>version of the</w:t>
      </w:r>
      <w:r>
        <w:t xml:space="preserve"> Pre-Analysis Plan (PAP) for </w:t>
      </w:r>
      <w:r w:rsidRPr="00FF0746">
        <w:t>GiveDirectly’s Iganga Coffee Project</w:t>
      </w:r>
      <w:r w:rsidR="009537A0" w:rsidRPr="00FF0746">
        <w:t>.</w:t>
      </w:r>
    </w:p>
    <w:p w14:paraId="4CE1FF78" w14:textId="7336BBEC" w:rsidR="00202B0B" w:rsidRPr="00E73B77" w:rsidRDefault="00202B0B" w:rsidP="008C0537">
      <w:pPr>
        <w:pStyle w:val="ListParagraph"/>
        <w:numPr>
          <w:ilvl w:val="0"/>
          <w:numId w:val="2"/>
        </w:numPr>
        <w:jc w:val="both"/>
        <w:rPr>
          <w:u w:val="single"/>
        </w:rPr>
      </w:pPr>
      <w:r>
        <w:t>The original version of the PAP and this update were written by IDinsight with significant input from GiveDirectly.</w:t>
      </w:r>
    </w:p>
    <w:p w14:paraId="4355C203" w14:textId="70BEC3D9" w:rsidR="00202B0B" w:rsidRPr="00934170" w:rsidRDefault="00202B0B" w:rsidP="008C0537">
      <w:pPr>
        <w:pStyle w:val="ListParagraph"/>
        <w:numPr>
          <w:ilvl w:val="0"/>
          <w:numId w:val="2"/>
        </w:numPr>
        <w:jc w:val="both"/>
        <w:rPr>
          <w:u w:val="single"/>
        </w:rPr>
      </w:pPr>
      <w:r>
        <w:t xml:space="preserve">The update was made to account for changes in the survey made during piloting and the beginning of endline launch, including minor changes to the outcome indicators. It also specifies more clearly how to deal with polyamorous households, merged households, and refused responses.    </w:t>
      </w:r>
    </w:p>
    <w:p w14:paraId="28EFDCB1" w14:textId="5C0A91F9" w:rsidR="0014720F" w:rsidRDefault="00202B0B" w:rsidP="008C0537">
      <w:pPr>
        <w:pStyle w:val="ListParagraph"/>
        <w:numPr>
          <w:ilvl w:val="0"/>
          <w:numId w:val="2"/>
        </w:numPr>
        <w:jc w:val="both"/>
      </w:pPr>
      <w:r>
        <w:t xml:space="preserve">The original </w:t>
      </w:r>
      <w:r w:rsidR="009436A7">
        <w:t xml:space="preserve">PAP was </w:t>
      </w:r>
      <w:r w:rsidR="008A7A5A">
        <w:t xml:space="preserve">written </w:t>
      </w:r>
      <w:r w:rsidR="00036039">
        <w:t xml:space="preserve">during </w:t>
      </w:r>
      <w:r w:rsidR="008A7A5A">
        <w:t>GiveDirectly’s baseline, which launched in</w:t>
      </w:r>
      <w:r w:rsidR="005B66E3">
        <w:t xml:space="preserve"> June</w:t>
      </w:r>
      <w:r w:rsidR="00720CB3">
        <w:t xml:space="preserve"> </w:t>
      </w:r>
      <w:r w:rsidR="008A7A5A">
        <w:t xml:space="preserve">2016 </w:t>
      </w:r>
      <w:r w:rsidR="00720CB3">
        <w:t xml:space="preserve">and </w:t>
      </w:r>
      <w:r w:rsidR="00036039">
        <w:t>was completed</w:t>
      </w:r>
      <w:r w:rsidR="00720CB3">
        <w:t xml:space="preserve"> </w:t>
      </w:r>
      <w:r w:rsidR="00036039">
        <w:t xml:space="preserve">in </w:t>
      </w:r>
      <w:r w:rsidR="00720CB3">
        <w:t>August</w:t>
      </w:r>
      <w:r w:rsidR="005B66E3">
        <w:t xml:space="preserve"> </w:t>
      </w:r>
      <w:r w:rsidR="00720CB3">
        <w:t>2016</w:t>
      </w:r>
      <w:r w:rsidR="009537A0">
        <w:t>.</w:t>
      </w:r>
      <w:r>
        <w:t xml:space="preserve"> This modifie</w:t>
      </w:r>
      <w:r w:rsidR="008F0DC8">
        <w:t>d version was completed in May</w:t>
      </w:r>
      <w:bookmarkStart w:id="0" w:name="_GoBack"/>
      <w:bookmarkEnd w:id="0"/>
      <w:r>
        <w:t xml:space="preserve"> 2018, while the endline was ongoing. </w:t>
      </w:r>
    </w:p>
    <w:p w14:paraId="2B80A58B" w14:textId="0B156FE6" w:rsidR="007340A2" w:rsidRPr="007340A2" w:rsidRDefault="009436A7" w:rsidP="007340A2">
      <w:pPr>
        <w:pStyle w:val="ListParagraph"/>
        <w:numPr>
          <w:ilvl w:val="0"/>
          <w:numId w:val="2"/>
        </w:numPr>
        <w:jc w:val="both"/>
      </w:pPr>
      <w:r w:rsidRPr="009436A7">
        <w:rPr>
          <w:b/>
        </w:rPr>
        <w:t>IDinsight Team</w:t>
      </w:r>
      <w:r>
        <w:t>: Nicholas Parker</w:t>
      </w:r>
      <w:r w:rsidR="00934170">
        <w:t xml:space="preserve"> (Associate), </w:t>
      </w:r>
      <w:r w:rsidR="004F26D9">
        <w:t xml:space="preserve">Deng-Tung Wang (Associate), </w:t>
      </w:r>
      <w:r>
        <w:t>Ignacio Busto</w:t>
      </w:r>
      <w:r w:rsidR="00934170">
        <w:t xml:space="preserve"> (Manager), </w:t>
      </w:r>
      <w:r>
        <w:t>Dan Stein</w:t>
      </w:r>
      <w:r w:rsidR="00934170">
        <w:t xml:space="preserve"> (</w:t>
      </w:r>
      <w:r w:rsidR="004F26D9">
        <w:t>Chief Economist</w:t>
      </w:r>
      <w:r w:rsidR="00934170">
        <w:t>), and P</w:t>
      </w:r>
      <w:r w:rsidR="00F94F15">
        <w:t>aul Wang</w:t>
      </w:r>
      <w:r w:rsidR="00934170">
        <w:t xml:space="preserve"> (Founding Partner)</w:t>
      </w:r>
      <w:r w:rsidR="00FF0746">
        <w:t>.</w:t>
      </w:r>
    </w:p>
    <w:p w14:paraId="4A6140F1" w14:textId="11346DA4" w:rsidR="0047596C" w:rsidRDefault="009436A7" w:rsidP="00036039">
      <w:pPr>
        <w:pStyle w:val="ListParagraph"/>
        <w:numPr>
          <w:ilvl w:val="0"/>
          <w:numId w:val="2"/>
        </w:numPr>
        <w:jc w:val="both"/>
      </w:pPr>
      <w:r w:rsidRPr="009436A7">
        <w:rPr>
          <w:b/>
        </w:rPr>
        <w:t>Objective of Evaluation</w:t>
      </w:r>
      <w:r>
        <w:t xml:space="preserve">: </w:t>
      </w:r>
      <w:r w:rsidR="00036039" w:rsidRPr="00036039">
        <w:t xml:space="preserve">The goal of this evaluation is to determine the impact of an unconditional cash transfer (UCT) on the productivity and welfare of households in the Iganga region of Uganda. The study has been commissioned by Benckiser Stiftung Zukunft (BSZ), a charitable foundation who have funded both the intervention and the </w:t>
      </w:r>
      <w:r w:rsidR="00036039">
        <w:t>evaluation</w:t>
      </w:r>
      <w:r w:rsidR="00036039" w:rsidRPr="00036039">
        <w:t xml:space="preserve">. This </w:t>
      </w:r>
      <w:r w:rsidR="00036039">
        <w:t>study</w:t>
      </w:r>
      <w:r w:rsidR="00036039" w:rsidRPr="00036039">
        <w:t xml:space="preserve"> will examine the impact of a UCT intervention on recipient households, </w:t>
      </w:r>
      <w:r w:rsidR="00EA30E3">
        <w:t xml:space="preserve">with </w:t>
      </w:r>
      <w:r w:rsidR="00036039" w:rsidRPr="00036039">
        <w:t>a further examination of the impact of UCTs on a specific subset of recipients: coffee farmers.</w:t>
      </w:r>
    </w:p>
    <w:p w14:paraId="0759177A" w14:textId="77777777" w:rsidR="0047596C" w:rsidRDefault="0047596C" w:rsidP="00130E2F"/>
    <w:p w14:paraId="370319E0" w14:textId="579CD4C7" w:rsidR="000F0991" w:rsidRDefault="000F0991">
      <w:pPr>
        <w:pStyle w:val="Heading1"/>
      </w:pPr>
      <w:r>
        <w:t>Overview of PAP</w:t>
      </w:r>
    </w:p>
    <w:p w14:paraId="5601661B" w14:textId="581E7377" w:rsidR="000F0991" w:rsidRDefault="000F0991" w:rsidP="000F0991"/>
    <w:p w14:paraId="7F26C667" w14:textId="5DAD2459" w:rsidR="00C914D7" w:rsidRDefault="004127EC" w:rsidP="008C0537">
      <w:pPr>
        <w:jc w:val="both"/>
      </w:pPr>
      <w:r>
        <w:t xml:space="preserve">The purpose of this PAP is to </w:t>
      </w:r>
      <w:r w:rsidR="00934170">
        <w:t>provide an explicit</w:t>
      </w:r>
      <w:r w:rsidR="00275FCE">
        <w:t xml:space="preserve"> </w:t>
      </w:r>
      <w:r>
        <w:t xml:space="preserve">plan for </w:t>
      </w:r>
      <w:r w:rsidR="00C6234D">
        <w:t>evaluating</w:t>
      </w:r>
      <w:r w:rsidR="004C0387">
        <w:t xml:space="preserve"> </w:t>
      </w:r>
      <w:r w:rsidR="00275FCE" w:rsidRPr="00934170">
        <w:t xml:space="preserve">GiveDirectly’s </w:t>
      </w:r>
      <w:r w:rsidR="00D23183">
        <w:t>UCT program</w:t>
      </w:r>
      <w:r w:rsidR="006641BB">
        <w:t xml:space="preserve"> in</w:t>
      </w:r>
      <w:r w:rsidR="004C0387">
        <w:t xml:space="preserve"> Iganga, Uganda. </w:t>
      </w:r>
      <w:r w:rsidR="00C914D7" w:rsidRPr="00130E2F">
        <w:t xml:space="preserve">This PAP will be </w:t>
      </w:r>
      <w:r w:rsidR="00130E2F">
        <w:t xml:space="preserve">submitted as part of the study registration in the RIDIE trial registry organized by 3ie.  The data analysis will adhere to this plan, and any deviations will be noted in the final report. </w:t>
      </w:r>
    </w:p>
    <w:p w14:paraId="360A8DB4" w14:textId="77777777" w:rsidR="00BF3D3D" w:rsidRDefault="00BF3D3D" w:rsidP="008C0537">
      <w:pPr>
        <w:jc w:val="both"/>
      </w:pPr>
    </w:p>
    <w:p w14:paraId="23407D44" w14:textId="1CA10141" w:rsidR="000F0991" w:rsidRDefault="000F0991" w:rsidP="008C0537">
      <w:pPr>
        <w:jc w:val="both"/>
      </w:pPr>
      <w:r>
        <w:t xml:space="preserve">This PAP includes the following sections: </w:t>
      </w:r>
    </w:p>
    <w:p w14:paraId="1DC5B11F" w14:textId="77777777" w:rsidR="00F33661" w:rsidRDefault="00F33661" w:rsidP="008C0537">
      <w:pPr>
        <w:jc w:val="both"/>
      </w:pPr>
    </w:p>
    <w:p w14:paraId="4B6FC8AC" w14:textId="771161FC" w:rsidR="000F0991" w:rsidRDefault="00FF125B" w:rsidP="00D42FF2">
      <w:pPr>
        <w:pStyle w:val="ListParagraph"/>
        <w:numPr>
          <w:ilvl w:val="0"/>
          <w:numId w:val="4"/>
        </w:numPr>
        <w:jc w:val="both"/>
      </w:pPr>
      <w:r>
        <w:rPr>
          <w:b/>
        </w:rPr>
        <w:t>Background In</w:t>
      </w:r>
      <w:r w:rsidR="00676BB2">
        <w:rPr>
          <w:b/>
        </w:rPr>
        <w:t xml:space="preserve">formation: </w:t>
      </w:r>
      <w:r w:rsidR="00676BB2" w:rsidRPr="007A6E05">
        <w:t>This section covers</w:t>
      </w:r>
      <w:r w:rsidRPr="007A6E05">
        <w:t xml:space="preserve"> </w:t>
      </w:r>
      <w:r w:rsidR="000F40F6">
        <w:t>context</w:t>
      </w:r>
      <w:r w:rsidRPr="007A6E05">
        <w:t>, including a</w:t>
      </w:r>
      <w:r w:rsidR="00676BB2" w:rsidRPr="007A6E05">
        <w:t xml:space="preserve"> description of GiveDirectly, a</w:t>
      </w:r>
      <w:r w:rsidRPr="007A6E05">
        <w:t>n overview of the</w:t>
      </w:r>
      <w:r w:rsidR="00676BB2" w:rsidRPr="007A6E05">
        <w:t xml:space="preserve"> intervention, and t</w:t>
      </w:r>
      <w:r w:rsidR="000F40F6">
        <w:t>his program’s Theories</w:t>
      </w:r>
      <w:r w:rsidR="00676BB2" w:rsidRPr="007A6E05">
        <w:t xml:space="preserve"> of Change.</w:t>
      </w:r>
      <w:r w:rsidR="00676BB2">
        <w:rPr>
          <w:b/>
        </w:rPr>
        <w:t xml:space="preserve"> </w:t>
      </w:r>
    </w:p>
    <w:p w14:paraId="206E40C2" w14:textId="207741B6" w:rsidR="000F0991" w:rsidRDefault="000F0991" w:rsidP="00D42FF2">
      <w:pPr>
        <w:pStyle w:val="ListParagraph"/>
        <w:numPr>
          <w:ilvl w:val="0"/>
          <w:numId w:val="4"/>
        </w:numPr>
        <w:jc w:val="both"/>
      </w:pPr>
      <w:r w:rsidRPr="000F0991">
        <w:rPr>
          <w:b/>
        </w:rPr>
        <w:t>The Evaluation:</w:t>
      </w:r>
      <w:r w:rsidR="006B2695">
        <w:t xml:space="preserve"> </w:t>
      </w:r>
      <w:r w:rsidR="000B15C9">
        <w:t xml:space="preserve">This section </w:t>
      </w:r>
      <w:r w:rsidR="00A66AB1">
        <w:t xml:space="preserve">is an overview of the evaluation, including the </w:t>
      </w:r>
      <w:r w:rsidR="000F40F6">
        <w:t>evaluation design, causality assumptions, and unit of treatment.</w:t>
      </w:r>
    </w:p>
    <w:p w14:paraId="69C3D037" w14:textId="32128829" w:rsidR="000F40F6" w:rsidRDefault="000F40F6" w:rsidP="00D42FF2">
      <w:pPr>
        <w:pStyle w:val="ListParagraph"/>
        <w:numPr>
          <w:ilvl w:val="0"/>
          <w:numId w:val="4"/>
        </w:numPr>
        <w:jc w:val="both"/>
      </w:pPr>
      <w:r>
        <w:rPr>
          <w:b/>
        </w:rPr>
        <w:t>Data Collection:</w:t>
      </w:r>
      <w:r>
        <w:t xml:space="preserve"> This section di</w:t>
      </w:r>
      <w:r w:rsidR="00A66AB1">
        <w:t>scusses GiveDirectly’s data collection, including their unit of analysis,</w:t>
      </w:r>
      <w:r>
        <w:t xml:space="preserve"> da</w:t>
      </w:r>
      <w:r w:rsidR="00A66AB1">
        <w:t xml:space="preserve">ta collection timeline, and </w:t>
      </w:r>
      <w:r>
        <w:t xml:space="preserve">sampling procedure. </w:t>
      </w:r>
    </w:p>
    <w:p w14:paraId="4C369E3E" w14:textId="7FF3074E" w:rsidR="000F0991" w:rsidRDefault="007D00B3" w:rsidP="00D42FF2">
      <w:pPr>
        <w:pStyle w:val="ListParagraph"/>
        <w:numPr>
          <w:ilvl w:val="0"/>
          <w:numId w:val="4"/>
        </w:numPr>
        <w:jc w:val="both"/>
      </w:pPr>
      <w:r>
        <w:rPr>
          <w:b/>
        </w:rPr>
        <w:t>Analytical model</w:t>
      </w:r>
      <w:r w:rsidR="000F0991" w:rsidRPr="000F0991">
        <w:rPr>
          <w:b/>
        </w:rPr>
        <w:t>:</w:t>
      </w:r>
      <w:r w:rsidR="00794E33">
        <w:t xml:space="preserve"> This section </w:t>
      </w:r>
      <w:r w:rsidR="004E03FC">
        <w:t xml:space="preserve">covers </w:t>
      </w:r>
      <w:r w:rsidR="00CE1336">
        <w:t>econometric s</w:t>
      </w:r>
      <w:r w:rsidR="00390913">
        <w:t xml:space="preserve">pecifications and discusses </w:t>
      </w:r>
      <w:r w:rsidR="00651E18">
        <w:t xml:space="preserve">outcome variables. </w:t>
      </w:r>
    </w:p>
    <w:p w14:paraId="0E56D15E" w14:textId="4B49CB0A" w:rsidR="0004371D" w:rsidRDefault="0004371D" w:rsidP="00D42FF2">
      <w:pPr>
        <w:pStyle w:val="ListParagraph"/>
        <w:numPr>
          <w:ilvl w:val="0"/>
          <w:numId w:val="4"/>
        </w:numPr>
        <w:jc w:val="both"/>
      </w:pPr>
      <w:r>
        <w:rPr>
          <w:b/>
        </w:rPr>
        <w:t>Limitations and Corrections to Data:</w:t>
      </w:r>
      <w:r w:rsidR="00C66E58">
        <w:t xml:space="preserve"> </w:t>
      </w:r>
      <w:r w:rsidR="00F33661">
        <w:t xml:space="preserve">This section </w:t>
      </w:r>
      <w:r w:rsidR="00BA2F87">
        <w:t>discuss</w:t>
      </w:r>
      <w:r w:rsidR="00F33661">
        <w:t xml:space="preserve">es </w:t>
      </w:r>
      <w:r w:rsidR="003E17B9">
        <w:t xml:space="preserve">potential </w:t>
      </w:r>
      <w:r w:rsidR="001C4025">
        <w:t>limitations</w:t>
      </w:r>
      <w:r w:rsidR="00987FB3">
        <w:t xml:space="preserve"> </w:t>
      </w:r>
      <w:r w:rsidR="003E17B9">
        <w:t xml:space="preserve">to </w:t>
      </w:r>
      <w:r w:rsidR="00987FB3">
        <w:t>the</w:t>
      </w:r>
      <w:r w:rsidR="00434513">
        <w:t xml:space="preserve"> analysis</w:t>
      </w:r>
      <w:r w:rsidR="00BA2F87">
        <w:t xml:space="preserve"> and </w:t>
      </w:r>
      <w:r w:rsidR="00F33661">
        <w:t>possible</w:t>
      </w:r>
      <w:r w:rsidR="003E17B9">
        <w:t xml:space="preserve"> corrections to the</w:t>
      </w:r>
      <w:r w:rsidR="00BA2F87">
        <w:t xml:space="preserve"> data. </w:t>
      </w:r>
    </w:p>
    <w:p w14:paraId="641D9B46" w14:textId="0D2AFD9A" w:rsidR="00441873" w:rsidRDefault="00441873" w:rsidP="00441873"/>
    <w:p w14:paraId="454FB7B0" w14:textId="13DB7FCF" w:rsidR="00985B96" w:rsidRDefault="00985B96" w:rsidP="00441873"/>
    <w:p w14:paraId="66C2EABC" w14:textId="72A17AF3" w:rsidR="00985B96" w:rsidRDefault="00985B96" w:rsidP="00441873"/>
    <w:p w14:paraId="37F6A22E" w14:textId="076F1E15" w:rsidR="00985B96" w:rsidRDefault="00985B96" w:rsidP="00441873"/>
    <w:p w14:paraId="4CE1C82C" w14:textId="522E4963" w:rsidR="00985B96" w:rsidRDefault="00985B96" w:rsidP="00441873"/>
    <w:p w14:paraId="54C24E5A" w14:textId="77777777" w:rsidR="00985B96" w:rsidRDefault="00985B96" w:rsidP="00441873"/>
    <w:p w14:paraId="3A054EA7" w14:textId="77777777" w:rsidR="005134C2" w:rsidRDefault="005134C2">
      <w:pPr>
        <w:rPr>
          <w:rFonts w:eastAsiaTheme="majorEastAsia" w:cstheme="majorBidi"/>
          <w:color w:val="2E74B5" w:themeColor="accent1" w:themeShade="BF"/>
          <w:sz w:val="32"/>
          <w:szCs w:val="32"/>
          <w:u w:val="single"/>
        </w:rPr>
      </w:pPr>
      <w:r>
        <w:lastRenderedPageBreak/>
        <w:br w:type="page"/>
      </w:r>
    </w:p>
    <w:p w14:paraId="4E0CE90D" w14:textId="53929906" w:rsidR="002D1AFE" w:rsidRDefault="002D1AFE" w:rsidP="00086122">
      <w:pPr>
        <w:pStyle w:val="Heading1"/>
      </w:pPr>
      <w:r>
        <w:lastRenderedPageBreak/>
        <w:t>Background information</w:t>
      </w:r>
    </w:p>
    <w:p w14:paraId="365990EC" w14:textId="1C9A5848" w:rsidR="002347D7" w:rsidRDefault="00060450" w:rsidP="00FB1CBF">
      <w:pPr>
        <w:pStyle w:val="NoSpacing"/>
        <w:rPr>
          <w:rFonts w:ascii="Cambria" w:hAnsi="Cambria"/>
          <w:i/>
        </w:rPr>
      </w:pPr>
      <w:r>
        <w:rPr>
          <w:rFonts w:ascii="Cambria" w:hAnsi="Cambria"/>
          <w:i/>
        </w:rPr>
        <w:t xml:space="preserve">This section provides important project context. </w:t>
      </w:r>
    </w:p>
    <w:p w14:paraId="3AFD14C3" w14:textId="77777777" w:rsidR="00060450" w:rsidRDefault="00060450" w:rsidP="00FB1CBF">
      <w:pPr>
        <w:pStyle w:val="NoSpacing"/>
      </w:pPr>
    </w:p>
    <w:p w14:paraId="4D8DFFBF" w14:textId="58F3E202" w:rsidR="00FB1CBF" w:rsidRDefault="00E72620" w:rsidP="00FB1CBF">
      <w:pPr>
        <w:pStyle w:val="Heading3"/>
      </w:pPr>
      <w:r>
        <w:t>Organization Overview</w:t>
      </w:r>
      <w:r w:rsidR="00FB1CBF">
        <w:t xml:space="preserve"> </w:t>
      </w:r>
    </w:p>
    <w:p w14:paraId="374D2CA0" w14:textId="4AFE1BB8" w:rsidR="00FB1CBF" w:rsidRDefault="00FB1CBF" w:rsidP="00FB1CBF"/>
    <w:p w14:paraId="21F3DD36" w14:textId="16432A15" w:rsidR="00067460" w:rsidRDefault="00067460" w:rsidP="001C3D30">
      <w:pPr>
        <w:jc w:val="both"/>
      </w:pPr>
      <w:r w:rsidRPr="00067460">
        <w:t>GiveDirectly provide</w:t>
      </w:r>
      <w:r w:rsidR="000E60AE">
        <w:t>s</w:t>
      </w:r>
      <w:r w:rsidRPr="00067460">
        <w:t xml:space="preserve"> an end-to-end platform</w:t>
      </w:r>
      <w:r w:rsidR="00FF3E41">
        <w:t xml:space="preserve"> that enables funders to give</w:t>
      </w:r>
      <w:r w:rsidRPr="00067460">
        <w:t xml:space="preserve"> direct cash t</w:t>
      </w:r>
      <w:r w:rsidR="000E60AE">
        <w:t xml:space="preserve">ransfers to the extreme poor. </w:t>
      </w:r>
      <w:r w:rsidR="00E3155B">
        <w:t>The organization locate</w:t>
      </w:r>
      <w:r w:rsidR="00DD3305">
        <w:t>s</w:t>
      </w:r>
      <w:r w:rsidRPr="00067460">
        <w:t xml:space="preserve"> poor communities u</w:t>
      </w:r>
      <w:r w:rsidR="00B537EC">
        <w:t>sing publicly available data and then send</w:t>
      </w:r>
      <w:r w:rsidR="00DD3305">
        <w:t>s</w:t>
      </w:r>
      <w:r w:rsidR="00B537EC">
        <w:t xml:space="preserve"> </w:t>
      </w:r>
      <w:r w:rsidRPr="00067460">
        <w:t>field staff door-to-door to digitally collect data on p</w:t>
      </w:r>
      <w:r w:rsidR="000E60AE">
        <w:t>overty and enroll recipients. GiveDirectly</w:t>
      </w:r>
      <w:r w:rsidRPr="00067460">
        <w:t xml:space="preserve"> target</w:t>
      </w:r>
      <w:r w:rsidR="000E60AE">
        <w:t>s</w:t>
      </w:r>
      <w:r w:rsidRPr="00067460">
        <w:t xml:space="preserve"> households using criteria that v</w:t>
      </w:r>
      <w:r w:rsidR="00170D7F">
        <w:t xml:space="preserve">ary by region, </w:t>
      </w:r>
      <w:r w:rsidRPr="00067460">
        <w:t xml:space="preserve">including aggregating a range of </w:t>
      </w:r>
      <w:r w:rsidR="00170D7F">
        <w:t xml:space="preserve">poverty-related </w:t>
      </w:r>
      <w:r w:rsidR="00F72D52">
        <w:t xml:space="preserve">factors. </w:t>
      </w:r>
      <w:r w:rsidR="00B537EC">
        <w:t>Additionally, t</w:t>
      </w:r>
      <w:r w:rsidR="00F72D52">
        <w:t>hey</w:t>
      </w:r>
      <w:r w:rsidRPr="00067460">
        <w:t xml:space="preserve"> use a set of independent checks to verify that recipients are eligible and did not pay bribe</w:t>
      </w:r>
      <w:r w:rsidR="00E52C16">
        <w:t>s.</w:t>
      </w:r>
    </w:p>
    <w:p w14:paraId="337C0F87" w14:textId="77777777" w:rsidR="00067460" w:rsidRDefault="00067460" w:rsidP="001C3D30">
      <w:pPr>
        <w:jc w:val="both"/>
      </w:pPr>
    </w:p>
    <w:p w14:paraId="7FE3ACDD" w14:textId="4AA827E7" w:rsidR="00067460" w:rsidRDefault="00F72D52" w:rsidP="00094CAC">
      <w:pPr>
        <w:jc w:val="both"/>
      </w:pPr>
      <w:r>
        <w:t>GiveDirectly</w:t>
      </w:r>
      <w:r w:rsidR="00067460" w:rsidRPr="00067460">
        <w:t xml:space="preserve"> transfer</w:t>
      </w:r>
      <w:r>
        <w:t>s</w:t>
      </w:r>
      <w:r w:rsidR="00067460" w:rsidRPr="00067460">
        <w:t xml:space="preserve"> reci</w:t>
      </w:r>
      <w:r w:rsidR="00B6639D">
        <w:t>pient households roughly</w:t>
      </w:r>
      <w:r w:rsidR="00067460" w:rsidRPr="00067460">
        <w:t xml:space="preserve"> one year's bu</w:t>
      </w:r>
      <w:r w:rsidR="00D51209">
        <w:t>dget for a typical household. They</w:t>
      </w:r>
      <w:r w:rsidR="00067460" w:rsidRPr="00067460">
        <w:t xml:space="preserve"> use electronic payment systems; typically, recipients receive an SMS alert and then collect cash from a mobile money agent in their village or nearest town.</w:t>
      </w:r>
      <w:r w:rsidR="004C0387">
        <w:t xml:space="preserve"> GiveDirectly </w:t>
      </w:r>
      <w:r w:rsidR="00067460" w:rsidRPr="00067460">
        <w:t>call</w:t>
      </w:r>
      <w:r w:rsidR="004C0387">
        <w:t>s</w:t>
      </w:r>
      <w:r w:rsidR="00067460" w:rsidRPr="00067460">
        <w:t xml:space="preserve"> each recipient to verify receipt of funds, flag issues, and ass</w:t>
      </w:r>
      <w:r w:rsidR="004C0387">
        <w:t xml:space="preserve">ess </w:t>
      </w:r>
      <w:r w:rsidR="00E52C16">
        <w:t>their</w:t>
      </w:r>
      <w:r w:rsidR="004C0387">
        <w:t xml:space="preserve"> customer service. </w:t>
      </w:r>
      <w:r w:rsidR="00595F0F">
        <w:t xml:space="preserve">In addition, </w:t>
      </w:r>
      <w:r w:rsidR="007337B0">
        <w:t xml:space="preserve">GiveDirectly </w:t>
      </w:r>
      <w:r w:rsidR="00067460" w:rsidRPr="00067460">
        <w:t>staff</w:t>
      </w:r>
      <w:r w:rsidR="007337B0">
        <w:t>s</w:t>
      </w:r>
      <w:r w:rsidR="00067460" w:rsidRPr="00067460">
        <w:t xml:space="preserve"> a hotline for inbound calls</w:t>
      </w:r>
      <w:r w:rsidR="00DD3305">
        <w:t xml:space="preserve"> and in some cases </w:t>
      </w:r>
      <w:r w:rsidR="003E17B9">
        <w:t>conducts</w:t>
      </w:r>
      <w:r w:rsidR="008914F2">
        <w:t xml:space="preserve"> follow-</w:t>
      </w:r>
      <w:r w:rsidR="00067460" w:rsidRPr="00067460">
        <w:t>up</w:t>
      </w:r>
      <w:r w:rsidR="008914F2">
        <w:t>s</w:t>
      </w:r>
      <w:r w:rsidR="00B6639D">
        <w:t xml:space="preserve"> in-</w:t>
      </w:r>
      <w:r w:rsidR="00067460" w:rsidRPr="00067460">
        <w:t>person.</w:t>
      </w:r>
      <w:r w:rsidR="00094CAC">
        <w:t xml:space="preserve"> </w:t>
      </w:r>
    </w:p>
    <w:p w14:paraId="7E1D963D" w14:textId="79F4CE75" w:rsidR="00FB1CBF" w:rsidRDefault="00FB1CBF" w:rsidP="00FB1CBF"/>
    <w:p w14:paraId="785FFD82" w14:textId="477F1FC7" w:rsidR="000F40F6" w:rsidRDefault="00B6639D" w:rsidP="000F40F6">
      <w:pPr>
        <w:pStyle w:val="Heading3"/>
      </w:pPr>
      <w:r>
        <w:t>Project</w:t>
      </w:r>
      <w:r w:rsidR="000F40F6">
        <w:t xml:space="preserve"> </w:t>
      </w:r>
      <w:r w:rsidR="000F40F6" w:rsidRPr="00FB1CBF">
        <w:t>Overview</w:t>
      </w:r>
    </w:p>
    <w:p w14:paraId="158D5C31" w14:textId="77777777" w:rsidR="000F40F6" w:rsidRPr="00FB1CBF" w:rsidRDefault="000F40F6" w:rsidP="000F40F6"/>
    <w:p w14:paraId="0184FBA1" w14:textId="43A4DD6A" w:rsidR="00094CAC" w:rsidRDefault="00094CAC" w:rsidP="00094CAC">
      <w:pPr>
        <w:jc w:val="both"/>
      </w:pPr>
      <w:r>
        <w:t>In partnership with funders BSZ, GiveDirectly have developed an intervention and study designed to understand the impact of cash transfers on a specific group of recipients, coffee farmers, as well as other, non-coffee farming hou</w:t>
      </w:r>
      <w:r w:rsidR="003E17B9">
        <w:t>seholds in the treatment group.</w:t>
      </w:r>
      <w:r>
        <w:t xml:space="preserve"> The intention is to </w:t>
      </w:r>
      <w:r w:rsidR="00D23183">
        <w:t>explore</w:t>
      </w:r>
      <w:r>
        <w:t xml:space="preserve"> the </w:t>
      </w:r>
      <w:r w:rsidR="00897AFF">
        <w:t xml:space="preserve">subject </w:t>
      </w:r>
      <w:r>
        <w:t>that BSZ ha</w:t>
      </w:r>
      <w:r w:rsidR="00EA30E3">
        <w:t>s</w:t>
      </w:r>
      <w:r>
        <w:t xml:space="preserve"> </w:t>
      </w:r>
      <w:r w:rsidR="00897AFF">
        <w:t xml:space="preserve">asked </w:t>
      </w:r>
      <w:r>
        <w:t>GiveDirectly to test, namely: the impact of cash transfers on these two groups. This study also provides the opportunity to expand the evidence-base on for whom large capital transfers have an impact, and what those impacts are.</w:t>
      </w:r>
    </w:p>
    <w:p w14:paraId="66DEC6C2" w14:textId="1FAD5698" w:rsidR="00094CAC" w:rsidRDefault="00094CAC" w:rsidP="001C3D30">
      <w:pPr>
        <w:pStyle w:val="NoSpacing"/>
        <w:jc w:val="both"/>
        <w:rPr>
          <w:rFonts w:ascii="Cambria" w:hAnsi="Cambria"/>
        </w:rPr>
      </w:pPr>
    </w:p>
    <w:p w14:paraId="2D89075C" w14:textId="77777777" w:rsidR="00036039" w:rsidRDefault="00036039" w:rsidP="00036039">
      <w:pPr>
        <w:pStyle w:val="NoSpacing"/>
        <w:jc w:val="both"/>
        <w:rPr>
          <w:rFonts w:ascii="Cambria" w:hAnsi="Cambria"/>
        </w:rPr>
      </w:pPr>
      <w:r w:rsidRPr="00E72620">
        <w:rPr>
          <w:rFonts w:ascii="Cambria" w:hAnsi="Cambria"/>
        </w:rPr>
        <w:t xml:space="preserve">GiveDirectly will </w:t>
      </w:r>
      <w:r>
        <w:rPr>
          <w:rFonts w:ascii="Cambria" w:hAnsi="Cambria"/>
        </w:rPr>
        <w:t>deliver</w:t>
      </w:r>
      <w:r w:rsidRPr="00E72620">
        <w:rPr>
          <w:rFonts w:ascii="Cambria" w:hAnsi="Cambria"/>
        </w:rPr>
        <w:t xml:space="preserve"> </w:t>
      </w:r>
      <w:r>
        <w:rPr>
          <w:rFonts w:ascii="Cambria" w:hAnsi="Cambria"/>
        </w:rPr>
        <w:t>UCTs</w:t>
      </w:r>
      <w:r w:rsidRPr="00E72620">
        <w:rPr>
          <w:rFonts w:ascii="Cambria" w:hAnsi="Cambria"/>
        </w:rPr>
        <w:t xml:space="preserve"> </w:t>
      </w:r>
      <w:r>
        <w:rPr>
          <w:rFonts w:ascii="Cambria" w:hAnsi="Cambria"/>
        </w:rPr>
        <w:t xml:space="preserve">of 3,400,000 UGX (equivalent to ~1,000 USD) </w:t>
      </w:r>
      <w:r w:rsidRPr="00E72620">
        <w:rPr>
          <w:rFonts w:ascii="Cambria" w:hAnsi="Cambria"/>
        </w:rPr>
        <w:t xml:space="preserve">to approximately </w:t>
      </w:r>
      <w:r>
        <w:rPr>
          <w:rFonts w:ascii="Cambria" w:hAnsi="Cambria"/>
        </w:rPr>
        <w:t>3,600 households in the Iganga d</w:t>
      </w:r>
      <w:r w:rsidRPr="00E72620">
        <w:rPr>
          <w:rFonts w:ascii="Cambria" w:hAnsi="Cambria"/>
        </w:rPr>
        <w:t xml:space="preserve">istrict of Uganda. </w:t>
      </w:r>
      <w:r>
        <w:rPr>
          <w:rFonts w:ascii="Cambria" w:hAnsi="Cambria"/>
        </w:rPr>
        <w:t xml:space="preserve">The Iganga district was chosen due to an intersection of coffee production and poverty, using publicly available, government census data. The money will be transferred in three payments: one token payment (400,000 UGX) to ensure that the transfer process is working correctly and two bulk transfers (1,500,000 UGX each). These transfers will take place between September 2016 and February 2017. The token payments will go out in September and October, with the first bulk payments transferred one month after the initial token payments, and the second bulk payments transferred three months after the initial token payments. </w:t>
      </w:r>
      <w:r w:rsidRPr="00E72620">
        <w:rPr>
          <w:rFonts w:ascii="Cambria" w:hAnsi="Cambria"/>
        </w:rPr>
        <w:t xml:space="preserve">The recipients will be a combination of coffee and non-coffee farmers. </w:t>
      </w:r>
    </w:p>
    <w:p w14:paraId="053D1CFB" w14:textId="77777777" w:rsidR="00AE2229" w:rsidRDefault="00AE2229" w:rsidP="001C3D30">
      <w:pPr>
        <w:pStyle w:val="NoSpacing"/>
        <w:jc w:val="both"/>
        <w:rPr>
          <w:rFonts w:ascii="Cambria" w:hAnsi="Cambria"/>
        </w:rPr>
      </w:pPr>
    </w:p>
    <w:p w14:paraId="6B166FEE" w14:textId="31DF1A07" w:rsidR="000F40F6" w:rsidRDefault="000F40F6" w:rsidP="001C3D30">
      <w:pPr>
        <w:pStyle w:val="NoSpacing"/>
        <w:jc w:val="both"/>
        <w:rPr>
          <w:rFonts w:ascii="Cambria" w:hAnsi="Cambria"/>
        </w:rPr>
      </w:pPr>
      <w:r w:rsidRPr="00E72620">
        <w:rPr>
          <w:rFonts w:ascii="Cambria" w:hAnsi="Cambria"/>
        </w:rPr>
        <w:t xml:space="preserve">This program </w:t>
      </w:r>
      <w:r w:rsidR="00831FBD">
        <w:rPr>
          <w:rFonts w:ascii="Cambria" w:hAnsi="Cambria"/>
        </w:rPr>
        <w:t>is</w:t>
      </w:r>
      <w:r w:rsidR="00831FBD" w:rsidRPr="00E72620">
        <w:rPr>
          <w:rFonts w:ascii="Cambria" w:hAnsi="Cambria"/>
        </w:rPr>
        <w:t xml:space="preserve"> </w:t>
      </w:r>
      <w:r w:rsidRPr="00E72620">
        <w:rPr>
          <w:rFonts w:ascii="Cambria" w:hAnsi="Cambria"/>
        </w:rPr>
        <w:t>be</w:t>
      </w:r>
      <w:r w:rsidR="00831FBD">
        <w:rPr>
          <w:rFonts w:ascii="Cambria" w:hAnsi="Cambria"/>
        </w:rPr>
        <w:t>ing</w:t>
      </w:r>
      <w:r w:rsidRPr="00E72620">
        <w:rPr>
          <w:rFonts w:ascii="Cambria" w:hAnsi="Cambria"/>
        </w:rPr>
        <w:t xml:space="preserve"> rolled out in conjunction with a Randomized Controlled Trial (RCT), in which GiveDirectl</w:t>
      </w:r>
      <w:r w:rsidR="00514B8B">
        <w:rPr>
          <w:rFonts w:ascii="Cambria" w:hAnsi="Cambria"/>
        </w:rPr>
        <w:t xml:space="preserve">y </w:t>
      </w:r>
      <w:r w:rsidR="00831FBD">
        <w:rPr>
          <w:rFonts w:ascii="Cambria" w:hAnsi="Cambria"/>
        </w:rPr>
        <w:t xml:space="preserve">has </w:t>
      </w:r>
      <w:r w:rsidRPr="00E72620">
        <w:rPr>
          <w:rFonts w:ascii="Cambria" w:hAnsi="Cambria"/>
        </w:rPr>
        <w:t>randomly assign</w:t>
      </w:r>
      <w:r w:rsidR="00831FBD">
        <w:rPr>
          <w:rFonts w:ascii="Cambria" w:hAnsi="Cambria"/>
        </w:rPr>
        <w:t>ed</w:t>
      </w:r>
      <w:r w:rsidR="00214D30">
        <w:rPr>
          <w:rFonts w:ascii="Cambria" w:hAnsi="Cambria"/>
        </w:rPr>
        <w:t xml:space="preserve"> 1,894</w:t>
      </w:r>
      <w:r w:rsidR="00572001">
        <w:rPr>
          <w:rFonts w:ascii="Cambria" w:hAnsi="Cambria"/>
        </w:rPr>
        <w:t xml:space="preserve"> recipients to a</w:t>
      </w:r>
      <w:r w:rsidRPr="00E72620">
        <w:rPr>
          <w:rFonts w:ascii="Cambria" w:hAnsi="Cambria"/>
        </w:rPr>
        <w:t xml:space="preserve"> treatment group</w:t>
      </w:r>
      <w:r w:rsidR="00514B8B">
        <w:rPr>
          <w:rFonts w:ascii="Cambria" w:hAnsi="Cambria"/>
        </w:rPr>
        <w:t xml:space="preserve"> (receiving cash)</w:t>
      </w:r>
      <w:r w:rsidRPr="00E72620">
        <w:rPr>
          <w:rFonts w:ascii="Cambria" w:hAnsi="Cambria"/>
        </w:rPr>
        <w:t xml:space="preserve"> and anothe</w:t>
      </w:r>
      <w:r w:rsidR="00214D30">
        <w:rPr>
          <w:rFonts w:ascii="Cambria" w:hAnsi="Cambria"/>
        </w:rPr>
        <w:t xml:space="preserve">r 1,894 </w:t>
      </w:r>
      <w:r w:rsidR="00572001">
        <w:rPr>
          <w:rFonts w:ascii="Cambria" w:hAnsi="Cambria"/>
        </w:rPr>
        <w:t xml:space="preserve">non-participants to a </w:t>
      </w:r>
      <w:r w:rsidRPr="00E72620">
        <w:rPr>
          <w:rFonts w:ascii="Cambria" w:hAnsi="Cambria"/>
        </w:rPr>
        <w:t>control group</w:t>
      </w:r>
      <w:r w:rsidR="00514B8B">
        <w:rPr>
          <w:rFonts w:ascii="Cambria" w:hAnsi="Cambria"/>
        </w:rPr>
        <w:t xml:space="preserve"> (not receiving cash)</w:t>
      </w:r>
      <w:r w:rsidR="00214D30">
        <w:rPr>
          <w:rFonts w:ascii="Cambria" w:hAnsi="Cambria"/>
        </w:rPr>
        <w:t xml:space="preserve">. </w:t>
      </w:r>
      <w:r w:rsidR="00572001">
        <w:rPr>
          <w:rFonts w:ascii="Cambria" w:hAnsi="Cambria"/>
        </w:rPr>
        <w:t xml:space="preserve"> </w:t>
      </w:r>
      <w:r w:rsidRPr="00E72620">
        <w:rPr>
          <w:rFonts w:ascii="Cambria" w:hAnsi="Cambria"/>
        </w:rPr>
        <w:t>Program impact will be measured through a comparison of the treatment and control groups across relevant outcomes (</w:t>
      </w:r>
      <w:r w:rsidRPr="00E72620">
        <w:rPr>
          <w:rFonts w:ascii="Cambria" w:hAnsi="Cambria"/>
          <w:i/>
        </w:rPr>
        <w:t>see Outcome Variables section</w:t>
      </w:r>
      <w:r w:rsidRPr="00E72620">
        <w:rPr>
          <w:rFonts w:ascii="Cambria" w:hAnsi="Cambria"/>
        </w:rPr>
        <w:t xml:space="preserve">). </w:t>
      </w:r>
      <w:r w:rsidR="00C761DC">
        <w:rPr>
          <w:rFonts w:ascii="Cambria" w:hAnsi="Cambria"/>
        </w:rPr>
        <w:t>The treatment and control h</w:t>
      </w:r>
      <w:r w:rsidR="00094CAC">
        <w:rPr>
          <w:rFonts w:ascii="Cambria" w:hAnsi="Cambria"/>
        </w:rPr>
        <w:t xml:space="preserve">ouseholds </w:t>
      </w:r>
      <w:r w:rsidR="00C761DC">
        <w:rPr>
          <w:rFonts w:ascii="Cambria" w:hAnsi="Cambria"/>
        </w:rPr>
        <w:t xml:space="preserve">have been </w:t>
      </w:r>
      <w:r w:rsidR="00094CAC">
        <w:rPr>
          <w:rFonts w:ascii="Cambria" w:hAnsi="Cambria"/>
        </w:rPr>
        <w:t xml:space="preserve">selected according to an index developed conjointly between IDinsight and GiveDirectly, built from a combination of </w:t>
      </w:r>
      <w:r w:rsidR="00C761DC">
        <w:rPr>
          <w:rFonts w:ascii="Cambria" w:hAnsi="Cambria"/>
        </w:rPr>
        <w:t xml:space="preserve">assets owned, </w:t>
      </w:r>
      <w:r w:rsidR="00094CAC">
        <w:rPr>
          <w:rFonts w:ascii="Cambria" w:hAnsi="Cambria"/>
        </w:rPr>
        <w:t>housing materials and other indicative measures of household wealth</w:t>
      </w:r>
      <w:r w:rsidR="00C761DC">
        <w:rPr>
          <w:rFonts w:ascii="Cambria" w:hAnsi="Cambria"/>
        </w:rPr>
        <w:t>, all</w:t>
      </w:r>
      <w:r w:rsidR="00094CAC">
        <w:rPr>
          <w:rFonts w:ascii="Cambria" w:hAnsi="Cambria"/>
        </w:rPr>
        <w:t xml:space="preserve"> collected during GiveDirectly’s census. </w:t>
      </w:r>
    </w:p>
    <w:p w14:paraId="3931B289" w14:textId="008B1F8C" w:rsidR="000F40F6" w:rsidRDefault="000F40F6" w:rsidP="000F40F6"/>
    <w:p w14:paraId="40FD5774" w14:textId="77777777" w:rsidR="00FB55E4" w:rsidRDefault="00FB55E4">
      <w:pPr>
        <w:rPr>
          <w:rFonts w:eastAsiaTheme="majorEastAsia" w:cstheme="majorBidi"/>
          <w:color w:val="1F4D78" w:themeColor="accent1" w:themeShade="7F"/>
          <w:sz w:val="24"/>
          <w:szCs w:val="24"/>
        </w:rPr>
      </w:pPr>
      <w:r>
        <w:br w:type="page"/>
      </w:r>
    </w:p>
    <w:p w14:paraId="08B9FD72" w14:textId="38236598" w:rsidR="00FB1CBF" w:rsidRDefault="00590945" w:rsidP="00FB1CBF">
      <w:pPr>
        <w:pStyle w:val="Heading3"/>
      </w:pPr>
      <w:r>
        <w:lastRenderedPageBreak/>
        <w:t xml:space="preserve">Program Logic </w:t>
      </w:r>
      <w:r w:rsidR="00867A96">
        <w:t>Framework</w:t>
      </w:r>
    </w:p>
    <w:p w14:paraId="6EA864D4" w14:textId="1992CEC7" w:rsidR="00FB1CBF" w:rsidRDefault="00FB1CBF" w:rsidP="00FB1CBF"/>
    <w:p w14:paraId="32898DD9" w14:textId="1DE96FA5" w:rsidR="00DF54ED" w:rsidRDefault="00893560" w:rsidP="001C3D30">
      <w:pPr>
        <w:jc w:val="both"/>
      </w:pPr>
      <w:r>
        <w:t>There are two</w:t>
      </w:r>
      <w:r w:rsidR="00CB6152">
        <w:t xml:space="preserve"> </w:t>
      </w:r>
      <w:r w:rsidR="00B03BA3">
        <w:t>relevant Theories</w:t>
      </w:r>
      <w:r w:rsidR="00CB6152">
        <w:t xml:space="preserve"> of Change (TOC)</w:t>
      </w:r>
      <w:r w:rsidR="00B03BA3">
        <w:t xml:space="preserve"> for this intervention. The first TOC is for</w:t>
      </w:r>
      <w:r w:rsidR="00B70855">
        <w:t xml:space="preserve"> t</w:t>
      </w:r>
      <w:r w:rsidR="00B81260">
        <w:t>he overall program, and describes</w:t>
      </w:r>
      <w:r w:rsidR="00B03BA3">
        <w:t xml:space="preserve"> the impact of cash transfers on </w:t>
      </w:r>
      <w:r w:rsidR="00D3344E">
        <w:t xml:space="preserve">households’ welfare. The second TOC </w:t>
      </w:r>
      <w:r w:rsidR="00B81260">
        <w:t xml:space="preserve">is </w:t>
      </w:r>
      <w:r w:rsidR="00D3344E">
        <w:t xml:space="preserve">specific to coffee farmers, </w:t>
      </w:r>
      <w:r w:rsidR="00B81260">
        <w:t>and illustrates</w:t>
      </w:r>
      <w:r w:rsidR="00D3344E">
        <w:t xml:space="preserve"> how cash transfers change coffee-farmer</w:t>
      </w:r>
      <w:r w:rsidR="00BE1831">
        <w:t xml:space="preserve"> household</w:t>
      </w:r>
      <w:r w:rsidR="00D3344E">
        <w:t xml:space="preserve"> wellbeing.</w:t>
      </w:r>
    </w:p>
    <w:p w14:paraId="3957007A" w14:textId="77777777" w:rsidR="00DF54ED" w:rsidRDefault="00DF54ED" w:rsidP="00FB1CBF"/>
    <w:p w14:paraId="0979C3DE" w14:textId="2EF82190" w:rsidR="00BF70E6" w:rsidRDefault="00DF54ED" w:rsidP="00BF70E6">
      <w:pPr>
        <w:pStyle w:val="Heading3"/>
      </w:pPr>
      <w:r>
        <w:t xml:space="preserve">Theory of </w:t>
      </w:r>
      <w:r w:rsidR="002137B5">
        <w:t>Change</w:t>
      </w:r>
      <w:r>
        <w:t xml:space="preserve">: </w:t>
      </w:r>
      <w:r w:rsidRPr="002137B5">
        <w:rPr>
          <w:b/>
        </w:rPr>
        <w:t>Overall Program</w:t>
      </w:r>
      <w:r>
        <w:t xml:space="preserve"> </w:t>
      </w:r>
      <w:r w:rsidR="00DC29C2">
        <w:t xml:space="preserve"> </w:t>
      </w:r>
    </w:p>
    <w:p w14:paraId="002C4B03" w14:textId="01BF4F6F" w:rsidR="00590945" w:rsidRPr="00590945" w:rsidRDefault="00590945" w:rsidP="00590945">
      <w:pPr>
        <w:rPr>
          <w:i/>
        </w:rPr>
      </w:pPr>
      <w:r w:rsidRPr="00590945">
        <w:rPr>
          <w:i/>
        </w:rPr>
        <w:t xml:space="preserve">The following </w:t>
      </w:r>
      <w:r w:rsidR="00C82F79">
        <w:rPr>
          <w:i/>
        </w:rPr>
        <w:t xml:space="preserve">channels </w:t>
      </w:r>
      <w:r w:rsidR="00292F90">
        <w:rPr>
          <w:i/>
        </w:rPr>
        <w:t>are for</w:t>
      </w:r>
      <w:r w:rsidRPr="00590945">
        <w:rPr>
          <w:i/>
        </w:rPr>
        <w:t xml:space="preserve"> GiveDirectly’s overall Iganga cash transfer intervention. </w:t>
      </w:r>
    </w:p>
    <w:p w14:paraId="7C776B51" w14:textId="77777777" w:rsidR="00BF70E6" w:rsidRPr="00BF70E6" w:rsidRDefault="00BF70E6" w:rsidP="00BF70E6"/>
    <w:p w14:paraId="3B8BA7A0" w14:textId="6A9D3F00" w:rsidR="00BF70E6" w:rsidRDefault="008905EF" w:rsidP="001C3D30">
      <w:pPr>
        <w:jc w:val="both"/>
      </w:pPr>
      <w:r>
        <w:t>UCTs</w:t>
      </w:r>
      <w:r w:rsidR="00D923DF">
        <w:t xml:space="preserve"> could </w:t>
      </w:r>
      <w:r w:rsidR="00BF70E6">
        <w:t xml:space="preserve">lead to </w:t>
      </w:r>
      <w:r w:rsidR="00C9273F">
        <w:t>(1) an investment in durables, (</w:t>
      </w:r>
      <w:r w:rsidR="00BF70E6">
        <w:t xml:space="preserve">2) increased livestock holdings, (3) increased land use through either ownership or rental, (4) improved food security and medical expenditures, (5) increased savings and debt reduction, and (6) increased expenditures on education. All of these purchases lead to increased household revenue and / or improved household wellbeing. </w:t>
      </w:r>
    </w:p>
    <w:p w14:paraId="29833DC4" w14:textId="31F8F5CF" w:rsidR="00BF70E6" w:rsidRDefault="00BF70E6" w:rsidP="001C3D30">
      <w:pPr>
        <w:jc w:val="both"/>
      </w:pPr>
    </w:p>
    <w:p w14:paraId="36FAD879" w14:textId="1AD1618B" w:rsidR="00BF70E6" w:rsidRDefault="00BF70E6" w:rsidP="001C3D30">
      <w:pPr>
        <w:jc w:val="both"/>
      </w:pPr>
      <w:r>
        <w:t xml:space="preserve">Cash transfers could, however, also </w:t>
      </w:r>
      <w:r w:rsidR="00EE23CF">
        <w:t>generate</w:t>
      </w:r>
      <w:r w:rsidR="007337B0">
        <w:t xml:space="preserve"> negative outcomes</w:t>
      </w:r>
      <w:r w:rsidR="00EE23CF">
        <w:t>, such as</w:t>
      </w:r>
      <w:r w:rsidR="001E7916">
        <w:t xml:space="preserve"> increased tension within </w:t>
      </w:r>
      <w:r>
        <w:t xml:space="preserve">communities, increased intra-family tension, and increased expenditures on temptation goods </w:t>
      </w:r>
      <w:r w:rsidR="00EE23CF">
        <w:t xml:space="preserve">(i.e. </w:t>
      </w:r>
      <w:r>
        <w:t>alcohol, tobacco, and gambling</w:t>
      </w:r>
      <w:r w:rsidR="00EE23CF">
        <w:t>)</w:t>
      </w:r>
      <w:r>
        <w:t xml:space="preserve">. </w:t>
      </w:r>
      <w:r w:rsidR="00900534">
        <w:t xml:space="preserve">Given findings in similar studies (Evans and Popova 2014) we do not expect to see an increase in temptation good spending. </w:t>
      </w:r>
    </w:p>
    <w:p w14:paraId="54B74D3E" w14:textId="41604B87" w:rsidR="00FE1D21" w:rsidRDefault="00FE1D21" w:rsidP="00FE1D21"/>
    <w:p w14:paraId="516DF7F6" w14:textId="1C729198" w:rsidR="000B7D49" w:rsidRPr="005129A7" w:rsidRDefault="001541AD" w:rsidP="001C3D30">
      <w:pPr>
        <w:jc w:val="both"/>
      </w:pPr>
      <w:r w:rsidRPr="005129A7">
        <w:t xml:space="preserve">For </w:t>
      </w:r>
      <w:r w:rsidR="002137B5" w:rsidRPr="005129A7">
        <w:t xml:space="preserve">a visual representation of the overall program Theory of Change, </w:t>
      </w:r>
      <w:r w:rsidR="002137B5" w:rsidRPr="005129A7">
        <w:rPr>
          <w:b/>
        </w:rPr>
        <w:t>please see Appendix A</w:t>
      </w:r>
      <w:r w:rsidR="002137B5" w:rsidRPr="005129A7">
        <w:t xml:space="preserve">. </w:t>
      </w:r>
    </w:p>
    <w:p w14:paraId="724824EB" w14:textId="48436180" w:rsidR="009B19BE" w:rsidRDefault="009B19BE" w:rsidP="001541AD"/>
    <w:p w14:paraId="6E57B93B" w14:textId="4F7AB67E" w:rsidR="009B19BE" w:rsidRDefault="009B19BE" w:rsidP="009B19BE">
      <w:pPr>
        <w:pStyle w:val="Heading3"/>
      </w:pPr>
      <w:r>
        <w:t xml:space="preserve">Theory of Change: </w:t>
      </w:r>
      <w:r w:rsidR="00DA457C">
        <w:rPr>
          <w:b/>
        </w:rPr>
        <w:t>Coffee Farming</w:t>
      </w:r>
      <w:r>
        <w:t xml:space="preserve">  </w:t>
      </w:r>
    </w:p>
    <w:p w14:paraId="31B7E7DA" w14:textId="0289D8B0" w:rsidR="000B6497" w:rsidRPr="00590945" w:rsidRDefault="008B6BDB" w:rsidP="000B6497">
      <w:pPr>
        <w:rPr>
          <w:i/>
        </w:rPr>
      </w:pPr>
      <w:r>
        <w:rPr>
          <w:i/>
        </w:rPr>
        <w:t>The following</w:t>
      </w:r>
      <w:r w:rsidR="00423225">
        <w:rPr>
          <w:i/>
        </w:rPr>
        <w:t xml:space="preserve"> </w:t>
      </w:r>
      <w:r w:rsidR="00C82F79">
        <w:rPr>
          <w:i/>
        </w:rPr>
        <w:t>channels</w:t>
      </w:r>
      <w:r w:rsidR="00423225">
        <w:rPr>
          <w:i/>
        </w:rPr>
        <w:t xml:space="preserve"> are</w:t>
      </w:r>
      <w:r w:rsidR="00590945" w:rsidRPr="00590945">
        <w:rPr>
          <w:i/>
        </w:rPr>
        <w:t xml:space="preserve"> specific to coffee farmers. </w:t>
      </w:r>
    </w:p>
    <w:p w14:paraId="45D189A4" w14:textId="77777777" w:rsidR="00590945" w:rsidRDefault="00590945" w:rsidP="000B6497"/>
    <w:p w14:paraId="5F8398FA" w14:textId="59907394" w:rsidR="003C0775" w:rsidRDefault="008905EF" w:rsidP="001C3D30">
      <w:pPr>
        <w:jc w:val="both"/>
      </w:pPr>
      <w:r>
        <w:t>UCTs</w:t>
      </w:r>
      <w:r w:rsidR="00FF2150">
        <w:t xml:space="preserve"> could </w:t>
      </w:r>
      <w:r w:rsidR="00BA14F8">
        <w:t xml:space="preserve">lead to </w:t>
      </w:r>
      <w:r w:rsidR="00E23BC7">
        <w:t>three</w:t>
      </w:r>
      <w:r w:rsidR="00BA14F8">
        <w:t xml:space="preserve"> types of </w:t>
      </w:r>
      <w:r w:rsidR="00F957A3">
        <w:t xml:space="preserve">positive </w:t>
      </w:r>
      <w:r w:rsidR="00894C5E">
        <w:t xml:space="preserve">coffee-related </w:t>
      </w:r>
      <w:r w:rsidR="00BA14F8">
        <w:t xml:space="preserve">activities: (1) </w:t>
      </w:r>
      <w:r w:rsidR="00E23BC7">
        <w:t>quality</w:t>
      </w:r>
      <w:r w:rsidR="00894C5E">
        <w:t xml:space="preserve"> </w:t>
      </w:r>
      <w:r w:rsidR="00894C5E" w:rsidRPr="008F6245">
        <w:t>improving activities</w:t>
      </w:r>
      <w:r w:rsidR="00E23BC7" w:rsidRPr="008F6245">
        <w:t>,</w:t>
      </w:r>
      <w:r w:rsidR="00BA14F8" w:rsidRPr="008F6245">
        <w:t xml:space="preserve"> (2) </w:t>
      </w:r>
      <w:r w:rsidR="00E23BC7" w:rsidRPr="008F6245">
        <w:t>yield improving activities, and (3) improved processing activit</w:t>
      </w:r>
      <w:r w:rsidR="006B30B1" w:rsidRPr="008F6245">
        <w:t>ies</w:t>
      </w:r>
      <w:r w:rsidR="00E23BC7" w:rsidRPr="008F6245">
        <w:t>.</w:t>
      </w:r>
      <w:r w:rsidR="00BA14F8" w:rsidRPr="008F6245">
        <w:t xml:space="preserve"> </w:t>
      </w:r>
      <w:r w:rsidR="001F1CCA" w:rsidRPr="008F6245">
        <w:t xml:space="preserve">The </w:t>
      </w:r>
      <w:r w:rsidR="00E23BC7" w:rsidRPr="008F6245">
        <w:t>quality</w:t>
      </w:r>
      <w:r w:rsidR="00894C5E" w:rsidRPr="008F6245">
        <w:t xml:space="preserve"> improving</w:t>
      </w:r>
      <w:r w:rsidR="001F1CCA" w:rsidRPr="008F6245">
        <w:t xml:space="preserve"> activities consist </w:t>
      </w:r>
      <w:r w:rsidR="00E23BC7" w:rsidRPr="008F6245">
        <w:t xml:space="preserve">of spending additional time on farming processes (pruning, stumping, mulching, weeding, harvesting, etc.), hiring additional labor to assist with farming practices, and purchasing additional agricultural inputs (fertilizer, pesticides, etc.). All of these </w:t>
      </w:r>
      <w:r w:rsidR="00FF2150">
        <w:t>activities wil</w:t>
      </w:r>
      <w:r w:rsidR="00B76750">
        <w:t xml:space="preserve">l improve the quality of </w:t>
      </w:r>
      <w:r w:rsidR="00E23BC7" w:rsidRPr="008F6245">
        <w:t xml:space="preserve">coffee cherries. The yield improving activities consist of the above, plus the purchasing of additional land and the purchasing of additional coffee trees / seeds. </w:t>
      </w:r>
      <w:r w:rsidR="00700B46">
        <w:t>Finally, cash transfers could</w:t>
      </w:r>
      <w:r w:rsidR="006B30B1" w:rsidRPr="008F6245">
        <w:t xml:space="preserve"> </w:t>
      </w:r>
      <w:r w:rsidR="008B6BDB">
        <w:t xml:space="preserve">also </w:t>
      </w:r>
      <w:r w:rsidR="006B30B1" w:rsidRPr="008F6245">
        <w:t>lead farmers to invest more time in processin</w:t>
      </w:r>
      <w:r w:rsidR="008B6BDB">
        <w:t>g their coffee cherries. I</w:t>
      </w:r>
      <w:r w:rsidR="006B30B1" w:rsidRPr="008F6245">
        <w:t xml:space="preserve">mproved processing activities will lead to </w:t>
      </w:r>
      <w:r w:rsidR="00245519">
        <w:t>higher</w:t>
      </w:r>
      <w:r w:rsidR="00C841F7" w:rsidRPr="008F6245">
        <w:t xml:space="preserve"> priced coffee yields. </w:t>
      </w:r>
    </w:p>
    <w:p w14:paraId="0290E177" w14:textId="77777777" w:rsidR="003C0775" w:rsidRDefault="003C0775" w:rsidP="001C3D30">
      <w:pPr>
        <w:jc w:val="both"/>
      </w:pPr>
    </w:p>
    <w:p w14:paraId="5C0048C9" w14:textId="2636DB5D" w:rsidR="009B19BE" w:rsidRDefault="00900534" w:rsidP="001C3D30">
      <w:pPr>
        <w:jc w:val="both"/>
      </w:pPr>
      <w:r>
        <w:t>Although coffee farming is capital-intensive, it is also plausible that a cash transfer could cause households to shift investments to even more capital-intensive endeavors (such as off-farm businesses). Additionally, a cash transfer could decrease motivation to work.</w:t>
      </w:r>
      <w:r w:rsidR="004A022E">
        <w:t xml:space="preserve"> If </w:t>
      </w:r>
      <w:r>
        <w:t>either of these were the</w:t>
      </w:r>
      <w:r w:rsidR="004A022E">
        <w:t xml:space="preserve"> case, GiveDirectly’s cash transfers could lead to less coffee farming. </w:t>
      </w:r>
    </w:p>
    <w:p w14:paraId="203430FF" w14:textId="7C06BDAF" w:rsidR="00F207CA" w:rsidRDefault="00F207CA" w:rsidP="001C3D30">
      <w:pPr>
        <w:jc w:val="both"/>
      </w:pPr>
    </w:p>
    <w:p w14:paraId="62C18ED7" w14:textId="0AADEA5A" w:rsidR="00894C5E" w:rsidRDefault="00224491" w:rsidP="001C3D30">
      <w:pPr>
        <w:jc w:val="both"/>
      </w:pPr>
      <w:r>
        <w:t>For a visual representation of the coffee Theory of Change</w:t>
      </w:r>
      <w:r w:rsidR="00465755">
        <w:t xml:space="preserve"> and for more of GiveDirectly’s thinking on coffee farming, </w:t>
      </w:r>
      <w:r w:rsidR="00894C5E" w:rsidRPr="00B41B0A">
        <w:rPr>
          <w:b/>
        </w:rPr>
        <w:t xml:space="preserve">please </w:t>
      </w:r>
      <w:r w:rsidR="00465755">
        <w:rPr>
          <w:b/>
        </w:rPr>
        <w:t>see Appendix B</w:t>
      </w:r>
      <w:r w:rsidR="00894C5E">
        <w:t xml:space="preserve">. </w:t>
      </w:r>
    </w:p>
    <w:p w14:paraId="4D0446B3" w14:textId="7D97CB7F" w:rsidR="00C225B5" w:rsidRDefault="00C225B5" w:rsidP="001C3D30">
      <w:pPr>
        <w:jc w:val="both"/>
      </w:pPr>
    </w:p>
    <w:p w14:paraId="4366BD99" w14:textId="197C8BAF" w:rsidR="00C225B5" w:rsidRDefault="00C225B5" w:rsidP="001C3D30">
      <w:pPr>
        <w:jc w:val="both"/>
      </w:pPr>
    </w:p>
    <w:p w14:paraId="5A076D06" w14:textId="2B3097D7" w:rsidR="002C63D2" w:rsidRDefault="002C63D2" w:rsidP="001C3D30">
      <w:pPr>
        <w:jc w:val="both"/>
      </w:pPr>
    </w:p>
    <w:p w14:paraId="023DD426" w14:textId="77777777" w:rsidR="002C63D2" w:rsidRDefault="002C63D2" w:rsidP="001C3D30">
      <w:pPr>
        <w:jc w:val="both"/>
      </w:pPr>
    </w:p>
    <w:p w14:paraId="68BFC9B2" w14:textId="0B97463E" w:rsidR="00FB1CBF" w:rsidRDefault="00FB1CBF" w:rsidP="00B83671">
      <w:pPr>
        <w:pStyle w:val="Heading1"/>
      </w:pPr>
      <w:r>
        <w:lastRenderedPageBreak/>
        <w:t>The Evaluation</w:t>
      </w:r>
    </w:p>
    <w:p w14:paraId="01F6BD62" w14:textId="2E48F963" w:rsidR="00966E7E" w:rsidRDefault="00FB1CBF" w:rsidP="001C3D30">
      <w:pPr>
        <w:jc w:val="both"/>
        <w:rPr>
          <w:i/>
        </w:rPr>
      </w:pPr>
      <w:r w:rsidRPr="00B83671">
        <w:rPr>
          <w:i/>
        </w:rPr>
        <w:t>T</w:t>
      </w:r>
      <w:r w:rsidR="00FE3AC7">
        <w:rPr>
          <w:i/>
        </w:rPr>
        <w:t xml:space="preserve">his section </w:t>
      </w:r>
      <w:r w:rsidRPr="00B83671">
        <w:rPr>
          <w:i/>
        </w:rPr>
        <w:t>discuss</w:t>
      </w:r>
      <w:r w:rsidR="00FE3AC7">
        <w:rPr>
          <w:i/>
        </w:rPr>
        <w:t>es</w:t>
      </w:r>
      <w:r w:rsidR="00FD153C">
        <w:rPr>
          <w:i/>
        </w:rPr>
        <w:t xml:space="preserve"> GiveDirectly’s </w:t>
      </w:r>
      <w:r w:rsidR="00EF73A5">
        <w:rPr>
          <w:i/>
        </w:rPr>
        <w:t xml:space="preserve">planned </w:t>
      </w:r>
      <w:r w:rsidR="00FD153C">
        <w:rPr>
          <w:i/>
        </w:rPr>
        <w:t>evaluation. It</w:t>
      </w:r>
      <w:r w:rsidR="000F40F6">
        <w:rPr>
          <w:i/>
        </w:rPr>
        <w:t xml:space="preserve"> cover</w:t>
      </w:r>
      <w:r w:rsidR="00FD153C">
        <w:rPr>
          <w:i/>
        </w:rPr>
        <w:t>s the</w:t>
      </w:r>
      <w:r w:rsidRPr="00B83671">
        <w:rPr>
          <w:i/>
        </w:rPr>
        <w:t xml:space="preserve"> </w:t>
      </w:r>
      <w:r w:rsidR="000F40F6">
        <w:rPr>
          <w:i/>
        </w:rPr>
        <w:t>evaluation design</w:t>
      </w:r>
      <w:r w:rsidRPr="00B83671">
        <w:rPr>
          <w:i/>
        </w:rPr>
        <w:t>, causality assumptions, and unit of treatment.</w:t>
      </w:r>
    </w:p>
    <w:p w14:paraId="409419B7" w14:textId="77777777" w:rsidR="00B40C18" w:rsidRPr="00966E7E" w:rsidRDefault="00B40C18" w:rsidP="001C3D30">
      <w:pPr>
        <w:jc w:val="both"/>
        <w:rPr>
          <w:i/>
        </w:rPr>
      </w:pPr>
    </w:p>
    <w:p w14:paraId="71CBF6CC" w14:textId="248CB079" w:rsidR="00966E7E" w:rsidRPr="00E72620" w:rsidRDefault="00966E7E" w:rsidP="001C3D30">
      <w:pPr>
        <w:pStyle w:val="NoSpacing"/>
        <w:jc w:val="both"/>
        <w:rPr>
          <w:rFonts w:ascii="Cambria" w:hAnsi="Cambria"/>
        </w:rPr>
      </w:pPr>
      <w:r>
        <w:rPr>
          <w:rFonts w:ascii="Cambria" w:hAnsi="Cambria"/>
        </w:rPr>
        <w:t xml:space="preserve">GiveDirectly will </w:t>
      </w:r>
      <w:r w:rsidRPr="00E72620">
        <w:rPr>
          <w:rFonts w:ascii="Cambria" w:hAnsi="Cambria"/>
        </w:rPr>
        <w:t>answer the following questions</w:t>
      </w:r>
      <w:r w:rsidR="00B40C18">
        <w:rPr>
          <w:rFonts w:ascii="Cambria" w:hAnsi="Cambria"/>
        </w:rPr>
        <w:t xml:space="preserve"> in this evaluation</w:t>
      </w:r>
      <w:r w:rsidRPr="00E72620">
        <w:rPr>
          <w:rFonts w:ascii="Cambria" w:hAnsi="Cambria"/>
        </w:rPr>
        <w:t>:</w:t>
      </w:r>
      <w:r w:rsidR="00D37A77">
        <w:rPr>
          <w:rStyle w:val="FootnoteReference"/>
          <w:rFonts w:ascii="Cambria" w:hAnsi="Cambria"/>
        </w:rPr>
        <w:footnoteReference w:id="1"/>
      </w:r>
      <w:r w:rsidRPr="00E72620">
        <w:rPr>
          <w:rFonts w:ascii="Cambria" w:hAnsi="Cambria"/>
        </w:rPr>
        <w:t xml:space="preserve"> </w:t>
      </w:r>
    </w:p>
    <w:p w14:paraId="38C7D1AB" w14:textId="77777777" w:rsidR="00966E7E" w:rsidRDefault="00966E7E" w:rsidP="00966E7E">
      <w:pPr>
        <w:pStyle w:val="NoSpacing"/>
        <w:rPr>
          <w:rFonts w:ascii="Cambria" w:hAnsi="Cambria"/>
        </w:rPr>
      </w:pPr>
    </w:p>
    <w:tbl>
      <w:tblPr>
        <w:tblStyle w:val="TableGrid"/>
        <w:tblW w:w="0" w:type="auto"/>
        <w:tblLook w:val="04A0" w:firstRow="1" w:lastRow="0" w:firstColumn="1" w:lastColumn="0" w:noHBand="0" w:noVBand="1"/>
      </w:tblPr>
      <w:tblGrid>
        <w:gridCol w:w="1525"/>
        <w:gridCol w:w="7825"/>
      </w:tblGrid>
      <w:tr w:rsidR="00966E7E" w14:paraId="5F8EB08E" w14:textId="77777777" w:rsidTr="00F7626A">
        <w:trPr>
          <w:trHeight w:val="1169"/>
        </w:trPr>
        <w:tc>
          <w:tcPr>
            <w:tcW w:w="1525" w:type="dxa"/>
            <w:shd w:val="clear" w:color="auto" w:fill="9CC2E5" w:themeFill="accent1" w:themeFillTint="99"/>
            <w:vAlign w:val="center"/>
          </w:tcPr>
          <w:p w14:paraId="64C36AB4" w14:textId="77777777" w:rsidR="00966E7E" w:rsidRPr="00D14C0F" w:rsidRDefault="00966E7E" w:rsidP="007D1B81">
            <w:pPr>
              <w:pStyle w:val="NoSpacing"/>
              <w:jc w:val="center"/>
              <w:rPr>
                <w:rFonts w:ascii="Cambria" w:hAnsi="Cambria"/>
                <w:b/>
              </w:rPr>
            </w:pPr>
            <w:r w:rsidRPr="00D14C0F">
              <w:rPr>
                <w:rFonts w:ascii="Cambria" w:hAnsi="Cambria"/>
                <w:b/>
              </w:rPr>
              <w:t>Question 1</w:t>
            </w:r>
          </w:p>
        </w:tc>
        <w:tc>
          <w:tcPr>
            <w:tcW w:w="7825" w:type="dxa"/>
            <w:vAlign w:val="center"/>
          </w:tcPr>
          <w:p w14:paraId="37E17693" w14:textId="0B40CB32" w:rsidR="00966E7E" w:rsidRDefault="00966E7E" w:rsidP="003D748F">
            <w:pPr>
              <w:pStyle w:val="NoSpacing"/>
              <w:jc w:val="both"/>
              <w:rPr>
                <w:rFonts w:ascii="Cambria" w:hAnsi="Cambria"/>
              </w:rPr>
            </w:pPr>
            <w:r w:rsidRPr="00D14C0F">
              <w:rPr>
                <w:rFonts w:ascii="Cambria" w:hAnsi="Cambria"/>
              </w:rPr>
              <w:t>What is the impact of</w:t>
            </w:r>
            <w:r w:rsidR="00522108">
              <w:rPr>
                <w:rFonts w:ascii="Cambria" w:hAnsi="Cambria"/>
              </w:rPr>
              <w:t xml:space="preserve"> </w:t>
            </w:r>
            <w:r w:rsidR="00E71B58">
              <w:rPr>
                <w:rFonts w:ascii="Cambria" w:hAnsi="Cambria"/>
              </w:rPr>
              <w:t xml:space="preserve">a </w:t>
            </w:r>
            <w:r w:rsidR="00EA30E3">
              <w:rPr>
                <w:rFonts w:ascii="Cambria" w:hAnsi="Cambria"/>
              </w:rPr>
              <w:t>UCT</w:t>
            </w:r>
            <w:r w:rsidRPr="00D14C0F">
              <w:rPr>
                <w:rFonts w:ascii="Cambria" w:hAnsi="Cambria"/>
              </w:rPr>
              <w:t xml:space="preserve"> on households’ productivity and welfare</w:t>
            </w:r>
            <w:r w:rsidR="00454F5E">
              <w:rPr>
                <w:rFonts w:ascii="Cambria" w:hAnsi="Cambria"/>
              </w:rPr>
              <w:t xml:space="preserve"> in Iganga</w:t>
            </w:r>
            <w:r w:rsidRPr="00D14C0F">
              <w:rPr>
                <w:rFonts w:ascii="Cambria" w:hAnsi="Cambria"/>
              </w:rPr>
              <w:t>? GiveDirectly will focus on agricultural productivity and welfare measured through income, assets, and consumption.</w:t>
            </w:r>
          </w:p>
        </w:tc>
      </w:tr>
      <w:tr w:rsidR="00966E7E" w14:paraId="3B0C0012" w14:textId="77777777" w:rsidTr="00C22844">
        <w:trPr>
          <w:trHeight w:val="1106"/>
        </w:trPr>
        <w:tc>
          <w:tcPr>
            <w:tcW w:w="1525" w:type="dxa"/>
            <w:shd w:val="clear" w:color="auto" w:fill="9CC2E5" w:themeFill="accent1" w:themeFillTint="99"/>
            <w:vAlign w:val="center"/>
          </w:tcPr>
          <w:p w14:paraId="0018188C" w14:textId="77777777" w:rsidR="00966E7E" w:rsidRPr="00D14C0F" w:rsidRDefault="00966E7E" w:rsidP="007D1B81">
            <w:pPr>
              <w:pStyle w:val="NoSpacing"/>
              <w:jc w:val="center"/>
              <w:rPr>
                <w:rFonts w:ascii="Cambria" w:hAnsi="Cambria"/>
                <w:b/>
              </w:rPr>
            </w:pPr>
            <w:r w:rsidRPr="00D14C0F">
              <w:rPr>
                <w:rFonts w:ascii="Cambria" w:hAnsi="Cambria"/>
                <w:b/>
              </w:rPr>
              <w:t>Question 2</w:t>
            </w:r>
          </w:p>
        </w:tc>
        <w:tc>
          <w:tcPr>
            <w:tcW w:w="7825" w:type="dxa"/>
            <w:vAlign w:val="center"/>
          </w:tcPr>
          <w:p w14:paraId="377267FC" w14:textId="4A6E4790" w:rsidR="00966E7E" w:rsidRDefault="00966E7E" w:rsidP="008905EF">
            <w:pPr>
              <w:pStyle w:val="NoSpacing"/>
              <w:jc w:val="both"/>
              <w:rPr>
                <w:rFonts w:ascii="Cambria" w:hAnsi="Cambria"/>
              </w:rPr>
            </w:pPr>
            <w:r w:rsidRPr="00D14C0F">
              <w:rPr>
                <w:rFonts w:ascii="Cambria" w:hAnsi="Cambria"/>
              </w:rPr>
              <w:t xml:space="preserve">What is the impact of </w:t>
            </w:r>
            <w:r w:rsidR="00522108">
              <w:rPr>
                <w:rFonts w:ascii="Cambria" w:hAnsi="Cambria"/>
              </w:rPr>
              <w:t>th</w:t>
            </w:r>
            <w:r w:rsidR="00F7626A">
              <w:rPr>
                <w:rFonts w:ascii="Cambria" w:hAnsi="Cambria"/>
              </w:rPr>
              <w:t>e</w:t>
            </w:r>
            <w:r w:rsidR="00522108">
              <w:rPr>
                <w:rFonts w:ascii="Cambria" w:hAnsi="Cambria"/>
              </w:rPr>
              <w:t xml:space="preserve"> </w:t>
            </w:r>
            <w:r w:rsidR="008905EF">
              <w:rPr>
                <w:rFonts w:ascii="Cambria" w:hAnsi="Cambria"/>
              </w:rPr>
              <w:t>UCTs</w:t>
            </w:r>
            <w:r w:rsidRPr="00D14C0F">
              <w:rPr>
                <w:rFonts w:ascii="Cambria" w:hAnsi="Cambria"/>
              </w:rPr>
              <w:t xml:space="preserve"> on coffee farmers?</w:t>
            </w:r>
            <w:r w:rsidR="003B6980">
              <w:rPr>
                <w:rStyle w:val="FootnoteReference"/>
                <w:rFonts w:ascii="Cambria" w:hAnsi="Cambria"/>
              </w:rPr>
              <w:footnoteReference w:id="2"/>
            </w:r>
            <w:r w:rsidRPr="00D14C0F">
              <w:rPr>
                <w:rFonts w:ascii="Cambria" w:hAnsi="Cambria"/>
              </w:rPr>
              <w:t xml:space="preserve"> </w:t>
            </w:r>
            <w:r w:rsidR="00803DBE">
              <w:rPr>
                <w:rFonts w:ascii="Cambria" w:hAnsi="Cambria"/>
              </w:rPr>
              <w:t>Besides looking at the overall effects descri</w:t>
            </w:r>
            <w:r w:rsidR="004E5700">
              <w:rPr>
                <w:rFonts w:ascii="Cambria" w:hAnsi="Cambria"/>
              </w:rPr>
              <w:t>bed above, GiveDirectly</w:t>
            </w:r>
            <w:r w:rsidR="00803DBE">
              <w:rPr>
                <w:rFonts w:ascii="Cambria" w:hAnsi="Cambria"/>
              </w:rPr>
              <w:t xml:space="preserve"> will</w:t>
            </w:r>
            <w:r w:rsidR="00F91E46">
              <w:rPr>
                <w:rFonts w:ascii="Cambria" w:hAnsi="Cambria"/>
              </w:rPr>
              <w:t xml:space="preserve"> also</w:t>
            </w:r>
            <w:r w:rsidR="00803DBE">
              <w:rPr>
                <w:rFonts w:ascii="Cambria" w:hAnsi="Cambria"/>
              </w:rPr>
              <w:t xml:space="preserve"> focus on the effect of cash transfers on coffee investment, productivity, and sales</w:t>
            </w:r>
            <w:r w:rsidR="00F7142D">
              <w:rPr>
                <w:rFonts w:ascii="Cambria" w:hAnsi="Cambria"/>
              </w:rPr>
              <w:t xml:space="preserve"> for coffee farmers</w:t>
            </w:r>
            <w:r w:rsidR="00803DBE">
              <w:rPr>
                <w:rFonts w:ascii="Cambria" w:hAnsi="Cambria"/>
              </w:rPr>
              <w:t xml:space="preserve">. </w:t>
            </w:r>
          </w:p>
        </w:tc>
      </w:tr>
    </w:tbl>
    <w:p w14:paraId="6FC113A7" w14:textId="05D9A794" w:rsidR="00FF4FAE" w:rsidRDefault="00FF4FAE" w:rsidP="00FB1CBF"/>
    <w:p w14:paraId="70684A89" w14:textId="69DE8937" w:rsidR="002165B7" w:rsidRDefault="002165B7" w:rsidP="00827B71">
      <w:pPr>
        <w:jc w:val="both"/>
      </w:pPr>
      <w:r>
        <w:t>There are two arms to this study – treatment and control – with two subgroups in each arm: coffee and non-coffee farmers. GiveDirectly will be evaluating the impact of the cash transfers by comparing the treatment and control arms. GiveDirectly will also look at the impact of the intervention on coffee and non-coffee farmers separat</w:t>
      </w:r>
      <w:r w:rsidR="008C162C">
        <w:t>ely.</w:t>
      </w:r>
    </w:p>
    <w:p w14:paraId="1D09B993" w14:textId="77777777" w:rsidR="002165B7" w:rsidRDefault="002165B7" w:rsidP="00FB1CBF"/>
    <w:p w14:paraId="6FA85163" w14:textId="3CBB3387" w:rsidR="002C52A7" w:rsidRDefault="002466FA" w:rsidP="00827B71">
      <w:pPr>
        <w:jc w:val="both"/>
      </w:pPr>
      <w:r>
        <w:t>This</w:t>
      </w:r>
      <w:r w:rsidR="00B83671">
        <w:t xml:space="preserve"> evaluation will establish causal impact through a</w:t>
      </w:r>
      <w:r w:rsidR="00D20FDD">
        <w:t>n</w:t>
      </w:r>
      <w:r w:rsidR="00B83671">
        <w:t xml:space="preserve"> </w:t>
      </w:r>
      <w:r w:rsidR="0011398C">
        <w:t>RCT</w:t>
      </w:r>
      <w:r w:rsidR="00B83671">
        <w:t>.</w:t>
      </w:r>
      <w:r w:rsidR="0086597E">
        <w:t xml:space="preserve"> After the completion of the initial census, GiveDirectly will randomly </w:t>
      </w:r>
      <w:r w:rsidR="00DA4B81">
        <w:t xml:space="preserve">assign </w:t>
      </w:r>
      <w:r w:rsidR="00FD153C">
        <w:t xml:space="preserve">eligible </w:t>
      </w:r>
      <w:r w:rsidR="0086597E">
        <w:t xml:space="preserve">households to the treatment </w:t>
      </w:r>
      <w:r w:rsidR="00DA4B81">
        <w:t>or</w:t>
      </w:r>
      <w:r w:rsidR="0086597E">
        <w:t xml:space="preserve"> control</w:t>
      </w:r>
      <w:r w:rsidR="00FD153C">
        <w:t xml:space="preserve"> group</w:t>
      </w:r>
      <w:r w:rsidR="00DC5175">
        <w:t>s</w:t>
      </w:r>
      <w:r w:rsidR="0011398C">
        <w:t xml:space="preserve">. </w:t>
      </w:r>
      <w:r w:rsidR="00521A4B">
        <w:t>Randomization will</w:t>
      </w:r>
      <w:r w:rsidR="00FD153C">
        <w:t xml:space="preserve"> happen at the household level</w:t>
      </w:r>
      <w:r w:rsidR="00824E1C">
        <w:t xml:space="preserve"> – this is the </w:t>
      </w:r>
      <w:r w:rsidR="00824E1C" w:rsidRPr="00824E1C">
        <w:rPr>
          <w:b/>
        </w:rPr>
        <w:t>unit of treatment</w:t>
      </w:r>
      <w:r w:rsidR="00FD153C">
        <w:t xml:space="preserve">. GiveDirectly </w:t>
      </w:r>
      <w:r w:rsidR="00714EEE">
        <w:t xml:space="preserve">chose to randomize at the household </w:t>
      </w:r>
      <w:r w:rsidR="002374C2">
        <w:t xml:space="preserve">level </w:t>
      </w:r>
      <w:r w:rsidR="0011398C">
        <w:t>to i</w:t>
      </w:r>
      <w:r w:rsidR="00FD153C">
        <w:t xml:space="preserve">ncrease power and </w:t>
      </w:r>
      <w:r w:rsidR="00AA5B1A">
        <w:t xml:space="preserve">for </w:t>
      </w:r>
      <w:r w:rsidR="00FD153C">
        <w:t>logistical ease</w:t>
      </w:r>
      <w:r w:rsidR="002374C2">
        <w:t xml:space="preserve"> (</w:t>
      </w:r>
      <w:r w:rsidR="004B571D">
        <w:t xml:space="preserve">e.g. </w:t>
      </w:r>
      <w:r w:rsidR="00FD153C">
        <w:t>GiveDirectly</w:t>
      </w:r>
      <w:r w:rsidR="002374C2">
        <w:t xml:space="preserve"> will need to survey </w:t>
      </w:r>
      <w:r w:rsidR="00DC2C5F">
        <w:t xml:space="preserve">fewer </w:t>
      </w:r>
      <w:r w:rsidR="002374C2">
        <w:t>households</w:t>
      </w:r>
      <w:r w:rsidR="00952AF3">
        <w:t xml:space="preserve"> to achie</w:t>
      </w:r>
      <w:r w:rsidR="006C1028">
        <w:t>ve the same level of power</w:t>
      </w:r>
      <w:r w:rsidR="002374C2">
        <w:t>)</w:t>
      </w:r>
      <w:r w:rsidR="0011398C">
        <w:t xml:space="preserve">. </w:t>
      </w:r>
    </w:p>
    <w:p w14:paraId="3CBB17B0" w14:textId="77777777" w:rsidR="00172508" w:rsidRDefault="00172508" w:rsidP="00827B71">
      <w:pPr>
        <w:jc w:val="both"/>
      </w:pPr>
    </w:p>
    <w:p w14:paraId="7088863D" w14:textId="1DA5BA03" w:rsidR="00172508" w:rsidRDefault="00172508" w:rsidP="00827B71">
      <w:pPr>
        <w:jc w:val="both"/>
      </w:pPr>
      <w:r>
        <w:t xml:space="preserve">In the study region, some households are polygamous, under a number of different sharing arrangements. In polyamorous situations, GiveDirectly considers each wife to be a separate household, and therefore eligible for separate transfers. Therefore, for the purpose of randomization we considered each wife to constitute a separate household. </w:t>
      </w:r>
      <w:r w:rsidR="00811696">
        <w:t xml:space="preserve">At endline, we found that some polygamous households shared some assets among different wives. We will discuss how we deal with this situation in the “Corrections to the Analysis” section. </w:t>
      </w:r>
    </w:p>
    <w:p w14:paraId="69756E3A" w14:textId="1A750E61" w:rsidR="00FB1CBF" w:rsidRPr="00FB1CBF" w:rsidRDefault="00FB1CBF" w:rsidP="00AC5A79">
      <w:pPr>
        <w:pStyle w:val="Heading1"/>
      </w:pPr>
      <w:r>
        <w:t xml:space="preserve">Data Collection </w:t>
      </w:r>
    </w:p>
    <w:p w14:paraId="6313DC1E" w14:textId="4F882109" w:rsidR="00FB1CBF" w:rsidRPr="0070240A" w:rsidRDefault="00747BD0" w:rsidP="00827B71">
      <w:pPr>
        <w:jc w:val="both"/>
        <w:rPr>
          <w:i/>
        </w:rPr>
      </w:pPr>
      <w:r>
        <w:rPr>
          <w:i/>
        </w:rPr>
        <w:t>This section defines GiveDirectly’s</w:t>
      </w:r>
      <w:r w:rsidR="000F40F6">
        <w:rPr>
          <w:i/>
        </w:rPr>
        <w:t xml:space="preserve"> unit</w:t>
      </w:r>
      <w:r>
        <w:rPr>
          <w:i/>
        </w:rPr>
        <w:t xml:space="preserve"> of analysis, the data they will collect, the</w:t>
      </w:r>
      <w:r w:rsidR="00FB1CBF" w:rsidRPr="0070240A">
        <w:rPr>
          <w:i/>
        </w:rPr>
        <w:t xml:space="preserve"> da</w:t>
      </w:r>
      <w:r>
        <w:rPr>
          <w:i/>
        </w:rPr>
        <w:t xml:space="preserve">ta collection timeline, and their </w:t>
      </w:r>
      <w:r w:rsidR="00FB1CBF" w:rsidRPr="0070240A">
        <w:rPr>
          <w:i/>
        </w:rPr>
        <w:t xml:space="preserve">sampling procedure. </w:t>
      </w:r>
    </w:p>
    <w:p w14:paraId="3DDF7819" w14:textId="0FA600F4" w:rsidR="009B1463" w:rsidRDefault="009B1463" w:rsidP="00827B71">
      <w:pPr>
        <w:jc w:val="both"/>
      </w:pPr>
    </w:p>
    <w:p w14:paraId="47AA441F" w14:textId="3BB4A1B7" w:rsidR="006774A8" w:rsidRDefault="00966E7E" w:rsidP="00827B71">
      <w:pPr>
        <w:jc w:val="both"/>
      </w:pPr>
      <w:r>
        <w:t xml:space="preserve">For all major questions in the evaluation </w:t>
      </w:r>
      <w:r w:rsidRPr="006A7AAB">
        <w:rPr>
          <w:i/>
        </w:rPr>
        <w:t xml:space="preserve">(see </w:t>
      </w:r>
      <w:r w:rsidR="00076EAE">
        <w:rPr>
          <w:i/>
        </w:rPr>
        <w:t>The Evaluation</w:t>
      </w:r>
      <w:r w:rsidR="006A7AAB" w:rsidRPr="006A7AAB">
        <w:rPr>
          <w:i/>
        </w:rPr>
        <w:t>)</w:t>
      </w:r>
      <w:r w:rsidR="006A7AAB">
        <w:t>,</w:t>
      </w:r>
      <w:r w:rsidR="00076EAE">
        <w:t xml:space="preserve"> GiveDirectly’s</w:t>
      </w:r>
      <w:r w:rsidR="0070240A">
        <w:t xml:space="preserve"> </w:t>
      </w:r>
      <w:r w:rsidR="0070240A" w:rsidRPr="00A20791">
        <w:rPr>
          <w:b/>
        </w:rPr>
        <w:t>unit of analysis</w:t>
      </w:r>
      <w:r w:rsidR="0070240A">
        <w:t xml:space="preserve"> wil</w:t>
      </w:r>
      <w:r w:rsidR="00353997">
        <w:t>l be the household</w:t>
      </w:r>
      <w:r w:rsidR="004B40A5">
        <w:t xml:space="preserve">. </w:t>
      </w:r>
      <w:r w:rsidR="00194F13">
        <w:t xml:space="preserve">This is the same as the unit of treatment. </w:t>
      </w:r>
    </w:p>
    <w:p w14:paraId="7F58CEE5" w14:textId="5CC2984C" w:rsidR="00A0531E" w:rsidRDefault="00A0531E" w:rsidP="00827B71">
      <w:pPr>
        <w:jc w:val="both"/>
      </w:pPr>
    </w:p>
    <w:p w14:paraId="30597440" w14:textId="39536532" w:rsidR="00A0531E" w:rsidRDefault="00A0531E" w:rsidP="00827B71">
      <w:pPr>
        <w:jc w:val="both"/>
      </w:pPr>
      <w:r>
        <w:t xml:space="preserve">Data </w:t>
      </w:r>
      <w:r w:rsidR="00430D49">
        <w:t>is</w:t>
      </w:r>
      <w:r w:rsidR="001C4025">
        <w:t xml:space="preserve"> collected</w:t>
      </w:r>
      <w:r>
        <w:t xml:space="preserve"> by GiveDirectly Field Officers using smartphones. GiveDirectly</w:t>
      </w:r>
      <w:r w:rsidR="00011E2E">
        <w:t xml:space="preserve"> uses Segovia, a technology company, for all</w:t>
      </w:r>
      <w:r>
        <w:t xml:space="preserve"> data management </w:t>
      </w:r>
      <w:r w:rsidR="00A551BF">
        <w:t>(i.e. controlling the survey instrument, accepting incoming data, and storing incoming data).</w:t>
      </w:r>
      <w:r w:rsidR="001C4025">
        <w:t xml:space="preserve"> After the initial census,</w:t>
      </w:r>
      <w:r w:rsidR="00A551BF">
        <w:t xml:space="preserve"> </w:t>
      </w:r>
      <w:r w:rsidR="00214D30">
        <w:t>IDinsight applied</w:t>
      </w:r>
      <w:r w:rsidR="006248D6">
        <w:t xml:space="preserve"> GiveDirectly’s eligibility criteria</w:t>
      </w:r>
      <w:r w:rsidR="00430D49">
        <w:t>,</w:t>
      </w:r>
      <w:r w:rsidR="006248D6">
        <w:t xml:space="preserve"> </w:t>
      </w:r>
      <w:r w:rsidR="00430D49">
        <w:t xml:space="preserve">with randomization, </w:t>
      </w:r>
      <w:r w:rsidR="006248D6">
        <w:t>to the data and</w:t>
      </w:r>
      <w:r w:rsidR="00E71B58">
        <w:t xml:space="preserve"> </w:t>
      </w:r>
      <w:r w:rsidR="006248D6">
        <w:t>provide</w:t>
      </w:r>
      <w:r w:rsidR="001C4025">
        <w:t>d</w:t>
      </w:r>
      <w:r w:rsidR="006248D6">
        <w:t xml:space="preserve"> GiveDirectly </w:t>
      </w:r>
      <w:r w:rsidR="00430D49">
        <w:t xml:space="preserve">with </w:t>
      </w:r>
      <w:r w:rsidR="006248D6">
        <w:t xml:space="preserve">the list of households that are eligible to receive cash transfers. </w:t>
      </w:r>
      <w:r w:rsidR="00A551BF">
        <w:t xml:space="preserve">The survey was administered through ONA – </w:t>
      </w:r>
      <w:r w:rsidR="00A551BF">
        <w:lastRenderedPageBreak/>
        <w:t>an Open Data Kit (ODK) based survey software.</w:t>
      </w:r>
      <w:r w:rsidR="001C4025">
        <w:t xml:space="preserve"> The endline survey will be administered in </w:t>
      </w:r>
      <w:r w:rsidR="002C63D2">
        <w:t>early 2018</w:t>
      </w:r>
      <w:r w:rsidR="001C4025">
        <w:t xml:space="preserve">. </w:t>
      </w:r>
    </w:p>
    <w:p w14:paraId="17D24C9A" w14:textId="5530DA73" w:rsidR="00A0045B" w:rsidRDefault="00A0045B" w:rsidP="00FB1CBF"/>
    <w:p w14:paraId="1D974E30" w14:textId="77777777" w:rsidR="008D3839" w:rsidRDefault="008D3839" w:rsidP="00FB1CBF"/>
    <w:p w14:paraId="509F5330" w14:textId="77777777" w:rsidR="008D3839" w:rsidRDefault="008D3839" w:rsidP="00FB1CBF"/>
    <w:p w14:paraId="10F15B74" w14:textId="77777777" w:rsidR="00881415" w:rsidRDefault="00881415">
      <w:pPr>
        <w:rPr>
          <w:rFonts w:eastAsiaTheme="majorEastAsia" w:cstheme="majorBidi"/>
          <w:color w:val="1F4D78" w:themeColor="accent1" w:themeShade="7F"/>
          <w:sz w:val="24"/>
          <w:szCs w:val="24"/>
        </w:rPr>
      </w:pPr>
      <w:r>
        <w:br w:type="page"/>
      </w:r>
    </w:p>
    <w:p w14:paraId="2BD12D26" w14:textId="0FFDA6B6" w:rsidR="00282CA7" w:rsidRDefault="00502A8C" w:rsidP="00502A8C">
      <w:pPr>
        <w:pStyle w:val="Heading3"/>
      </w:pPr>
      <w:r>
        <w:lastRenderedPageBreak/>
        <w:t>Types of Data</w:t>
      </w:r>
    </w:p>
    <w:p w14:paraId="28472908" w14:textId="77777777" w:rsidR="00502A8C" w:rsidRDefault="00502A8C" w:rsidP="00FB1CBF"/>
    <w:p w14:paraId="56CE183A" w14:textId="5CF763C7" w:rsidR="00282CA7" w:rsidRDefault="008A7FC8" w:rsidP="00827B71">
      <w:pPr>
        <w:jc w:val="both"/>
      </w:pPr>
      <w:r>
        <w:t>GiveDirectly</w:t>
      </w:r>
      <w:r w:rsidR="00430D49">
        <w:t xml:space="preserve"> </w:t>
      </w:r>
      <w:r>
        <w:t xml:space="preserve">collect data </w:t>
      </w:r>
      <w:r w:rsidR="008A3D56">
        <w:t>through enumerator</w:t>
      </w:r>
      <w:r w:rsidR="00AC5A79">
        <w:t>-</w:t>
      </w:r>
      <w:r w:rsidR="005A3DB0">
        <w:t>administered in-person surveys.</w:t>
      </w:r>
      <w:r w:rsidR="008A3D56">
        <w:rPr>
          <w:rStyle w:val="FootnoteReference"/>
        </w:rPr>
        <w:footnoteReference w:id="3"/>
      </w:r>
      <w:r w:rsidR="005A3DB0">
        <w:t xml:space="preserve"> </w:t>
      </w:r>
      <w:r>
        <w:t xml:space="preserve">During the baseline, their </w:t>
      </w:r>
      <w:r w:rsidR="00282CA7">
        <w:t>e</w:t>
      </w:r>
      <w:r>
        <w:t>numeration teams couple</w:t>
      </w:r>
      <w:r w:rsidR="00430D49">
        <w:t>d</w:t>
      </w:r>
      <w:r w:rsidR="00282CA7">
        <w:t xml:space="preserve"> </w:t>
      </w:r>
      <w:r w:rsidR="00586E3A">
        <w:t xml:space="preserve">basic </w:t>
      </w:r>
      <w:r w:rsidR="00282CA7">
        <w:t>research questions with GiveDirectly’s regularly admin</w:t>
      </w:r>
      <w:r w:rsidR="006B5BBE">
        <w:t>istered census.</w:t>
      </w:r>
      <w:r>
        <w:t xml:space="preserve"> This </w:t>
      </w:r>
      <w:r w:rsidR="007F3C82">
        <w:t xml:space="preserve">happened </w:t>
      </w:r>
      <w:r>
        <w:t>between June – August, 2016.</w:t>
      </w:r>
      <w:r w:rsidR="006B5BBE">
        <w:t xml:space="preserve"> For the endline</w:t>
      </w:r>
      <w:r>
        <w:t xml:space="preserve">, GiveDirectly </w:t>
      </w:r>
      <w:r w:rsidR="00282CA7">
        <w:t>will send out enumeration teams to a</w:t>
      </w:r>
      <w:r>
        <w:t>dminister a stand-alone survey.</w:t>
      </w:r>
      <w:r w:rsidR="00E325C7">
        <w:t xml:space="preserve"> </w:t>
      </w:r>
    </w:p>
    <w:p w14:paraId="7C6EF76A" w14:textId="39C73545" w:rsidR="006C0D63" w:rsidRDefault="006C0D63" w:rsidP="00827B71">
      <w:pPr>
        <w:jc w:val="both"/>
      </w:pPr>
    </w:p>
    <w:p w14:paraId="60286593" w14:textId="76DC5E51" w:rsidR="001813BB" w:rsidRDefault="001C78D4" w:rsidP="00AA0CD7">
      <w:pPr>
        <w:jc w:val="both"/>
      </w:pPr>
      <w:r>
        <w:t>The GiveDirect</w:t>
      </w:r>
      <w:r w:rsidR="00084C8E">
        <w:t>l</w:t>
      </w:r>
      <w:r w:rsidR="004F1256">
        <w:t>y team has taken</w:t>
      </w:r>
      <w:r w:rsidR="00831CB0">
        <w:t xml:space="preserve"> </w:t>
      </w:r>
      <w:r w:rsidR="008A017A">
        <w:t xml:space="preserve">the following actions </w:t>
      </w:r>
      <w:r w:rsidR="00BA3AB4">
        <w:t>to</w:t>
      </w:r>
      <w:r w:rsidR="0046699D">
        <w:t xml:space="preserve"> mitigate</w:t>
      </w:r>
      <w:r w:rsidR="008A017A">
        <w:t xml:space="preserve"> data quality </w:t>
      </w:r>
      <w:r w:rsidR="00A53A4D">
        <w:t>risks</w:t>
      </w:r>
      <w:r w:rsidR="00831CB0">
        <w:t xml:space="preserve">: (1) the survey instrument underwent </w:t>
      </w:r>
      <w:r w:rsidR="00713BAB">
        <w:t xml:space="preserve">extensive piloting, (2) </w:t>
      </w:r>
      <w:r w:rsidR="00831CB0">
        <w:t>the GiveDirectly</w:t>
      </w:r>
      <w:r w:rsidR="00043089">
        <w:t xml:space="preserve"> enumeration teams </w:t>
      </w:r>
      <w:r w:rsidR="00831CB0">
        <w:t xml:space="preserve">were provided </w:t>
      </w:r>
      <w:r w:rsidR="00E71B58">
        <w:t xml:space="preserve">with </w:t>
      </w:r>
      <w:r w:rsidR="001C3E7D">
        <w:t>substantial training and field</w:t>
      </w:r>
      <w:r w:rsidR="00043089">
        <w:t xml:space="preserve"> support</w:t>
      </w:r>
      <w:r w:rsidR="00970DED">
        <w:t>, and (3) these</w:t>
      </w:r>
      <w:r w:rsidR="00831CB0">
        <w:t xml:space="preserve"> data are reg</w:t>
      </w:r>
      <w:r w:rsidR="00F90C0A">
        <w:t xml:space="preserve">ularly checked for consistency and unusual patterns. </w:t>
      </w:r>
    </w:p>
    <w:p w14:paraId="5323E5AE" w14:textId="46D24B71" w:rsidR="00C9273F" w:rsidRDefault="00C9273F" w:rsidP="005164C0"/>
    <w:p w14:paraId="248BBA56" w14:textId="77777777" w:rsidR="001813BB" w:rsidRDefault="001813BB" w:rsidP="001813BB">
      <w:pPr>
        <w:pStyle w:val="Heading3"/>
      </w:pPr>
      <w:r>
        <w:t>Gantt Chart</w:t>
      </w:r>
    </w:p>
    <w:p w14:paraId="1F78433F" w14:textId="77777777" w:rsidR="001813BB" w:rsidRDefault="001813BB" w:rsidP="001813BB"/>
    <w:p w14:paraId="08AC7711" w14:textId="54751895" w:rsidR="006774A8" w:rsidRDefault="001813BB" w:rsidP="00827B71">
      <w:pPr>
        <w:jc w:val="both"/>
      </w:pPr>
      <w:r>
        <w:t>The following Gantt chart provides a sketch of upcoming work activities.  This plan may be subject to modifications.</w:t>
      </w:r>
    </w:p>
    <w:p w14:paraId="240F0FAE" w14:textId="7945F08A" w:rsidR="001813BB" w:rsidRDefault="001813BB" w:rsidP="001813BB"/>
    <w:p w14:paraId="7A7A1ABD" w14:textId="46858E66" w:rsidR="00AE747E" w:rsidRDefault="00AE747E" w:rsidP="00AE747E">
      <w:pPr>
        <w:pStyle w:val="Caption"/>
        <w:keepNext/>
      </w:pPr>
      <w:r>
        <w:t xml:space="preserve">Figure </w:t>
      </w:r>
      <w:r w:rsidR="00F327FF">
        <w:fldChar w:fldCharType="begin"/>
      </w:r>
      <w:r w:rsidR="00F327FF">
        <w:instrText xml:space="preserve"> SEQ Figure \* ARABIC </w:instrText>
      </w:r>
      <w:r w:rsidR="00F327FF">
        <w:fldChar w:fldCharType="separate"/>
      </w:r>
      <w:r w:rsidR="002A489D">
        <w:rPr>
          <w:noProof/>
        </w:rPr>
        <w:t>1</w:t>
      </w:r>
      <w:r w:rsidR="00F327FF">
        <w:rPr>
          <w:noProof/>
        </w:rPr>
        <w:fldChar w:fldCharType="end"/>
      </w:r>
      <w:r>
        <w:rPr>
          <w:noProof/>
        </w:rPr>
        <w:t>: Work Plan</w:t>
      </w:r>
      <w:r w:rsidR="006121DB">
        <w:rPr>
          <w:noProof/>
        </w:rPr>
        <w:t xml:space="preserve"> (</w:t>
      </w:r>
      <w:r w:rsidR="009D6362">
        <w:rPr>
          <w:noProof/>
        </w:rPr>
        <w:t>updated May 2018</w:t>
      </w:r>
      <w:r w:rsidR="006121DB">
        <w:rPr>
          <w:noProof/>
        </w:rPr>
        <w:t>)</w:t>
      </w:r>
    </w:p>
    <w:p w14:paraId="6A184616" w14:textId="77559118" w:rsidR="00A24A1E" w:rsidRDefault="009D6362" w:rsidP="00A24A1E">
      <w:r w:rsidRPr="009D6362">
        <w:rPr>
          <w:noProof/>
        </w:rPr>
        <w:drawing>
          <wp:inline distT="0" distB="0" distL="0" distR="0" wp14:anchorId="392FAAF6" wp14:editId="5017E84F">
            <wp:extent cx="5943600" cy="200318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003183"/>
                    </a:xfrm>
                    <a:prstGeom prst="rect">
                      <a:avLst/>
                    </a:prstGeom>
                    <a:noFill/>
                    <a:ln>
                      <a:noFill/>
                    </a:ln>
                  </pic:spPr>
                </pic:pic>
              </a:graphicData>
            </a:graphic>
          </wp:inline>
        </w:drawing>
      </w:r>
    </w:p>
    <w:p w14:paraId="67841DA4" w14:textId="154CFDDF" w:rsidR="001813BB" w:rsidRDefault="001813BB" w:rsidP="00A24A1E"/>
    <w:p w14:paraId="34C46F99" w14:textId="77777777" w:rsidR="001813BB" w:rsidRDefault="001813BB" w:rsidP="001813BB">
      <w:pPr>
        <w:rPr>
          <w:rStyle w:val="Heading3Char"/>
        </w:rPr>
      </w:pPr>
      <w:r>
        <w:rPr>
          <w:rStyle w:val="Heading3Char"/>
        </w:rPr>
        <w:t>Sampling</w:t>
      </w:r>
    </w:p>
    <w:p w14:paraId="6EFA1673" w14:textId="77777777" w:rsidR="001813BB" w:rsidRDefault="001813BB" w:rsidP="001813BB">
      <w:pPr>
        <w:rPr>
          <w:rStyle w:val="Heading3Char"/>
        </w:rPr>
      </w:pPr>
    </w:p>
    <w:p w14:paraId="0B3C19C4" w14:textId="4FAB07B4" w:rsidR="001813BB" w:rsidRDefault="001813BB" w:rsidP="00827B71">
      <w:pPr>
        <w:jc w:val="both"/>
      </w:pPr>
      <w:r>
        <w:t xml:space="preserve">GiveDirectly censuses all households in </w:t>
      </w:r>
      <w:r w:rsidR="00406EDB">
        <w:t>the regions where they</w:t>
      </w:r>
      <w:r w:rsidR="00B92138">
        <w:t xml:space="preserve"> work. They</w:t>
      </w:r>
      <w:r>
        <w:t xml:space="preserve"> then develop criteria for determi</w:t>
      </w:r>
      <w:r w:rsidR="0015348B">
        <w:t>ning</w:t>
      </w:r>
      <w:r w:rsidR="00416CC9">
        <w:t xml:space="preserve"> households’ </w:t>
      </w:r>
      <w:r w:rsidR="0015348B">
        <w:t>eligibility, before</w:t>
      </w:r>
      <w:r>
        <w:t xml:space="preserve"> enroll</w:t>
      </w:r>
      <w:r w:rsidR="00BB0C34">
        <w:t>ing</w:t>
      </w:r>
      <w:r>
        <w:t xml:space="preserve"> elig</w:t>
      </w:r>
      <w:r w:rsidR="001A145C">
        <w:t>ible households in the cash transfer program</w:t>
      </w:r>
      <w:r w:rsidR="0015348B">
        <w:t xml:space="preserve">. For this project, GiveDirectly will follow the same procedure, with some slight adjustments. </w:t>
      </w:r>
      <w:r w:rsidR="00333880">
        <w:t>The following is GiveDirectly’s</w:t>
      </w:r>
      <w:r w:rsidR="00C00B37">
        <w:t xml:space="preserve"> sampling</w:t>
      </w:r>
      <w:r w:rsidR="00333880">
        <w:t xml:space="preserve"> </w:t>
      </w:r>
      <w:r w:rsidR="00C00B37">
        <w:t>strategy</w:t>
      </w:r>
      <w:r w:rsidR="00333880">
        <w:t xml:space="preserve"> for this evaluation: </w:t>
      </w:r>
    </w:p>
    <w:p w14:paraId="0DEE64D6" w14:textId="2563D5FA" w:rsidR="001813BB" w:rsidRDefault="001813BB" w:rsidP="00D42FF2">
      <w:pPr>
        <w:pStyle w:val="ListParagraph"/>
        <w:numPr>
          <w:ilvl w:val="0"/>
          <w:numId w:val="8"/>
        </w:numPr>
        <w:jc w:val="both"/>
      </w:pPr>
      <w:r>
        <w:t>Census all households in the relevant regions</w:t>
      </w:r>
      <w:r w:rsidR="00175BE2">
        <w:t>.</w:t>
      </w:r>
    </w:p>
    <w:p w14:paraId="0D9F2835" w14:textId="02149245" w:rsidR="001813BB" w:rsidRDefault="001813BB" w:rsidP="00D42FF2">
      <w:pPr>
        <w:pStyle w:val="ListParagraph"/>
        <w:numPr>
          <w:ilvl w:val="0"/>
          <w:numId w:val="8"/>
        </w:numPr>
        <w:jc w:val="both"/>
      </w:pPr>
      <w:r>
        <w:t>Decide eligibility criteria</w:t>
      </w:r>
      <w:r w:rsidR="00175BE2">
        <w:t>.</w:t>
      </w:r>
    </w:p>
    <w:p w14:paraId="2DD63127" w14:textId="6A3C0840" w:rsidR="001813BB" w:rsidRDefault="001813BB" w:rsidP="00D42FF2">
      <w:pPr>
        <w:pStyle w:val="ListParagraph"/>
        <w:numPr>
          <w:ilvl w:val="0"/>
          <w:numId w:val="8"/>
        </w:numPr>
        <w:jc w:val="both"/>
      </w:pPr>
      <w:r>
        <w:t>Apply eligibility criteria</w:t>
      </w:r>
      <w:r w:rsidR="00175BE2">
        <w:t>.</w:t>
      </w:r>
    </w:p>
    <w:p w14:paraId="0D286BFB" w14:textId="3B1440FC" w:rsidR="001813BB" w:rsidRDefault="001813BB" w:rsidP="00D42FF2">
      <w:pPr>
        <w:pStyle w:val="ListParagraph"/>
        <w:numPr>
          <w:ilvl w:val="0"/>
          <w:numId w:val="8"/>
        </w:numPr>
        <w:jc w:val="both"/>
      </w:pPr>
      <w:r>
        <w:t xml:space="preserve">Enroll </w:t>
      </w:r>
      <w:r w:rsidR="00E71B58">
        <w:t xml:space="preserve">the poorest </w:t>
      </w:r>
      <w:r w:rsidR="00166ED1">
        <w:t xml:space="preserve">eligible </w:t>
      </w:r>
      <w:r>
        <w:t>households</w:t>
      </w:r>
      <w:r w:rsidR="00E71B58">
        <w:t>,</w:t>
      </w:r>
      <w:r>
        <w:t xml:space="preserve"> </w:t>
      </w:r>
      <w:r w:rsidR="00E71B58">
        <w:t xml:space="preserve">who </w:t>
      </w:r>
      <w:r>
        <w:t>are excluded from the study</w:t>
      </w:r>
      <w:r w:rsidR="00E71B58">
        <w:t>,</w:t>
      </w:r>
      <w:r>
        <w:t xml:space="preserve"> in the cash transfer program</w:t>
      </w:r>
      <w:r w:rsidR="00175BE2">
        <w:t>.</w:t>
      </w:r>
    </w:p>
    <w:p w14:paraId="3F237FD1" w14:textId="37A13AC3" w:rsidR="00430D49" w:rsidRDefault="00430D49" w:rsidP="00D42FF2">
      <w:pPr>
        <w:pStyle w:val="ListParagraph"/>
        <w:numPr>
          <w:ilvl w:val="0"/>
          <w:numId w:val="8"/>
        </w:numPr>
        <w:jc w:val="both"/>
      </w:pPr>
      <w:r>
        <w:t>Remove the wealthiest households from the program</w:t>
      </w:r>
      <w:r w:rsidR="00E71B58">
        <w:t xml:space="preserve"> and study</w:t>
      </w:r>
    </w:p>
    <w:p w14:paraId="62C3223F" w14:textId="0A61F67D" w:rsidR="001813BB" w:rsidRDefault="001813BB" w:rsidP="00D42FF2">
      <w:pPr>
        <w:pStyle w:val="ListParagraph"/>
        <w:numPr>
          <w:ilvl w:val="0"/>
          <w:numId w:val="8"/>
        </w:numPr>
        <w:jc w:val="both"/>
      </w:pPr>
      <w:r>
        <w:t xml:space="preserve">Randomly allocate </w:t>
      </w:r>
      <w:r w:rsidR="00E71B58">
        <w:t>the</w:t>
      </w:r>
      <w:r>
        <w:t xml:space="preserve"> study households</w:t>
      </w:r>
      <w:r w:rsidR="00E71B58">
        <w:t>, those</w:t>
      </w:r>
      <w:r w:rsidR="00430D49">
        <w:t xml:space="preserve"> who were not removed from the study in </w:t>
      </w:r>
      <w:r w:rsidR="00E71B58">
        <w:t xml:space="preserve">(3) and </w:t>
      </w:r>
      <w:r w:rsidR="00430D49">
        <w:t>(4)</w:t>
      </w:r>
      <w:r w:rsidR="00E71B58">
        <w:t>,</w:t>
      </w:r>
      <w:r w:rsidR="00430D49">
        <w:t xml:space="preserve"> </w:t>
      </w:r>
      <w:r>
        <w:t>into the treatment and control groups</w:t>
      </w:r>
      <w:r w:rsidR="00F1345E">
        <w:t xml:space="preserve"> (stratification </w:t>
      </w:r>
      <w:r w:rsidR="00E71B58">
        <w:t xml:space="preserve">approach </w:t>
      </w:r>
      <w:r w:rsidR="003B1B81">
        <w:t>described below)</w:t>
      </w:r>
      <w:r w:rsidR="00175BE2">
        <w:t>.</w:t>
      </w:r>
    </w:p>
    <w:p w14:paraId="27281DC2" w14:textId="3286515C" w:rsidR="001813BB" w:rsidRPr="00FD1F25" w:rsidRDefault="001813BB" w:rsidP="00D42FF2">
      <w:pPr>
        <w:pStyle w:val="ListParagraph"/>
        <w:numPr>
          <w:ilvl w:val="0"/>
          <w:numId w:val="8"/>
        </w:numPr>
        <w:jc w:val="both"/>
      </w:pPr>
      <w:r>
        <w:t>Enroll treatment households in the cash transfer program</w:t>
      </w:r>
      <w:r w:rsidR="00175BE2">
        <w:t>.</w:t>
      </w:r>
    </w:p>
    <w:p w14:paraId="490A5F5D" w14:textId="2A7A7C86" w:rsidR="001813BB" w:rsidRDefault="001813BB" w:rsidP="00827B71">
      <w:pPr>
        <w:jc w:val="both"/>
      </w:pPr>
    </w:p>
    <w:p w14:paraId="2EB6A30A" w14:textId="0D04DECA" w:rsidR="00002A59" w:rsidRDefault="001E16C6" w:rsidP="00827B71">
      <w:pPr>
        <w:jc w:val="both"/>
      </w:pPr>
      <w:r>
        <w:t>GiveDirectly will not include the poorest 20% of households in the study (i.e. these households won’t be assigned to the treatment or control arm).</w:t>
      </w:r>
      <w:r>
        <w:rPr>
          <w:rStyle w:val="FootnoteReference"/>
        </w:rPr>
        <w:footnoteReference w:id="4"/>
      </w:r>
      <w:r w:rsidR="00C7711E">
        <w:t xml:space="preserve"> </w:t>
      </w:r>
      <w:r w:rsidR="005A24BA">
        <w:t>Instead, t</w:t>
      </w:r>
      <w:r>
        <w:t xml:space="preserve">hese households will be </w:t>
      </w:r>
      <w:r w:rsidR="00752C78">
        <w:t xml:space="preserve">automatically </w:t>
      </w:r>
      <w:r>
        <w:t>eligi</w:t>
      </w:r>
      <w:r w:rsidR="00C7711E">
        <w:t>ble to receive the UCT</w:t>
      </w:r>
      <w:r w:rsidR="007B5AFD">
        <w:t>.</w:t>
      </w:r>
      <w:r>
        <w:t xml:space="preserve"> GiveDirectly wil</w:t>
      </w:r>
      <w:r w:rsidR="0078714E">
        <w:t>l also exclude the wealthiest 36</w:t>
      </w:r>
      <w:r>
        <w:t>% of households.</w:t>
      </w:r>
      <w:r>
        <w:rPr>
          <w:rStyle w:val="FootnoteReference"/>
        </w:rPr>
        <w:footnoteReference w:id="5"/>
      </w:r>
      <w:r w:rsidR="007B5AFD">
        <w:t xml:space="preserve"> Thus, only</w:t>
      </w:r>
      <w:r w:rsidR="0078714E">
        <w:t xml:space="preserve"> households between </w:t>
      </w:r>
      <w:r w:rsidR="00BA38AD">
        <w:t xml:space="preserve">the </w:t>
      </w:r>
      <w:r w:rsidR="0078714E">
        <w:t>20</w:t>
      </w:r>
      <w:r w:rsidR="001C36F3" w:rsidRPr="00586E3A">
        <w:rPr>
          <w:vertAlign w:val="superscript"/>
        </w:rPr>
        <w:t>th</w:t>
      </w:r>
      <w:r w:rsidR="001C36F3">
        <w:t xml:space="preserve"> and </w:t>
      </w:r>
      <w:r w:rsidR="0078714E">
        <w:t>64</w:t>
      </w:r>
      <w:r w:rsidR="001C36F3" w:rsidRPr="00586E3A">
        <w:rPr>
          <w:vertAlign w:val="superscript"/>
        </w:rPr>
        <w:t>th</w:t>
      </w:r>
      <w:r w:rsidR="001C36F3">
        <w:t xml:space="preserve"> percentiles</w:t>
      </w:r>
      <w:r w:rsidR="005A24BA">
        <w:t xml:space="preserve"> </w:t>
      </w:r>
      <w:r>
        <w:t>will be included in th</w:t>
      </w:r>
      <w:r w:rsidR="005A24BA">
        <w:t>e</w:t>
      </w:r>
      <w:r>
        <w:t xml:space="preserve"> study. The poverty index </w:t>
      </w:r>
      <w:r w:rsidR="0078714E">
        <w:t xml:space="preserve">has been created </w:t>
      </w:r>
      <w:r>
        <w:t>as pa</w:t>
      </w:r>
      <w:r w:rsidR="005A15C4">
        <w:t>rt of the eligibility criteria.</w:t>
      </w:r>
    </w:p>
    <w:p w14:paraId="40D5825D" w14:textId="154FF8D8" w:rsidR="005A70E0" w:rsidRDefault="005A70E0" w:rsidP="001813BB"/>
    <w:p w14:paraId="24AC3779" w14:textId="6FEA24B5" w:rsidR="002A489D" w:rsidRDefault="002A489D" w:rsidP="004E574E">
      <w:pPr>
        <w:pStyle w:val="Caption"/>
        <w:keepNext/>
      </w:pPr>
      <w:r>
        <w:t xml:space="preserve">Figure </w:t>
      </w:r>
      <w:r w:rsidR="00F327FF">
        <w:fldChar w:fldCharType="begin"/>
      </w:r>
      <w:r w:rsidR="00F327FF">
        <w:instrText xml:space="preserve"> SEQ Figure \* ARABIC </w:instrText>
      </w:r>
      <w:r w:rsidR="00F327FF">
        <w:fldChar w:fldCharType="separate"/>
      </w:r>
      <w:r>
        <w:rPr>
          <w:noProof/>
        </w:rPr>
        <w:t>2</w:t>
      </w:r>
      <w:r w:rsidR="00F327FF">
        <w:rPr>
          <w:noProof/>
        </w:rPr>
        <w:fldChar w:fldCharType="end"/>
      </w:r>
      <w:r>
        <w:t>: Sampling Flow Chart</w:t>
      </w:r>
    </w:p>
    <w:p w14:paraId="1D03A453" w14:textId="5C34F783" w:rsidR="005A70E0" w:rsidRDefault="009051B6" w:rsidP="001813BB">
      <w:pPr>
        <w:rPr>
          <w:i/>
        </w:rPr>
      </w:pPr>
      <w:r>
        <w:rPr>
          <w:i/>
          <w:noProof/>
        </w:rPr>
        <w:drawing>
          <wp:inline distT="0" distB="0" distL="0" distR="0" wp14:anchorId="77083C0C" wp14:editId="11F481F0">
            <wp:extent cx="5899867" cy="3662173"/>
            <wp:effectExtent l="19050" t="19050" r="24765" b="146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7848" cy="3667127"/>
                    </a:xfrm>
                    <a:prstGeom prst="rect">
                      <a:avLst/>
                    </a:prstGeom>
                    <a:noFill/>
                    <a:ln>
                      <a:solidFill>
                        <a:schemeClr val="tx1"/>
                      </a:solidFill>
                    </a:ln>
                  </pic:spPr>
                </pic:pic>
              </a:graphicData>
            </a:graphic>
          </wp:inline>
        </w:drawing>
      </w:r>
    </w:p>
    <w:p w14:paraId="6CFEBA3E" w14:textId="5455D9EC" w:rsidR="0009580D" w:rsidRDefault="0009580D" w:rsidP="001813BB">
      <w:pPr>
        <w:rPr>
          <w:i/>
        </w:rPr>
      </w:pPr>
    </w:p>
    <w:p w14:paraId="4387892F" w14:textId="59F0AC39" w:rsidR="00002A59" w:rsidRDefault="00002A59" w:rsidP="00827B71">
      <w:pPr>
        <w:jc w:val="both"/>
      </w:pPr>
      <w:r w:rsidRPr="00002A59">
        <w:rPr>
          <w:b/>
        </w:rPr>
        <w:t>Sampling Frame</w:t>
      </w:r>
      <w:r>
        <w:t>: All households within the relevant regions</w:t>
      </w:r>
      <w:r w:rsidR="00586E3A">
        <w:t xml:space="preserve"> received the census questionnaire</w:t>
      </w:r>
      <w:r>
        <w:t xml:space="preserve">. All households that meet GiveDirectly’s eligibility criteria </w:t>
      </w:r>
      <w:r w:rsidR="00DF353A">
        <w:t xml:space="preserve">and fall within the poverty bounds of this research </w:t>
      </w:r>
      <w:r>
        <w:t xml:space="preserve">will be randomized into either the treatment or control group. </w:t>
      </w:r>
    </w:p>
    <w:p w14:paraId="01EDCF21" w14:textId="77777777" w:rsidR="00002A59" w:rsidRDefault="00002A59" w:rsidP="00827B71">
      <w:pPr>
        <w:jc w:val="both"/>
      </w:pPr>
    </w:p>
    <w:p w14:paraId="2F6D1A3B" w14:textId="06C2109B" w:rsidR="00002A59" w:rsidRDefault="00002A59" w:rsidP="00827B71">
      <w:pPr>
        <w:jc w:val="both"/>
      </w:pPr>
      <w:r w:rsidRPr="00002A59">
        <w:rPr>
          <w:b/>
        </w:rPr>
        <w:t>Assignment Method</w:t>
      </w:r>
      <w:r w:rsidRPr="00563EF1">
        <w:t>:</w:t>
      </w:r>
      <w:r>
        <w:t xml:space="preserve">  Eligible households </w:t>
      </w:r>
      <w:r w:rsidR="0078714E">
        <w:t xml:space="preserve">have been </w:t>
      </w:r>
      <w:r w:rsidR="003B1B81">
        <w:t>assigned to</w:t>
      </w:r>
      <w:r>
        <w:t xml:space="preserve"> th</w:t>
      </w:r>
      <w:r w:rsidR="003B1B81">
        <w:t>e treatment and control groups using matched pair randomization. Households</w:t>
      </w:r>
      <w:r w:rsidR="0078714E">
        <w:t xml:space="preserve"> were</w:t>
      </w:r>
      <w:r w:rsidR="003B1B81">
        <w:t xml:space="preserve"> first </w:t>
      </w:r>
      <w:r w:rsidR="005D3D6A">
        <w:t xml:space="preserve">grouped </w:t>
      </w:r>
      <w:r w:rsidR="00832FB8">
        <w:t xml:space="preserve">into </w:t>
      </w:r>
      <w:r w:rsidR="005D3D6A">
        <w:t>coffee-grower</w:t>
      </w:r>
      <w:r w:rsidR="00832FB8">
        <w:t>s</w:t>
      </w:r>
      <w:r w:rsidR="005D3D6A">
        <w:t xml:space="preserve"> </w:t>
      </w:r>
      <w:r w:rsidR="00832FB8">
        <w:t xml:space="preserve">and </w:t>
      </w:r>
      <w:r w:rsidR="005D3D6A">
        <w:t xml:space="preserve">non-coffee </w:t>
      </w:r>
      <w:r w:rsidR="0078714E">
        <w:t>producers (within the last year)</w:t>
      </w:r>
      <w:r w:rsidR="005D3D6A">
        <w:t>. Coffee growers</w:t>
      </w:r>
      <w:r w:rsidR="0078714E">
        <w:t xml:space="preserve"> were</w:t>
      </w:r>
      <w:r w:rsidR="005D3D6A">
        <w:t xml:space="preserve"> additionally grouped into “high production</w:t>
      </w:r>
      <w:r w:rsidR="00251F2F">
        <w:t>”, “</w:t>
      </w:r>
      <w:r w:rsidR="005D3D6A">
        <w:t>medium production”, and “low production”, based</w:t>
      </w:r>
      <w:r w:rsidR="00251F2F">
        <w:t xml:space="preserve"> on</w:t>
      </w:r>
      <w:r w:rsidR="005D3D6A">
        <w:t xml:space="preserve"> their tercile </w:t>
      </w:r>
      <w:r w:rsidR="00077F1B">
        <w:t xml:space="preserve">for </w:t>
      </w:r>
      <w:r w:rsidR="005D3D6A">
        <w:t xml:space="preserve">the amount of coffee they sold during the most recent main coffee season. </w:t>
      </w:r>
      <w:r w:rsidR="0078714E">
        <w:t xml:space="preserve">Non-coffee producers were </w:t>
      </w:r>
      <w:r w:rsidR="002858C3">
        <w:t>divided in two groups:</w:t>
      </w:r>
      <w:r w:rsidR="0078714E">
        <w:t xml:space="preserve"> those that own coffee trees </w:t>
      </w:r>
      <w:r w:rsidR="002858C3">
        <w:t>and</w:t>
      </w:r>
      <w:r w:rsidR="0078714E">
        <w:t xml:space="preserve"> those who don’t.  </w:t>
      </w:r>
      <w:r w:rsidR="005D3D6A">
        <w:t xml:space="preserve">Within each group, households </w:t>
      </w:r>
      <w:r w:rsidR="0078714E">
        <w:t>were</w:t>
      </w:r>
      <w:r w:rsidR="005D3D6A">
        <w:t xml:space="preserve"> then sorted by the value of the targeting index, and matched with their nearest neighbor. Within each </w:t>
      </w:r>
      <w:r w:rsidR="005D3D6A">
        <w:lastRenderedPageBreak/>
        <w:t>pair, one household</w:t>
      </w:r>
      <w:r w:rsidR="0078714E">
        <w:t xml:space="preserve"> was</w:t>
      </w:r>
      <w:r w:rsidR="005D3D6A">
        <w:t xml:space="preserve"> randomly assigned to treatment, and one to control.</w:t>
      </w:r>
      <w:r w:rsidR="005D3D6A">
        <w:rPr>
          <w:rStyle w:val="FootnoteReference"/>
        </w:rPr>
        <w:footnoteReference w:id="6"/>
      </w:r>
      <w:r w:rsidR="005D3D6A">
        <w:t xml:space="preserve"> </w:t>
      </w:r>
      <w:r>
        <w:t xml:space="preserve">Randomization </w:t>
      </w:r>
      <w:r w:rsidR="005D3D6A">
        <w:t>was conduc</w:t>
      </w:r>
      <w:r w:rsidR="00F94459">
        <w:t>t</w:t>
      </w:r>
      <w:r w:rsidR="005D3D6A">
        <w:t xml:space="preserve">ed using STATA. </w:t>
      </w:r>
    </w:p>
    <w:p w14:paraId="554ED248" w14:textId="0E1F43E1" w:rsidR="001813BB" w:rsidRDefault="001813BB" w:rsidP="001813BB"/>
    <w:p w14:paraId="03F49E35" w14:textId="375FBA89" w:rsidR="0078714E" w:rsidRPr="0078714E" w:rsidRDefault="0078714E" w:rsidP="001813BB">
      <w:r>
        <w:rPr>
          <w:b/>
        </w:rPr>
        <w:t xml:space="preserve">Power: </w:t>
      </w:r>
      <w:r>
        <w:t>We have a total of 3</w:t>
      </w:r>
      <w:r w:rsidR="00E71B58">
        <w:t>,</w:t>
      </w:r>
      <w:r>
        <w:t>7</w:t>
      </w:r>
      <w:r w:rsidR="004A149F">
        <w:t>88</w:t>
      </w:r>
      <w:r>
        <w:t xml:space="preserve"> households in the study, 1</w:t>
      </w:r>
      <w:r w:rsidR="00E71B58">
        <w:t>,</w:t>
      </w:r>
      <w:r>
        <w:t xml:space="preserve">894 </w:t>
      </w:r>
      <w:r w:rsidR="00CA0CD6">
        <w:t xml:space="preserve">in the </w:t>
      </w:r>
      <w:r>
        <w:t>treatment</w:t>
      </w:r>
      <w:r w:rsidR="00CA0CD6">
        <w:t xml:space="preserve"> arm</w:t>
      </w:r>
      <w:r>
        <w:t xml:space="preserve"> </w:t>
      </w:r>
      <w:r w:rsidR="005956F7">
        <w:t>and 1</w:t>
      </w:r>
      <w:r w:rsidR="00E71B58">
        <w:t>,</w:t>
      </w:r>
      <w:r w:rsidR="005956F7">
        <w:t xml:space="preserve">894 </w:t>
      </w:r>
      <w:r w:rsidR="00CA0CD6">
        <w:t xml:space="preserve">in the </w:t>
      </w:r>
      <w:r w:rsidR="005956F7">
        <w:t>contro</w:t>
      </w:r>
      <w:r w:rsidR="00CA0CD6">
        <w:t>l arm</w:t>
      </w:r>
      <w:r w:rsidR="005956F7">
        <w:t>. Of</w:t>
      </w:r>
      <w:r w:rsidR="00CA0CD6">
        <w:t xml:space="preserve"> all the households in the study</w:t>
      </w:r>
      <w:r w:rsidR="005956F7">
        <w:t>, 1</w:t>
      </w:r>
      <w:r w:rsidR="00E71B58">
        <w:t>,</w:t>
      </w:r>
      <w:r w:rsidR="005956F7">
        <w:t>351</w:t>
      </w:r>
      <w:r>
        <w:t xml:space="preserve"> g</w:t>
      </w:r>
      <w:r w:rsidR="005956F7">
        <w:t xml:space="preserve">rew coffee the previous year </w:t>
      </w:r>
      <w:r w:rsidR="00CA0CD6">
        <w:t>(</w:t>
      </w:r>
      <w:r w:rsidR="005956F7">
        <w:t xml:space="preserve">677 </w:t>
      </w:r>
      <w:r w:rsidR="00CA0CD6">
        <w:t xml:space="preserve">in the </w:t>
      </w:r>
      <w:r w:rsidR="005956F7">
        <w:t>treatment</w:t>
      </w:r>
      <w:r w:rsidR="00CA0CD6">
        <w:t xml:space="preserve"> arm</w:t>
      </w:r>
      <w:r w:rsidR="005956F7">
        <w:t xml:space="preserve"> and 674</w:t>
      </w:r>
      <w:r>
        <w:t xml:space="preserve"> control</w:t>
      </w:r>
      <w:r w:rsidR="00CA0CD6">
        <w:t xml:space="preserve"> in the control arm)</w:t>
      </w:r>
      <w:r>
        <w:t xml:space="preserve">. Assuming </w:t>
      </w:r>
      <w:r w:rsidR="0040043D">
        <w:t xml:space="preserve">80% power and a size </w:t>
      </w:r>
      <w:r w:rsidR="00586E3A">
        <w:t xml:space="preserve">(significance level) </w:t>
      </w:r>
      <w:r w:rsidR="0040043D">
        <w:t>of .05, we have a minimum detectable effect size</w:t>
      </w:r>
      <w:r w:rsidR="00CA0CD6">
        <w:t xml:space="preserve"> (MDES),</w:t>
      </w:r>
      <w:r w:rsidR="00F94459">
        <w:t xml:space="preserve"> </w:t>
      </w:r>
      <w:r w:rsidR="0040043D">
        <w:t>in standard deviations of the outcome</w:t>
      </w:r>
      <w:r w:rsidR="00CA0CD6">
        <w:t xml:space="preserve">, </w:t>
      </w:r>
      <w:r w:rsidR="0040043D">
        <w:t xml:space="preserve">of </w:t>
      </w:r>
      <w:r w:rsidR="007E0516">
        <w:t>.09 for outcomes that apply to the entire sample. For outcomes that apply only to coffee farmers, we have a MDES of .16. Based on the results of previous studies such as Haushofe</w:t>
      </w:r>
      <w:r w:rsidR="0054015E">
        <w:t>r and Shapiro (2016), this is we</w:t>
      </w:r>
      <w:r w:rsidR="007E0516">
        <w:t>ll within the range of expected effects. To compare effects of coffee farmers to non</w:t>
      </w:r>
      <w:r w:rsidR="005956F7">
        <w:t>-coffee farmers, the MDES is .14</w:t>
      </w:r>
      <w:r w:rsidR="007E0516">
        <w:t xml:space="preserve">. However, we expect differential effects between these two groups to be quite small, so we do not expect to be powered for this analysis. </w:t>
      </w:r>
    </w:p>
    <w:p w14:paraId="3D665422" w14:textId="167E1204" w:rsidR="001813BB" w:rsidRDefault="007D00B3" w:rsidP="001813BB">
      <w:pPr>
        <w:pStyle w:val="Heading1"/>
      </w:pPr>
      <w:r>
        <w:t>Analytical model</w:t>
      </w:r>
    </w:p>
    <w:p w14:paraId="19B6742C" w14:textId="38F5CEEE" w:rsidR="001813BB" w:rsidRPr="003D120C" w:rsidRDefault="004E5700" w:rsidP="001813BB">
      <w:pPr>
        <w:rPr>
          <w:i/>
        </w:rPr>
      </w:pPr>
      <w:r>
        <w:rPr>
          <w:i/>
        </w:rPr>
        <w:t>This section covers</w:t>
      </w:r>
      <w:r w:rsidR="001813BB">
        <w:rPr>
          <w:i/>
        </w:rPr>
        <w:t xml:space="preserve"> econometric specifications and outcome variables.  </w:t>
      </w:r>
    </w:p>
    <w:p w14:paraId="07936AF8" w14:textId="77777777" w:rsidR="001813BB" w:rsidRDefault="001813BB" w:rsidP="001813BB">
      <w:pPr>
        <w:rPr>
          <w:i/>
        </w:rPr>
      </w:pPr>
    </w:p>
    <w:p w14:paraId="2457D64D" w14:textId="6D37293E" w:rsidR="00026C14" w:rsidRDefault="00F131FC" w:rsidP="00827B71">
      <w:pPr>
        <w:jc w:val="both"/>
      </w:pPr>
      <w:r>
        <w:t>The primary research</w:t>
      </w:r>
      <w:r w:rsidR="001813BB">
        <w:t xml:space="preserve"> question</w:t>
      </w:r>
      <w:r>
        <w:t xml:space="preserve"> of this evaluation is</w:t>
      </w:r>
      <w:r w:rsidR="001813BB">
        <w:t xml:space="preserve">: what is the effect of receiving </w:t>
      </w:r>
      <w:r w:rsidR="00077F1B">
        <w:t>the UCTs provided by GiveDirectly</w:t>
      </w:r>
      <w:r w:rsidR="001813BB">
        <w:t xml:space="preserve"> </w:t>
      </w:r>
      <w:r w:rsidR="008A1457">
        <w:t xml:space="preserve">for </w:t>
      </w:r>
      <w:r w:rsidR="00EB022F">
        <w:t>the</w:t>
      </w:r>
      <w:r w:rsidR="00FC117D">
        <w:t xml:space="preserve"> outcomes of interest</w:t>
      </w:r>
      <w:r w:rsidR="005E2A80">
        <w:t>?</w:t>
      </w:r>
      <w:r w:rsidR="001813BB">
        <w:t xml:space="preserve"> The unit of analysis is the household.</w:t>
      </w:r>
    </w:p>
    <w:p w14:paraId="406A5D15" w14:textId="77777777" w:rsidR="001813BB" w:rsidRDefault="001813BB" w:rsidP="00827B71">
      <w:pPr>
        <w:jc w:val="both"/>
      </w:pPr>
    </w:p>
    <w:p w14:paraId="5703F722" w14:textId="6350FBF6" w:rsidR="00026C14" w:rsidRDefault="001813BB" w:rsidP="00224280">
      <w:pPr>
        <w:jc w:val="both"/>
      </w:pPr>
      <w:r>
        <w:t xml:space="preserve">There are two classes of outcome variables: those that apply to all </w:t>
      </w:r>
      <w:r w:rsidR="0087083D">
        <w:t>households</w:t>
      </w:r>
      <w:r>
        <w:t>, and those that apply to only coffee farmers</w:t>
      </w:r>
      <w:r w:rsidR="00F757AF">
        <w:rPr>
          <w:rStyle w:val="FootnoteReference"/>
        </w:rPr>
        <w:footnoteReference w:id="7"/>
      </w:r>
      <w:r>
        <w:t xml:space="preserve">. </w:t>
      </w:r>
      <w:r w:rsidR="007707E0">
        <w:t>There</w:t>
      </w:r>
      <w:r w:rsidR="004E5700">
        <w:t xml:space="preserve"> are two main equations that GiveDirectly </w:t>
      </w:r>
      <w:r w:rsidR="007707E0">
        <w:t>will estimate</w:t>
      </w:r>
      <w:r w:rsidR="00224280">
        <w:t xml:space="preserve">. The first equation is the main specification, used for outcomes that are relevant for both coffee farmers and non-coffee </w:t>
      </w:r>
      <w:r w:rsidR="0087083D">
        <w:t>households</w:t>
      </w:r>
      <w:r w:rsidR="007707E0">
        <w:t>:</w:t>
      </w:r>
      <w:r w:rsidR="00224280">
        <w:t xml:space="preserve"> </w:t>
      </w:r>
    </w:p>
    <w:p w14:paraId="4B39C180" w14:textId="77777777" w:rsidR="001813BB" w:rsidRDefault="001813BB" w:rsidP="001813BB">
      <w:r>
        <w:t xml:space="preserve"> </w:t>
      </w:r>
    </w:p>
    <w:p w14:paraId="01C134B4" w14:textId="0213CDF4" w:rsidR="001813BB" w:rsidRDefault="00F327FF" w:rsidP="00FC7404">
      <w:pPr>
        <w:jc w:val="center"/>
        <w:rPr>
          <w:rFonts w:eastAsiaTheme="minorEastAsia"/>
        </w:rPr>
      </w:pPr>
      <m:oMath>
        <m:sSub>
          <m:sSubPr>
            <m:ctrlPr>
              <w:rPr>
                <w:rFonts w:ascii="Cambria Math" w:hAnsi="Cambria Math"/>
                <w:i/>
              </w:rPr>
            </m:ctrlPr>
          </m:sSubPr>
          <m:e>
            <m:r>
              <w:rPr>
                <w:rFonts w:ascii="Cambria Math" w:hAnsi="Cambria Math"/>
              </w:rPr>
              <m:t>O</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i</m:t>
            </m:r>
          </m:sub>
        </m:sSub>
        <m:sSub>
          <m:sSubPr>
            <m:ctrlPr>
              <w:rPr>
                <w:rFonts w:ascii="Cambria Math" w:eastAsiaTheme="minorEastAsia" w:hAnsi="Cambria Math"/>
                <w:i/>
              </w:rPr>
            </m:ctrlPr>
          </m:sSubPr>
          <m:e>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3</m:t>
                </m:r>
              </m:sub>
            </m:sSub>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r>
              <w:rPr>
                <w:rFonts w:ascii="Cambria Math" w:eastAsiaTheme="minorEastAsia" w:hAnsi="Cambria Math"/>
              </w:rPr>
              <m:t>+</m:t>
            </m:r>
            <m:sSub>
              <m:sSubPr>
                <m:ctrlPr>
                  <w:rPr>
                    <w:rFonts w:ascii="Cambria Math" w:hAnsi="Cambria Math"/>
                    <w:i/>
                  </w:rPr>
                </m:ctrlPr>
              </m:sSubPr>
              <m:e>
                <m:r>
                  <w:rPr>
                    <w:rFonts w:ascii="Cambria Math" w:hAnsi="Cambria Math"/>
                  </w:rPr>
                  <m:t>β</m:t>
                </m:r>
              </m:e>
              <m:sub>
                <m:r>
                  <w:rPr>
                    <w:rFonts w:ascii="Cambria Math" w:hAnsi="Cambria Math"/>
                  </w:rPr>
                  <m:t>x</m:t>
                </m:r>
              </m:sub>
            </m:sSub>
            <m:r>
              <w:rPr>
                <w:rFonts w:ascii="Cambria Math" w:hAnsi="Cambria Math"/>
              </w:rPr>
              <m:t>X+</m:t>
            </m:r>
            <m:r>
              <w:rPr>
                <w:rFonts w:ascii="Cambria Math" w:eastAsiaTheme="minorEastAsia" w:hAnsi="Cambria Math"/>
              </w:rPr>
              <m:t>ε</m:t>
            </m:r>
          </m:e>
          <m:sub>
            <m:r>
              <w:rPr>
                <w:rFonts w:ascii="Cambria Math" w:eastAsiaTheme="minorEastAsia" w:hAnsi="Cambria Math"/>
              </w:rPr>
              <m:t>i</m:t>
            </m:r>
          </m:sub>
        </m:sSub>
        <m:r>
          <w:rPr>
            <w:rFonts w:ascii="Cambria Math" w:eastAsiaTheme="minorEastAsia" w:hAnsi="Cambria Math"/>
          </w:rPr>
          <m:t xml:space="preserve">  </m:t>
        </m:r>
      </m:oMath>
      <w:r w:rsidR="00026C14">
        <w:rPr>
          <w:rFonts w:eastAsiaTheme="minorEastAsia"/>
        </w:rPr>
        <w:t xml:space="preserve">  </w:t>
      </w:r>
      <w:r w:rsidR="00224280">
        <w:rPr>
          <w:rFonts w:eastAsiaTheme="minorEastAsia"/>
        </w:rPr>
        <w:t>(1</w:t>
      </w:r>
      <w:r w:rsidR="00026C14">
        <w:rPr>
          <w:rFonts w:eastAsiaTheme="minorEastAsia"/>
        </w:rPr>
        <w:t>)</w:t>
      </w:r>
    </w:p>
    <w:p w14:paraId="6C0F91C3" w14:textId="77777777" w:rsidR="001813BB" w:rsidRDefault="001813BB" w:rsidP="001813BB"/>
    <w:p w14:paraId="59FDFE88" w14:textId="3D600DBC" w:rsidR="00026C14" w:rsidRDefault="001813BB" w:rsidP="00827B71">
      <w:pPr>
        <w:jc w:val="both"/>
        <w:rPr>
          <w:rFonts w:eastAsiaTheme="minorEastAsia"/>
        </w:rPr>
      </w:pPr>
      <w:r>
        <w:t xml:space="preserve">Where </w:t>
      </w:r>
      <m:oMath>
        <m:sSub>
          <m:sSubPr>
            <m:ctrlPr>
              <w:rPr>
                <w:rFonts w:ascii="Cambria Math" w:hAnsi="Cambria Math"/>
                <w:i/>
              </w:rPr>
            </m:ctrlPr>
          </m:sSubPr>
          <m:e>
            <m:r>
              <w:rPr>
                <w:rFonts w:ascii="Cambria Math" w:hAnsi="Cambria Math"/>
              </w:rPr>
              <m:t>O</m:t>
            </m:r>
          </m:e>
          <m:sub>
            <m:r>
              <w:rPr>
                <w:rFonts w:ascii="Cambria Math" w:hAnsi="Cambria Math"/>
              </w:rPr>
              <m:t>i</m:t>
            </m:r>
          </m:sub>
        </m:sSub>
      </m:oMath>
      <w:r>
        <w:rPr>
          <w:rFonts w:eastAsiaTheme="minorEastAsia"/>
        </w:rPr>
        <w:t xml:space="preserve"> is the outcome of interest for household </w:t>
      </w:r>
      <w:r w:rsidR="00C20C52">
        <w:rPr>
          <w:rFonts w:eastAsiaTheme="minorEastAsia"/>
          <w:i/>
        </w:rPr>
        <w:t xml:space="preserve">i, </w:t>
      </w:r>
      <m:oMath>
        <m:sSub>
          <m:sSubPr>
            <m:ctrlPr>
              <w:rPr>
                <w:rFonts w:ascii="Cambria Math" w:hAnsi="Cambria Math"/>
                <w:i/>
              </w:rPr>
            </m:ctrlPr>
          </m:sSubPr>
          <m:e>
            <m:r>
              <w:rPr>
                <w:rFonts w:ascii="Cambria Math" w:hAnsi="Cambria Math"/>
              </w:rPr>
              <m:t>β</m:t>
            </m:r>
          </m:e>
          <m:sub>
            <m:r>
              <w:rPr>
                <w:rFonts w:ascii="Cambria Math" w:hAnsi="Cambria Math"/>
              </w:rPr>
              <m:t>0</m:t>
            </m:r>
          </m:sub>
        </m:sSub>
      </m:oMath>
      <w:r>
        <w:rPr>
          <w:rFonts w:eastAsiaTheme="minorEastAsia"/>
        </w:rPr>
        <w:t xml:space="preserve"> is a constant,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i</m:t>
            </m:r>
          </m:sub>
        </m:sSub>
      </m:oMath>
      <w:r>
        <w:rPr>
          <w:rFonts w:eastAsiaTheme="minorEastAsia"/>
        </w:rPr>
        <w:t xml:space="preserve"> is an </w:t>
      </w:r>
      <w:r w:rsidRPr="008F4A8F">
        <w:rPr>
          <w:rFonts w:eastAsiaTheme="minorEastAsia"/>
        </w:rPr>
        <w:t xml:space="preserve">indicator that takes a value of 1 if </w:t>
      </w:r>
      <w:r w:rsidR="008113CF">
        <w:rPr>
          <w:rFonts w:eastAsiaTheme="minorEastAsia"/>
        </w:rPr>
        <w:t xml:space="preserve">household </w:t>
      </w:r>
      <w:r w:rsidRPr="008F4A8F">
        <w:rPr>
          <w:rFonts w:eastAsiaTheme="minorEastAsia"/>
          <w:i/>
        </w:rPr>
        <w:t>i</w:t>
      </w:r>
      <w:r w:rsidRPr="008F4A8F">
        <w:rPr>
          <w:rFonts w:eastAsiaTheme="minorEastAsia"/>
        </w:rPr>
        <w:t xml:space="preserve"> </w:t>
      </w:r>
      <w:r>
        <w:rPr>
          <w:rFonts w:eastAsiaTheme="minorEastAsia"/>
        </w:rPr>
        <w:t>has been assigned to treatment</w:t>
      </w:r>
      <w:r w:rsidRPr="008F4A8F">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ε</m:t>
            </m:r>
          </m:e>
          <m:sub>
            <m:r>
              <w:rPr>
                <w:rFonts w:ascii="Cambria Math" w:eastAsiaTheme="minorEastAsia" w:hAnsi="Cambria Math"/>
              </w:rPr>
              <m:t>i</m:t>
            </m:r>
          </m:sub>
        </m:sSub>
      </m:oMath>
      <w:r w:rsidR="003B6980">
        <w:rPr>
          <w:rFonts w:eastAsiaTheme="minorEastAsia"/>
        </w:rPr>
        <w:t xml:space="preserve"> is</w:t>
      </w:r>
      <w:r>
        <w:rPr>
          <w:rFonts w:eastAsiaTheme="minorEastAsia"/>
        </w:rPr>
        <w:t xml:space="preserve"> an idiosyncratic </w:t>
      </w:r>
      <w:r w:rsidRPr="008F4A8F">
        <w:rPr>
          <w:rFonts w:eastAsiaTheme="minorEastAsia"/>
        </w:rPr>
        <w:t>error term</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oMath>
      <w:r>
        <w:rPr>
          <w:rFonts w:eastAsiaTheme="minorEastAsia"/>
        </w:rPr>
        <w:t xml:space="preserve"> is a dummy that takes the value of one if the farmer</w:t>
      </w:r>
      <w:r w:rsidR="00586E3A">
        <w:rPr>
          <w:rFonts w:eastAsiaTheme="minorEastAsia"/>
        </w:rPr>
        <w:t xml:space="preserve"> is a coffee farmer.</w:t>
      </w:r>
      <w:r>
        <w:rPr>
          <w:rFonts w:eastAsiaTheme="minorEastAsia"/>
        </w:rPr>
        <w:t xml:space="preserve"> </w:t>
      </w:r>
      <w:r w:rsidR="00C20C52">
        <w:rPr>
          <w:rFonts w:eastAsiaTheme="minorEastAsia"/>
          <w:i/>
        </w:rPr>
        <w:t>X</w:t>
      </w:r>
      <w:r w:rsidR="00C20C52">
        <w:rPr>
          <w:rFonts w:eastAsiaTheme="minorEastAsia"/>
        </w:rPr>
        <w:t xml:space="preserve"> is a matrix of </w:t>
      </w:r>
      <w:r w:rsidR="007F4161">
        <w:rPr>
          <w:rFonts w:eastAsiaTheme="minorEastAsia"/>
        </w:rPr>
        <w:t>controls</w:t>
      </w:r>
      <w:r w:rsidR="00C20C52">
        <w:rPr>
          <w:rFonts w:eastAsiaTheme="minorEastAsia"/>
        </w:rPr>
        <w:t xml:space="preserve"> corresponding to the </w:t>
      </w:r>
      <w:r w:rsidR="007F4161">
        <w:rPr>
          <w:rFonts w:eastAsiaTheme="minorEastAsia"/>
        </w:rPr>
        <w:t>strata dummies and the target index</w:t>
      </w:r>
      <w:r w:rsidR="007F4161">
        <w:rPr>
          <w:rStyle w:val="FootnoteReference"/>
          <w:rFonts w:eastAsiaTheme="minorEastAsia"/>
        </w:rPr>
        <w:footnoteReference w:id="8"/>
      </w:r>
      <w:r w:rsidR="00C20C52">
        <w:rPr>
          <w:rFonts w:eastAsiaTheme="minorEastAsia"/>
        </w:rPr>
        <w:t xml:space="preserve">. In this equation </w:t>
      </w:r>
      <m:oMath>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oMath>
      <w:r w:rsidR="00C20C52">
        <w:rPr>
          <w:rFonts w:eastAsiaTheme="minorEastAsia"/>
        </w:rPr>
        <w:t xml:space="preserve"> is the treatment effect for non-coffee farmers, and </w:t>
      </w:r>
      <m:oMath>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oMath>
      <w:r w:rsidR="00C20C52">
        <w:rPr>
          <w:rFonts w:eastAsiaTheme="minorEastAsia"/>
        </w:rPr>
        <w:t xml:space="preserve"> is the treatment effect on non-coffee farmers. </w:t>
      </w:r>
      <m:oMath>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oMath>
      <w:r w:rsidR="007E0516">
        <w:rPr>
          <w:rFonts w:eastAsiaTheme="minorEastAsia"/>
        </w:rPr>
        <w:t xml:space="preserve"> is the differential effect on coffee farmers vs non-farmers, but we do not consider this a primary outcome since we do not expect to have enough power to detect these differences. </w:t>
      </w:r>
      <w:r w:rsidR="00C20C52">
        <w:rPr>
          <w:rFonts w:eastAsiaTheme="minorEastAsia"/>
        </w:rPr>
        <w:t>Standard errors will be corrected for heteroscedasticity using the Huber-White covariance matrix (STATA’s robust command).</w:t>
      </w:r>
    </w:p>
    <w:p w14:paraId="3B179EFE" w14:textId="77777777" w:rsidR="00C20C52" w:rsidRDefault="00C20C52" w:rsidP="00827B71">
      <w:pPr>
        <w:jc w:val="both"/>
        <w:rPr>
          <w:rFonts w:eastAsiaTheme="minorEastAsia"/>
        </w:rPr>
      </w:pPr>
    </w:p>
    <w:p w14:paraId="400FD694" w14:textId="42945AF2" w:rsidR="00C20C52" w:rsidRDefault="00C20C52" w:rsidP="00827B71">
      <w:pPr>
        <w:jc w:val="both"/>
        <w:rPr>
          <w:rFonts w:eastAsiaTheme="minorEastAsia"/>
        </w:rPr>
      </w:pPr>
      <w:r>
        <w:rPr>
          <w:rFonts w:eastAsiaTheme="minorEastAsia"/>
        </w:rPr>
        <w:t xml:space="preserve">Some outcomes (such as total coffee sold) only apply to coffee producers. For these outcomes, the following equation will be estimated. </w:t>
      </w:r>
    </w:p>
    <w:p w14:paraId="73B1755A" w14:textId="77777777" w:rsidR="00C20C52" w:rsidRDefault="00C20C52" w:rsidP="00C20C52">
      <w:pPr>
        <w:jc w:val="both"/>
        <w:rPr>
          <w:rFonts w:eastAsiaTheme="minorEastAsia"/>
        </w:rPr>
      </w:pPr>
    </w:p>
    <w:p w14:paraId="124ECA3E" w14:textId="53B03C4C" w:rsidR="00C20C52" w:rsidRPr="00C20C52" w:rsidRDefault="00F327FF" w:rsidP="00C20C52">
      <w:pPr>
        <w:jc w:val="center"/>
        <w:rPr>
          <w:rFonts w:eastAsiaTheme="minorEastAsia"/>
        </w:rPr>
      </w:pPr>
      <m:oMath>
        <m:sSub>
          <m:sSubPr>
            <m:ctrlPr>
              <w:rPr>
                <w:rFonts w:ascii="Cambria Math" w:hAnsi="Cambria Math"/>
                <w:i/>
              </w:rPr>
            </m:ctrlPr>
          </m:sSubPr>
          <m:e>
            <m:r>
              <w:rPr>
                <w:rFonts w:ascii="Cambria Math" w:hAnsi="Cambria Math"/>
              </w:rPr>
              <m:t>O</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sSub>
              <m:sSubPr>
                <m:ctrlPr>
                  <w:rPr>
                    <w:rFonts w:ascii="Cambria Math" w:hAnsi="Cambria Math"/>
                    <w:i/>
                  </w:rPr>
                </m:ctrlPr>
              </m:sSubPr>
              <m:e>
                <m:r>
                  <w:rPr>
                    <w:rFonts w:ascii="Cambria Math" w:hAnsi="Cambria Math"/>
                  </w:rPr>
                  <m:t>β</m:t>
                </m:r>
              </m:e>
              <m:sub>
                <m:r>
                  <w:rPr>
                    <w:rFonts w:ascii="Cambria Math" w:hAnsi="Cambria Math"/>
                  </w:rPr>
                  <m:t>x</m:t>
                </m:r>
              </m:sub>
            </m:sSub>
            <m:r>
              <w:rPr>
                <w:rFonts w:ascii="Cambria Math" w:hAnsi="Cambria Math"/>
              </w:rPr>
              <m:t>X</m:t>
            </m:r>
            <m:r>
              <w:rPr>
                <w:rFonts w:ascii="Cambria Math" w:eastAsiaTheme="minorEastAsia" w:hAnsi="Cambria Math"/>
              </w:rPr>
              <m:t>+ε</m:t>
            </m:r>
          </m:e>
          <m:sub>
            <m:r>
              <w:rPr>
                <w:rFonts w:ascii="Cambria Math" w:eastAsiaTheme="minorEastAsia" w:hAnsi="Cambria Math"/>
              </w:rPr>
              <m:t>i</m:t>
            </m:r>
          </m:sub>
        </m:sSub>
      </m:oMath>
      <w:r w:rsidR="00C20C52">
        <w:rPr>
          <w:rFonts w:eastAsiaTheme="minorEastAsia"/>
        </w:rPr>
        <w:t xml:space="preserve">  (2)</w:t>
      </w:r>
    </w:p>
    <w:p w14:paraId="6044A79C" w14:textId="78E8C666" w:rsidR="00026C14" w:rsidRDefault="00026C14" w:rsidP="001813BB">
      <w:pPr>
        <w:rPr>
          <w:rFonts w:eastAsiaTheme="minorEastAsia"/>
        </w:rPr>
      </w:pPr>
    </w:p>
    <w:p w14:paraId="5B1CF8F8" w14:textId="5BD2F3FB" w:rsidR="001813BB" w:rsidRPr="008F4A8F" w:rsidRDefault="00C20C52" w:rsidP="00C20C52">
      <w:pPr>
        <w:jc w:val="both"/>
        <w:rPr>
          <w:b/>
        </w:rPr>
      </w:pPr>
      <w:r>
        <w:rPr>
          <w:rFonts w:eastAsiaTheme="minorEastAsia"/>
        </w:rPr>
        <w:lastRenderedPageBreak/>
        <w:t>Equation 2</w:t>
      </w:r>
      <w:r w:rsidR="00026C14">
        <w:rPr>
          <w:rFonts w:eastAsiaTheme="minorEastAsia"/>
        </w:rPr>
        <w:t xml:space="preserve"> estimates the overall effect of treatment on the outcome of interest, with </w:t>
      </w:r>
      <m:oMath>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oMath>
      <w:r w:rsidR="00026C14">
        <w:rPr>
          <w:rFonts w:eastAsiaTheme="minorEastAsia"/>
        </w:rPr>
        <w:t xml:space="preserve"> being the treatment effect. </w:t>
      </w:r>
    </w:p>
    <w:p w14:paraId="01882381" w14:textId="27561178" w:rsidR="001813BB" w:rsidRDefault="001813BB" w:rsidP="001813BB"/>
    <w:p w14:paraId="2BE8F4A6" w14:textId="77777777" w:rsidR="00832FB8" w:rsidRDefault="00832FB8" w:rsidP="001813BB"/>
    <w:p w14:paraId="14FCDD50" w14:textId="77777777" w:rsidR="001443A1" w:rsidRPr="005F2CEA" w:rsidRDefault="001443A1" w:rsidP="001443A1">
      <w:pPr>
        <w:pStyle w:val="Heading2"/>
      </w:pPr>
      <w:r>
        <w:t>Outcome Variables</w:t>
      </w:r>
    </w:p>
    <w:p w14:paraId="43C30DD8" w14:textId="77777777" w:rsidR="001443A1" w:rsidRDefault="001443A1" w:rsidP="001443A1"/>
    <w:p w14:paraId="2CF6F1C2" w14:textId="4FFBE83E" w:rsidR="001443A1" w:rsidRPr="008F4A8F" w:rsidRDefault="001443A1" w:rsidP="00827B71">
      <w:pPr>
        <w:jc w:val="both"/>
      </w:pPr>
      <w:r>
        <w:t>In order to</w:t>
      </w:r>
      <w:r w:rsidR="004E5700">
        <w:t xml:space="preserve"> conduct effective inference, GiveDirectly will</w:t>
      </w:r>
      <w:r w:rsidR="00475FF2">
        <w:t xml:space="preserve"> shrink the space </w:t>
      </w:r>
      <w:r w:rsidR="009E6008">
        <w:t>of outcome variables to a handful of key outcomes and indices</w:t>
      </w:r>
      <w:r>
        <w:t xml:space="preserve">. </w:t>
      </w:r>
      <w:r w:rsidR="003549D0">
        <w:t xml:space="preserve">All indices will be created according to the procedure described in Anderson (2008). </w:t>
      </w:r>
      <w:r>
        <w:t xml:space="preserve">The following </w:t>
      </w:r>
      <w:r w:rsidR="009E6008">
        <w:t>outcomes</w:t>
      </w:r>
      <w:r>
        <w:t xml:space="preserve"> </w:t>
      </w:r>
      <w:r w:rsidR="008107DA">
        <w:t xml:space="preserve">will apply </w:t>
      </w:r>
      <w:r>
        <w:t xml:space="preserve">for all </w:t>
      </w:r>
      <w:r w:rsidR="003549D0">
        <w:t>households</w:t>
      </w:r>
      <w:r>
        <w:t>:</w:t>
      </w:r>
    </w:p>
    <w:p w14:paraId="18A57499" w14:textId="1EB8CFAF" w:rsidR="001443A1" w:rsidRPr="008F4A8F" w:rsidRDefault="002F2215" w:rsidP="00D42FF2">
      <w:pPr>
        <w:pStyle w:val="ListParagraph"/>
        <w:numPr>
          <w:ilvl w:val="0"/>
          <w:numId w:val="3"/>
        </w:numPr>
      </w:pPr>
      <w:r>
        <w:t xml:space="preserve">Total household </w:t>
      </w:r>
      <w:r w:rsidR="001163F9">
        <w:t>consumption</w:t>
      </w:r>
    </w:p>
    <w:p w14:paraId="1E76D23F" w14:textId="3E0C9D36" w:rsidR="001443A1" w:rsidRDefault="008107DA" w:rsidP="00D42FF2">
      <w:pPr>
        <w:pStyle w:val="ListParagraph"/>
        <w:numPr>
          <w:ilvl w:val="0"/>
          <w:numId w:val="3"/>
        </w:numPr>
      </w:pPr>
      <w:r>
        <w:t>Total asset value</w:t>
      </w:r>
    </w:p>
    <w:p w14:paraId="383A89D9" w14:textId="062A75F8" w:rsidR="00CE298E" w:rsidRDefault="00E73B77" w:rsidP="00D42FF2">
      <w:pPr>
        <w:pStyle w:val="ListParagraph"/>
        <w:numPr>
          <w:ilvl w:val="0"/>
          <w:numId w:val="3"/>
        </w:numPr>
      </w:pPr>
      <w:r>
        <w:t>Agricultural and Business Income</w:t>
      </w:r>
    </w:p>
    <w:p w14:paraId="122B2569" w14:textId="7055B69B" w:rsidR="001443A1" w:rsidRDefault="009961E0" w:rsidP="00D42FF2">
      <w:pPr>
        <w:pStyle w:val="ListParagraph"/>
        <w:numPr>
          <w:ilvl w:val="0"/>
          <w:numId w:val="3"/>
        </w:numPr>
      </w:pPr>
      <w:r>
        <w:t>Food security i</w:t>
      </w:r>
      <w:r w:rsidR="001443A1">
        <w:t>ndex</w:t>
      </w:r>
      <w:r w:rsidR="00C55264">
        <w:rPr>
          <w:rStyle w:val="FootnoteReference"/>
        </w:rPr>
        <w:footnoteReference w:id="9"/>
      </w:r>
    </w:p>
    <w:p w14:paraId="1C46F095" w14:textId="77777777" w:rsidR="001443A1" w:rsidRDefault="001443A1" w:rsidP="001443A1"/>
    <w:p w14:paraId="688849E3" w14:textId="77777777" w:rsidR="001443A1" w:rsidRDefault="001443A1" w:rsidP="001443A1">
      <w:r>
        <w:t>The following indicators will be used as outcomes for just coffee farmers:</w:t>
      </w:r>
    </w:p>
    <w:p w14:paraId="4F87676D" w14:textId="0E99601F" w:rsidR="001443A1" w:rsidRDefault="009961E0" w:rsidP="00D42FF2">
      <w:pPr>
        <w:pStyle w:val="ListParagraph"/>
        <w:numPr>
          <w:ilvl w:val="0"/>
          <w:numId w:val="5"/>
        </w:numPr>
      </w:pPr>
      <w:r>
        <w:t>Coffee investment i</w:t>
      </w:r>
      <w:r w:rsidR="001443A1">
        <w:t>ndex</w:t>
      </w:r>
    </w:p>
    <w:p w14:paraId="189791E6" w14:textId="75F69FE7" w:rsidR="001443A1" w:rsidRDefault="009961E0" w:rsidP="00D42FF2">
      <w:pPr>
        <w:pStyle w:val="ListParagraph"/>
        <w:numPr>
          <w:ilvl w:val="0"/>
          <w:numId w:val="5"/>
        </w:numPr>
      </w:pPr>
      <w:r>
        <w:t>Revenue from coffee s</w:t>
      </w:r>
      <w:r w:rsidR="009E6008">
        <w:t>ales</w:t>
      </w:r>
    </w:p>
    <w:p w14:paraId="09C4DB1B" w14:textId="77777777" w:rsidR="001443A1" w:rsidRDefault="001443A1" w:rsidP="001443A1"/>
    <w:p w14:paraId="60165746" w14:textId="77777777" w:rsidR="001443A1" w:rsidRDefault="001443A1" w:rsidP="001443A1">
      <w:r>
        <w:t>The following variables will encompass each index:</w:t>
      </w:r>
    </w:p>
    <w:p w14:paraId="541F08AC" w14:textId="77777777" w:rsidR="001443A1" w:rsidRDefault="001443A1" w:rsidP="001443A1"/>
    <w:p w14:paraId="459C8C12" w14:textId="45C80F4E" w:rsidR="001443A1" w:rsidRDefault="001163F9" w:rsidP="00D42FF2">
      <w:pPr>
        <w:pStyle w:val="ListParagraph"/>
        <w:numPr>
          <w:ilvl w:val="0"/>
          <w:numId w:val="6"/>
        </w:numPr>
      </w:pPr>
      <w:r>
        <w:t>Total Household Consumption</w:t>
      </w:r>
      <w:r w:rsidR="003549D0">
        <w:rPr>
          <w:rStyle w:val="FootnoteReference"/>
        </w:rPr>
        <w:footnoteReference w:id="10"/>
      </w:r>
      <w:r w:rsidR="00586E3A">
        <w:t xml:space="preserve">: </w:t>
      </w:r>
    </w:p>
    <w:p w14:paraId="21B6635C" w14:textId="21F3E5BF" w:rsidR="001443A1" w:rsidRDefault="001443A1" w:rsidP="00D42FF2">
      <w:pPr>
        <w:pStyle w:val="ListParagraph"/>
        <w:numPr>
          <w:ilvl w:val="1"/>
          <w:numId w:val="6"/>
        </w:numPr>
      </w:pPr>
      <w:r>
        <w:t xml:space="preserve">Food </w:t>
      </w:r>
      <w:r w:rsidR="001163F9">
        <w:t>expenditure</w:t>
      </w:r>
    </w:p>
    <w:p w14:paraId="24C191F3" w14:textId="01E3CC21" w:rsidR="001163F9" w:rsidRDefault="001163F9" w:rsidP="00D42FF2">
      <w:pPr>
        <w:pStyle w:val="ListParagraph"/>
        <w:numPr>
          <w:ilvl w:val="1"/>
          <w:numId w:val="6"/>
        </w:numPr>
      </w:pPr>
      <w:r>
        <w:t>Value of own-produced food consumed</w:t>
      </w:r>
    </w:p>
    <w:p w14:paraId="6D0E8B93" w14:textId="77777777" w:rsidR="001443A1" w:rsidRDefault="001443A1" w:rsidP="00D42FF2">
      <w:pPr>
        <w:pStyle w:val="ListParagraph"/>
        <w:numPr>
          <w:ilvl w:val="1"/>
          <w:numId w:val="6"/>
        </w:numPr>
      </w:pPr>
      <w:r>
        <w:t>Temptation good expenditure (tobacco, alcohol, and other intoxicants)</w:t>
      </w:r>
    </w:p>
    <w:p w14:paraId="620D675C" w14:textId="62E4AF1C" w:rsidR="001443A1" w:rsidRDefault="001443A1" w:rsidP="00D42FF2">
      <w:pPr>
        <w:pStyle w:val="ListParagraph"/>
        <w:numPr>
          <w:ilvl w:val="1"/>
          <w:numId w:val="6"/>
        </w:numPr>
      </w:pPr>
      <w:r>
        <w:t>Other frequent consumption (fuel, transport, entertainment, airtime, personal care, etc</w:t>
      </w:r>
      <w:r w:rsidR="00460918">
        <w:t>.</w:t>
      </w:r>
      <w:r>
        <w:t>)</w:t>
      </w:r>
    </w:p>
    <w:p w14:paraId="22CBEEE9" w14:textId="4C7F17B6" w:rsidR="001443A1" w:rsidRDefault="001443A1" w:rsidP="00D42FF2">
      <w:pPr>
        <w:pStyle w:val="ListParagraph"/>
        <w:numPr>
          <w:ilvl w:val="1"/>
          <w:numId w:val="6"/>
        </w:numPr>
      </w:pPr>
      <w:r>
        <w:t>Infrequent Consumption (medical, education, assets, etc</w:t>
      </w:r>
      <w:r w:rsidR="00460918">
        <w:t>.</w:t>
      </w:r>
      <w:r>
        <w:t>)</w:t>
      </w:r>
    </w:p>
    <w:p w14:paraId="5AC07BE3" w14:textId="0957570D" w:rsidR="009E6008" w:rsidRDefault="00586E3A" w:rsidP="00D42FF2">
      <w:pPr>
        <w:pStyle w:val="ListParagraph"/>
        <w:numPr>
          <w:ilvl w:val="0"/>
          <w:numId w:val="6"/>
        </w:numPr>
      </w:pPr>
      <w:r>
        <w:t>Total estimated</w:t>
      </w:r>
      <w:r w:rsidR="003E1ED7">
        <w:t xml:space="preserve"> value of owned assets</w:t>
      </w:r>
      <w:r>
        <w:t>:</w:t>
      </w:r>
    </w:p>
    <w:p w14:paraId="5161A5E8" w14:textId="37A22AAE" w:rsidR="003549D0" w:rsidRDefault="003549D0" w:rsidP="00D42FF2">
      <w:pPr>
        <w:pStyle w:val="ListParagraph"/>
        <w:numPr>
          <w:ilvl w:val="1"/>
          <w:numId w:val="6"/>
        </w:numPr>
      </w:pPr>
      <w:r>
        <w:t>Bicycle</w:t>
      </w:r>
    </w:p>
    <w:p w14:paraId="634C13B3" w14:textId="76DB54ED" w:rsidR="003549D0" w:rsidRDefault="003549D0" w:rsidP="00D42FF2">
      <w:pPr>
        <w:pStyle w:val="ListParagraph"/>
        <w:numPr>
          <w:ilvl w:val="1"/>
          <w:numId w:val="6"/>
        </w:numPr>
      </w:pPr>
      <w:r>
        <w:t>Motorcycle/scooter</w:t>
      </w:r>
    </w:p>
    <w:p w14:paraId="57560813" w14:textId="3689B4D9" w:rsidR="003549D0" w:rsidRDefault="003549D0" w:rsidP="00D42FF2">
      <w:pPr>
        <w:pStyle w:val="ListParagraph"/>
        <w:numPr>
          <w:ilvl w:val="1"/>
          <w:numId w:val="6"/>
        </w:numPr>
      </w:pPr>
      <w:r>
        <w:t>Car/truck</w:t>
      </w:r>
    </w:p>
    <w:p w14:paraId="5BEBBE66" w14:textId="38341CD6" w:rsidR="003549D0" w:rsidRDefault="003549D0" w:rsidP="00D42FF2">
      <w:pPr>
        <w:pStyle w:val="ListParagraph"/>
        <w:numPr>
          <w:ilvl w:val="1"/>
          <w:numId w:val="6"/>
        </w:numPr>
      </w:pPr>
      <w:r>
        <w:t>Kerosene stove</w:t>
      </w:r>
    </w:p>
    <w:p w14:paraId="4416BB76" w14:textId="2C16A023" w:rsidR="003549D0" w:rsidRDefault="003549D0" w:rsidP="00D42FF2">
      <w:pPr>
        <w:pStyle w:val="ListParagraph"/>
        <w:numPr>
          <w:ilvl w:val="1"/>
          <w:numId w:val="6"/>
        </w:numPr>
      </w:pPr>
      <w:r>
        <w:t>Radio/Casette player/CD player</w:t>
      </w:r>
    </w:p>
    <w:p w14:paraId="7B0A2C0A" w14:textId="37DEE096" w:rsidR="003549D0" w:rsidRDefault="003549D0" w:rsidP="00D42FF2">
      <w:pPr>
        <w:pStyle w:val="ListParagraph"/>
        <w:numPr>
          <w:ilvl w:val="1"/>
          <w:numId w:val="6"/>
        </w:numPr>
      </w:pPr>
      <w:r>
        <w:t>Sewing machine</w:t>
      </w:r>
    </w:p>
    <w:p w14:paraId="7C5ABA52" w14:textId="13856A9F" w:rsidR="003549D0" w:rsidRDefault="003549D0" w:rsidP="00D42FF2">
      <w:pPr>
        <w:pStyle w:val="ListParagraph"/>
        <w:numPr>
          <w:ilvl w:val="1"/>
          <w:numId w:val="6"/>
        </w:numPr>
      </w:pPr>
      <w:r>
        <w:t>Kerosene Lantern</w:t>
      </w:r>
    </w:p>
    <w:p w14:paraId="005803D9" w14:textId="2AED9195" w:rsidR="003549D0" w:rsidRDefault="003549D0" w:rsidP="00D42FF2">
      <w:pPr>
        <w:pStyle w:val="ListParagraph"/>
        <w:numPr>
          <w:ilvl w:val="1"/>
          <w:numId w:val="6"/>
        </w:numPr>
      </w:pPr>
      <w:r>
        <w:t>Bed</w:t>
      </w:r>
    </w:p>
    <w:p w14:paraId="76F6B919" w14:textId="4CF3B681" w:rsidR="003549D0" w:rsidRDefault="003549D0" w:rsidP="00D42FF2">
      <w:pPr>
        <w:pStyle w:val="ListParagraph"/>
        <w:numPr>
          <w:ilvl w:val="1"/>
          <w:numId w:val="6"/>
        </w:numPr>
      </w:pPr>
      <w:r>
        <w:t>Mattress</w:t>
      </w:r>
    </w:p>
    <w:p w14:paraId="3CAD419D" w14:textId="0896AEF8" w:rsidR="003549D0" w:rsidRDefault="003549D0" w:rsidP="00D42FF2">
      <w:pPr>
        <w:pStyle w:val="ListParagraph"/>
        <w:numPr>
          <w:ilvl w:val="1"/>
          <w:numId w:val="6"/>
        </w:numPr>
      </w:pPr>
      <w:r>
        <w:t>Bednet</w:t>
      </w:r>
    </w:p>
    <w:p w14:paraId="35C1D575" w14:textId="71DC56EB" w:rsidR="005C141C" w:rsidRDefault="005C141C" w:rsidP="00D42FF2">
      <w:pPr>
        <w:pStyle w:val="ListParagraph"/>
        <w:numPr>
          <w:ilvl w:val="1"/>
          <w:numId w:val="6"/>
        </w:numPr>
      </w:pPr>
      <w:r>
        <w:t>Fridge and/or Freezer</w:t>
      </w:r>
    </w:p>
    <w:p w14:paraId="0CAD5D2E" w14:textId="2CFF71D4" w:rsidR="005C141C" w:rsidRDefault="005C141C" w:rsidP="00D42FF2">
      <w:pPr>
        <w:pStyle w:val="ListParagraph"/>
        <w:numPr>
          <w:ilvl w:val="1"/>
          <w:numId w:val="6"/>
        </w:numPr>
      </w:pPr>
      <w:r>
        <w:t>Pots and Pans</w:t>
      </w:r>
    </w:p>
    <w:p w14:paraId="17C30B8E" w14:textId="0EF440FB" w:rsidR="003549D0" w:rsidRDefault="003549D0" w:rsidP="00D42FF2">
      <w:pPr>
        <w:pStyle w:val="ListParagraph"/>
        <w:numPr>
          <w:ilvl w:val="1"/>
          <w:numId w:val="6"/>
        </w:numPr>
      </w:pPr>
      <w:r>
        <w:t>Tables</w:t>
      </w:r>
    </w:p>
    <w:p w14:paraId="4B6D8F9C" w14:textId="0D079BB5" w:rsidR="003549D0" w:rsidRDefault="003549D0" w:rsidP="00D42FF2">
      <w:pPr>
        <w:pStyle w:val="ListParagraph"/>
        <w:numPr>
          <w:ilvl w:val="1"/>
          <w:numId w:val="6"/>
        </w:numPr>
      </w:pPr>
      <w:r>
        <w:t>Sofa pieces</w:t>
      </w:r>
    </w:p>
    <w:p w14:paraId="77ED27D9" w14:textId="2C6BB6DC" w:rsidR="003549D0" w:rsidRDefault="003549D0" w:rsidP="00D42FF2">
      <w:pPr>
        <w:pStyle w:val="ListParagraph"/>
        <w:numPr>
          <w:ilvl w:val="1"/>
          <w:numId w:val="6"/>
        </w:numPr>
      </w:pPr>
      <w:r>
        <w:t>Chair</w:t>
      </w:r>
    </w:p>
    <w:p w14:paraId="702772F5" w14:textId="689205A2" w:rsidR="003549D0" w:rsidRDefault="003549D0" w:rsidP="00D42FF2">
      <w:pPr>
        <w:pStyle w:val="ListParagraph"/>
        <w:numPr>
          <w:ilvl w:val="1"/>
          <w:numId w:val="6"/>
        </w:numPr>
      </w:pPr>
      <w:r>
        <w:t>Cupboards/dressers</w:t>
      </w:r>
    </w:p>
    <w:p w14:paraId="44EF0BD7" w14:textId="51841B87" w:rsidR="003549D0" w:rsidRDefault="003549D0" w:rsidP="00D42FF2">
      <w:pPr>
        <w:pStyle w:val="ListParagraph"/>
        <w:numPr>
          <w:ilvl w:val="1"/>
          <w:numId w:val="6"/>
        </w:numPr>
      </w:pPr>
      <w:r>
        <w:t>Clock or Watch</w:t>
      </w:r>
    </w:p>
    <w:p w14:paraId="5420F171" w14:textId="0A8A35FF" w:rsidR="003549D0" w:rsidRDefault="003549D0" w:rsidP="00D42FF2">
      <w:pPr>
        <w:pStyle w:val="ListParagraph"/>
        <w:numPr>
          <w:ilvl w:val="1"/>
          <w:numId w:val="6"/>
        </w:numPr>
      </w:pPr>
      <w:r>
        <w:lastRenderedPageBreak/>
        <w:t>Electric Iron</w:t>
      </w:r>
    </w:p>
    <w:p w14:paraId="73463886" w14:textId="14D68280" w:rsidR="003549D0" w:rsidRDefault="003549D0" w:rsidP="00D42FF2">
      <w:pPr>
        <w:pStyle w:val="ListParagraph"/>
        <w:numPr>
          <w:ilvl w:val="1"/>
          <w:numId w:val="6"/>
        </w:numPr>
      </w:pPr>
      <w:r>
        <w:t>Television</w:t>
      </w:r>
    </w:p>
    <w:p w14:paraId="045937B4" w14:textId="450BC8F6" w:rsidR="003549D0" w:rsidRDefault="003549D0" w:rsidP="00D42FF2">
      <w:pPr>
        <w:pStyle w:val="ListParagraph"/>
        <w:numPr>
          <w:ilvl w:val="1"/>
          <w:numId w:val="6"/>
        </w:numPr>
      </w:pPr>
      <w:r>
        <w:t>Mobile Phone</w:t>
      </w:r>
    </w:p>
    <w:p w14:paraId="702963A9" w14:textId="03E30DB1" w:rsidR="003549D0" w:rsidRDefault="003549D0" w:rsidP="00D42FF2">
      <w:pPr>
        <w:pStyle w:val="ListParagraph"/>
        <w:numPr>
          <w:ilvl w:val="1"/>
          <w:numId w:val="6"/>
        </w:numPr>
      </w:pPr>
      <w:r>
        <w:t>Car Battery</w:t>
      </w:r>
    </w:p>
    <w:p w14:paraId="3891037C" w14:textId="4AD42F73" w:rsidR="003549D0" w:rsidRDefault="003549D0" w:rsidP="00D42FF2">
      <w:pPr>
        <w:pStyle w:val="ListParagraph"/>
        <w:numPr>
          <w:ilvl w:val="1"/>
          <w:numId w:val="6"/>
        </w:numPr>
      </w:pPr>
      <w:r>
        <w:t>Hoes</w:t>
      </w:r>
    </w:p>
    <w:p w14:paraId="492D2385" w14:textId="52CF5552" w:rsidR="003549D0" w:rsidRDefault="003549D0" w:rsidP="00D42FF2">
      <w:pPr>
        <w:pStyle w:val="ListParagraph"/>
        <w:numPr>
          <w:ilvl w:val="1"/>
          <w:numId w:val="6"/>
        </w:numPr>
      </w:pPr>
      <w:r>
        <w:t>Pangas</w:t>
      </w:r>
    </w:p>
    <w:p w14:paraId="5EBEA09D" w14:textId="522495A1" w:rsidR="005C141C" w:rsidRDefault="005C141C" w:rsidP="00D42FF2">
      <w:pPr>
        <w:pStyle w:val="ListParagraph"/>
        <w:numPr>
          <w:ilvl w:val="1"/>
          <w:numId w:val="6"/>
        </w:numPr>
      </w:pPr>
      <w:r>
        <w:t>Slashers</w:t>
      </w:r>
    </w:p>
    <w:p w14:paraId="77091556" w14:textId="54CE6901" w:rsidR="003549D0" w:rsidRDefault="003549D0" w:rsidP="00D42FF2">
      <w:pPr>
        <w:pStyle w:val="ListParagraph"/>
        <w:numPr>
          <w:ilvl w:val="1"/>
          <w:numId w:val="6"/>
        </w:numPr>
      </w:pPr>
      <w:r>
        <w:t>Hand Cart</w:t>
      </w:r>
    </w:p>
    <w:p w14:paraId="4A4F5321" w14:textId="2670EA04" w:rsidR="003549D0" w:rsidRDefault="003549D0" w:rsidP="00D42FF2">
      <w:pPr>
        <w:pStyle w:val="ListParagraph"/>
        <w:numPr>
          <w:ilvl w:val="1"/>
          <w:numId w:val="6"/>
        </w:numPr>
      </w:pPr>
      <w:r>
        <w:t>Wheelbarrow</w:t>
      </w:r>
    </w:p>
    <w:p w14:paraId="0D9F2521" w14:textId="434A9297" w:rsidR="003549D0" w:rsidRDefault="003549D0" w:rsidP="00D42FF2">
      <w:pPr>
        <w:pStyle w:val="ListParagraph"/>
        <w:numPr>
          <w:ilvl w:val="1"/>
          <w:numId w:val="6"/>
        </w:numPr>
      </w:pPr>
      <w:r>
        <w:t>Ox plow</w:t>
      </w:r>
    </w:p>
    <w:p w14:paraId="1EE69029" w14:textId="5A89F0C5" w:rsidR="003549D0" w:rsidRDefault="003549D0" w:rsidP="00D42FF2">
      <w:pPr>
        <w:pStyle w:val="ListParagraph"/>
        <w:numPr>
          <w:ilvl w:val="1"/>
          <w:numId w:val="6"/>
        </w:numPr>
      </w:pPr>
      <w:r>
        <w:t>Solar panel</w:t>
      </w:r>
    </w:p>
    <w:p w14:paraId="78E68BBB" w14:textId="694DA415" w:rsidR="003549D0" w:rsidRDefault="003549D0" w:rsidP="00D42FF2">
      <w:pPr>
        <w:pStyle w:val="ListParagraph"/>
        <w:numPr>
          <w:ilvl w:val="1"/>
          <w:numId w:val="6"/>
        </w:numPr>
      </w:pPr>
      <w:r>
        <w:t>Generator</w:t>
      </w:r>
    </w:p>
    <w:p w14:paraId="629CB0FD" w14:textId="608D1F39" w:rsidR="003549D0" w:rsidRDefault="009B337F" w:rsidP="00D42FF2">
      <w:pPr>
        <w:pStyle w:val="ListParagraph"/>
        <w:numPr>
          <w:ilvl w:val="1"/>
          <w:numId w:val="6"/>
        </w:numPr>
      </w:pPr>
      <w:r>
        <w:t>Livestock</w:t>
      </w:r>
      <w:r w:rsidR="003549D0">
        <w:t xml:space="preserve"> (chickens, goats, cattle, pigs</w:t>
      </w:r>
      <w:r w:rsidR="005C141C">
        <w:t>, other</w:t>
      </w:r>
      <w:r w:rsidR="003549D0">
        <w:t>)</w:t>
      </w:r>
    </w:p>
    <w:p w14:paraId="79DDBA49" w14:textId="27B00749" w:rsidR="00811696" w:rsidRDefault="00811696" w:rsidP="00D42FF2">
      <w:pPr>
        <w:pStyle w:val="ListParagraph"/>
        <w:numPr>
          <w:ilvl w:val="1"/>
          <w:numId w:val="6"/>
        </w:numPr>
      </w:pPr>
      <w:r>
        <w:t xml:space="preserve">House </w:t>
      </w:r>
    </w:p>
    <w:p w14:paraId="627EC365" w14:textId="77777777" w:rsidR="008F0DC8" w:rsidRDefault="008F0DC8" w:rsidP="008F0DC8">
      <w:pPr>
        <w:pStyle w:val="ListParagraph"/>
        <w:numPr>
          <w:ilvl w:val="1"/>
          <w:numId w:val="6"/>
        </w:numPr>
      </w:pPr>
      <w:r>
        <w:t xml:space="preserve">Land </w:t>
      </w:r>
    </w:p>
    <w:p w14:paraId="341AF4A6" w14:textId="77777777" w:rsidR="008F0DC8" w:rsidRDefault="008F0DC8" w:rsidP="008F0DC8">
      <w:pPr>
        <w:pStyle w:val="ListParagraph"/>
        <w:numPr>
          <w:ilvl w:val="1"/>
          <w:numId w:val="6"/>
        </w:numPr>
      </w:pPr>
      <w:r>
        <w:t>Home improvements</w:t>
      </w:r>
    </w:p>
    <w:p w14:paraId="092860EB" w14:textId="77777777" w:rsidR="008F0DC8" w:rsidRDefault="008F0DC8" w:rsidP="008F0DC8">
      <w:pPr>
        <w:pStyle w:val="ListParagraph"/>
        <w:numPr>
          <w:ilvl w:val="1"/>
          <w:numId w:val="6"/>
        </w:numPr>
      </w:pPr>
      <w:r>
        <w:t>Plates</w:t>
      </w:r>
    </w:p>
    <w:p w14:paraId="6D1ADE53" w14:textId="77777777" w:rsidR="008F0DC8" w:rsidRDefault="008F0DC8" w:rsidP="008F0DC8">
      <w:pPr>
        <w:pStyle w:val="ListParagraph"/>
        <w:numPr>
          <w:ilvl w:val="1"/>
          <w:numId w:val="6"/>
        </w:numPr>
      </w:pPr>
      <w:r>
        <w:t>Cleaning tools</w:t>
      </w:r>
    </w:p>
    <w:p w14:paraId="20912E34" w14:textId="499D6EB3" w:rsidR="00AB0DCC" w:rsidRDefault="00AB0DCC" w:rsidP="00D42FF2">
      <w:pPr>
        <w:pStyle w:val="ListParagraph"/>
        <w:numPr>
          <w:ilvl w:val="1"/>
          <w:numId w:val="6"/>
        </w:numPr>
      </w:pPr>
      <w:r>
        <w:t>Roof is not thatched*</w:t>
      </w:r>
    </w:p>
    <w:p w14:paraId="7CA64765" w14:textId="37ACA8DD" w:rsidR="00AB0DCC" w:rsidRDefault="00AB0DCC" w:rsidP="00D42FF2">
      <w:pPr>
        <w:pStyle w:val="ListParagraph"/>
        <w:numPr>
          <w:ilvl w:val="1"/>
          <w:numId w:val="6"/>
        </w:numPr>
      </w:pPr>
      <w:r>
        <w:t>Walls are not earth/mud*</w:t>
      </w:r>
    </w:p>
    <w:p w14:paraId="3AFC20E8" w14:textId="75D6E5F9" w:rsidR="00AB0DCC" w:rsidRDefault="00AB0DCC" w:rsidP="00D42FF2">
      <w:pPr>
        <w:pStyle w:val="ListParagraph"/>
        <w:numPr>
          <w:ilvl w:val="1"/>
          <w:numId w:val="6"/>
        </w:numPr>
      </w:pPr>
      <w:r>
        <w:t>Floor is not earth/mud*</w:t>
      </w:r>
    </w:p>
    <w:p w14:paraId="616C912A" w14:textId="6E5424DF" w:rsidR="00AB0DCC" w:rsidRDefault="00AB0DCC" w:rsidP="00D42FF2">
      <w:pPr>
        <w:pStyle w:val="ListParagraph"/>
        <w:numPr>
          <w:ilvl w:val="1"/>
          <w:numId w:val="6"/>
        </w:numPr>
      </w:pPr>
      <w:r>
        <w:t>House has toilet or pit latrine*</w:t>
      </w:r>
    </w:p>
    <w:p w14:paraId="614D521E" w14:textId="77777777" w:rsidR="00AB0DCC" w:rsidRDefault="00AB0DCC" w:rsidP="00E73B77">
      <w:pPr>
        <w:pStyle w:val="ListParagraph"/>
        <w:ind w:left="1440"/>
      </w:pPr>
    </w:p>
    <w:p w14:paraId="6877B4D1" w14:textId="5D367C6A" w:rsidR="005C141C" w:rsidRDefault="005C141C" w:rsidP="00E73B77">
      <w:r>
        <w:t>*Outcomes</w:t>
      </w:r>
      <w:r w:rsidR="00AB0DCC">
        <w:t xml:space="preserve"> with an asterisk will be studied but not included in the </w:t>
      </w:r>
      <w:r>
        <w:t>asset total as they are binary indicators.</w:t>
      </w:r>
    </w:p>
    <w:p w14:paraId="3F51EC02" w14:textId="77777777" w:rsidR="005C141C" w:rsidRDefault="005C141C" w:rsidP="00E73B77"/>
    <w:p w14:paraId="31C67F4E" w14:textId="715F0F71" w:rsidR="005C141C" w:rsidRDefault="005C141C" w:rsidP="00E73B77">
      <w:r>
        <w:t xml:space="preserve">For polygamous households in which an asset is reported as shared among the wives, each individual wife will be allocated (total value of asset/number of wives). </w:t>
      </w:r>
    </w:p>
    <w:p w14:paraId="2D17819D" w14:textId="270EA0D0" w:rsidR="00AB0DCC" w:rsidRDefault="00AB0DCC" w:rsidP="00E73B77">
      <w:r>
        <w:t xml:space="preserve"> </w:t>
      </w:r>
    </w:p>
    <w:p w14:paraId="21EBA25A" w14:textId="425EB227" w:rsidR="00AB0DCC" w:rsidRDefault="00FE27B9" w:rsidP="00D42FF2">
      <w:pPr>
        <w:pStyle w:val="ListParagraph"/>
        <w:numPr>
          <w:ilvl w:val="0"/>
          <w:numId w:val="6"/>
        </w:numPr>
      </w:pPr>
      <w:r>
        <w:t xml:space="preserve">Monthly </w:t>
      </w:r>
      <w:r w:rsidR="009D6362">
        <w:t>Agricultural and Business Income</w:t>
      </w:r>
    </w:p>
    <w:p w14:paraId="02015FC7" w14:textId="45E54BC0" w:rsidR="001443A1" w:rsidRDefault="00CE298E">
      <w:pPr>
        <w:pStyle w:val="ListParagraph"/>
        <w:numPr>
          <w:ilvl w:val="1"/>
          <w:numId w:val="6"/>
        </w:numPr>
      </w:pPr>
      <w:r>
        <w:t>Total value of production of major crops</w:t>
      </w:r>
      <w:r w:rsidR="00FE27B9">
        <w:t>, scaled to monthly figure</w:t>
      </w:r>
      <w:r w:rsidR="00FE27B9">
        <w:rPr>
          <w:rStyle w:val="FootnoteReference"/>
        </w:rPr>
        <w:footnoteReference w:id="11"/>
      </w:r>
      <w:r w:rsidR="009F76F1">
        <w:t xml:space="preserve"> (own-consumed)</w:t>
      </w:r>
    </w:p>
    <w:p w14:paraId="2BAD5A51" w14:textId="674D7AB9" w:rsidR="001470D0" w:rsidRDefault="009D6362" w:rsidP="001470D0">
      <w:pPr>
        <w:pStyle w:val="ListParagraph"/>
        <w:numPr>
          <w:ilvl w:val="1"/>
          <w:numId w:val="6"/>
        </w:numPr>
      </w:pPr>
      <w:r>
        <w:t>Total value of production of major crops</w:t>
      </w:r>
      <w:r w:rsidR="00FE27B9">
        <w:t>, scaled to monthly figure</w:t>
      </w:r>
      <w:r>
        <w:t xml:space="preserve"> (sold)</w:t>
      </w:r>
    </w:p>
    <w:p w14:paraId="17DBD152" w14:textId="433036A6" w:rsidR="001470D0" w:rsidRDefault="009D6362" w:rsidP="001470D0">
      <w:pPr>
        <w:pStyle w:val="ListParagraph"/>
        <w:numPr>
          <w:ilvl w:val="1"/>
          <w:numId w:val="6"/>
        </w:numPr>
      </w:pPr>
      <w:r>
        <w:t>Non-farm enterprise revenue (in the last 1 month)</w:t>
      </w:r>
    </w:p>
    <w:p w14:paraId="63B6F77D" w14:textId="2F34CE51" w:rsidR="001443A1" w:rsidRDefault="001443A1" w:rsidP="00D42FF2">
      <w:pPr>
        <w:pStyle w:val="ListParagraph"/>
        <w:numPr>
          <w:ilvl w:val="0"/>
          <w:numId w:val="6"/>
        </w:numPr>
      </w:pPr>
      <w:r>
        <w:t>Food Security Index</w:t>
      </w:r>
      <w:r w:rsidR="008107DA">
        <w:t xml:space="preserve"> (same as Haushofer and Shapiro 2014)</w:t>
      </w:r>
    </w:p>
    <w:p w14:paraId="4F3181F6" w14:textId="61977EC3" w:rsidR="001163F9" w:rsidRDefault="001163F9" w:rsidP="00D42FF2">
      <w:pPr>
        <w:pStyle w:val="ListParagraph"/>
        <w:numPr>
          <w:ilvl w:val="1"/>
          <w:numId w:val="6"/>
        </w:numPr>
      </w:pPr>
      <w:r>
        <w:t>Meals skipped (adults and children)</w:t>
      </w:r>
    </w:p>
    <w:p w14:paraId="0BE6F023" w14:textId="5AE13E12" w:rsidR="001163F9" w:rsidRDefault="001163F9" w:rsidP="00D42FF2">
      <w:pPr>
        <w:pStyle w:val="ListParagraph"/>
        <w:numPr>
          <w:ilvl w:val="1"/>
          <w:numId w:val="6"/>
        </w:numPr>
      </w:pPr>
      <w:r>
        <w:t>Whole days without food (adults and children)</w:t>
      </w:r>
    </w:p>
    <w:p w14:paraId="0E1728DC" w14:textId="28B19393" w:rsidR="001163F9" w:rsidRDefault="001163F9" w:rsidP="00D42FF2">
      <w:pPr>
        <w:pStyle w:val="ListParagraph"/>
        <w:numPr>
          <w:ilvl w:val="1"/>
          <w:numId w:val="6"/>
        </w:numPr>
      </w:pPr>
      <w:r>
        <w:t>Eat less preferred/cheaper foods</w:t>
      </w:r>
    </w:p>
    <w:p w14:paraId="3F772434" w14:textId="694714E8" w:rsidR="001163F9" w:rsidRDefault="001163F9" w:rsidP="00D42FF2">
      <w:pPr>
        <w:pStyle w:val="ListParagraph"/>
        <w:numPr>
          <w:ilvl w:val="1"/>
          <w:numId w:val="6"/>
        </w:numPr>
      </w:pPr>
      <w:r>
        <w:t>Rely on help from others for food</w:t>
      </w:r>
    </w:p>
    <w:p w14:paraId="66F9ECE8" w14:textId="3D79BD7B" w:rsidR="001163F9" w:rsidRDefault="001163F9" w:rsidP="00D42FF2">
      <w:pPr>
        <w:pStyle w:val="ListParagraph"/>
        <w:numPr>
          <w:ilvl w:val="1"/>
          <w:numId w:val="6"/>
        </w:numPr>
      </w:pPr>
      <w:r>
        <w:t>Purchase food on credit</w:t>
      </w:r>
    </w:p>
    <w:p w14:paraId="0266E84F" w14:textId="3E9FF734" w:rsidR="001163F9" w:rsidRDefault="001163F9" w:rsidP="00D42FF2">
      <w:pPr>
        <w:pStyle w:val="ListParagraph"/>
        <w:numPr>
          <w:ilvl w:val="1"/>
          <w:numId w:val="6"/>
        </w:numPr>
      </w:pPr>
      <w:r>
        <w:t>Hunt, gather wild food, harvest prematurely</w:t>
      </w:r>
    </w:p>
    <w:p w14:paraId="19DB5CE3" w14:textId="164D7148" w:rsidR="001163F9" w:rsidRDefault="001163F9" w:rsidP="00D42FF2">
      <w:pPr>
        <w:pStyle w:val="ListParagraph"/>
        <w:numPr>
          <w:ilvl w:val="1"/>
          <w:numId w:val="6"/>
        </w:numPr>
      </w:pPr>
      <w:r>
        <w:t>Beg because not enough food in the house</w:t>
      </w:r>
    </w:p>
    <w:p w14:paraId="33FFA41C" w14:textId="427BDA21" w:rsidR="001163F9" w:rsidRDefault="001163F9" w:rsidP="00D42FF2">
      <w:pPr>
        <w:pStyle w:val="ListParagraph"/>
        <w:numPr>
          <w:ilvl w:val="1"/>
          <w:numId w:val="6"/>
        </w:numPr>
      </w:pPr>
      <w:r>
        <w:t>All members eat two meals</w:t>
      </w:r>
    </w:p>
    <w:p w14:paraId="246C077F" w14:textId="51F81240" w:rsidR="001163F9" w:rsidRDefault="001163F9" w:rsidP="00D42FF2">
      <w:pPr>
        <w:pStyle w:val="ListParagraph"/>
        <w:numPr>
          <w:ilvl w:val="1"/>
          <w:numId w:val="6"/>
        </w:numPr>
      </w:pPr>
      <w:r>
        <w:t>All members eat until content</w:t>
      </w:r>
    </w:p>
    <w:p w14:paraId="34E10342" w14:textId="10A0E385" w:rsidR="001163F9" w:rsidRDefault="001163F9" w:rsidP="00D42FF2">
      <w:pPr>
        <w:pStyle w:val="ListParagraph"/>
        <w:numPr>
          <w:ilvl w:val="1"/>
          <w:numId w:val="6"/>
        </w:numPr>
      </w:pPr>
      <w:r>
        <w:t>Number of times ate meat or fish</w:t>
      </w:r>
    </w:p>
    <w:p w14:paraId="07452D1A" w14:textId="40966398" w:rsidR="001163F9" w:rsidRDefault="001163F9" w:rsidP="00D42FF2">
      <w:pPr>
        <w:pStyle w:val="ListParagraph"/>
        <w:numPr>
          <w:ilvl w:val="1"/>
          <w:numId w:val="6"/>
        </w:numPr>
      </w:pPr>
      <w:r>
        <w:t>Enough food in the house for tomorrow?</w:t>
      </w:r>
    </w:p>
    <w:p w14:paraId="64778DA4" w14:textId="5A14F5F8" w:rsidR="001163F9" w:rsidRDefault="001163F9" w:rsidP="00D42FF2">
      <w:pPr>
        <w:pStyle w:val="ListParagraph"/>
        <w:numPr>
          <w:ilvl w:val="1"/>
          <w:numId w:val="6"/>
        </w:numPr>
      </w:pPr>
      <w:r>
        <w:t>Respondent slept hungry</w:t>
      </w:r>
    </w:p>
    <w:p w14:paraId="712D029B" w14:textId="2FA5D846" w:rsidR="001163F9" w:rsidRDefault="001163F9" w:rsidP="00D42FF2">
      <w:pPr>
        <w:pStyle w:val="ListParagraph"/>
        <w:numPr>
          <w:ilvl w:val="1"/>
          <w:numId w:val="6"/>
        </w:numPr>
      </w:pPr>
      <w:r>
        <w:lastRenderedPageBreak/>
        <w:t>Respondent ate protein</w:t>
      </w:r>
    </w:p>
    <w:p w14:paraId="0866D15F" w14:textId="3C791CFA" w:rsidR="001163F9" w:rsidRDefault="001163F9" w:rsidP="00D42FF2">
      <w:pPr>
        <w:pStyle w:val="ListParagraph"/>
        <w:numPr>
          <w:ilvl w:val="1"/>
          <w:numId w:val="6"/>
        </w:numPr>
      </w:pPr>
      <w:r>
        <w:t>Proportion of household who ate protein</w:t>
      </w:r>
    </w:p>
    <w:p w14:paraId="0D59668F" w14:textId="67CC3D9E" w:rsidR="001163F9" w:rsidRDefault="001163F9" w:rsidP="00D42FF2">
      <w:pPr>
        <w:pStyle w:val="ListParagraph"/>
        <w:numPr>
          <w:ilvl w:val="1"/>
          <w:numId w:val="6"/>
        </w:numPr>
      </w:pPr>
      <w:r>
        <w:t>Proportion of children who ate protein</w:t>
      </w:r>
    </w:p>
    <w:p w14:paraId="7D415857" w14:textId="77777777" w:rsidR="001443A1" w:rsidRDefault="001443A1" w:rsidP="00D42FF2">
      <w:pPr>
        <w:pStyle w:val="ListParagraph"/>
        <w:numPr>
          <w:ilvl w:val="0"/>
          <w:numId w:val="6"/>
        </w:numPr>
      </w:pPr>
      <w:r>
        <w:t>Coffee Investment Index</w:t>
      </w:r>
    </w:p>
    <w:p w14:paraId="4EE6EAF4" w14:textId="77777777" w:rsidR="001443A1" w:rsidRDefault="001443A1" w:rsidP="00D42FF2">
      <w:pPr>
        <w:pStyle w:val="ListParagraph"/>
        <w:numPr>
          <w:ilvl w:val="1"/>
          <w:numId w:val="6"/>
        </w:numPr>
      </w:pPr>
      <w:r>
        <w:t>Number of Coffee Trees owned/Land dedicated to coffee</w:t>
      </w:r>
    </w:p>
    <w:p w14:paraId="0BD07B78" w14:textId="77777777" w:rsidR="001443A1" w:rsidRDefault="001443A1" w:rsidP="00D42FF2">
      <w:pPr>
        <w:pStyle w:val="ListParagraph"/>
        <w:numPr>
          <w:ilvl w:val="1"/>
          <w:numId w:val="6"/>
        </w:numPr>
      </w:pPr>
      <w:r>
        <w:t>Respondent stumped (rehabilitated) coffee trees</w:t>
      </w:r>
    </w:p>
    <w:p w14:paraId="581D627D" w14:textId="77777777" w:rsidR="001443A1" w:rsidRDefault="001443A1" w:rsidP="00D42FF2">
      <w:pPr>
        <w:pStyle w:val="ListParagraph"/>
        <w:numPr>
          <w:ilvl w:val="1"/>
          <w:numId w:val="6"/>
        </w:numPr>
      </w:pPr>
      <w:r>
        <w:t>Respondent pruned coffee trees</w:t>
      </w:r>
    </w:p>
    <w:p w14:paraId="7A584294" w14:textId="6C6D3312" w:rsidR="001443A1" w:rsidRDefault="00A23DBD" w:rsidP="00D42FF2">
      <w:pPr>
        <w:pStyle w:val="ListParagraph"/>
        <w:numPr>
          <w:ilvl w:val="1"/>
          <w:numId w:val="6"/>
        </w:numPr>
      </w:pPr>
      <w:r>
        <w:t>Amount</w:t>
      </w:r>
      <w:r w:rsidR="001443A1">
        <w:t xml:space="preserve"> spent on </w:t>
      </w:r>
      <w:r w:rsidR="007707E0">
        <w:t xml:space="preserve">hired labor for </w:t>
      </w:r>
      <w:r w:rsidR="001443A1">
        <w:t>coffee</w:t>
      </w:r>
    </w:p>
    <w:p w14:paraId="26FF1A8F" w14:textId="622AF829" w:rsidR="001443A1" w:rsidRDefault="00C3157C" w:rsidP="00D42FF2">
      <w:pPr>
        <w:pStyle w:val="ListParagraph"/>
        <w:numPr>
          <w:ilvl w:val="1"/>
          <w:numId w:val="6"/>
        </w:numPr>
      </w:pPr>
      <w:r>
        <w:t>A</w:t>
      </w:r>
      <w:r w:rsidR="001443A1">
        <w:t>mount spent processing/transporting coffee</w:t>
      </w:r>
    </w:p>
    <w:p w14:paraId="72CD32A3" w14:textId="77777777" w:rsidR="009051B6" w:rsidRDefault="009051B6" w:rsidP="009051B6">
      <w:pPr>
        <w:pStyle w:val="ListParagraph"/>
        <w:numPr>
          <w:ilvl w:val="1"/>
          <w:numId w:val="6"/>
        </w:numPr>
      </w:pPr>
      <w:r>
        <w:t>Amount spent on other coffee inputs</w:t>
      </w:r>
    </w:p>
    <w:p w14:paraId="451C8582" w14:textId="3AAAF775" w:rsidR="009051B6" w:rsidRDefault="009051B6" w:rsidP="009051B6">
      <w:pPr>
        <w:pStyle w:val="ListParagraph"/>
        <w:numPr>
          <w:ilvl w:val="1"/>
          <w:numId w:val="6"/>
        </w:numPr>
      </w:pPr>
      <w:r>
        <w:t>Percentage of cherries sold that were picked once ripe (percentage of cherries that were picked red as opposed to green)</w:t>
      </w:r>
    </w:p>
    <w:p w14:paraId="723AB473" w14:textId="77777777" w:rsidR="009051B6" w:rsidRDefault="009051B6" w:rsidP="009051B6">
      <w:pPr>
        <w:pStyle w:val="ListParagraph"/>
        <w:numPr>
          <w:ilvl w:val="1"/>
          <w:numId w:val="6"/>
        </w:numPr>
      </w:pPr>
      <w:r>
        <w:t>Coffee price per kilogram</w:t>
      </w:r>
    </w:p>
    <w:p w14:paraId="4511A400" w14:textId="5866521E" w:rsidR="001813BB" w:rsidRDefault="00CE298E" w:rsidP="00D42FF2">
      <w:pPr>
        <w:pStyle w:val="ListParagraph"/>
        <w:numPr>
          <w:ilvl w:val="0"/>
          <w:numId w:val="6"/>
        </w:numPr>
      </w:pPr>
      <w:r>
        <w:t>Revenue from Coffee Sales</w:t>
      </w:r>
      <w:r>
        <w:tab/>
      </w:r>
    </w:p>
    <w:p w14:paraId="38C70F4B" w14:textId="77777777" w:rsidR="00CE298E" w:rsidRDefault="00CE298E" w:rsidP="00CE298E"/>
    <w:p w14:paraId="12A30C4B" w14:textId="77777777" w:rsidR="008C1210" w:rsidRDefault="00CE298E" w:rsidP="00CE298E">
      <w:r>
        <w:rPr>
          <w:b/>
        </w:rPr>
        <w:t xml:space="preserve">Outcomes not included: </w:t>
      </w:r>
      <w:r w:rsidR="0087083D">
        <w:t>Studies on UCTs general</w:t>
      </w:r>
      <w:r w:rsidR="008732DC">
        <w:t>ly</w:t>
      </w:r>
      <w:r w:rsidR="0087083D">
        <w:t xml:space="preserve"> include a wider range of outcomes, as UCTs can have a wide range of effects. Due to budgetary restriction</w:t>
      </w:r>
      <w:r w:rsidR="008732DC">
        <w:t>s</w:t>
      </w:r>
      <w:r w:rsidR="0087083D">
        <w:t xml:space="preserve"> of this study and its focus on coffee outcomes, </w:t>
      </w:r>
      <w:r w:rsidR="00C55057">
        <w:t xml:space="preserve">we have a more limited set of outcomes. Specifically, we draw on the result of the similar study undertaken by Haushofer and Shapiro (2016), and have concentrated on outcomes in which there were </w:t>
      </w:r>
      <w:r w:rsidR="00586E3A">
        <w:t>significant</w:t>
      </w:r>
      <w:r w:rsidR="00C55057">
        <w:t xml:space="preserve"> effects.</w:t>
      </w:r>
      <w:r w:rsidR="00102649">
        <w:t xml:space="preserve"> Specifically, we do not include outcomes akin to their ‘Health Index’ or ‘Education Index’.</w:t>
      </w:r>
      <w:r w:rsidR="00C55057">
        <w:t xml:space="preserve"> </w:t>
      </w:r>
      <w:r w:rsidR="00102649">
        <w:t>We also</w:t>
      </w:r>
      <w:r w:rsidR="00C55057">
        <w:t xml:space="preserve"> do not include the psychological outcomes included in this previous study</w:t>
      </w:r>
      <w:r w:rsidR="00102649">
        <w:t>, despite them showing significant effects.</w:t>
      </w:r>
    </w:p>
    <w:p w14:paraId="4BE40690" w14:textId="77777777" w:rsidR="009051B6" w:rsidRDefault="009051B6" w:rsidP="00CE298E"/>
    <w:p w14:paraId="702FF9F7" w14:textId="76698B02" w:rsidR="00102649" w:rsidRDefault="008C1210" w:rsidP="00CE298E">
      <w:r>
        <w:t>We do not consider an aggregate measure of success across all of our outcomes. While it would have been possible to create an index out of all outcomes, we elect not to do so since the magnitude of any changes in such an index would be very difficult to interpret. Instead, we measure impact on a range of measures of general well-being and funder-led outcomes, leaving the reader to determine how to aggregate this result. We believe this is the correct approach, as different parties may find varying importance in the different outcomes. (For instance, BSZ has a particular interest in coffee outcomes, while other readers may not.)</w:t>
      </w:r>
    </w:p>
    <w:p w14:paraId="7EA3D034" w14:textId="77777777" w:rsidR="009051B6" w:rsidRDefault="009051B6" w:rsidP="00CE298E"/>
    <w:p w14:paraId="6D7750AD" w14:textId="37D35745" w:rsidR="009051B6" w:rsidRDefault="009051B6" w:rsidP="00CE298E">
      <w:r w:rsidRPr="00DD25EC">
        <w:t xml:space="preserve">In order to limit noise caused by variables with minimal variation, </w:t>
      </w:r>
      <w:r>
        <w:t>sub-indicators</w:t>
      </w:r>
      <w:r w:rsidRPr="00DD25EC">
        <w:t xml:space="preserve"> for which 95 percent of observations have the same value within the relevant sample </w:t>
      </w:r>
      <w:r>
        <w:t>will be removed from the indices</w:t>
      </w:r>
      <w:r w:rsidRPr="00DD25EC">
        <w:t>. In the event that omission decisions result in the exclusion of all constituent variables for an indicator</w:t>
      </w:r>
      <w:r>
        <w:t>, the indicator will not be included.</w:t>
      </w:r>
      <w:r w:rsidR="00E268AF">
        <w:t xml:space="preserve"> Also note that variables with monetary outcomes will be winsorized at the upper 1% tail to control the influence of outliers. </w:t>
      </w:r>
    </w:p>
    <w:p w14:paraId="63EB6300" w14:textId="02BC1C31" w:rsidR="00102649" w:rsidRDefault="00102649" w:rsidP="00CE298E"/>
    <w:p w14:paraId="4BB5C1B2" w14:textId="230816C2" w:rsidR="009961E0" w:rsidRPr="0087083D" w:rsidRDefault="00102649" w:rsidP="00CE298E">
      <w:r>
        <w:t>We also do not consider temptation goods as a separate outcome, due to overwhelming evidence that UCT programs do not cause an increase in temptation good expenditure (Evans and Popova, 2014)</w:t>
      </w:r>
      <w:r w:rsidR="008107DA">
        <w:t>.</w:t>
      </w:r>
    </w:p>
    <w:p w14:paraId="43144982" w14:textId="77777777" w:rsidR="001813BB" w:rsidRDefault="001813BB" w:rsidP="001813BB">
      <w:pPr>
        <w:pStyle w:val="Heading1"/>
      </w:pPr>
      <w:r w:rsidRPr="006673F8">
        <w:t>L</w:t>
      </w:r>
      <w:r>
        <w:t>imitations and C</w:t>
      </w:r>
      <w:r w:rsidRPr="006673F8">
        <w:t>orrections</w:t>
      </w:r>
      <w:r>
        <w:t xml:space="preserve"> to the A</w:t>
      </w:r>
      <w:r w:rsidRPr="006673F8">
        <w:t>nalysis</w:t>
      </w:r>
    </w:p>
    <w:p w14:paraId="7C54E48D" w14:textId="33536EED" w:rsidR="001813BB" w:rsidRPr="00434513" w:rsidRDefault="001813BB" w:rsidP="001813BB">
      <w:pPr>
        <w:rPr>
          <w:i/>
        </w:rPr>
      </w:pPr>
      <w:r>
        <w:rPr>
          <w:i/>
        </w:rPr>
        <w:t xml:space="preserve">This section covers potential </w:t>
      </w:r>
      <w:r w:rsidR="00586E3A">
        <w:rPr>
          <w:i/>
        </w:rPr>
        <w:t xml:space="preserve">limitations to the analysis. </w:t>
      </w:r>
    </w:p>
    <w:p w14:paraId="6C9979EA" w14:textId="05E7440F" w:rsidR="00855D80" w:rsidRDefault="00855D80" w:rsidP="001813BB"/>
    <w:p w14:paraId="634CC3CD" w14:textId="6DF865E5" w:rsidR="003549D0" w:rsidRDefault="003549D0" w:rsidP="001813BB">
      <w:r>
        <w:rPr>
          <w:b/>
        </w:rPr>
        <w:t>Spillovers:</w:t>
      </w:r>
      <w:r w:rsidR="00141D05">
        <w:rPr>
          <w:b/>
        </w:rPr>
        <w:t xml:space="preserve"> </w:t>
      </w:r>
      <w:r w:rsidR="00141D05">
        <w:t xml:space="preserve">One major concern with the individual-level randomization that is the key to our identification is the possibility of spillovers. If effects of the transfer also effect people who in our control group, then our treatment estimates will be biased. This could happen through a number of channels: direct transfers, loans, increased demand for labor, etc. We believe this is not a major risk due to the results of Haushofer and Shapiro (2016), who showed no spillover effects in a very </w:t>
      </w:r>
      <w:r w:rsidR="00141D05">
        <w:lastRenderedPageBreak/>
        <w:t>similar setting.</w:t>
      </w:r>
      <w:r w:rsidR="008C1210">
        <w:t xml:space="preserve"> Additionally, we will </w:t>
      </w:r>
      <w:r w:rsidR="00541C0C">
        <w:t>ask about intra-village transfers</w:t>
      </w:r>
      <w:r w:rsidR="0062416A">
        <w:t xml:space="preserve"> and asset sales</w:t>
      </w:r>
      <w:r w:rsidR="00541C0C">
        <w:t xml:space="preserve"> on the follow-up survey in order to understand the magnitude of any spillovers. </w:t>
      </w:r>
    </w:p>
    <w:p w14:paraId="3ED26ABE" w14:textId="77777777" w:rsidR="003549D0" w:rsidRDefault="003549D0" w:rsidP="001813BB">
      <w:pPr>
        <w:rPr>
          <w:b/>
        </w:rPr>
      </w:pPr>
    </w:p>
    <w:p w14:paraId="2955C534" w14:textId="78D4E788" w:rsidR="003549D0" w:rsidRPr="00141D05" w:rsidRDefault="003549D0" w:rsidP="001813BB">
      <w:r>
        <w:rPr>
          <w:b/>
        </w:rPr>
        <w:t>External Validity:</w:t>
      </w:r>
      <w:r w:rsidR="00141D05">
        <w:rPr>
          <w:b/>
        </w:rPr>
        <w:t xml:space="preserve"> </w:t>
      </w:r>
      <w:r w:rsidR="00141D05">
        <w:t xml:space="preserve">This study looks at how a </w:t>
      </w:r>
      <w:r w:rsidR="008905EF">
        <w:t>UCT</w:t>
      </w:r>
      <w:r w:rsidR="00141D05">
        <w:t xml:space="preserve"> affects </w:t>
      </w:r>
      <w:r w:rsidR="00616E96">
        <w:t>spending patterns in the Iganga</w:t>
      </w:r>
      <w:r w:rsidR="00141D05">
        <w:t xml:space="preserve"> region of Uganda.</w:t>
      </w:r>
      <w:r w:rsidR="00616E96">
        <w:t xml:space="preserve"> </w:t>
      </w:r>
      <w:r w:rsidR="00141D05">
        <w:t xml:space="preserve"> </w:t>
      </w:r>
      <w:r w:rsidR="00982595">
        <w:t>S</w:t>
      </w:r>
      <w:r w:rsidR="00616E96">
        <w:t>pending reaction</w:t>
      </w:r>
      <w:r w:rsidR="00982595">
        <w:t>s</w:t>
      </w:r>
      <w:r w:rsidR="00616E96">
        <w:t xml:space="preserve"> to a cash transfer </w:t>
      </w:r>
      <w:r w:rsidR="00982595">
        <w:t xml:space="preserve">are </w:t>
      </w:r>
      <w:r w:rsidR="00616E96">
        <w:t>likely to be different in different contexts</w:t>
      </w:r>
      <w:r w:rsidR="001E5361">
        <w:t>,</w:t>
      </w:r>
      <w:r w:rsidR="00982595">
        <w:t xml:space="preserve"> however</w:t>
      </w:r>
      <w:r w:rsidR="00616E96">
        <w:t xml:space="preserve">, we view this as a contribution to the large literature on UCTs being done worldwide. The effects of </w:t>
      </w:r>
      <w:r w:rsidR="00B27450">
        <w:t xml:space="preserve">the </w:t>
      </w:r>
      <w:r w:rsidR="00616E96">
        <w:t>UCT on coffee farming would arguably</w:t>
      </w:r>
      <w:r w:rsidR="00B27450">
        <w:t xml:space="preserve"> be</w:t>
      </w:r>
      <w:r w:rsidR="00616E96">
        <w:t xml:space="preserve"> applicable to other coffee farmers in similar situations to those in Uganda. </w:t>
      </w:r>
      <w:r w:rsidR="00541C0C">
        <w:t xml:space="preserve">In order to gain more perspective on external validity, we collect </w:t>
      </w:r>
      <w:r w:rsidR="00297E7D">
        <w:t>data to compute the Progress out of Poverty (PPI) index.</w:t>
      </w:r>
      <w:r w:rsidR="00297E7D">
        <w:rPr>
          <w:rStyle w:val="FootnoteReference"/>
        </w:rPr>
        <w:footnoteReference w:id="12"/>
      </w:r>
      <w:r w:rsidR="00297E7D">
        <w:t xml:space="preserve"> PPI will allow us to calculate how the poverty level of our sample compares to that of households out of our sample, giving an indication as to where the results will generalize.</w:t>
      </w:r>
    </w:p>
    <w:p w14:paraId="76612A71" w14:textId="77777777" w:rsidR="003549D0" w:rsidRPr="003549D0" w:rsidRDefault="003549D0" w:rsidP="001813BB">
      <w:pPr>
        <w:rPr>
          <w:b/>
        </w:rPr>
      </w:pPr>
    </w:p>
    <w:p w14:paraId="6FA33A10" w14:textId="6D8037E6" w:rsidR="001813BB" w:rsidRDefault="00F7626A" w:rsidP="00827B71">
      <w:pPr>
        <w:jc w:val="both"/>
      </w:pPr>
      <w:r>
        <w:rPr>
          <w:b/>
        </w:rPr>
        <w:t xml:space="preserve">Attrition: </w:t>
      </w:r>
      <w:r>
        <w:t>A</w:t>
      </w:r>
      <w:r w:rsidR="001813BB">
        <w:t>s with any survey, it is likely that some households will not be able to be surveyed at endline, and will therefore drop out of the sample. Based on the similar Haushofer and Shapiro (2016) study, it is reasonable to expect attrition to be low and not correlated with treatment status. In this case, GiveDirectly will simply use the endline sample and assume that attrition is not biasing the results. In the unlikely case that attrition is large or correlated with treatment status, GiveDirect</w:t>
      </w:r>
      <w:r w:rsidR="006C2016">
        <w:t>ly will address this issue</w:t>
      </w:r>
      <w:r w:rsidR="001813BB">
        <w:t xml:space="preserve"> by constructing Lee bounds.</w:t>
      </w:r>
    </w:p>
    <w:p w14:paraId="53E6D921" w14:textId="283F0B50" w:rsidR="00F7626A" w:rsidRDefault="00F7626A" w:rsidP="00827B71">
      <w:pPr>
        <w:jc w:val="both"/>
      </w:pPr>
    </w:p>
    <w:p w14:paraId="15A1CDF6" w14:textId="414C5087" w:rsidR="00F7626A" w:rsidRDefault="009961E0" w:rsidP="00827B71">
      <w:pPr>
        <w:jc w:val="both"/>
      </w:pPr>
      <w:r>
        <w:t>GiveDirectly ha</w:t>
      </w:r>
      <w:r w:rsidR="00F7626A" w:rsidRPr="00847FEF">
        <w:t>s</w:t>
      </w:r>
      <w:r w:rsidR="00F7626A">
        <w:t xml:space="preserve"> </w:t>
      </w:r>
      <w:r w:rsidR="007151DE">
        <w:t>also</w:t>
      </w:r>
      <w:r w:rsidR="00586E3A">
        <w:t xml:space="preserve"> kept</w:t>
      </w:r>
      <w:r w:rsidR="00F7626A" w:rsidRPr="00847FEF">
        <w:t xml:space="preserve"> track of the number of households that refuse to speak with their Field Officers. </w:t>
      </w:r>
      <w:r w:rsidR="00586E3A">
        <w:t>Approximately</w:t>
      </w:r>
      <w:r w:rsidR="00F7626A" w:rsidRPr="00847FEF">
        <w:t xml:space="preserve"> </w:t>
      </w:r>
      <w:r>
        <w:t>8</w:t>
      </w:r>
      <w:r w:rsidR="00F7626A" w:rsidRPr="00847FEF">
        <w:t>% of households refuse</w:t>
      </w:r>
      <w:r w:rsidR="00586E3A">
        <w:t>d to participate in the initial</w:t>
      </w:r>
      <w:r w:rsidR="00F7626A" w:rsidRPr="00847FEF">
        <w:t xml:space="preserve"> census. </w:t>
      </w:r>
    </w:p>
    <w:p w14:paraId="63F7620F" w14:textId="7F580E6F" w:rsidR="001813BB" w:rsidRDefault="001813BB" w:rsidP="00827B71">
      <w:pPr>
        <w:jc w:val="both"/>
      </w:pPr>
    </w:p>
    <w:p w14:paraId="2479C92B" w14:textId="5E8B4674" w:rsidR="001813BB" w:rsidRDefault="00855D80" w:rsidP="00827B71">
      <w:pPr>
        <w:jc w:val="both"/>
      </w:pPr>
      <w:r w:rsidRPr="009D0518">
        <w:rPr>
          <w:b/>
        </w:rPr>
        <w:t>Non-response</w:t>
      </w:r>
      <w:r w:rsidR="009D0518">
        <w:rPr>
          <w:b/>
        </w:rPr>
        <w:t xml:space="preserve">: </w:t>
      </w:r>
      <w:r w:rsidR="001813BB">
        <w:t>A</w:t>
      </w:r>
      <w:r w:rsidR="009901AA">
        <w:t>n additional potential limitation</w:t>
      </w:r>
      <w:r w:rsidR="001813BB">
        <w:t xml:space="preserve"> is</w:t>
      </w:r>
      <w:r w:rsidR="009901AA">
        <w:t xml:space="preserve"> </w:t>
      </w:r>
      <w:r w:rsidR="001813BB">
        <w:t>respondent refus</w:t>
      </w:r>
      <w:r w:rsidR="009901AA">
        <w:t>al</w:t>
      </w:r>
      <w:r w:rsidR="001813BB">
        <w:t xml:space="preserve"> to answer certain questions, leaving a lower sample size for specific regressions. To avoid this problem, GiveDirectly will properly train enumerators to complete the entire survey, which includes asking respondents to give an educated guess even if they aren’t sure </w:t>
      </w:r>
      <w:r w:rsidR="00711C1F">
        <w:t xml:space="preserve">of </w:t>
      </w:r>
      <w:r w:rsidR="001813BB">
        <w:t xml:space="preserve">the answer to a question. </w:t>
      </w:r>
      <w:r w:rsidR="00FD4C03">
        <w:t>Assuming that this happens in a small number of cases,</w:t>
      </w:r>
      <w:r w:rsidR="001813BB">
        <w:t xml:space="preserve"> GiveDirectly will proceed with the analysis for households that answered all questions. If it happens for a large number of cases, GiveDirectly will present results with different </w:t>
      </w:r>
      <w:r w:rsidR="00851F7B">
        <w:t xml:space="preserve">number </w:t>
      </w:r>
      <w:r w:rsidR="001813BB">
        <w:t xml:space="preserve">of observations for each regression. </w:t>
      </w:r>
      <w:r w:rsidR="004F26D9">
        <w:t xml:space="preserve">In cases where there are scattered non-responses for minor components of primary outcomes (such as a specific consumption category), GiveDirectly may proceed with zero or mean imputation to allow the observation to be included in the regression. </w:t>
      </w:r>
      <w:r w:rsidR="0062416A">
        <w:t>Preliminary estimates suggest this will require imputation in onl</w:t>
      </w:r>
      <w:r w:rsidR="006121DB">
        <w:t>y around .018</w:t>
      </w:r>
      <w:r w:rsidR="0062416A">
        <w:t xml:space="preserve">% of </w:t>
      </w:r>
      <w:r w:rsidR="006121DB">
        <w:t xml:space="preserve">relevant </w:t>
      </w:r>
      <w:r w:rsidR="0062416A">
        <w:t xml:space="preserve">survey entries. </w:t>
      </w:r>
    </w:p>
    <w:p w14:paraId="5ACF54BB" w14:textId="77777777" w:rsidR="004F26D9" w:rsidRDefault="004F26D9" w:rsidP="00827B71">
      <w:pPr>
        <w:jc w:val="both"/>
      </w:pPr>
    </w:p>
    <w:p w14:paraId="013211A0" w14:textId="77777777" w:rsidR="006121DB" w:rsidRDefault="004F26D9" w:rsidP="00827B71">
      <w:pPr>
        <w:jc w:val="both"/>
      </w:pPr>
      <w:r w:rsidRPr="00E73B77">
        <w:rPr>
          <w:b/>
        </w:rPr>
        <w:t>Polygamous or Combined Households</w:t>
      </w:r>
      <w:r>
        <w:t>: In the study area, around 20% of households are polygamous, and these households have a number of different arrang</w:t>
      </w:r>
      <w:r w:rsidR="006121DB">
        <w:t>e</w:t>
      </w:r>
      <w:r>
        <w:t>ments. Frequently, different wives act as completely different households, with very little overlap among other wives. However, various forms of sharing arrangements exist</w:t>
      </w:r>
      <w:r w:rsidR="00FF11BF">
        <w:t>, in which the definition of a household can be murky</w:t>
      </w:r>
      <w:r>
        <w:t xml:space="preserve">. </w:t>
      </w:r>
      <w:r w:rsidR="00FF11BF">
        <w:t xml:space="preserve">GiveDirectly considers each wife to be a potential recipient of a cash transfer, and therefore in polygamous households each wife was randomized individually. At endline, it was found that some wives who were randomized individually were part of the same household that shared meals, land, or assets. In some cases, these polygamous households contained both treatment and control women. Therefore, we decided to drop households in cases where (a) the polygamous household contained both </w:t>
      </w:r>
      <w:r w:rsidR="0062416A">
        <w:t>a control respondent</w:t>
      </w:r>
      <w:r w:rsidR="00FF11BF">
        <w:t xml:space="preserve"> and </w:t>
      </w:r>
      <w:r w:rsidR="0062416A">
        <w:t>another wife who was assigned to treatment or received a transfer</w:t>
      </w:r>
      <w:r w:rsidR="0062416A">
        <w:rPr>
          <w:rStyle w:val="FootnoteReference"/>
        </w:rPr>
        <w:footnoteReference w:id="13"/>
      </w:r>
      <w:r w:rsidR="006121DB">
        <w:t xml:space="preserve"> and</w:t>
      </w:r>
      <w:r w:rsidR="0062416A">
        <w:t xml:space="preserve"> </w:t>
      </w:r>
      <w:r w:rsidR="00FF11BF">
        <w:t xml:space="preserve">(b) the </w:t>
      </w:r>
      <w:r w:rsidR="0062416A">
        <w:t>different wives shared agricultural land</w:t>
      </w:r>
      <w:r w:rsidR="0062416A">
        <w:rPr>
          <w:rStyle w:val="FootnoteReference"/>
        </w:rPr>
        <w:footnoteReference w:id="14"/>
      </w:r>
      <w:r w:rsidR="0062416A">
        <w:t xml:space="preserve"> or had common meals. Respondents who are </w:t>
      </w:r>
      <w:r w:rsidR="0062416A">
        <w:lastRenderedPageBreak/>
        <w:t xml:space="preserve">part of polygamous households that share agricultural land or have common meals are estimated to compose around 2.5% of our baseline sample. </w:t>
      </w:r>
    </w:p>
    <w:p w14:paraId="0114DFB2" w14:textId="77777777" w:rsidR="006121DB" w:rsidRDefault="006121DB" w:rsidP="00827B71">
      <w:pPr>
        <w:jc w:val="both"/>
      </w:pPr>
    </w:p>
    <w:p w14:paraId="760D5213" w14:textId="296F9227" w:rsidR="006121DB" w:rsidRDefault="006121DB" w:rsidP="00827B71">
      <w:pPr>
        <w:jc w:val="both"/>
      </w:pPr>
      <w:r>
        <w:t xml:space="preserve">Additionally, in some cases respondents that were separate in our baseline have ended up combining into a household with another respondent (or GiveDirectly recipient) due to marriage or other arrangements. In cases where this has happened and a control respondent is now sharing a household with someone who has been assigned treatment or received a transfer, we will drop all respondents in our sample that are part of this new household. </w:t>
      </w:r>
    </w:p>
    <w:p w14:paraId="18D6732D" w14:textId="77777777" w:rsidR="006121DB" w:rsidRDefault="006121DB" w:rsidP="00827B71">
      <w:pPr>
        <w:jc w:val="both"/>
      </w:pPr>
    </w:p>
    <w:p w14:paraId="1F6CA471" w14:textId="65F6B275" w:rsidR="004F26D9" w:rsidRDefault="0062416A" w:rsidP="00827B71">
      <w:pPr>
        <w:jc w:val="both"/>
      </w:pPr>
      <w:r>
        <w:t xml:space="preserve">Taking into account </w:t>
      </w:r>
      <w:r w:rsidR="006121DB">
        <w:t>all the above conditions</w:t>
      </w:r>
      <w:r>
        <w:t>, we es</w:t>
      </w:r>
      <w:r w:rsidR="006121DB">
        <w:t>timate needing to drop around 1.5</w:t>
      </w:r>
      <w:r>
        <w:t xml:space="preserve">% of the total sample. </w:t>
      </w:r>
    </w:p>
    <w:p w14:paraId="2E8F7DFC" w14:textId="77777777" w:rsidR="00C02FFD" w:rsidRDefault="00C02FFD" w:rsidP="00827B71">
      <w:pPr>
        <w:jc w:val="both"/>
      </w:pPr>
    </w:p>
    <w:p w14:paraId="74ED8697" w14:textId="75839BC6" w:rsidR="00DC67D3" w:rsidRDefault="00DC67D3" w:rsidP="00827B71">
      <w:pPr>
        <w:jc w:val="both"/>
      </w:pPr>
      <w:r w:rsidRPr="00FC7404">
        <w:rPr>
          <w:b/>
        </w:rPr>
        <w:t xml:space="preserve">Multiple </w:t>
      </w:r>
      <w:r w:rsidRPr="00DC67D3">
        <w:rPr>
          <w:b/>
        </w:rPr>
        <w:t>Inferences</w:t>
      </w:r>
      <w:r w:rsidR="00EB458F">
        <w:rPr>
          <w:b/>
        </w:rPr>
        <w:t>:</w:t>
      </w:r>
      <w:r>
        <w:t xml:space="preserve"> As in any cash transfer program, the program could have an effect on a wide variety of outcomes. This creates a difficulty in conducting inference, as standard p-values become unreliable. As i</w:t>
      </w:r>
      <w:r w:rsidR="004E5700">
        <w:t>s standard in the literature, GiveDirectly</w:t>
      </w:r>
      <w:r>
        <w:t xml:space="preserve"> take</w:t>
      </w:r>
      <w:r w:rsidR="004E5700">
        <w:t>s</w:t>
      </w:r>
      <w:r>
        <w:t xml:space="preserve"> two</w:t>
      </w:r>
      <w:r w:rsidR="00234DC7">
        <w:t xml:space="preserve"> approaches to adjusting </w:t>
      </w:r>
      <w:r w:rsidR="007D5B25">
        <w:t>their</w:t>
      </w:r>
      <w:r>
        <w:t xml:space="preserve"> analysis for multiple hypotheses. </w:t>
      </w:r>
    </w:p>
    <w:p w14:paraId="57513FFF" w14:textId="77777777" w:rsidR="00DC67D3" w:rsidRDefault="00DC67D3" w:rsidP="00827B71">
      <w:pPr>
        <w:jc w:val="both"/>
      </w:pPr>
    </w:p>
    <w:p w14:paraId="6310FE43" w14:textId="2D8C244B" w:rsidR="00DC67D3" w:rsidRDefault="004E5700" w:rsidP="00827B71">
      <w:pPr>
        <w:jc w:val="both"/>
      </w:pPr>
      <w:r>
        <w:t>First, GiveDirectly will</w:t>
      </w:r>
      <w:r w:rsidR="00DC67D3">
        <w:t xml:space="preserve"> </w:t>
      </w:r>
      <w:r w:rsidR="00102649">
        <w:t xml:space="preserve">decrease the amount of variables in the </w:t>
      </w:r>
      <w:r w:rsidR="00935C47">
        <w:t>outcome</w:t>
      </w:r>
      <w:r w:rsidR="00102649">
        <w:t xml:space="preserve"> space either by </w:t>
      </w:r>
      <w:r w:rsidR="00935C47">
        <w:t>aggregation</w:t>
      </w:r>
      <w:r w:rsidR="00102649">
        <w:t xml:space="preserve"> or </w:t>
      </w:r>
      <w:r w:rsidR="00DC67D3">
        <w:t>group</w:t>
      </w:r>
      <w:r w:rsidR="00102649">
        <w:t>ing</w:t>
      </w:r>
      <w:r w:rsidR="00DC67D3">
        <w:t xml:space="preserve"> similar outcomes into indices, following the procedure proposed by Anderson (2008), and also used in the original Give Directly RCT (Haushofer and Shapiro, 2016). </w:t>
      </w:r>
      <w:r>
        <w:t xml:space="preserve">GiveDirectly will </w:t>
      </w:r>
      <w:r w:rsidR="00DC67D3">
        <w:t xml:space="preserve">correct p-values across indices for the </w:t>
      </w:r>
      <w:r w:rsidR="009E6008">
        <w:t>False Detection Rate (FDR</w:t>
      </w:r>
      <w:r w:rsidR="00102649">
        <w:t>).</w:t>
      </w:r>
      <w:r w:rsidR="00DC67D3">
        <w:t xml:space="preserve"> </w:t>
      </w:r>
    </w:p>
    <w:p w14:paraId="1DF74E5F" w14:textId="77777777" w:rsidR="00DC67D3" w:rsidRDefault="00DC67D3" w:rsidP="00827B71">
      <w:pPr>
        <w:jc w:val="both"/>
      </w:pPr>
    </w:p>
    <w:p w14:paraId="482D987D" w14:textId="65E8CAF9" w:rsidR="00C02FFD" w:rsidRDefault="00DC67D3" w:rsidP="00827B71">
      <w:pPr>
        <w:jc w:val="both"/>
      </w:pPr>
      <w:r>
        <w:t xml:space="preserve">Although grouping into indices and adjusting P-values for the </w:t>
      </w:r>
      <w:r w:rsidR="003549D0">
        <w:t>FDR</w:t>
      </w:r>
      <w:r>
        <w:t xml:space="preserve"> follows best practices for multiple inferen</w:t>
      </w:r>
      <w:r w:rsidR="00FD4C03">
        <w:t xml:space="preserve">ce, </w:t>
      </w:r>
      <w:r w:rsidR="00935C47">
        <w:t xml:space="preserve">doing so </w:t>
      </w:r>
      <w:r>
        <w:t>c</w:t>
      </w:r>
      <w:r w:rsidR="00935C47">
        <w:t>ould</w:t>
      </w:r>
      <w:r w:rsidR="00102649">
        <w:t xml:space="preserve"> </w:t>
      </w:r>
      <w:r>
        <w:t xml:space="preserve">obstruct insights into </w:t>
      </w:r>
      <w:r w:rsidR="00FC1D85">
        <w:t>the exact mechanisms at play. GiveDirectly</w:t>
      </w:r>
      <w:r>
        <w:t xml:space="preserve"> will also present regressions for </w:t>
      </w:r>
      <w:r w:rsidR="00102649">
        <w:t xml:space="preserve">subcomponents of the variables that make up the outcome </w:t>
      </w:r>
      <w:r>
        <w:t xml:space="preserve">components, along with unadjusted p-values. While the statistical significance of these results will be more difficult to ascertain, they will provide clues to the exact mechanisms that result in movement in the primary indices. </w:t>
      </w:r>
    </w:p>
    <w:p w14:paraId="6F2749CA" w14:textId="77777777" w:rsidR="001813BB" w:rsidRDefault="001813BB" w:rsidP="001813BB">
      <w:pPr>
        <w:pStyle w:val="Heading1"/>
      </w:pPr>
      <w:r>
        <w:t>References</w:t>
      </w:r>
    </w:p>
    <w:p w14:paraId="5146BC0C" w14:textId="77777777" w:rsidR="001813BB" w:rsidRPr="008914F2" w:rsidRDefault="001813BB" w:rsidP="001813BB"/>
    <w:p w14:paraId="21A90755" w14:textId="77777777" w:rsidR="001813BB" w:rsidRDefault="001813BB" w:rsidP="001813BB">
      <w:pPr>
        <w:ind w:left="720" w:hanging="720"/>
        <w:rPr>
          <w:rFonts w:cs="Arial"/>
          <w:color w:val="222222"/>
          <w:shd w:val="clear" w:color="auto" w:fill="FFFFFF"/>
        </w:rPr>
      </w:pPr>
      <w:r w:rsidRPr="008914F2">
        <w:rPr>
          <w:rFonts w:cs="Arial"/>
          <w:color w:val="222222"/>
          <w:shd w:val="clear" w:color="auto" w:fill="FFFFFF"/>
        </w:rPr>
        <w:t>Anderson, Michael L. "Multiple inference and gender differences in the effects of early intervention: A reevaluation of the Abecedarian, Perry Preschool, and Early Training Projects."</w:t>
      </w:r>
      <w:r w:rsidRPr="008914F2">
        <w:rPr>
          <w:rStyle w:val="apple-converted-space"/>
          <w:rFonts w:cs="Arial"/>
          <w:color w:val="222222"/>
          <w:shd w:val="clear" w:color="auto" w:fill="FFFFFF"/>
        </w:rPr>
        <w:t> </w:t>
      </w:r>
      <w:r w:rsidRPr="008914F2">
        <w:rPr>
          <w:rFonts w:cs="Arial"/>
          <w:i/>
          <w:iCs/>
          <w:color w:val="222222"/>
          <w:shd w:val="clear" w:color="auto" w:fill="FFFFFF"/>
        </w:rPr>
        <w:t>Journal of the American statistical Association</w:t>
      </w:r>
      <w:r w:rsidRPr="008914F2">
        <w:rPr>
          <w:rStyle w:val="apple-converted-space"/>
          <w:rFonts w:cs="Arial"/>
          <w:color w:val="222222"/>
          <w:shd w:val="clear" w:color="auto" w:fill="FFFFFF"/>
        </w:rPr>
        <w:t> </w:t>
      </w:r>
      <w:r w:rsidRPr="008914F2">
        <w:rPr>
          <w:rFonts w:cs="Arial"/>
          <w:color w:val="222222"/>
          <w:shd w:val="clear" w:color="auto" w:fill="FFFFFF"/>
        </w:rPr>
        <w:t>(2012).</w:t>
      </w:r>
    </w:p>
    <w:p w14:paraId="65336968" w14:textId="77777777" w:rsidR="00102649" w:rsidRDefault="00102649" w:rsidP="001813BB">
      <w:pPr>
        <w:ind w:left="720" w:hanging="720"/>
        <w:rPr>
          <w:rFonts w:cs="Arial"/>
          <w:color w:val="222222"/>
          <w:shd w:val="clear" w:color="auto" w:fill="FFFFFF"/>
        </w:rPr>
      </w:pPr>
    </w:p>
    <w:p w14:paraId="65AA97B1" w14:textId="45158245" w:rsidR="00102649" w:rsidRDefault="00102649" w:rsidP="001813BB">
      <w:pPr>
        <w:ind w:left="720" w:hanging="720"/>
        <w:rPr>
          <w:rFonts w:cs="Arial"/>
          <w:color w:val="222222"/>
          <w:shd w:val="clear" w:color="auto" w:fill="FFFFFF"/>
        </w:rPr>
      </w:pPr>
      <w:r w:rsidRPr="00102649">
        <w:rPr>
          <w:rFonts w:cs="Arial"/>
          <w:color w:val="222222"/>
          <w:shd w:val="clear" w:color="auto" w:fill="FFFFFF"/>
        </w:rPr>
        <w:t>Evans, David K., and Anna Popova. "Cash transfers and temptation goods: a review of global evidence." World Bank Policy Research Working Paper 6886 (2014).</w:t>
      </w:r>
    </w:p>
    <w:p w14:paraId="3C52FAD4" w14:textId="77777777" w:rsidR="00102649" w:rsidRDefault="00102649" w:rsidP="001813BB">
      <w:pPr>
        <w:ind w:left="720" w:hanging="720"/>
        <w:rPr>
          <w:rFonts w:cs="Arial"/>
          <w:color w:val="222222"/>
          <w:shd w:val="clear" w:color="auto" w:fill="FFFFFF"/>
        </w:rPr>
      </w:pPr>
    </w:p>
    <w:p w14:paraId="3D2DEEA6" w14:textId="77777777" w:rsidR="00102649" w:rsidRDefault="00102649" w:rsidP="00102649">
      <w:pPr>
        <w:ind w:left="720" w:hanging="720"/>
        <w:rPr>
          <w:rFonts w:cs="Arial"/>
          <w:color w:val="222222"/>
          <w:shd w:val="clear" w:color="auto" w:fill="FFFFFF"/>
        </w:rPr>
      </w:pPr>
      <w:r w:rsidRPr="00E51C6E">
        <w:t>"GiveDirectly Jobs." GiveDirectly Jobs. GiveDirectly, n.d. Web. 12 July 2016. &lt;https://givedirectly.recruiterbox.com/&gt;.</w:t>
      </w:r>
    </w:p>
    <w:p w14:paraId="26292701" w14:textId="77777777" w:rsidR="00102649" w:rsidRDefault="00102649" w:rsidP="00102649">
      <w:pPr>
        <w:ind w:left="720" w:hanging="720"/>
        <w:rPr>
          <w:rFonts w:cs="Arial"/>
          <w:color w:val="222222"/>
          <w:shd w:val="clear" w:color="auto" w:fill="FFFFFF"/>
        </w:rPr>
      </w:pPr>
    </w:p>
    <w:p w14:paraId="13CA1CE5" w14:textId="77777777" w:rsidR="00102649" w:rsidRDefault="00102649" w:rsidP="00102649">
      <w:pPr>
        <w:ind w:left="720" w:hanging="720"/>
      </w:pPr>
      <w:r w:rsidRPr="00E51C6E">
        <w:t>"GiveDirectly: Operating Model." GiveDirectly. GiveDirectly, n.d. Web. 12 July 2016. &lt;https://www.givedirectly.org/operating-model&gt;.</w:t>
      </w:r>
    </w:p>
    <w:p w14:paraId="6C8AFBBA" w14:textId="3FB8247A" w:rsidR="001813BB" w:rsidRDefault="001813BB" w:rsidP="00102649">
      <w:pPr>
        <w:rPr>
          <w:rFonts w:cs="Arial"/>
          <w:color w:val="222222"/>
          <w:shd w:val="clear" w:color="auto" w:fill="FFFFFF"/>
        </w:rPr>
      </w:pPr>
    </w:p>
    <w:p w14:paraId="2AE80316" w14:textId="77777777" w:rsidR="001813BB" w:rsidRDefault="001813BB" w:rsidP="001813BB">
      <w:pPr>
        <w:ind w:left="720" w:hanging="720"/>
        <w:rPr>
          <w:rFonts w:cs="Arial"/>
          <w:color w:val="222222"/>
          <w:shd w:val="clear" w:color="auto" w:fill="FFFFFF"/>
        </w:rPr>
      </w:pPr>
      <w:r w:rsidRPr="008914F2">
        <w:rPr>
          <w:rFonts w:cs="Arial"/>
          <w:color w:val="222222"/>
          <w:shd w:val="clear" w:color="auto" w:fill="FFFFFF"/>
        </w:rPr>
        <w:t>Haushofer, Johannes, and Jeremy Shapiro. "Household response to income changes: Evidence from an unconditional cash transfer program in Kenya."</w:t>
      </w:r>
      <w:r w:rsidRPr="008914F2">
        <w:rPr>
          <w:rFonts w:cs="Arial"/>
          <w:i/>
          <w:iCs/>
          <w:color w:val="222222"/>
          <w:shd w:val="clear" w:color="auto" w:fill="FFFFFF"/>
        </w:rPr>
        <w:t>Massachusetts Institute of Technology</w:t>
      </w:r>
      <w:r w:rsidRPr="008914F2">
        <w:rPr>
          <w:rStyle w:val="apple-converted-space"/>
          <w:rFonts w:cs="Arial"/>
          <w:color w:val="222222"/>
          <w:shd w:val="clear" w:color="auto" w:fill="FFFFFF"/>
        </w:rPr>
        <w:t> </w:t>
      </w:r>
      <w:r w:rsidRPr="008914F2">
        <w:rPr>
          <w:rFonts w:cs="Arial"/>
          <w:color w:val="222222"/>
          <w:shd w:val="clear" w:color="auto" w:fill="FFFFFF"/>
        </w:rPr>
        <w:t>(2016).</w:t>
      </w:r>
    </w:p>
    <w:p w14:paraId="21CB27DA" w14:textId="77777777" w:rsidR="001813BB" w:rsidRDefault="001813BB" w:rsidP="001813BB">
      <w:pPr>
        <w:ind w:left="720" w:hanging="720"/>
        <w:rPr>
          <w:rFonts w:cs="Arial"/>
          <w:color w:val="222222"/>
          <w:shd w:val="clear" w:color="auto" w:fill="FFFFFF"/>
        </w:rPr>
      </w:pPr>
    </w:p>
    <w:p w14:paraId="4C90769C" w14:textId="77777777" w:rsidR="00102649" w:rsidRDefault="00102649" w:rsidP="001813BB">
      <w:pPr>
        <w:ind w:left="720" w:hanging="720"/>
      </w:pPr>
    </w:p>
    <w:p w14:paraId="67090889" w14:textId="77777777" w:rsidR="00204EF0" w:rsidRDefault="00204EF0" w:rsidP="00A30B5E">
      <w:pPr>
        <w:pStyle w:val="Heading1"/>
      </w:pPr>
    </w:p>
    <w:p w14:paraId="58026801" w14:textId="2D03BB9C" w:rsidR="00204EF0" w:rsidRDefault="00204EF0">
      <w:pPr>
        <w:rPr>
          <w:rFonts w:eastAsiaTheme="majorEastAsia" w:cstheme="majorBidi"/>
          <w:color w:val="2E74B5" w:themeColor="accent1" w:themeShade="BF"/>
          <w:sz w:val="32"/>
          <w:szCs w:val="32"/>
          <w:u w:val="single"/>
        </w:rPr>
      </w:pPr>
      <w:r>
        <w:br w:type="page"/>
      </w:r>
    </w:p>
    <w:p w14:paraId="0CEE1741" w14:textId="13484EC4" w:rsidR="00A30B5E" w:rsidRDefault="00A30B5E" w:rsidP="00A30B5E">
      <w:pPr>
        <w:pStyle w:val="Heading1"/>
      </w:pPr>
      <w:r>
        <w:lastRenderedPageBreak/>
        <w:t>Appendix A: Program TOC</w:t>
      </w:r>
    </w:p>
    <w:p w14:paraId="290AB13F" w14:textId="77777777" w:rsidR="00A30B5E" w:rsidRDefault="00A30B5E" w:rsidP="00A30B5E"/>
    <w:p w14:paraId="24FEBFBA" w14:textId="3055FE98" w:rsidR="00A30B5E" w:rsidRDefault="00DF54ED" w:rsidP="00827B71">
      <w:pPr>
        <w:jc w:val="both"/>
      </w:pPr>
      <w:r>
        <w:t>This TOC diagram was</w:t>
      </w:r>
      <w:r w:rsidR="00A30B5E">
        <w:t xml:space="preserve"> built from interviews conducted in the Iganga region of Uganda. All of the logical connections between an infusion of cash and outcomes were first mentioned by </w:t>
      </w:r>
      <w:r w:rsidR="0087083D">
        <w:t>households</w:t>
      </w:r>
      <w:r w:rsidR="00A30B5E">
        <w:t xml:space="preserve"> and then codified by the GiveDirectly team. The GiveDirectly team has included the outcomes that were most frequently mentioned during interviews and that had inherent logic.  </w:t>
      </w:r>
    </w:p>
    <w:p w14:paraId="5C0E155D" w14:textId="77777777" w:rsidR="00A30B5E" w:rsidRDefault="00A30B5E" w:rsidP="00A30B5E"/>
    <w:p w14:paraId="6EA4187A" w14:textId="2E7FF56B" w:rsidR="00407F29" w:rsidRDefault="00407F29" w:rsidP="00407F29">
      <w:pPr>
        <w:pStyle w:val="Caption"/>
        <w:keepNext/>
      </w:pPr>
      <w:r>
        <w:t xml:space="preserve">Figure </w:t>
      </w:r>
      <w:r w:rsidR="00F327FF">
        <w:fldChar w:fldCharType="begin"/>
      </w:r>
      <w:r w:rsidR="00F327FF">
        <w:instrText xml:space="preserve"> SEQ Figure \* ARABIC </w:instrText>
      </w:r>
      <w:r w:rsidR="00F327FF">
        <w:fldChar w:fldCharType="separate"/>
      </w:r>
      <w:r>
        <w:rPr>
          <w:noProof/>
        </w:rPr>
        <w:t>3</w:t>
      </w:r>
      <w:r w:rsidR="00F327FF">
        <w:rPr>
          <w:noProof/>
        </w:rPr>
        <w:fldChar w:fldCharType="end"/>
      </w:r>
      <w:r>
        <w:t>: Program TOC</w:t>
      </w:r>
    </w:p>
    <w:p w14:paraId="48D59D18" w14:textId="7D6B20F8" w:rsidR="00A30B5E" w:rsidRDefault="00A30B5E">
      <w:r>
        <w:rPr>
          <w:noProof/>
        </w:rPr>
        <w:drawing>
          <wp:inline distT="0" distB="0" distL="0" distR="0" wp14:anchorId="492B5E97" wp14:editId="618A2E26">
            <wp:extent cx="5874105" cy="4004814"/>
            <wp:effectExtent l="19050" t="19050" r="12700" b="152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1295" cy="4036987"/>
                    </a:xfrm>
                    <a:prstGeom prst="rect">
                      <a:avLst/>
                    </a:prstGeom>
                    <a:noFill/>
                    <a:ln w="25400">
                      <a:solidFill>
                        <a:schemeClr val="tx1"/>
                      </a:solidFill>
                    </a:ln>
                  </pic:spPr>
                </pic:pic>
              </a:graphicData>
            </a:graphic>
          </wp:inline>
        </w:drawing>
      </w:r>
    </w:p>
    <w:p w14:paraId="619D2FF8" w14:textId="4AF4C148" w:rsidR="00A30B5E" w:rsidRDefault="00A30B5E"/>
    <w:p w14:paraId="376107A3" w14:textId="77777777" w:rsidR="00A30B5E" w:rsidRDefault="00A30B5E" w:rsidP="00A30B5E"/>
    <w:p w14:paraId="2BB4B625" w14:textId="77777777" w:rsidR="00A30B5E" w:rsidRDefault="00A30B5E" w:rsidP="00A30B5E"/>
    <w:p w14:paraId="2D61DCBB" w14:textId="77777777" w:rsidR="00A30B5E" w:rsidRDefault="00A30B5E">
      <w:r>
        <w:br w:type="page"/>
      </w:r>
    </w:p>
    <w:p w14:paraId="75381958" w14:textId="35713288" w:rsidR="00A30B5E" w:rsidRDefault="00A30B5E" w:rsidP="00A30B5E">
      <w:pPr>
        <w:pStyle w:val="Heading1"/>
      </w:pPr>
      <w:r>
        <w:lastRenderedPageBreak/>
        <w:t>Appendix B: Coffee TOC</w:t>
      </w:r>
    </w:p>
    <w:p w14:paraId="2EA1F600" w14:textId="77777777" w:rsidR="00A30B5E" w:rsidRDefault="00A30B5E" w:rsidP="00A30B5E"/>
    <w:p w14:paraId="29E4A36D" w14:textId="7FD46451" w:rsidR="00DF54ED" w:rsidRDefault="00DF54ED" w:rsidP="00BB1B5C">
      <w:pPr>
        <w:jc w:val="both"/>
      </w:pPr>
      <w:r>
        <w:t xml:space="preserve">This TOC diagram was built from interviews conducted in the Iganga region of Uganda. All of the logical connections between an infusion of cash and outcomes were first mentioned by coffee farmers and then codified by the GiveDirectly team. The GiveDirectly team has included the outcomes that were most frequently mentioned during interviews and that had inherent logic.  </w:t>
      </w:r>
    </w:p>
    <w:p w14:paraId="78867753" w14:textId="77777777" w:rsidR="00A30B5E" w:rsidRDefault="00A30B5E" w:rsidP="00A30B5E"/>
    <w:p w14:paraId="47ED66CF" w14:textId="34DDB377" w:rsidR="00407F29" w:rsidRDefault="00407F29" w:rsidP="00407F29">
      <w:pPr>
        <w:pStyle w:val="Caption"/>
        <w:keepNext/>
      </w:pPr>
      <w:r>
        <w:t xml:space="preserve">Figure </w:t>
      </w:r>
      <w:r w:rsidR="00F327FF">
        <w:fldChar w:fldCharType="begin"/>
      </w:r>
      <w:r w:rsidR="00F327FF">
        <w:instrText xml:space="preserve"> SEQ Figure \* ARABIC </w:instrText>
      </w:r>
      <w:r w:rsidR="00F327FF">
        <w:fldChar w:fldCharType="separate"/>
      </w:r>
      <w:r>
        <w:rPr>
          <w:noProof/>
        </w:rPr>
        <w:t>4</w:t>
      </w:r>
      <w:r w:rsidR="00F327FF">
        <w:rPr>
          <w:noProof/>
        </w:rPr>
        <w:fldChar w:fldCharType="end"/>
      </w:r>
      <w:r>
        <w:t>: Coffee TOC</w:t>
      </w:r>
    </w:p>
    <w:p w14:paraId="060D3F30" w14:textId="39D71C9B" w:rsidR="001813BB" w:rsidRDefault="001E7916" w:rsidP="001813BB">
      <w:r>
        <w:rPr>
          <w:noProof/>
        </w:rPr>
        <w:drawing>
          <wp:inline distT="0" distB="0" distL="0" distR="0" wp14:anchorId="72BF093D" wp14:editId="03CA5217">
            <wp:extent cx="6013437" cy="4505436"/>
            <wp:effectExtent l="19050" t="19050" r="2603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27607" cy="4516053"/>
                    </a:xfrm>
                    <a:prstGeom prst="rect">
                      <a:avLst/>
                    </a:prstGeom>
                    <a:noFill/>
                    <a:ln w="25400">
                      <a:solidFill>
                        <a:schemeClr val="tx1"/>
                      </a:solidFill>
                    </a:ln>
                  </pic:spPr>
                </pic:pic>
              </a:graphicData>
            </a:graphic>
          </wp:inline>
        </w:drawing>
      </w:r>
    </w:p>
    <w:p w14:paraId="0C714A1E" w14:textId="7FE51BA1" w:rsidR="00000CBC" w:rsidRDefault="00000CBC" w:rsidP="001813BB"/>
    <w:p w14:paraId="1361DAA4" w14:textId="315ED7E4" w:rsidR="00000CBC" w:rsidRDefault="00000CBC" w:rsidP="001813BB"/>
    <w:p w14:paraId="2FD89E47" w14:textId="77777777" w:rsidR="00000CBC" w:rsidRDefault="00000CBC" w:rsidP="00BB1B5C">
      <w:pPr>
        <w:jc w:val="both"/>
      </w:pPr>
      <w:r>
        <w:t xml:space="preserve">Below is an explanation of select parts of the coffee TOC diagram: </w:t>
      </w:r>
    </w:p>
    <w:p w14:paraId="243CE821" w14:textId="77777777" w:rsidR="00000CBC" w:rsidRDefault="00000CBC" w:rsidP="00BB1B5C">
      <w:pPr>
        <w:jc w:val="both"/>
      </w:pPr>
    </w:p>
    <w:p w14:paraId="4FA207C3" w14:textId="77777777" w:rsidR="00000CBC" w:rsidRDefault="00000CBC" w:rsidP="00D42FF2">
      <w:pPr>
        <w:pStyle w:val="ListParagraph"/>
        <w:numPr>
          <w:ilvl w:val="0"/>
          <w:numId w:val="7"/>
        </w:numPr>
        <w:jc w:val="both"/>
      </w:pPr>
      <w:r>
        <w:t xml:space="preserve">Farmers expressed a desire to purchase more land to grow coffee. For many farmers, they are constrained by their limited land holdings. </w:t>
      </w:r>
    </w:p>
    <w:p w14:paraId="1610B283" w14:textId="77777777" w:rsidR="00000CBC" w:rsidRDefault="00000CBC" w:rsidP="00D42FF2">
      <w:pPr>
        <w:pStyle w:val="ListParagraph"/>
        <w:numPr>
          <w:ilvl w:val="0"/>
          <w:numId w:val="7"/>
        </w:numPr>
        <w:jc w:val="both"/>
      </w:pPr>
      <w:r>
        <w:t xml:space="preserve">Because of the long growing time, landlords will generally disallow growing coffee on their land. As such, farmers are forced to buy land if they want to expand their coffee production. </w:t>
      </w:r>
    </w:p>
    <w:p w14:paraId="199D09EF" w14:textId="77777777" w:rsidR="00000CBC" w:rsidRDefault="00000CBC" w:rsidP="00D42FF2">
      <w:pPr>
        <w:pStyle w:val="ListParagraph"/>
        <w:numPr>
          <w:ilvl w:val="0"/>
          <w:numId w:val="7"/>
        </w:numPr>
        <w:jc w:val="both"/>
      </w:pPr>
      <w:r>
        <w:t xml:space="preserve">Stumping (cutting down the tree and allowing it to regrow – a form of rejuvenation) and pruning (cutting away unnecessary branches) </w:t>
      </w:r>
      <w:r w:rsidRPr="0043043F">
        <w:rPr>
          <w:b/>
        </w:rPr>
        <w:t>increase the size of the yield</w:t>
      </w:r>
      <w:r>
        <w:rPr>
          <w:b/>
        </w:rPr>
        <w:t xml:space="preserve"> and improve the quality of </w:t>
      </w:r>
      <w:r w:rsidRPr="0043043F">
        <w:rPr>
          <w:b/>
        </w:rPr>
        <w:t>coffee cherries.</w:t>
      </w:r>
      <w:r>
        <w:t xml:space="preserve"> Many farmers appear to understand the importance of these tasks, but they do not stump or prune out of a concern over an immediate loss in yields. </w:t>
      </w:r>
    </w:p>
    <w:p w14:paraId="3892CE19" w14:textId="15CA896F" w:rsidR="00000CBC" w:rsidRDefault="007D5B25" w:rsidP="00D42FF2">
      <w:pPr>
        <w:pStyle w:val="ListParagraph"/>
        <w:numPr>
          <w:ilvl w:val="0"/>
          <w:numId w:val="7"/>
        </w:numPr>
        <w:jc w:val="both"/>
      </w:pPr>
      <w:r>
        <w:lastRenderedPageBreak/>
        <w:t>From the</w:t>
      </w:r>
      <w:r w:rsidR="003E7088">
        <w:t xml:space="preserve"> interviews, GiveDirectly</w:t>
      </w:r>
      <w:r w:rsidR="00000CBC">
        <w:t xml:space="preserve"> found that coffee farmers in Iganga process their coffee in one of three ways: </w:t>
      </w:r>
    </w:p>
    <w:p w14:paraId="72F9585D" w14:textId="4CE4003C" w:rsidR="00000CBC" w:rsidRDefault="00000CBC" w:rsidP="00D42FF2">
      <w:pPr>
        <w:pStyle w:val="ListParagraph"/>
        <w:numPr>
          <w:ilvl w:val="1"/>
          <w:numId w:val="7"/>
        </w:numPr>
        <w:jc w:val="both"/>
      </w:pPr>
      <w:r>
        <w:t>The farmer picks the coffee and then promptly sells</w:t>
      </w:r>
      <w:r w:rsidR="00CD6125">
        <w:t xml:space="preserve"> it (wet) to buyers that come</w:t>
      </w:r>
      <w:r>
        <w:t xml:space="preserve"> directly to their home. This requires the least amount of work and produces the lowest priced cherries. </w:t>
      </w:r>
      <w:r w:rsidR="003E7088">
        <w:t xml:space="preserve">GiveDirectly calls this Tier One. </w:t>
      </w:r>
    </w:p>
    <w:p w14:paraId="62BFEC55" w14:textId="1DBACC1D" w:rsidR="00000CBC" w:rsidRDefault="00000CBC" w:rsidP="00D42FF2">
      <w:pPr>
        <w:pStyle w:val="ListParagraph"/>
        <w:numPr>
          <w:ilvl w:val="1"/>
          <w:numId w:val="7"/>
        </w:numPr>
        <w:jc w:val="both"/>
      </w:pPr>
      <w:r>
        <w:t>The farmer picks the coffee and dries it and then sells it to buyers that come directly to their home. This requires slightly more work than Tier One (approx. one extra week) and produces cherries that comm</w:t>
      </w:r>
      <w:r w:rsidR="003E7088">
        <w:t>and the second highest price. GiveDirectly</w:t>
      </w:r>
      <w:r>
        <w:t xml:space="preserve"> call</w:t>
      </w:r>
      <w:r w:rsidR="003E7088">
        <w:t>s</w:t>
      </w:r>
      <w:r>
        <w:t xml:space="preserve"> this Tier Two.</w:t>
      </w:r>
    </w:p>
    <w:p w14:paraId="77DA5F27" w14:textId="5CAFB6B2" w:rsidR="00000CBC" w:rsidRDefault="00000CBC" w:rsidP="00D42FF2">
      <w:pPr>
        <w:pStyle w:val="ListParagraph"/>
        <w:numPr>
          <w:ilvl w:val="1"/>
          <w:numId w:val="7"/>
        </w:numPr>
        <w:jc w:val="both"/>
      </w:pPr>
      <w:r>
        <w:t xml:space="preserve">The farmer picks the coffee and dries it and then takes it to a mill to remove the fruit from the bean. This requires the most work (of the common processing techniques found in Iganga) and these cherries command the highest prices. </w:t>
      </w:r>
      <w:r w:rsidR="003E7088">
        <w:t xml:space="preserve">GiveDirectly calls this Tier Three. </w:t>
      </w:r>
    </w:p>
    <w:p w14:paraId="3A3AB149" w14:textId="796C455F" w:rsidR="009961E0" w:rsidRDefault="00000CBC" w:rsidP="00BB1B5C">
      <w:pPr>
        <w:jc w:val="both"/>
      </w:pPr>
      <w:r>
        <w:t>Farmers that sell at the lower tiers (i.e. at Tier One or Two), will often claim that they need money immediately and are thus forced to speed up their processing of cherries. They argue that if they had enough money to meet their basic needs then they could spend more time processing their cherries and thus increase their revenue</w:t>
      </w:r>
      <w:r w:rsidR="009961E0">
        <w:t>.</w:t>
      </w:r>
    </w:p>
    <w:p w14:paraId="1ACFE418" w14:textId="77777777" w:rsidR="00036039" w:rsidRDefault="00036039" w:rsidP="00036039">
      <w:pPr>
        <w:pStyle w:val="Heading1"/>
      </w:pPr>
      <w:r>
        <w:t>Appendix C: The cost of the intervention</w:t>
      </w:r>
    </w:p>
    <w:p w14:paraId="346E3BB2" w14:textId="77777777" w:rsidR="00036039" w:rsidRDefault="00036039" w:rsidP="00036039">
      <w:pPr>
        <w:jc w:val="both"/>
      </w:pPr>
    </w:p>
    <w:p w14:paraId="04F9D989" w14:textId="77777777" w:rsidR="00EE592E" w:rsidRPr="00EE592E" w:rsidRDefault="00EE592E" w:rsidP="00EE592E">
      <w:pPr>
        <w:rPr>
          <w:rFonts w:eastAsia="Times New Roman" w:cs="Times New Roman"/>
          <w:lang w:val="en-GB" w:eastAsia="en-GB"/>
        </w:rPr>
      </w:pPr>
      <w:r w:rsidRPr="00EE592E">
        <w:rPr>
          <w:rFonts w:eastAsia="Times New Roman" w:cs="Arial"/>
          <w:color w:val="000000"/>
          <w:lang w:val="en-GB" w:eastAsia="en-GB"/>
        </w:rPr>
        <w:t>The impact evaluation will also include information about cost-effectiveness, to contextualize the results in terms of the cost of achieving them. Below, GiveDirectly provide an estimate for the total cost of the intervention. At the end of the program, GiveDirectly will provide details of the actual incurred costs.</w:t>
      </w:r>
    </w:p>
    <w:p w14:paraId="54A6CF35" w14:textId="77777777" w:rsidR="00EE592E" w:rsidRDefault="00EE592E" w:rsidP="00EE592E">
      <w:pPr>
        <w:rPr>
          <w:rFonts w:eastAsia="Times New Roman" w:cs="Arial"/>
          <w:b/>
          <w:bCs/>
          <w:i/>
          <w:iCs/>
          <w:color w:val="000000"/>
          <w:lang w:val="en-GB" w:eastAsia="en-GB"/>
        </w:rPr>
      </w:pPr>
    </w:p>
    <w:p w14:paraId="001B0AEE" w14:textId="1828147D" w:rsidR="00EE592E" w:rsidRPr="00EE592E" w:rsidRDefault="00EE592E" w:rsidP="00EE592E">
      <w:pPr>
        <w:rPr>
          <w:rFonts w:eastAsia="Times New Roman" w:cs="Times New Roman"/>
          <w:lang w:val="en-GB" w:eastAsia="en-GB"/>
        </w:rPr>
      </w:pPr>
      <w:r w:rsidRPr="00EE592E">
        <w:rPr>
          <w:rFonts w:eastAsia="Times New Roman" w:cs="Arial"/>
          <w:b/>
          <w:bCs/>
          <w:i/>
          <w:iCs/>
          <w:color w:val="000000"/>
          <w:lang w:val="en-GB" w:eastAsia="en-GB"/>
        </w:rPr>
        <w:t>The program budget</w:t>
      </w:r>
    </w:p>
    <w:p w14:paraId="00F838FE" w14:textId="77777777" w:rsidR="00EE592E" w:rsidRDefault="00EE592E" w:rsidP="00EE592E">
      <w:pPr>
        <w:rPr>
          <w:rFonts w:eastAsia="Times New Roman" w:cs="Arial"/>
          <w:color w:val="000000"/>
          <w:lang w:val="en-GB" w:eastAsia="en-GB"/>
        </w:rPr>
      </w:pPr>
    </w:p>
    <w:p w14:paraId="287EFBBE" w14:textId="3E849FEE" w:rsidR="00EE592E" w:rsidRPr="00EE592E" w:rsidRDefault="00EE592E" w:rsidP="00EE592E">
      <w:pPr>
        <w:rPr>
          <w:rFonts w:eastAsia="Times New Roman" w:cs="Times New Roman"/>
          <w:lang w:val="en-GB" w:eastAsia="en-GB"/>
        </w:rPr>
      </w:pPr>
      <w:r w:rsidRPr="00EE592E">
        <w:rPr>
          <w:rFonts w:eastAsia="Times New Roman" w:cs="Arial"/>
          <w:color w:val="000000"/>
          <w:lang w:val="en-GB" w:eastAsia="en-GB"/>
        </w:rPr>
        <w:t>Below, we attach a breakdown of the expected costs of this intervention. These estimates cover both costs incurred directly by the campaign and the share of GiveDirectly organization-wide operational costs attributed to this program. We will also seek to distinguish: a) the costs that result from the intervention itself, b) the costs that are borne solely of the requirements of conducting a randomized controlled trial, and c) the anticipated efficiency if this program were to extend beyond a one-off intervention.</w:t>
      </w:r>
    </w:p>
    <w:p w14:paraId="7224CF40" w14:textId="77777777" w:rsidR="00EE592E" w:rsidRDefault="00EE592E" w:rsidP="00EE592E">
      <w:pPr>
        <w:rPr>
          <w:rFonts w:eastAsia="Times New Roman" w:cs="Arial"/>
          <w:color w:val="000000"/>
          <w:lang w:val="en-GB" w:eastAsia="en-GB"/>
        </w:rPr>
      </w:pPr>
    </w:p>
    <w:p w14:paraId="2A8C731B" w14:textId="4A386FC6" w:rsidR="00EE592E" w:rsidRPr="00EE592E" w:rsidRDefault="00EE592E" w:rsidP="00EE592E">
      <w:pPr>
        <w:rPr>
          <w:rFonts w:eastAsia="Times New Roman" w:cs="Times New Roman"/>
          <w:lang w:val="en-GB" w:eastAsia="en-GB"/>
        </w:rPr>
      </w:pPr>
      <w:r w:rsidRPr="00EE592E">
        <w:rPr>
          <w:rFonts w:eastAsia="Times New Roman" w:cs="Arial"/>
          <w:color w:val="000000"/>
          <w:lang w:val="en-GB" w:eastAsia="en-GB"/>
        </w:rPr>
        <w:t xml:space="preserve">A breakdown of the expected costs incurred directly by the campaign, alongside the rationale, are below in </w:t>
      </w:r>
      <w:r w:rsidRPr="00EE592E">
        <w:rPr>
          <w:rFonts w:eastAsia="Times New Roman" w:cs="Arial"/>
          <w:i/>
          <w:iCs/>
          <w:color w:val="000000"/>
          <w:lang w:val="en-GB" w:eastAsia="en-GB"/>
        </w:rPr>
        <w:t>figure 5</w:t>
      </w:r>
      <w:r w:rsidRPr="00EE592E">
        <w:rPr>
          <w:rFonts w:eastAsia="Times New Roman" w:cs="Arial"/>
          <w:color w:val="000000"/>
          <w:lang w:val="en-GB" w:eastAsia="en-GB"/>
        </w:rPr>
        <w:t xml:space="preserve">. The allocation of the overall GiveDirectly organization-wide costs attributed to the campaign are shown in </w:t>
      </w:r>
      <w:r w:rsidRPr="00EE592E">
        <w:rPr>
          <w:rFonts w:eastAsia="Times New Roman" w:cs="Arial"/>
          <w:i/>
          <w:iCs/>
          <w:color w:val="000000"/>
          <w:lang w:val="en-GB" w:eastAsia="en-GB"/>
        </w:rPr>
        <w:t>figure 6</w:t>
      </w:r>
      <w:r w:rsidRPr="00EE592E">
        <w:rPr>
          <w:rFonts w:eastAsia="Times New Roman" w:cs="Arial"/>
          <w:color w:val="000000"/>
          <w:lang w:val="en-GB" w:eastAsia="en-GB"/>
        </w:rPr>
        <w:t>, alongside a description of each cost.</w:t>
      </w:r>
    </w:p>
    <w:p w14:paraId="555E228A" w14:textId="77777777" w:rsidR="00EE592E" w:rsidRDefault="00EE592E" w:rsidP="00EE592E">
      <w:pPr>
        <w:rPr>
          <w:rFonts w:eastAsia="Times New Roman" w:cs="Arial"/>
          <w:i/>
          <w:iCs/>
          <w:color w:val="000000"/>
          <w:lang w:val="en-GB" w:eastAsia="en-GB"/>
        </w:rPr>
      </w:pPr>
    </w:p>
    <w:p w14:paraId="7CC141E4" w14:textId="77777777" w:rsidR="007F4B3F" w:rsidRDefault="007F4B3F" w:rsidP="00EE592E">
      <w:pPr>
        <w:rPr>
          <w:rFonts w:eastAsia="Times New Roman" w:cs="Arial"/>
          <w:i/>
          <w:iCs/>
          <w:color w:val="000000"/>
          <w:lang w:val="en-GB" w:eastAsia="en-GB"/>
        </w:rPr>
      </w:pPr>
    </w:p>
    <w:p w14:paraId="1D09B946" w14:textId="77777777" w:rsidR="007F4B3F" w:rsidRDefault="007F4B3F" w:rsidP="00EE592E">
      <w:pPr>
        <w:rPr>
          <w:rFonts w:eastAsia="Times New Roman" w:cs="Arial"/>
          <w:i/>
          <w:iCs/>
          <w:color w:val="000000"/>
          <w:lang w:val="en-GB" w:eastAsia="en-GB"/>
        </w:rPr>
      </w:pPr>
    </w:p>
    <w:p w14:paraId="19156635" w14:textId="77777777" w:rsidR="007F4B3F" w:rsidRDefault="007F4B3F" w:rsidP="00EE592E">
      <w:pPr>
        <w:rPr>
          <w:rFonts w:eastAsia="Times New Roman" w:cs="Arial"/>
          <w:i/>
          <w:iCs/>
          <w:color w:val="000000"/>
          <w:lang w:val="en-GB" w:eastAsia="en-GB"/>
        </w:rPr>
      </w:pPr>
    </w:p>
    <w:p w14:paraId="64FEC66F" w14:textId="77777777" w:rsidR="007F4B3F" w:rsidRDefault="007F4B3F" w:rsidP="00EE592E">
      <w:pPr>
        <w:rPr>
          <w:rFonts w:eastAsia="Times New Roman" w:cs="Arial"/>
          <w:i/>
          <w:iCs/>
          <w:color w:val="000000"/>
          <w:lang w:val="en-GB" w:eastAsia="en-GB"/>
        </w:rPr>
      </w:pPr>
    </w:p>
    <w:p w14:paraId="1D0F7F98" w14:textId="77777777" w:rsidR="007F4B3F" w:rsidRDefault="007F4B3F" w:rsidP="00EE592E">
      <w:pPr>
        <w:rPr>
          <w:rFonts w:eastAsia="Times New Roman" w:cs="Arial"/>
          <w:i/>
          <w:iCs/>
          <w:color w:val="000000"/>
          <w:lang w:val="en-GB" w:eastAsia="en-GB"/>
        </w:rPr>
      </w:pPr>
    </w:p>
    <w:p w14:paraId="769EB9F0" w14:textId="77777777" w:rsidR="007F4B3F" w:rsidRDefault="007F4B3F" w:rsidP="00EE592E">
      <w:pPr>
        <w:rPr>
          <w:rFonts w:eastAsia="Times New Roman" w:cs="Arial"/>
          <w:i/>
          <w:iCs/>
          <w:color w:val="000000"/>
          <w:lang w:val="en-GB" w:eastAsia="en-GB"/>
        </w:rPr>
      </w:pPr>
    </w:p>
    <w:p w14:paraId="42503695" w14:textId="77777777" w:rsidR="007F4B3F" w:rsidRDefault="007F4B3F" w:rsidP="00EE592E">
      <w:pPr>
        <w:rPr>
          <w:rFonts w:eastAsia="Times New Roman" w:cs="Arial"/>
          <w:i/>
          <w:iCs/>
          <w:color w:val="000000"/>
          <w:lang w:val="en-GB" w:eastAsia="en-GB"/>
        </w:rPr>
      </w:pPr>
    </w:p>
    <w:p w14:paraId="1A4AB87D" w14:textId="77777777" w:rsidR="007F4B3F" w:rsidRDefault="007F4B3F" w:rsidP="00EE592E">
      <w:pPr>
        <w:rPr>
          <w:rFonts w:eastAsia="Times New Roman" w:cs="Arial"/>
          <w:i/>
          <w:iCs/>
          <w:color w:val="000000"/>
          <w:lang w:val="en-GB" w:eastAsia="en-GB"/>
        </w:rPr>
      </w:pPr>
    </w:p>
    <w:p w14:paraId="3F945C64" w14:textId="77777777" w:rsidR="007F4B3F" w:rsidRDefault="007F4B3F" w:rsidP="00EE592E">
      <w:pPr>
        <w:rPr>
          <w:rFonts w:eastAsia="Times New Roman" w:cs="Arial"/>
          <w:i/>
          <w:iCs/>
          <w:color w:val="000000"/>
          <w:lang w:val="en-GB" w:eastAsia="en-GB"/>
        </w:rPr>
      </w:pPr>
    </w:p>
    <w:p w14:paraId="39A93F05" w14:textId="77777777" w:rsidR="007F4B3F" w:rsidRDefault="007F4B3F" w:rsidP="00EE592E">
      <w:pPr>
        <w:rPr>
          <w:rFonts w:eastAsia="Times New Roman" w:cs="Arial"/>
          <w:i/>
          <w:iCs/>
          <w:color w:val="000000"/>
          <w:lang w:val="en-GB" w:eastAsia="en-GB"/>
        </w:rPr>
      </w:pPr>
    </w:p>
    <w:p w14:paraId="2CE382BA" w14:textId="77777777" w:rsidR="007F4B3F" w:rsidRDefault="007F4B3F" w:rsidP="00EE592E">
      <w:pPr>
        <w:rPr>
          <w:rFonts w:eastAsia="Times New Roman" w:cs="Arial"/>
          <w:i/>
          <w:iCs/>
          <w:color w:val="000000"/>
          <w:lang w:val="en-GB" w:eastAsia="en-GB"/>
        </w:rPr>
      </w:pPr>
    </w:p>
    <w:p w14:paraId="692894D1" w14:textId="32037A2B" w:rsidR="00EE592E" w:rsidRPr="00EE592E" w:rsidRDefault="00EE592E" w:rsidP="00EE592E">
      <w:pPr>
        <w:rPr>
          <w:rFonts w:eastAsia="Times New Roman" w:cs="Times New Roman"/>
          <w:sz w:val="20"/>
          <w:szCs w:val="20"/>
          <w:lang w:val="en-GB" w:eastAsia="en-GB"/>
        </w:rPr>
      </w:pPr>
      <w:r w:rsidRPr="00EE592E">
        <w:rPr>
          <w:rFonts w:eastAsia="Times New Roman" w:cs="Arial"/>
          <w:i/>
          <w:iCs/>
          <w:color w:val="000000"/>
          <w:sz w:val="20"/>
          <w:szCs w:val="20"/>
          <w:lang w:val="en-GB" w:eastAsia="en-GB"/>
        </w:rPr>
        <w:lastRenderedPageBreak/>
        <w:t>Figure 5: Iganga program budget</w:t>
      </w:r>
    </w:p>
    <w:p w14:paraId="54E2171A" w14:textId="77777777" w:rsidR="00EE592E" w:rsidRPr="00EE592E" w:rsidRDefault="00EE592E" w:rsidP="00EE592E">
      <w:pPr>
        <w:rPr>
          <w:rFonts w:eastAsia="Times New Roman" w:cs="Times New Roman"/>
          <w:lang w:val="en-GB" w:eastAsia="en-GB"/>
        </w:rPr>
      </w:pPr>
    </w:p>
    <w:p w14:paraId="009D1FFC" w14:textId="7BDD1103" w:rsidR="00EE592E" w:rsidRPr="00EE592E" w:rsidRDefault="00B524A5" w:rsidP="00EE592E">
      <w:pPr>
        <w:rPr>
          <w:rFonts w:eastAsia="Times New Roman" w:cs="Times New Roman"/>
          <w:lang w:val="en-GB" w:eastAsia="en-GB"/>
        </w:rPr>
      </w:pPr>
      <w:r>
        <w:rPr>
          <w:noProof/>
        </w:rPr>
        <w:drawing>
          <wp:inline distT="0" distB="0" distL="0" distR="0" wp14:anchorId="6AE29919" wp14:editId="3DF94F99">
            <wp:extent cx="5943600" cy="21736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173605"/>
                    </a:xfrm>
                    <a:prstGeom prst="rect">
                      <a:avLst/>
                    </a:prstGeom>
                  </pic:spPr>
                </pic:pic>
              </a:graphicData>
            </a:graphic>
          </wp:inline>
        </w:drawing>
      </w:r>
    </w:p>
    <w:p w14:paraId="600BD764" w14:textId="77777777" w:rsidR="00EE592E" w:rsidRDefault="00EE592E" w:rsidP="00EE592E">
      <w:pPr>
        <w:rPr>
          <w:rFonts w:eastAsia="Times New Roman" w:cs="Arial"/>
          <w:color w:val="000000"/>
          <w:lang w:val="en-GB" w:eastAsia="en-GB"/>
        </w:rPr>
      </w:pPr>
    </w:p>
    <w:p w14:paraId="26E0AA5D" w14:textId="782B8129" w:rsidR="00EE592E" w:rsidRPr="00EE592E" w:rsidRDefault="00EE592E" w:rsidP="00EE592E">
      <w:pPr>
        <w:rPr>
          <w:rFonts w:eastAsia="Times New Roman" w:cs="Times New Roman"/>
          <w:lang w:val="en-GB" w:eastAsia="en-GB"/>
        </w:rPr>
      </w:pPr>
      <w:r w:rsidRPr="007F4B3F">
        <w:rPr>
          <w:rFonts w:eastAsia="Times New Roman" w:cs="Arial"/>
          <w:color w:val="000000"/>
          <w:lang w:val="en-GB" w:eastAsia="en-GB"/>
        </w:rPr>
        <w:t>GiveDirectly calculate efficiency as the percentage of the total program budget that is given to recipients in the form of transfers. This is calculated with the total transfer size as the numerator, and the total program budget as the denominator. In this case, an efficiency of 7</w:t>
      </w:r>
      <w:r w:rsidR="007F4B3F" w:rsidRPr="007F4B3F">
        <w:rPr>
          <w:rFonts w:eastAsia="Times New Roman" w:cs="Arial"/>
          <w:color w:val="000000"/>
          <w:lang w:val="en-GB" w:eastAsia="en-GB"/>
        </w:rPr>
        <w:t>7.9% means 77.9</w:t>
      </w:r>
      <w:r w:rsidRPr="007F4B3F">
        <w:rPr>
          <w:rFonts w:eastAsia="Times New Roman" w:cs="Arial"/>
          <w:color w:val="000000"/>
          <w:lang w:val="en-GB" w:eastAsia="en-GB"/>
        </w:rPr>
        <w:t xml:space="preserve"> cents of every donated dollar is delivered directly to a recipient in the form of a cash transfer.</w:t>
      </w:r>
    </w:p>
    <w:p w14:paraId="2007B0FA" w14:textId="77777777" w:rsidR="00EE592E" w:rsidRDefault="00EE592E" w:rsidP="00EE592E">
      <w:pPr>
        <w:rPr>
          <w:rFonts w:eastAsia="Times New Roman" w:cs="Arial"/>
          <w:i/>
          <w:iCs/>
          <w:color w:val="000000"/>
          <w:lang w:val="en-GB" w:eastAsia="en-GB"/>
        </w:rPr>
      </w:pPr>
    </w:p>
    <w:p w14:paraId="13F484E3" w14:textId="75823A68" w:rsidR="00EE592E" w:rsidRPr="00EE592E" w:rsidRDefault="00EE592E" w:rsidP="00EE592E">
      <w:pPr>
        <w:rPr>
          <w:rFonts w:eastAsia="Times New Roman" w:cs="Times New Roman"/>
          <w:sz w:val="20"/>
          <w:szCs w:val="20"/>
          <w:lang w:val="en-GB" w:eastAsia="en-GB"/>
        </w:rPr>
      </w:pPr>
      <w:r w:rsidRPr="00EE592E">
        <w:rPr>
          <w:rFonts w:eastAsia="Times New Roman" w:cs="Arial"/>
          <w:i/>
          <w:iCs/>
          <w:color w:val="000000"/>
          <w:sz w:val="20"/>
          <w:szCs w:val="20"/>
          <w:lang w:val="en-GB" w:eastAsia="en-GB"/>
        </w:rPr>
        <w:t>Figure 6: Iganga program’s allocation of overall organization-wide GiveDirectly budget</w:t>
      </w:r>
    </w:p>
    <w:p w14:paraId="3C742AFA" w14:textId="77777777" w:rsidR="00EE592E" w:rsidRDefault="00EE592E" w:rsidP="00EE592E">
      <w:pPr>
        <w:rPr>
          <w:rFonts w:eastAsia="Times New Roman" w:cs="Times New Roman"/>
          <w:lang w:val="en-GB" w:eastAsia="en-GB"/>
        </w:rPr>
      </w:pPr>
    </w:p>
    <w:p w14:paraId="269AA1F1" w14:textId="5BDA6F50" w:rsidR="00EE592E" w:rsidRPr="00EE592E" w:rsidRDefault="00B524A5" w:rsidP="00EE592E">
      <w:pPr>
        <w:rPr>
          <w:rFonts w:eastAsia="Times New Roman" w:cs="Times New Roman"/>
          <w:lang w:val="en-GB" w:eastAsia="en-GB"/>
        </w:rPr>
      </w:pPr>
      <w:r>
        <w:rPr>
          <w:noProof/>
        </w:rPr>
        <w:drawing>
          <wp:inline distT="0" distB="0" distL="0" distR="0" wp14:anchorId="65ED3570" wp14:editId="17F1041E">
            <wp:extent cx="5943600" cy="10356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035685"/>
                    </a:xfrm>
                    <a:prstGeom prst="rect">
                      <a:avLst/>
                    </a:prstGeom>
                  </pic:spPr>
                </pic:pic>
              </a:graphicData>
            </a:graphic>
          </wp:inline>
        </w:drawing>
      </w:r>
    </w:p>
    <w:p w14:paraId="3266C5ED" w14:textId="77777777" w:rsidR="00EE592E" w:rsidRDefault="00EE592E" w:rsidP="00EE592E">
      <w:pPr>
        <w:rPr>
          <w:rFonts w:eastAsia="Times New Roman" w:cs="Arial"/>
          <w:color w:val="000000"/>
          <w:lang w:val="en-GB" w:eastAsia="en-GB"/>
        </w:rPr>
      </w:pPr>
    </w:p>
    <w:p w14:paraId="15434F7E" w14:textId="539C68A1" w:rsidR="00EE592E" w:rsidRPr="00EE592E" w:rsidRDefault="00EE592E" w:rsidP="00EE592E">
      <w:pPr>
        <w:rPr>
          <w:rFonts w:eastAsia="Times New Roman" w:cs="Times New Roman"/>
          <w:lang w:val="en-GB" w:eastAsia="en-GB"/>
        </w:rPr>
      </w:pPr>
      <w:r w:rsidRPr="00EE592E">
        <w:rPr>
          <w:rFonts w:eastAsia="Times New Roman" w:cs="Arial"/>
          <w:color w:val="000000"/>
          <w:lang w:val="en-GB" w:eastAsia="en-GB"/>
        </w:rPr>
        <w:t xml:space="preserve">Allocations at GiveDirectly are attributed following an </w:t>
      </w:r>
      <w:r w:rsidRPr="00EE592E">
        <w:rPr>
          <w:rFonts w:eastAsia="Times New Roman" w:cs="Arial"/>
          <w:i/>
          <w:iCs/>
          <w:color w:val="000000"/>
          <w:lang w:val="en-GB" w:eastAsia="en-GB"/>
        </w:rPr>
        <w:t>ex-transfers</w:t>
      </w:r>
      <w:r w:rsidRPr="00EE592E">
        <w:rPr>
          <w:rFonts w:eastAsia="Times New Roman" w:cs="Arial"/>
          <w:color w:val="000000"/>
          <w:lang w:val="en-GB" w:eastAsia="en-GB"/>
        </w:rPr>
        <w:t xml:space="preserve"> approach, assigned according to a campaign’s operational costs (total budget, less transfers and allocations) as a proportion of organisation-wide operational costs.</w:t>
      </w:r>
    </w:p>
    <w:p w14:paraId="524D41B1" w14:textId="77777777" w:rsidR="00EE592E" w:rsidRPr="00EE592E" w:rsidRDefault="00EE592E" w:rsidP="00EE592E">
      <w:pPr>
        <w:rPr>
          <w:rFonts w:eastAsia="Times New Roman" w:cs="Times New Roman"/>
          <w:lang w:val="en-GB" w:eastAsia="en-GB"/>
        </w:rPr>
      </w:pPr>
    </w:p>
    <w:p w14:paraId="78DE0C3C" w14:textId="77777777" w:rsidR="00EE592E" w:rsidRPr="00EE592E" w:rsidRDefault="00EE592E" w:rsidP="00EE592E">
      <w:pPr>
        <w:rPr>
          <w:rFonts w:eastAsia="Times New Roman" w:cs="Times New Roman"/>
          <w:lang w:val="en-GB" w:eastAsia="en-GB"/>
        </w:rPr>
      </w:pPr>
      <w:r w:rsidRPr="00EE592E">
        <w:rPr>
          <w:rFonts w:eastAsia="Times New Roman" w:cs="Arial"/>
          <w:b/>
          <w:bCs/>
          <w:i/>
          <w:iCs/>
          <w:color w:val="000000"/>
          <w:lang w:val="en-GB" w:eastAsia="en-GB"/>
        </w:rPr>
        <w:t>The estimated cost of the intervention</w:t>
      </w:r>
    </w:p>
    <w:p w14:paraId="14390706" w14:textId="77777777" w:rsidR="00EE592E" w:rsidRDefault="00EE592E" w:rsidP="00EE592E">
      <w:pPr>
        <w:rPr>
          <w:rFonts w:eastAsia="Times New Roman" w:cs="Arial"/>
          <w:color w:val="000000"/>
          <w:lang w:val="en-GB" w:eastAsia="en-GB"/>
        </w:rPr>
      </w:pPr>
    </w:p>
    <w:p w14:paraId="798855BA" w14:textId="5AF417B2" w:rsidR="00EE592E" w:rsidRDefault="00EE592E" w:rsidP="00EE592E">
      <w:pPr>
        <w:rPr>
          <w:rFonts w:eastAsia="Times New Roman" w:cs="Arial"/>
          <w:color w:val="000000"/>
          <w:lang w:val="en-GB" w:eastAsia="en-GB"/>
        </w:rPr>
      </w:pPr>
      <w:r w:rsidRPr="00EE592E">
        <w:rPr>
          <w:rFonts w:eastAsia="Times New Roman" w:cs="Arial"/>
          <w:color w:val="000000"/>
          <w:lang w:val="en-GB" w:eastAsia="en-GB"/>
        </w:rPr>
        <w:t>We have further examined the cost of this program in order to estimate the costs that are incurred by the intervention itself, and those that are incurred as a result of the measurement of the program – namely the cost of designing and implementing an RCT. The contributing factors in this estimate are:</w:t>
      </w:r>
    </w:p>
    <w:p w14:paraId="613DDEBB" w14:textId="77777777" w:rsidR="00EE592E" w:rsidRDefault="00EE592E" w:rsidP="00EE592E">
      <w:pPr>
        <w:rPr>
          <w:rFonts w:eastAsia="Times New Roman" w:cs="Arial"/>
          <w:color w:val="000000"/>
          <w:lang w:val="en-GB" w:eastAsia="en-GB"/>
        </w:rPr>
      </w:pPr>
    </w:p>
    <w:p w14:paraId="2895ADAF" w14:textId="77777777" w:rsidR="00EE592E" w:rsidRPr="00EE592E" w:rsidRDefault="00EE592E" w:rsidP="00D42FF2">
      <w:pPr>
        <w:pStyle w:val="ListParagraph"/>
        <w:numPr>
          <w:ilvl w:val="0"/>
          <w:numId w:val="10"/>
        </w:numPr>
        <w:rPr>
          <w:rFonts w:eastAsia="Times New Roman" w:cs="Times New Roman"/>
          <w:lang w:val="en-GB" w:eastAsia="en-GB"/>
        </w:rPr>
      </w:pPr>
      <w:r w:rsidRPr="00EE592E">
        <w:rPr>
          <w:rFonts w:eastAsia="Times New Roman" w:cs="Arial"/>
          <w:color w:val="000000"/>
          <w:lang w:val="en-GB" w:eastAsia="en-GB"/>
        </w:rPr>
        <w:t>The fees paid to third-party implementing partners</w:t>
      </w:r>
    </w:p>
    <w:p w14:paraId="6FFD8ABB" w14:textId="77777777" w:rsidR="00EE592E" w:rsidRPr="00EE592E" w:rsidRDefault="00EE592E" w:rsidP="00EE592E">
      <w:pPr>
        <w:pStyle w:val="ListParagraph"/>
        <w:ind w:left="1080"/>
        <w:rPr>
          <w:rFonts w:eastAsia="Times New Roman" w:cs="Times New Roman"/>
          <w:lang w:val="en-GB" w:eastAsia="en-GB"/>
        </w:rPr>
      </w:pPr>
    </w:p>
    <w:p w14:paraId="7895F84B" w14:textId="77777777" w:rsidR="00EE592E" w:rsidRPr="00EE592E" w:rsidRDefault="00EE592E" w:rsidP="00D42FF2">
      <w:pPr>
        <w:pStyle w:val="ListParagraph"/>
        <w:numPr>
          <w:ilvl w:val="0"/>
          <w:numId w:val="10"/>
        </w:numPr>
        <w:rPr>
          <w:rFonts w:eastAsia="Times New Roman" w:cs="Times New Roman"/>
          <w:lang w:val="en-GB" w:eastAsia="en-GB"/>
        </w:rPr>
      </w:pPr>
      <w:r w:rsidRPr="00EE592E">
        <w:rPr>
          <w:rFonts w:eastAsia="Times New Roman" w:cs="Arial"/>
          <w:color w:val="000000"/>
          <w:lang w:val="en-GB" w:eastAsia="en-GB"/>
        </w:rPr>
        <w:t>An estimate of the operational costs associated with:</w:t>
      </w:r>
    </w:p>
    <w:p w14:paraId="4E902AFD" w14:textId="77777777" w:rsidR="00EE592E" w:rsidRPr="00EE592E" w:rsidRDefault="00EE592E" w:rsidP="00EE592E">
      <w:pPr>
        <w:pStyle w:val="ListParagraph"/>
        <w:rPr>
          <w:rFonts w:eastAsia="Times New Roman" w:cs="Arial"/>
          <w:color w:val="000000"/>
          <w:lang w:val="en-GB" w:eastAsia="en-GB"/>
        </w:rPr>
      </w:pPr>
    </w:p>
    <w:p w14:paraId="3CE15563" w14:textId="77777777" w:rsidR="00EE592E" w:rsidRPr="00EE592E" w:rsidRDefault="00EE592E" w:rsidP="00D42FF2">
      <w:pPr>
        <w:pStyle w:val="ListParagraph"/>
        <w:numPr>
          <w:ilvl w:val="1"/>
          <w:numId w:val="10"/>
        </w:numPr>
        <w:rPr>
          <w:rFonts w:eastAsia="Times New Roman" w:cs="Times New Roman"/>
          <w:lang w:val="en-GB" w:eastAsia="en-GB"/>
        </w:rPr>
      </w:pPr>
      <w:r w:rsidRPr="00EE592E">
        <w:rPr>
          <w:rFonts w:eastAsia="Times New Roman" w:cs="Arial"/>
          <w:color w:val="000000"/>
          <w:lang w:val="en-GB" w:eastAsia="en-GB"/>
        </w:rPr>
        <w:t>The additional survey length required to conduct a baseline, in addition to the usual GiveDirectly census</w:t>
      </w:r>
    </w:p>
    <w:p w14:paraId="79F2D32B" w14:textId="77777777" w:rsidR="00EE592E" w:rsidRPr="00EE592E" w:rsidRDefault="00EE592E" w:rsidP="00D42FF2">
      <w:pPr>
        <w:pStyle w:val="ListParagraph"/>
        <w:numPr>
          <w:ilvl w:val="1"/>
          <w:numId w:val="10"/>
        </w:numPr>
        <w:rPr>
          <w:rFonts w:eastAsia="Times New Roman" w:cs="Times New Roman"/>
          <w:lang w:val="en-GB" w:eastAsia="en-GB"/>
        </w:rPr>
      </w:pPr>
      <w:r w:rsidRPr="00EE592E">
        <w:rPr>
          <w:rFonts w:eastAsia="Times New Roman" w:cs="Arial"/>
          <w:color w:val="000000"/>
          <w:lang w:val="en-GB" w:eastAsia="en-GB"/>
        </w:rPr>
        <w:t>The requirement to survey more households, in order to collect data amongst treatment and control groups for the study</w:t>
      </w:r>
    </w:p>
    <w:p w14:paraId="6DAC7653" w14:textId="77777777" w:rsidR="00EE592E" w:rsidRPr="00EE592E" w:rsidRDefault="00EE592E" w:rsidP="00D42FF2">
      <w:pPr>
        <w:pStyle w:val="ListParagraph"/>
        <w:numPr>
          <w:ilvl w:val="1"/>
          <w:numId w:val="10"/>
        </w:numPr>
        <w:rPr>
          <w:rFonts w:eastAsia="Times New Roman" w:cs="Times New Roman"/>
          <w:lang w:val="en-GB" w:eastAsia="en-GB"/>
        </w:rPr>
      </w:pPr>
      <w:r w:rsidRPr="00EE592E">
        <w:rPr>
          <w:rFonts w:eastAsia="Times New Roman" w:cs="Arial"/>
          <w:color w:val="000000"/>
          <w:lang w:val="en-GB" w:eastAsia="en-GB"/>
        </w:rPr>
        <w:lastRenderedPageBreak/>
        <w:t>Decisions made to protect the integrity of the study that had a negative impact on the efficiency of the program</w:t>
      </w:r>
    </w:p>
    <w:p w14:paraId="485EB6E7" w14:textId="614A698A" w:rsidR="00EE592E" w:rsidRPr="00E50159" w:rsidRDefault="00EE592E" w:rsidP="00D42FF2">
      <w:pPr>
        <w:pStyle w:val="ListParagraph"/>
        <w:numPr>
          <w:ilvl w:val="1"/>
          <w:numId w:val="10"/>
        </w:numPr>
        <w:rPr>
          <w:rFonts w:eastAsia="Times New Roman" w:cs="Times New Roman"/>
          <w:lang w:val="en-GB" w:eastAsia="en-GB"/>
        </w:rPr>
      </w:pPr>
      <w:r w:rsidRPr="00EE592E">
        <w:rPr>
          <w:rFonts w:eastAsia="Times New Roman" w:cs="Arial"/>
          <w:color w:val="000000"/>
          <w:lang w:val="en-GB" w:eastAsia="en-GB"/>
        </w:rPr>
        <w:t>The costs associated with collection and synthesis of data at endline</w:t>
      </w:r>
    </w:p>
    <w:p w14:paraId="0A652EE9" w14:textId="0337D152" w:rsidR="00E50159" w:rsidRPr="007F4B3F" w:rsidRDefault="00E50159" w:rsidP="00D42FF2">
      <w:pPr>
        <w:pStyle w:val="ListParagraph"/>
        <w:numPr>
          <w:ilvl w:val="1"/>
          <w:numId w:val="10"/>
        </w:numPr>
        <w:rPr>
          <w:rFonts w:eastAsia="Times New Roman" w:cs="Times New Roman"/>
          <w:lang w:val="en-GB" w:eastAsia="en-GB"/>
        </w:rPr>
      </w:pPr>
      <w:r w:rsidRPr="007F4B3F">
        <w:rPr>
          <w:rFonts w:eastAsia="Times New Roman" w:cs="Arial"/>
          <w:color w:val="000000"/>
          <w:lang w:val="en-GB" w:eastAsia="en-GB"/>
        </w:rPr>
        <w:t xml:space="preserve">The </w:t>
      </w:r>
      <w:r w:rsidR="007F4B3F" w:rsidRPr="007F4B3F">
        <w:rPr>
          <w:rFonts w:eastAsia="Times New Roman" w:cs="Arial"/>
          <w:color w:val="000000"/>
          <w:lang w:val="en-GB" w:eastAsia="en-GB"/>
        </w:rPr>
        <w:t xml:space="preserve">costs associated with </w:t>
      </w:r>
      <w:r w:rsidR="00564451">
        <w:rPr>
          <w:rFonts w:eastAsia="Times New Roman" w:cs="Arial"/>
          <w:color w:val="000000"/>
          <w:lang w:val="en-GB" w:eastAsia="en-GB"/>
        </w:rPr>
        <w:t>senior management</w:t>
      </w:r>
      <w:r w:rsidR="007F4B3F" w:rsidRPr="007F4B3F">
        <w:rPr>
          <w:rFonts w:eastAsia="Times New Roman" w:cs="Arial"/>
          <w:color w:val="000000"/>
          <w:lang w:val="en-GB" w:eastAsia="en-GB"/>
        </w:rPr>
        <w:t xml:space="preserve"> time in the design and delivery of the RCT</w:t>
      </w:r>
    </w:p>
    <w:p w14:paraId="7EBFB8A8" w14:textId="77777777" w:rsidR="00EE592E" w:rsidRPr="00EE592E" w:rsidRDefault="00EE592E" w:rsidP="00EE592E">
      <w:pPr>
        <w:pStyle w:val="ListParagraph"/>
        <w:ind w:left="1440"/>
        <w:rPr>
          <w:rFonts w:eastAsia="Times New Roman" w:cs="Times New Roman"/>
          <w:lang w:val="en-GB" w:eastAsia="en-GB"/>
        </w:rPr>
      </w:pPr>
    </w:p>
    <w:p w14:paraId="67E9CD20" w14:textId="77777777" w:rsidR="00EE592E" w:rsidRDefault="00EE592E" w:rsidP="00D42FF2">
      <w:pPr>
        <w:pStyle w:val="ListParagraph"/>
        <w:numPr>
          <w:ilvl w:val="0"/>
          <w:numId w:val="10"/>
        </w:numPr>
        <w:textAlignment w:val="baseline"/>
        <w:rPr>
          <w:rFonts w:eastAsia="Times New Roman" w:cs="Arial"/>
          <w:color w:val="000000"/>
          <w:lang w:val="en-GB" w:eastAsia="en-GB"/>
        </w:rPr>
      </w:pPr>
      <w:r w:rsidRPr="00EE592E">
        <w:rPr>
          <w:rFonts w:eastAsia="Times New Roman" w:cs="Arial"/>
          <w:color w:val="000000"/>
          <w:lang w:val="en-GB" w:eastAsia="en-GB"/>
        </w:rPr>
        <w:t>An estimated reduction in global allocations, resultant of reduced operational costs</w:t>
      </w:r>
    </w:p>
    <w:p w14:paraId="38752A98" w14:textId="0BD04CDB" w:rsidR="00EE592E" w:rsidRDefault="00EE592E" w:rsidP="00C24EA2">
      <w:pPr>
        <w:textAlignment w:val="baseline"/>
        <w:rPr>
          <w:rFonts w:eastAsia="Times New Roman" w:cs="Arial"/>
          <w:color w:val="000000"/>
          <w:lang w:val="en-GB" w:eastAsia="en-GB"/>
        </w:rPr>
      </w:pPr>
    </w:p>
    <w:p w14:paraId="0DECFAC0" w14:textId="7A7A1499" w:rsidR="00EE592E" w:rsidRPr="00EE592E" w:rsidRDefault="00EE592E" w:rsidP="00EE592E">
      <w:pPr>
        <w:ind w:left="360"/>
        <w:textAlignment w:val="baseline"/>
        <w:rPr>
          <w:rFonts w:eastAsia="Times New Roman" w:cs="Arial"/>
          <w:color w:val="000000"/>
          <w:lang w:val="en-GB" w:eastAsia="en-GB"/>
        </w:rPr>
      </w:pPr>
      <w:r w:rsidRPr="00EE592E">
        <w:rPr>
          <w:rFonts w:eastAsia="Times New Roman" w:cs="Arial"/>
          <w:color w:val="000000"/>
          <w:lang w:val="en-GB" w:eastAsia="en-GB"/>
        </w:rPr>
        <w:t xml:space="preserve">The estimates are as follows: </w:t>
      </w:r>
    </w:p>
    <w:p w14:paraId="575C4887" w14:textId="77777777" w:rsidR="00EE592E" w:rsidRPr="00EE592E" w:rsidRDefault="00EE592E" w:rsidP="00EE592E">
      <w:pPr>
        <w:rPr>
          <w:rFonts w:eastAsia="Times New Roman" w:cs="Times New Roman"/>
          <w:lang w:val="en-GB" w:eastAsia="en-GB"/>
        </w:rPr>
      </w:pPr>
    </w:p>
    <w:p w14:paraId="1CE0BF63" w14:textId="1A3923A8" w:rsidR="00EE592E" w:rsidRPr="00EE592E" w:rsidRDefault="00EE592E" w:rsidP="00D42FF2">
      <w:pPr>
        <w:pStyle w:val="ListParagraph"/>
        <w:numPr>
          <w:ilvl w:val="0"/>
          <w:numId w:val="11"/>
        </w:numPr>
        <w:rPr>
          <w:rFonts w:eastAsia="Times New Roman" w:cs="Times New Roman"/>
          <w:lang w:val="en-GB" w:eastAsia="en-GB"/>
        </w:rPr>
      </w:pPr>
      <w:r w:rsidRPr="00EE592E">
        <w:rPr>
          <w:rFonts w:eastAsia="Times New Roman" w:cs="Arial"/>
          <w:color w:val="000000"/>
          <w:lang w:val="en-GB" w:eastAsia="en-GB"/>
        </w:rPr>
        <w:t>We remove the 95,000 USD fee paid to external research partners, IDinsight.</w:t>
      </w:r>
    </w:p>
    <w:p w14:paraId="1D19A452" w14:textId="77777777" w:rsidR="00EE592E" w:rsidRPr="00EE592E" w:rsidRDefault="00EE592E" w:rsidP="00EE592E">
      <w:pPr>
        <w:pStyle w:val="ListParagraph"/>
        <w:ind w:left="1080"/>
        <w:rPr>
          <w:rFonts w:eastAsia="Times New Roman" w:cs="Times New Roman"/>
          <w:lang w:val="en-GB" w:eastAsia="en-GB"/>
        </w:rPr>
      </w:pPr>
    </w:p>
    <w:p w14:paraId="6E98B734" w14:textId="77777777" w:rsidR="00EE592E" w:rsidRPr="00EE592E" w:rsidRDefault="00EE592E" w:rsidP="00D42FF2">
      <w:pPr>
        <w:pStyle w:val="ListParagraph"/>
        <w:numPr>
          <w:ilvl w:val="0"/>
          <w:numId w:val="11"/>
        </w:numPr>
        <w:rPr>
          <w:rFonts w:eastAsia="Times New Roman" w:cs="Times New Roman"/>
          <w:lang w:val="en-GB" w:eastAsia="en-GB"/>
        </w:rPr>
      </w:pPr>
    </w:p>
    <w:p w14:paraId="3067D91B" w14:textId="77777777" w:rsidR="00EE592E" w:rsidRPr="00EE592E" w:rsidRDefault="00EE592E" w:rsidP="00564451">
      <w:pPr>
        <w:pStyle w:val="ListParagraph"/>
        <w:jc w:val="center"/>
        <w:rPr>
          <w:rFonts w:eastAsia="Times New Roman" w:cs="Arial"/>
          <w:color w:val="000000"/>
          <w:lang w:val="en-GB" w:eastAsia="en-GB"/>
        </w:rPr>
      </w:pPr>
    </w:p>
    <w:p w14:paraId="556714F2" w14:textId="21BCF8B9" w:rsidR="00EE592E" w:rsidRPr="00E95414" w:rsidRDefault="00EE592E" w:rsidP="00E95414">
      <w:pPr>
        <w:pStyle w:val="ListParagraph"/>
        <w:numPr>
          <w:ilvl w:val="1"/>
          <w:numId w:val="11"/>
        </w:numPr>
        <w:rPr>
          <w:rFonts w:eastAsia="Times New Roman" w:cs="Times New Roman"/>
          <w:lang w:val="en-GB" w:eastAsia="en-GB"/>
        </w:rPr>
      </w:pPr>
      <w:r w:rsidRPr="007F4B3F">
        <w:rPr>
          <w:rFonts w:eastAsia="Times New Roman" w:cs="Arial"/>
          <w:color w:val="000000"/>
          <w:lang w:val="en-GB" w:eastAsia="en-GB"/>
        </w:rPr>
        <w:t xml:space="preserve">We remove the baseline component of the census survey, reducing the survey length such that the field team can increase their daily target from 12 to 20 surveys per day, matching current Uganda operations where no RCT is being carried out. This increases productivity by 67% at census, reducing the days conducting these surveys from 40 to 24. The estimated resultant saving is </w:t>
      </w:r>
      <w:r w:rsidR="007F4B3F" w:rsidRPr="007F4B3F">
        <w:rPr>
          <w:rFonts w:eastAsia="Times New Roman" w:cs="Arial"/>
          <w:color w:val="000000"/>
          <w:lang w:val="en-GB" w:eastAsia="en-GB"/>
        </w:rPr>
        <w:t>22,722 USD, of which 12</w:t>
      </w:r>
      <w:r w:rsidR="00E95414">
        <w:rPr>
          <w:rFonts w:eastAsia="Times New Roman" w:cs="Arial"/>
          <w:color w:val="000000"/>
          <w:lang w:val="en-GB" w:eastAsia="en-GB"/>
        </w:rPr>
        <w:t>,878</w:t>
      </w:r>
      <w:r w:rsidRPr="00E95414">
        <w:rPr>
          <w:rFonts w:eastAsia="Times New Roman" w:cs="Arial"/>
          <w:color w:val="000000"/>
          <w:lang w:val="en-GB" w:eastAsia="en-GB"/>
        </w:rPr>
        <w:t xml:space="preserve"> USD relates to salaries and associated costs and </w:t>
      </w:r>
      <w:r w:rsidR="007F4B3F" w:rsidRPr="00E95414">
        <w:rPr>
          <w:rFonts w:eastAsia="Times New Roman" w:cs="Arial"/>
          <w:color w:val="000000"/>
          <w:lang w:val="en-GB" w:eastAsia="en-GB"/>
        </w:rPr>
        <w:t xml:space="preserve">9,844 </w:t>
      </w:r>
      <w:r w:rsidRPr="00E95414">
        <w:rPr>
          <w:rFonts w:eastAsia="Times New Roman" w:cs="Arial"/>
          <w:color w:val="000000"/>
          <w:lang w:val="en-GB" w:eastAsia="en-GB"/>
        </w:rPr>
        <w:t xml:space="preserve">USD is field </w:t>
      </w:r>
      <w:r w:rsidR="007F4B3F" w:rsidRPr="00E95414">
        <w:rPr>
          <w:rFonts w:eastAsia="Times New Roman" w:cs="Arial"/>
          <w:color w:val="000000"/>
          <w:lang w:val="en-GB" w:eastAsia="en-GB"/>
        </w:rPr>
        <w:t>allowances</w:t>
      </w:r>
      <w:r w:rsidRPr="00E95414">
        <w:rPr>
          <w:rFonts w:eastAsia="Times New Roman" w:cs="Arial"/>
          <w:color w:val="000000"/>
          <w:lang w:val="en-GB" w:eastAsia="en-GB"/>
        </w:rPr>
        <w:t xml:space="preserve">. </w:t>
      </w:r>
    </w:p>
    <w:p w14:paraId="59CDDD38" w14:textId="77777777" w:rsidR="00EE592E" w:rsidRPr="00EE592E" w:rsidRDefault="00EE592E" w:rsidP="00EE592E">
      <w:pPr>
        <w:pStyle w:val="ListParagraph"/>
        <w:ind w:left="1440"/>
        <w:rPr>
          <w:rFonts w:eastAsia="Times New Roman" w:cs="Times New Roman"/>
          <w:lang w:val="en-GB" w:eastAsia="en-GB"/>
        </w:rPr>
      </w:pPr>
    </w:p>
    <w:p w14:paraId="35ECEB23" w14:textId="77A4D92E" w:rsidR="00EE592E" w:rsidRPr="00E95414" w:rsidRDefault="00EE592E" w:rsidP="00D42FF2">
      <w:pPr>
        <w:pStyle w:val="ListParagraph"/>
        <w:numPr>
          <w:ilvl w:val="1"/>
          <w:numId w:val="11"/>
        </w:numPr>
        <w:rPr>
          <w:rFonts w:eastAsia="Times New Roman" w:cs="Times New Roman"/>
          <w:lang w:val="en-GB" w:eastAsia="en-GB"/>
        </w:rPr>
      </w:pPr>
      <w:r w:rsidRPr="00E95414">
        <w:rPr>
          <w:rFonts w:eastAsia="Times New Roman" w:cs="Arial"/>
          <w:color w:val="000000"/>
          <w:lang w:val="en-GB" w:eastAsia="en-GB"/>
        </w:rPr>
        <w:t>The sample requirements of the RCT (namely, surveying a treatment and control group), resulted in a large census of 8,580 households. With 3,600 households initially enrolled, the eligibility rate was around 42%. The eligibility rate, had GiveDirectly not conducted a randomization and instead enrolled all households within the treatment and control groups, would have been 64%. Without the requirements of an RCT, GiveDirectly would have enrolled 3,600 households at an eligibility rate of 64% and there</w:t>
      </w:r>
      <w:r w:rsidR="007F4B3F" w:rsidRPr="00E95414">
        <w:rPr>
          <w:rFonts w:eastAsia="Times New Roman" w:cs="Arial"/>
          <w:color w:val="000000"/>
          <w:lang w:val="en-GB" w:eastAsia="en-GB"/>
        </w:rPr>
        <w:t>fore conducted a census of 5,622</w:t>
      </w:r>
      <w:r w:rsidRPr="00E95414">
        <w:rPr>
          <w:rFonts w:eastAsia="Times New Roman" w:cs="Arial"/>
          <w:color w:val="000000"/>
          <w:lang w:val="en-GB" w:eastAsia="en-GB"/>
        </w:rPr>
        <w:t xml:space="preserve"> households. The associated saving in terms of salaries and field trans</w:t>
      </w:r>
      <w:r w:rsidR="007F4B3F" w:rsidRPr="00E95414">
        <w:rPr>
          <w:rFonts w:eastAsia="Times New Roman" w:cs="Arial"/>
          <w:color w:val="000000"/>
          <w:lang w:val="en-GB" w:eastAsia="en-GB"/>
        </w:rPr>
        <w:t>port costs are estimated to be 6</w:t>
      </w:r>
      <w:r w:rsidR="00E95414" w:rsidRPr="00E95414">
        <w:rPr>
          <w:rFonts w:eastAsia="Times New Roman" w:cs="Arial"/>
          <w:color w:val="000000"/>
          <w:lang w:val="en-GB" w:eastAsia="en-GB"/>
        </w:rPr>
        <w:t>,659</w:t>
      </w:r>
      <w:r w:rsidRPr="00E95414">
        <w:rPr>
          <w:rFonts w:eastAsia="Times New Roman" w:cs="Arial"/>
          <w:color w:val="000000"/>
          <w:lang w:val="en-GB" w:eastAsia="en-GB"/>
        </w:rPr>
        <w:t xml:space="preserve"> USD and </w:t>
      </w:r>
      <w:r w:rsidR="00E95414" w:rsidRPr="00E95414">
        <w:rPr>
          <w:rFonts w:eastAsia="Times New Roman" w:cs="Arial"/>
          <w:color w:val="000000"/>
          <w:lang w:val="en-GB" w:eastAsia="en-GB"/>
        </w:rPr>
        <w:t>5</w:t>
      </w:r>
      <w:r w:rsidR="00564451">
        <w:rPr>
          <w:rFonts w:eastAsia="Times New Roman" w:cs="Arial"/>
          <w:color w:val="000000"/>
          <w:lang w:val="en-GB" w:eastAsia="en-GB"/>
        </w:rPr>
        <w:t>,</w:t>
      </w:r>
      <w:r w:rsidR="00E95414" w:rsidRPr="00E95414">
        <w:rPr>
          <w:rFonts w:eastAsia="Times New Roman" w:cs="Arial"/>
          <w:color w:val="000000"/>
          <w:lang w:val="en-GB" w:eastAsia="en-GB"/>
        </w:rPr>
        <w:t>091</w:t>
      </w:r>
      <w:r w:rsidRPr="00E95414">
        <w:rPr>
          <w:rFonts w:eastAsia="Times New Roman" w:cs="Arial"/>
          <w:color w:val="000000"/>
          <w:lang w:val="en-GB" w:eastAsia="en-GB"/>
        </w:rPr>
        <w:t xml:space="preserve"> USD respectively. </w:t>
      </w:r>
    </w:p>
    <w:p w14:paraId="55381791" w14:textId="043E7044" w:rsidR="00EE592E" w:rsidRPr="00EE592E" w:rsidRDefault="00EE592E" w:rsidP="00EE592E">
      <w:pPr>
        <w:rPr>
          <w:rFonts w:eastAsia="Times New Roman" w:cs="Times New Roman"/>
          <w:lang w:val="en-GB" w:eastAsia="en-GB"/>
        </w:rPr>
      </w:pPr>
    </w:p>
    <w:p w14:paraId="7590EE3C" w14:textId="7E63E8D8" w:rsidR="00EE592E" w:rsidRPr="00E95414" w:rsidRDefault="00EE592E" w:rsidP="00D42FF2">
      <w:pPr>
        <w:pStyle w:val="ListParagraph"/>
        <w:numPr>
          <w:ilvl w:val="1"/>
          <w:numId w:val="11"/>
        </w:numPr>
        <w:rPr>
          <w:rFonts w:eastAsia="Times New Roman" w:cs="Times New Roman"/>
          <w:lang w:val="en-GB" w:eastAsia="en-GB"/>
        </w:rPr>
      </w:pPr>
      <w:r w:rsidRPr="00E95414">
        <w:rPr>
          <w:rFonts w:eastAsia="Times New Roman" w:cs="Arial"/>
          <w:color w:val="000000"/>
          <w:lang w:val="en-GB" w:eastAsia="en-GB"/>
        </w:rPr>
        <w:t xml:space="preserve">A decision was made during enrolment to not replace any of the 3,600 households who were deemed ineligible during the latter stages of enrolment in the program. This decision was made purely on the grounds of maintaining research integrity, and reduced the total transfer budget from 3,567,473 USD to 3,389,099 USD. Returning the transfer size to its original, intended total would increase transfer sizes by 178,374 USD. This 5.3% increase in transfers would result in a proportional increase in costs associated with delivering more transfers, namely salaries, field transport, FX transaction costs and mobile money sending and withdrawal fees, as noted in figure 7. </w:t>
      </w:r>
    </w:p>
    <w:p w14:paraId="59E8A15A" w14:textId="03DCA4BD" w:rsidR="00EE592E" w:rsidRPr="00EE592E" w:rsidRDefault="00EE592E" w:rsidP="00EE592E">
      <w:pPr>
        <w:rPr>
          <w:rFonts w:eastAsia="Times New Roman" w:cs="Times New Roman"/>
          <w:lang w:val="en-GB" w:eastAsia="en-GB"/>
        </w:rPr>
      </w:pPr>
    </w:p>
    <w:p w14:paraId="7EA8B32D" w14:textId="364E6918" w:rsidR="00EE592E" w:rsidRPr="00E95414" w:rsidRDefault="00EE592E" w:rsidP="00D42FF2">
      <w:pPr>
        <w:pStyle w:val="ListParagraph"/>
        <w:numPr>
          <w:ilvl w:val="1"/>
          <w:numId w:val="11"/>
        </w:numPr>
        <w:rPr>
          <w:rFonts w:eastAsia="Times New Roman" w:cs="Times New Roman"/>
          <w:lang w:val="en-GB" w:eastAsia="en-GB"/>
        </w:rPr>
      </w:pPr>
      <w:r w:rsidRPr="00E95414">
        <w:rPr>
          <w:rFonts w:eastAsia="Times New Roman" w:cs="Arial"/>
          <w:color w:val="000000"/>
          <w:lang w:val="en-GB" w:eastAsia="en-GB"/>
        </w:rPr>
        <w:t>The removal of costs associated with endline data collection and data synthesis would result in a</w:t>
      </w:r>
      <w:r w:rsidR="00E50159" w:rsidRPr="00E95414">
        <w:rPr>
          <w:rFonts w:eastAsia="Times New Roman" w:cs="Arial"/>
          <w:color w:val="000000"/>
          <w:lang w:val="en-GB" w:eastAsia="en-GB"/>
        </w:rPr>
        <w:t xml:space="preserve"> reduction of 49,281 USD.</w:t>
      </w:r>
    </w:p>
    <w:p w14:paraId="7922A006" w14:textId="77777777" w:rsidR="00E50159" w:rsidRPr="00E50159" w:rsidRDefault="00E50159" w:rsidP="00E50159">
      <w:pPr>
        <w:pStyle w:val="ListParagraph"/>
        <w:rPr>
          <w:rFonts w:eastAsia="Times New Roman" w:cs="Times New Roman"/>
          <w:lang w:val="en-GB" w:eastAsia="en-GB"/>
        </w:rPr>
      </w:pPr>
    </w:p>
    <w:p w14:paraId="27E92573" w14:textId="71B40E71" w:rsidR="00E50159" w:rsidRPr="00E95414" w:rsidRDefault="00E95414" w:rsidP="00D42FF2">
      <w:pPr>
        <w:pStyle w:val="ListParagraph"/>
        <w:numPr>
          <w:ilvl w:val="1"/>
          <w:numId w:val="11"/>
        </w:numPr>
        <w:rPr>
          <w:rFonts w:eastAsia="Times New Roman" w:cs="Times New Roman"/>
          <w:lang w:val="en-GB" w:eastAsia="en-GB"/>
        </w:rPr>
      </w:pPr>
      <w:r w:rsidRPr="00E95414">
        <w:rPr>
          <w:rFonts w:eastAsia="Times New Roman" w:cs="Times New Roman"/>
          <w:lang w:val="en-GB" w:eastAsia="en-GB"/>
        </w:rPr>
        <w:t>An estimate of Director-level engagement with the project to match current practice across the existing Uganda operations, removing the requirements created by the design and delivery of the RCT, results in a reduction in salaries</w:t>
      </w:r>
      <w:r w:rsidR="00564451">
        <w:rPr>
          <w:rFonts w:eastAsia="Times New Roman" w:cs="Times New Roman"/>
          <w:lang w:val="en-GB" w:eastAsia="en-GB"/>
        </w:rPr>
        <w:t xml:space="preserve"> and associated costs</w:t>
      </w:r>
      <w:r w:rsidRPr="00E95414">
        <w:rPr>
          <w:rFonts w:eastAsia="Times New Roman" w:cs="Times New Roman"/>
          <w:lang w:val="en-GB" w:eastAsia="en-GB"/>
        </w:rPr>
        <w:t xml:space="preserve"> of 24,202 USD. </w:t>
      </w:r>
    </w:p>
    <w:p w14:paraId="0A20A83E" w14:textId="6A0CBCBE" w:rsidR="00EE592E" w:rsidRPr="00EE592E" w:rsidRDefault="00EE592E" w:rsidP="00EE592E">
      <w:pPr>
        <w:rPr>
          <w:rFonts w:eastAsia="Times New Roman" w:cs="Times New Roman"/>
          <w:lang w:val="en-GB" w:eastAsia="en-GB"/>
        </w:rPr>
      </w:pPr>
    </w:p>
    <w:p w14:paraId="28EEBEE2" w14:textId="109D7964" w:rsidR="00EE592E" w:rsidRPr="00E95414" w:rsidRDefault="00EE592E" w:rsidP="00D42FF2">
      <w:pPr>
        <w:pStyle w:val="ListParagraph"/>
        <w:numPr>
          <w:ilvl w:val="0"/>
          <w:numId w:val="11"/>
        </w:numPr>
        <w:rPr>
          <w:rFonts w:eastAsia="Times New Roman" w:cs="Times New Roman"/>
          <w:lang w:val="en-GB" w:eastAsia="en-GB"/>
        </w:rPr>
      </w:pPr>
      <w:r w:rsidRPr="00E95414">
        <w:rPr>
          <w:rFonts w:eastAsia="Times New Roman" w:cs="Arial"/>
          <w:color w:val="000000"/>
          <w:lang w:val="en-GB" w:eastAsia="en-GB"/>
        </w:rPr>
        <w:lastRenderedPageBreak/>
        <w:t>Allocat</w:t>
      </w:r>
      <w:r w:rsidR="00E95414" w:rsidRPr="00E95414">
        <w:rPr>
          <w:rFonts w:eastAsia="Times New Roman" w:cs="Arial"/>
          <w:color w:val="000000"/>
          <w:lang w:val="en-GB" w:eastAsia="en-GB"/>
        </w:rPr>
        <w:t>ions in the current budget are 8</w:t>
      </w:r>
      <w:r w:rsidR="007274A3">
        <w:rPr>
          <w:rFonts w:eastAsia="Times New Roman" w:cs="Arial"/>
          <w:color w:val="000000"/>
          <w:lang w:val="en-GB" w:eastAsia="en-GB"/>
        </w:rPr>
        <w:t>0.4</w:t>
      </w:r>
      <w:r w:rsidRPr="00E95414">
        <w:rPr>
          <w:rFonts w:eastAsia="Times New Roman" w:cs="Arial"/>
          <w:color w:val="000000"/>
          <w:lang w:val="en-GB" w:eastAsia="en-GB"/>
        </w:rPr>
        <w:t>% of the operational costs, excluding transfers</w:t>
      </w:r>
      <w:r w:rsidR="00E95414" w:rsidRPr="00E95414">
        <w:rPr>
          <w:rFonts w:eastAsia="Times New Roman" w:cs="Arial"/>
          <w:color w:val="000000"/>
          <w:lang w:val="en-GB" w:eastAsia="en-GB"/>
        </w:rPr>
        <w:t xml:space="preserve"> and the allocation itself</w:t>
      </w:r>
      <w:r w:rsidRPr="00E95414">
        <w:rPr>
          <w:rFonts w:eastAsia="Times New Roman" w:cs="Arial"/>
          <w:color w:val="000000"/>
          <w:lang w:val="en-GB" w:eastAsia="en-GB"/>
        </w:rPr>
        <w:t>. A reduc</w:t>
      </w:r>
      <w:r w:rsidR="00E95414" w:rsidRPr="00E95414">
        <w:rPr>
          <w:rFonts w:eastAsia="Times New Roman" w:cs="Arial"/>
          <w:color w:val="000000"/>
          <w:lang w:val="en-GB" w:eastAsia="en-GB"/>
        </w:rPr>
        <w:t xml:space="preserve">tion in operational costs </w:t>
      </w:r>
      <w:r w:rsidRPr="00E95414">
        <w:rPr>
          <w:rFonts w:eastAsia="Times New Roman" w:cs="Arial"/>
          <w:color w:val="000000"/>
          <w:lang w:val="en-GB" w:eastAsia="en-GB"/>
        </w:rPr>
        <w:t xml:space="preserve">would see a proportional fall in allocations from 429,001 USD to </w:t>
      </w:r>
      <w:r w:rsidR="00E95414" w:rsidRPr="00E95414">
        <w:rPr>
          <w:rFonts w:eastAsia="Times New Roman" w:cs="Arial"/>
          <w:color w:val="000000"/>
          <w:lang w:val="en-GB" w:eastAsia="en-GB"/>
        </w:rPr>
        <w:t>278,610</w:t>
      </w:r>
      <w:r w:rsidRPr="00E95414">
        <w:rPr>
          <w:rFonts w:eastAsia="Times New Roman" w:cs="Arial"/>
          <w:color w:val="000000"/>
          <w:lang w:val="en-GB" w:eastAsia="en-GB"/>
        </w:rPr>
        <w:t xml:space="preserve"> USD. </w:t>
      </w:r>
    </w:p>
    <w:p w14:paraId="0F5D545B" w14:textId="77777777" w:rsidR="00E50159" w:rsidRPr="00EE592E" w:rsidRDefault="00E50159" w:rsidP="00E50159">
      <w:pPr>
        <w:pStyle w:val="ListParagraph"/>
        <w:ind w:left="1080"/>
        <w:rPr>
          <w:rFonts w:eastAsia="Times New Roman" w:cs="Times New Roman"/>
          <w:lang w:val="en-GB" w:eastAsia="en-GB"/>
        </w:rPr>
      </w:pPr>
    </w:p>
    <w:p w14:paraId="6A1DAF8D" w14:textId="77777777" w:rsidR="00EE592E" w:rsidRPr="00EE592E" w:rsidRDefault="00EE592E" w:rsidP="00EE592E">
      <w:pPr>
        <w:rPr>
          <w:rFonts w:eastAsia="Times New Roman" w:cs="Times New Roman"/>
          <w:sz w:val="20"/>
          <w:szCs w:val="20"/>
          <w:lang w:val="en-GB" w:eastAsia="en-GB"/>
        </w:rPr>
      </w:pPr>
      <w:r w:rsidRPr="00EE592E">
        <w:rPr>
          <w:rFonts w:eastAsia="Times New Roman" w:cs="Arial"/>
          <w:i/>
          <w:iCs/>
          <w:color w:val="000000"/>
          <w:sz w:val="20"/>
          <w:szCs w:val="20"/>
          <w:lang w:val="en-GB" w:eastAsia="en-GB"/>
        </w:rPr>
        <w:t xml:space="preserve">Figure 7: Estimated budget, excluding all costs associated with RCT. </w:t>
      </w:r>
    </w:p>
    <w:p w14:paraId="0FE4B10E" w14:textId="77777777" w:rsidR="00EE592E" w:rsidRPr="00EE592E" w:rsidRDefault="00EE592E" w:rsidP="00EE592E">
      <w:pPr>
        <w:rPr>
          <w:rFonts w:eastAsia="Times New Roman" w:cs="Times New Roman"/>
          <w:lang w:val="en-GB" w:eastAsia="en-GB"/>
        </w:rPr>
      </w:pPr>
    </w:p>
    <w:p w14:paraId="53693117" w14:textId="211D689C" w:rsidR="00EE592E" w:rsidRPr="00EE592E" w:rsidRDefault="00B524A5" w:rsidP="00EE592E">
      <w:pPr>
        <w:rPr>
          <w:rFonts w:eastAsia="Times New Roman" w:cs="Times New Roman"/>
          <w:lang w:val="en-GB" w:eastAsia="en-GB"/>
        </w:rPr>
      </w:pPr>
      <w:r>
        <w:rPr>
          <w:noProof/>
        </w:rPr>
        <w:drawing>
          <wp:inline distT="0" distB="0" distL="0" distR="0" wp14:anchorId="0042F939" wp14:editId="732BA60F">
            <wp:extent cx="5943600" cy="15659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565910"/>
                    </a:xfrm>
                    <a:prstGeom prst="rect">
                      <a:avLst/>
                    </a:prstGeom>
                  </pic:spPr>
                </pic:pic>
              </a:graphicData>
            </a:graphic>
          </wp:inline>
        </w:drawing>
      </w:r>
    </w:p>
    <w:p w14:paraId="5D0FE3FD" w14:textId="77777777" w:rsidR="00EE592E" w:rsidRDefault="00EE592E" w:rsidP="00EE592E">
      <w:pPr>
        <w:rPr>
          <w:rFonts w:eastAsia="Times New Roman" w:cs="Arial"/>
          <w:color w:val="000000"/>
          <w:lang w:val="en-GB" w:eastAsia="en-GB"/>
        </w:rPr>
      </w:pPr>
    </w:p>
    <w:p w14:paraId="058D1261" w14:textId="7F58FF2E" w:rsidR="00EE592E" w:rsidRPr="00EE592E" w:rsidRDefault="00EE592E" w:rsidP="00EE592E">
      <w:pPr>
        <w:rPr>
          <w:rFonts w:eastAsia="Times New Roman" w:cs="Times New Roman"/>
          <w:lang w:val="en-GB" w:eastAsia="en-GB"/>
        </w:rPr>
      </w:pPr>
      <w:r w:rsidRPr="00E95414">
        <w:rPr>
          <w:rFonts w:eastAsia="Times New Roman" w:cs="Arial"/>
          <w:color w:val="000000"/>
          <w:lang w:val="en-GB" w:eastAsia="en-GB"/>
        </w:rPr>
        <w:t xml:space="preserve">Based on these calculations, we project that the total operational cost of this program will be </w:t>
      </w:r>
      <w:r w:rsidR="00E95414" w:rsidRPr="00E95414">
        <w:rPr>
          <w:rFonts w:eastAsia="Times New Roman" w:cs="Arial"/>
          <w:color w:val="000000"/>
          <w:lang w:val="en-GB" w:eastAsia="en-GB"/>
        </w:rPr>
        <w:t>962,783</w:t>
      </w:r>
      <w:r w:rsidRPr="00E95414">
        <w:rPr>
          <w:rFonts w:eastAsia="Times New Roman" w:cs="Arial"/>
          <w:color w:val="000000"/>
          <w:lang w:val="en-GB" w:eastAsia="en-GB"/>
        </w:rPr>
        <w:t xml:space="preserve"> USD, of which </w:t>
      </w:r>
      <w:r w:rsidR="00E95414" w:rsidRPr="00E95414">
        <w:rPr>
          <w:rFonts w:eastAsia="Times New Roman" w:cs="Arial"/>
          <w:color w:val="000000"/>
          <w:lang w:val="en-GB" w:eastAsia="en-GB"/>
        </w:rPr>
        <w:t>625,269</w:t>
      </w:r>
      <w:r w:rsidRPr="00E95414">
        <w:rPr>
          <w:rFonts w:eastAsia="Times New Roman" w:cs="Arial"/>
          <w:color w:val="000000"/>
          <w:lang w:val="en-GB" w:eastAsia="en-GB"/>
        </w:rPr>
        <w:t xml:space="preserve"> USD is attr</w:t>
      </w:r>
      <w:r w:rsidR="00E95414" w:rsidRPr="00E95414">
        <w:rPr>
          <w:rFonts w:eastAsia="Times New Roman" w:cs="Arial"/>
          <w:color w:val="000000"/>
          <w:lang w:val="en-GB" w:eastAsia="en-GB"/>
        </w:rPr>
        <w:t>ibuted to the intervention and 337,514</w:t>
      </w:r>
      <w:r w:rsidRPr="00E95414">
        <w:rPr>
          <w:rFonts w:eastAsia="Times New Roman" w:cs="Arial"/>
          <w:color w:val="000000"/>
          <w:lang w:val="en-GB" w:eastAsia="en-GB"/>
        </w:rPr>
        <w:t xml:space="preserve"> USD to the design, implementation and measurement of the RCT. An estimate of the true efficiency of the intervention, calculated as transfers as a percentage of total campaign costs, </w:t>
      </w:r>
      <w:r w:rsidRPr="00E95414">
        <w:rPr>
          <w:rFonts w:eastAsia="Times New Roman" w:cs="Arial"/>
          <w:i/>
          <w:iCs/>
          <w:color w:val="000000"/>
          <w:lang w:val="en-GB" w:eastAsia="en-GB"/>
        </w:rPr>
        <w:t>excluding those associated exclusively with conducting the RCT</w:t>
      </w:r>
      <w:r w:rsidR="00E95414" w:rsidRPr="00E95414">
        <w:rPr>
          <w:rFonts w:eastAsia="Times New Roman" w:cs="Arial"/>
          <w:color w:val="000000"/>
          <w:lang w:val="en-GB" w:eastAsia="en-GB"/>
        </w:rPr>
        <w:t>, is 85</w:t>
      </w:r>
      <w:r w:rsidRPr="00E95414">
        <w:rPr>
          <w:rFonts w:eastAsia="Times New Roman" w:cs="Arial"/>
          <w:color w:val="000000"/>
          <w:lang w:val="en-GB" w:eastAsia="en-GB"/>
        </w:rPr>
        <w:t>.1%.</w:t>
      </w:r>
    </w:p>
    <w:p w14:paraId="46381FF4" w14:textId="77777777" w:rsidR="00EE592E" w:rsidRDefault="00EE592E" w:rsidP="00EE592E">
      <w:pPr>
        <w:rPr>
          <w:rFonts w:eastAsia="Times New Roman" w:cs="Arial"/>
          <w:b/>
          <w:bCs/>
          <w:i/>
          <w:iCs/>
          <w:color w:val="000000"/>
          <w:lang w:val="en-GB" w:eastAsia="en-GB"/>
        </w:rPr>
      </w:pPr>
    </w:p>
    <w:p w14:paraId="1006D09C" w14:textId="45C5897B" w:rsidR="00EE592E" w:rsidRPr="00EE592E" w:rsidRDefault="00EE592E" w:rsidP="00EE592E">
      <w:pPr>
        <w:rPr>
          <w:rFonts w:eastAsia="Times New Roman" w:cs="Times New Roman"/>
          <w:lang w:val="en-GB" w:eastAsia="en-GB"/>
        </w:rPr>
      </w:pPr>
      <w:r w:rsidRPr="00EE592E">
        <w:rPr>
          <w:rFonts w:eastAsia="Times New Roman" w:cs="Arial"/>
          <w:b/>
          <w:bCs/>
          <w:i/>
          <w:iCs/>
          <w:color w:val="000000"/>
          <w:lang w:val="en-GB" w:eastAsia="en-GB"/>
        </w:rPr>
        <w:t>The estimated cost of the program operating at scale</w:t>
      </w:r>
    </w:p>
    <w:p w14:paraId="2FC25B01" w14:textId="77777777" w:rsidR="00EE592E" w:rsidRDefault="00EE592E" w:rsidP="00EE592E">
      <w:pPr>
        <w:rPr>
          <w:rFonts w:eastAsia="Times New Roman" w:cs="Arial"/>
          <w:color w:val="000000"/>
          <w:lang w:val="en-GB" w:eastAsia="en-GB"/>
        </w:rPr>
      </w:pPr>
    </w:p>
    <w:p w14:paraId="707D9B14" w14:textId="2BE949D6" w:rsidR="00EE592E" w:rsidRPr="00EE592E" w:rsidRDefault="00EE592E" w:rsidP="00EE592E">
      <w:pPr>
        <w:rPr>
          <w:rFonts w:eastAsia="Times New Roman" w:cs="Times New Roman"/>
          <w:lang w:val="en-GB" w:eastAsia="en-GB"/>
        </w:rPr>
      </w:pPr>
      <w:r w:rsidRPr="00EE592E">
        <w:rPr>
          <w:rFonts w:eastAsia="Times New Roman" w:cs="Arial"/>
          <w:color w:val="000000"/>
          <w:lang w:val="en-GB" w:eastAsia="en-GB"/>
        </w:rPr>
        <w:t xml:space="preserve">We make a final estimation of the cost of implementing this program at scale, rather than as a one-off intervention. To do so: </w:t>
      </w:r>
    </w:p>
    <w:p w14:paraId="13084F08" w14:textId="77777777" w:rsidR="00EE592E" w:rsidRDefault="00EE592E" w:rsidP="00EE592E">
      <w:pPr>
        <w:textAlignment w:val="baseline"/>
        <w:rPr>
          <w:rFonts w:eastAsia="Times New Roman" w:cs="Times New Roman"/>
          <w:lang w:val="en-GB" w:eastAsia="en-GB"/>
        </w:rPr>
      </w:pPr>
    </w:p>
    <w:p w14:paraId="77D45C9C" w14:textId="3E49CB38" w:rsidR="00EE592E" w:rsidRDefault="00EE592E" w:rsidP="00D42FF2">
      <w:pPr>
        <w:pStyle w:val="ListParagraph"/>
        <w:numPr>
          <w:ilvl w:val="0"/>
          <w:numId w:val="12"/>
        </w:numPr>
        <w:textAlignment w:val="baseline"/>
        <w:rPr>
          <w:rFonts w:eastAsia="Times New Roman" w:cs="Arial"/>
          <w:color w:val="000000"/>
          <w:lang w:val="en-GB" w:eastAsia="en-GB"/>
        </w:rPr>
      </w:pPr>
      <w:r w:rsidRPr="00EE592E">
        <w:rPr>
          <w:rFonts w:eastAsia="Times New Roman" w:cs="Arial"/>
          <w:color w:val="000000"/>
          <w:lang w:val="en-GB" w:eastAsia="en-GB"/>
        </w:rPr>
        <w:t xml:space="preserve">We remove the costs of the RCT, as above </w:t>
      </w:r>
    </w:p>
    <w:p w14:paraId="3005FB76" w14:textId="77777777" w:rsidR="00EE592E" w:rsidRDefault="00EE592E" w:rsidP="00EE592E">
      <w:pPr>
        <w:pStyle w:val="ListParagraph"/>
        <w:ind w:left="1080"/>
        <w:textAlignment w:val="baseline"/>
        <w:rPr>
          <w:rFonts w:eastAsia="Times New Roman" w:cs="Arial"/>
          <w:color w:val="000000"/>
          <w:lang w:val="en-GB" w:eastAsia="en-GB"/>
        </w:rPr>
      </w:pPr>
    </w:p>
    <w:p w14:paraId="4CDA6414" w14:textId="77777777" w:rsidR="00EE592E" w:rsidRDefault="00EE592E" w:rsidP="00D42FF2">
      <w:pPr>
        <w:pStyle w:val="ListParagraph"/>
        <w:numPr>
          <w:ilvl w:val="0"/>
          <w:numId w:val="12"/>
        </w:numPr>
        <w:textAlignment w:val="baseline"/>
        <w:rPr>
          <w:rFonts w:eastAsia="Times New Roman" w:cs="Arial"/>
          <w:color w:val="000000"/>
          <w:lang w:val="en-GB" w:eastAsia="en-GB"/>
        </w:rPr>
      </w:pPr>
      <w:r w:rsidRPr="00EE592E">
        <w:rPr>
          <w:rFonts w:eastAsia="Times New Roman" w:cs="Arial"/>
          <w:color w:val="000000"/>
          <w:lang w:val="en-GB" w:eastAsia="en-GB"/>
        </w:rPr>
        <w:t>We estimate a 25% annual re-purchase of field team equipment</w:t>
      </w:r>
    </w:p>
    <w:p w14:paraId="5B93E793" w14:textId="77777777" w:rsidR="00EE592E" w:rsidRPr="00EE592E" w:rsidRDefault="00EE592E" w:rsidP="00EE592E">
      <w:pPr>
        <w:pStyle w:val="ListParagraph"/>
        <w:rPr>
          <w:rFonts w:eastAsia="Times New Roman" w:cs="Arial"/>
          <w:color w:val="000000"/>
          <w:lang w:val="en-GB" w:eastAsia="en-GB"/>
        </w:rPr>
      </w:pPr>
    </w:p>
    <w:p w14:paraId="307F2598" w14:textId="77777777" w:rsidR="00EE592E" w:rsidRDefault="00EE592E" w:rsidP="00D42FF2">
      <w:pPr>
        <w:pStyle w:val="ListParagraph"/>
        <w:numPr>
          <w:ilvl w:val="0"/>
          <w:numId w:val="12"/>
        </w:numPr>
        <w:textAlignment w:val="baseline"/>
        <w:rPr>
          <w:rFonts w:eastAsia="Times New Roman" w:cs="Arial"/>
          <w:color w:val="000000"/>
          <w:lang w:val="en-GB" w:eastAsia="en-GB"/>
        </w:rPr>
      </w:pPr>
      <w:r w:rsidRPr="00EE592E">
        <w:rPr>
          <w:rFonts w:eastAsia="Times New Roman" w:cs="Arial"/>
          <w:color w:val="000000"/>
          <w:lang w:val="en-GB" w:eastAsia="en-GB"/>
        </w:rPr>
        <w:t>We estimate that field teams will improve productivity to meet the standard of current Uganda core operations, improving efficiency at the ‘registration’ and ‘backcheck’ stages of enrolment by 50% (from 8 to 12 surveys per day). We believe that this improvement in productivi</w:t>
      </w:r>
      <w:r>
        <w:rPr>
          <w:rFonts w:eastAsia="Times New Roman" w:cs="Arial"/>
          <w:color w:val="000000"/>
          <w:lang w:val="en-GB" w:eastAsia="en-GB"/>
        </w:rPr>
        <w:t>ty would result from:</w:t>
      </w:r>
    </w:p>
    <w:p w14:paraId="6D419F8C" w14:textId="77777777" w:rsidR="00EE592E" w:rsidRPr="00EE592E" w:rsidRDefault="00EE592E" w:rsidP="00EE592E">
      <w:pPr>
        <w:pStyle w:val="ListParagraph"/>
        <w:rPr>
          <w:rFonts w:eastAsia="Times New Roman" w:cs="Arial"/>
          <w:color w:val="000000"/>
          <w:lang w:val="en-GB" w:eastAsia="en-GB"/>
        </w:rPr>
      </w:pPr>
    </w:p>
    <w:p w14:paraId="61D1E101" w14:textId="77777777" w:rsidR="00EE592E" w:rsidRDefault="00EE592E" w:rsidP="00D42FF2">
      <w:pPr>
        <w:pStyle w:val="ListParagraph"/>
        <w:numPr>
          <w:ilvl w:val="1"/>
          <w:numId w:val="12"/>
        </w:numPr>
        <w:textAlignment w:val="baseline"/>
        <w:rPr>
          <w:rFonts w:eastAsia="Times New Roman" w:cs="Arial"/>
          <w:color w:val="000000"/>
          <w:lang w:val="en-GB" w:eastAsia="en-GB"/>
        </w:rPr>
      </w:pPr>
      <w:r w:rsidRPr="00EE592E">
        <w:rPr>
          <w:rFonts w:eastAsia="Times New Roman" w:cs="Arial"/>
          <w:color w:val="000000"/>
          <w:lang w:val="en-GB" w:eastAsia="en-GB"/>
        </w:rPr>
        <w:t>A reduction in the amount of data collected by surveyors at this stage</w:t>
      </w:r>
    </w:p>
    <w:p w14:paraId="34BBCB15" w14:textId="7241CFE8" w:rsidR="00EE592E" w:rsidRPr="00EE592E" w:rsidRDefault="00EE592E" w:rsidP="00D42FF2">
      <w:pPr>
        <w:pStyle w:val="ListParagraph"/>
        <w:numPr>
          <w:ilvl w:val="1"/>
          <w:numId w:val="12"/>
        </w:numPr>
        <w:textAlignment w:val="baseline"/>
        <w:rPr>
          <w:rFonts w:eastAsia="Times New Roman" w:cs="Arial"/>
          <w:color w:val="000000"/>
          <w:lang w:val="en-GB" w:eastAsia="en-GB"/>
        </w:rPr>
      </w:pPr>
      <w:r w:rsidRPr="00EE592E">
        <w:rPr>
          <w:rFonts w:eastAsia="Times New Roman" w:cs="Arial"/>
          <w:color w:val="000000"/>
          <w:lang w:val="en-GB" w:eastAsia="en-GB"/>
        </w:rPr>
        <w:t xml:space="preserve">A greater density of recipient households within each village, and therefore less time spent travelling between villages populated more sparsely with GiveDirectly recipients. </w:t>
      </w:r>
    </w:p>
    <w:p w14:paraId="2930F8E7" w14:textId="77777777" w:rsidR="00EE592E" w:rsidRDefault="00EE592E" w:rsidP="00EE592E">
      <w:pPr>
        <w:rPr>
          <w:rFonts w:eastAsia="Times New Roman" w:cs="Arial"/>
          <w:color w:val="000000"/>
          <w:lang w:val="en-GB" w:eastAsia="en-GB"/>
        </w:rPr>
      </w:pPr>
    </w:p>
    <w:p w14:paraId="236AA91E" w14:textId="09E6A5D0" w:rsidR="00EE592E" w:rsidRPr="000D026B" w:rsidRDefault="00EE592E" w:rsidP="00EE592E">
      <w:pPr>
        <w:ind w:left="1080"/>
        <w:rPr>
          <w:rFonts w:eastAsia="Times New Roman" w:cs="Times New Roman"/>
          <w:lang w:val="en-GB" w:eastAsia="en-GB"/>
        </w:rPr>
      </w:pPr>
      <w:r w:rsidRPr="000D026B">
        <w:rPr>
          <w:rFonts w:eastAsia="Times New Roman" w:cs="Arial"/>
          <w:color w:val="000000"/>
          <w:lang w:val="en-GB" w:eastAsia="en-GB"/>
        </w:rPr>
        <w:t xml:space="preserve">This improvement in productivity would reduce days spent conducting these stages from 60 to 40, and a commensurate reduction in salaries of </w:t>
      </w:r>
      <w:r w:rsidR="00E50159" w:rsidRPr="000D026B">
        <w:rPr>
          <w:rFonts w:eastAsia="Times New Roman" w:cs="Arial"/>
          <w:color w:val="000000"/>
          <w:lang w:val="en-GB" w:eastAsia="en-GB"/>
        </w:rPr>
        <w:t>field-based</w:t>
      </w:r>
      <w:r w:rsidR="000D026B" w:rsidRPr="000D026B">
        <w:rPr>
          <w:rFonts w:eastAsia="Times New Roman" w:cs="Arial"/>
          <w:color w:val="000000"/>
          <w:lang w:val="en-GB" w:eastAsia="en-GB"/>
        </w:rPr>
        <w:t xml:space="preserve"> staff of</w:t>
      </w:r>
      <w:r w:rsidRPr="000D026B">
        <w:rPr>
          <w:rFonts w:eastAsia="Times New Roman" w:cs="Arial"/>
          <w:color w:val="000000"/>
          <w:lang w:val="en-GB" w:eastAsia="en-GB"/>
        </w:rPr>
        <w:t xml:space="preserve"> </w:t>
      </w:r>
      <w:r w:rsidR="000D026B" w:rsidRPr="000D026B">
        <w:rPr>
          <w:rFonts w:eastAsia="Times New Roman" w:cs="Arial"/>
          <w:color w:val="000000"/>
          <w:lang w:val="en-GB" w:eastAsia="en-GB"/>
        </w:rPr>
        <w:t xml:space="preserve">16,097 </w:t>
      </w:r>
      <w:r w:rsidRPr="000D026B">
        <w:rPr>
          <w:rFonts w:eastAsia="Times New Roman" w:cs="Arial"/>
          <w:color w:val="000000"/>
          <w:lang w:val="en-GB" w:eastAsia="en-GB"/>
        </w:rPr>
        <w:t>US</w:t>
      </w:r>
      <w:r w:rsidR="00564451">
        <w:rPr>
          <w:rFonts w:eastAsia="Times New Roman" w:cs="Arial"/>
          <w:color w:val="000000"/>
          <w:lang w:val="en-GB" w:eastAsia="en-GB"/>
        </w:rPr>
        <w:t>D and field allowances of 12,314</w:t>
      </w:r>
      <w:r w:rsidRPr="000D026B">
        <w:rPr>
          <w:rFonts w:eastAsia="Times New Roman" w:cs="Arial"/>
          <w:color w:val="000000"/>
          <w:lang w:val="en-GB" w:eastAsia="en-GB"/>
        </w:rPr>
        <w:t xml:space="preserve"> USD.</w:t>
      </w:r>
      <w:r w:rsidR="000D026B" w:rsidRPr="000D026B">
        <w:rPr>
          <w:rFonts w:eastAsia="Times New Roman" w:cs="Arial"/>
          <w:color w:val="000000"/>
          <w:lang w:val="en-GB" w:eastAsia="en-GB"/>
        </w:rPr>
        <w:t xml:space="preserve"> The reduction in overall project time would also result in a 5,645 USD reduction in salaries paid to senior managers.</w:t>
      </w:r>
    </w:p>
    <w:p w14:paraId="4DE6981F" w14:textId="77777777" w:rsidR="00EE592E" w:rsidRPr="00E50159" w:rsidRDefault="00EE592E" w:rsidP="00EE592E">
      <w:pPr>
        <w:rPr>
          <w:rFonts w:eastAsia="Times New Roman" w:cs="Times New Roman"/>
          <w:highlight w:val="yellow"/>
          <w:lang w:val="en-GB" w:eastAsia="en-GB"/>
        </w:rPr>
      </w:pPr>
    </w:p>
    <w:p w14:paraId="2266CE41" w14:textId="026E8A44" w:rsidR="00EE592E" w:rsidRPr="0054195D" w:rsidRDefault="00EE592E" w:rsidP="00D42FF2">
      <w:pPr>
        <w:pStyle w:val="ListParagraph"/>
        <w:numPr>
          <w:ilvl w:val="0"/>
          <w:numId w:val="12"/>
        </w:numPr>
        <w:textAlignment w:val="baseline"/>
        <w:rPr>
          <w:rFonts w:eastAsia="Times New Roman" w:cs="Arial"/>
          <w:color w:val="000000"/>
          <w:lang w:val="en-GB" w:eastAsia="en-GB"/>
        </w:rPr>
      </w:pPr>
      <w:r w:rsidRPr="0054195D">
        <w:rPr>
          <w:rFonts w:eastAsia="Times New Roman" w:cs="Arial"/>
          <w:color w:val="000000"/>
          <w:lang w:val="en-GB" w:eastAsia="en-GB"/>
        </w:rPr>
        <w:t xml:space="preserve">We estimate that operational costs at scale, excluding transfers and allocations, would therefore fall to </w:t>
      </w:r>
      <w:r w:rsidR="0054195D" w:rsidRPr="0054195D">
        <w:rPr>
          <w:rFonts w:eastAsia="Times New Roman" w:cs="Arial"/>
          <w:color w:val="000000"/>
          <w:lang w:val="en-GB" w:eastAsia="en-GB"/>
        </w:rPr>
        <w:t>294,712</w:t>
      </w:r>
      <w:r w:rsidRPr="0054195D">
        <w:rPr>
          <w:rFonts w:eastAsia="Times New Roman" w:cs="Arial"/>
          <w:color w:val="000000"/>
          <w:lang w:val="en-GB" w:eastAsia="en-GB"/>
        </w:rPr>
        <w:t xml:space="preserve"> USD.</w:t>
      </w:r>
      <w:r w:rsidR="0054195D" w:rsidRPr="0054195D">
        <w:rPr>
          <w:rFonts w:eastAsia="Times New Roman" w:cs="Arial"/>
          <w:color w:val="000000"/>
          <w:lang w:val="en-GB" w:eastAsia="en-GB"/>
        </w:rPr>
        <w:t xml:space="preserve"> Maintaining allocations at 80.4</w:t>
      </w:r>
      <w:r w:rsidRPr="0054195D">
        <w:rPr>
          <w:rFonts w:eastAsia="Times New Roman" w:cs="Arial"/>
          <w:color w:val="000000"/>
          <w:lang w:val="en-GB" w:eastAsia="en-GB"/>
        </w:rPr>
        <w:t>% of operational c</w:t>
      </w:r>
      <w:r w:rsidR="0054195D" w:rsidRPr="0054195D">
        <w:rPr>
          <w:rFonts w:eastAsia="Times New Roman" w:cs="Arial"/>
          <w:color w:val="000000"/>
          <w:lang w:val="en-GB" w:eastAsia="en-GB"/>
        </w:rPr>
        <w:t>osts, would see them fall to 236</w:t>
      </w:r>
      <w:r w:rsidRPr="0054195D">
        <w:rPr>
          <w:rFonts w:eastAsia="Times New Roman" w:cs="Arial"/>
          <w:color w:val="000000"/>
          <w:lang w:val="en-GB" w:eastAsia="en-GB"/>
        </w:rPr>
        <w:t>,</w:t>
      </w:r>
      <w:r w:rsidR="0054195D" w:rsidRPr="0054195D">
        <w:rPr>
          <w:rFonts w:eastAsia="Times New Roman" w:cs="Arial"/>
          <w:color w:val="000000"/>
          <w:lang w:val="en-GB" w:eastAsia="en-GB"/>
        </w:rPr>
        <w:t>860</w:t>
      </w:r>
      <w:r w:rsidRPr="0054195D">
        <w:rPr>
          <w:rFonts w:eastAsia="Times New Roman" w:cs="Arial"/>
          <w:color w:val="000000"/>
          <w:lang w:val="en-GB" w:eastAsia="en-GB"/>
        </w:rPr>
        <w:t xml:space="preserve"> USD. </w:t>
      </w:r>
    </w:p>
    <w:p w14:paraId="5D036A27" w14:textId="77777777" w:rsidR="00EE592E" w:rsidRPr="00EE592E" w:rsidRDefault="00EE592E" w:rsidP="00EE592E">
      <w:pPr>
        <w:rPr>
          <w:rFonts w:eastAsia="Times New Roman" w:cs="Times New Roman"/>
          <w:lang w:val="en-GB" w:eastAsia="en-GB"/>
        </w:rPr>
      </w:pPr>
    </w:p>
    <w:p w14:paraId="670C5280" w14:textId="3CF52D60" w:rsidR="00EE592E" w:rsidRPr="00EE592E" w:rsidRDefault="00EE592E" w:rsidP="00EE592E">
      <w:pPr>
        <w:rPr>
          <w:rFonts w:eastAsia="Times New Roman" w:cs="Times New Roman"/>
          <w:lang w:val="en-GB" w:eastAsia="en-GB"/>
        </w:rPr>
      </w:pPr>
      <w:r w:rsidRPr="007274A3">
        <w:rPr>
          <w:rFonts w:eastAsia="Times New Roman" w:cs="Arial"/>
          <w:color w:val="000000"/>
          <w:lang w:val="en-GB" w:eastAsia="en-GB"/>
        </w:rPr>
        <w:t xml:space="preserve">According to these estimates, efficiency operating </w:t>
      </w:r>
      <w:r w:rsidR="007274A3" w:rsidRPr="007274A3">
        <w:rPr>
          <w:rFonts w:eastAsia="Times New Roman" w:cs="Arial"/>
          <w:color w:val="000000"/>
          <w:lang w:val="en-GB" w:eastAsia="en-GB"/>
        </w:rPr>
        <w:t>at scale in Iganga would be 87%, or 87</w:t>
      </w:r>
      <w:r w:rsidRPr="007274A3">
        <w:rPr>
          <w:rFonts w:eastAsia="Times New Roman" w:cs="Arial"/>
          <w:color w:val="000000"/>
          <w:lang w:val="en-GB" w:eastAsia="en-GB"/>
        </w:rPr>
        <w:t xml:space="preserve"> cents in every donated dollar.</w:t>
      </w:r>
      <w:r w:rsidR="00E50159" w:rsidRPr="007274A3">
        <w:rPr>
          <w:rFonts w:eastAsia="Times New Roman" w:cs="Arial"/>
          <w:color w:val="000000"/>
          <w:lang w:val="en-GB" w:eastAsia="en-GB"/>
        </w:rPr>
        <w:t xml:space="preserve"> This efficiency can be compared to the efficiency of GiveDirectly’s existing </w:t>
      </w:r>
      <w:r w:rsidR="007F02AC" w:rsidRPr="007274A3">
        <w:rPr>
          <w:rFonts w:eastAsia="Times New Roman" w:cs="Arial"/>
          <w:color w:val="000000"/>
          <w:lang w:val="en-GB" w:eastAsia="en-GB"/>
        </w:rPr>
        <w:t>Uganda operations, which recorded 86% efficiency in the 2015-2016 financial year.</w:t>
      </w:r>
      <w:r w:rsidR="007F02AC">
        <w:rPr>
          <w:rFonts w:eastAsia="Times New Roman" w:cs="Arial"/>
          <w:color w:val="000000"/>
          <w:lang w:val="en-GB" w:eastAsia="en-GB"/>
        </w:rPr>
        <w:t xml:space="preserve"> </w:t>
      </w:r>
    </w:p>
    <w:p w14:paraId="5EC5EDC3" w14:textId="77777777" w:rsidR="00EE592E" w:rsidRPr="00EE592E" w:rsidRDefault="00EE592E" w:rsidP="00EE592E">
      <w:pPr>
        <w:rPr>
          <w:rFonts w:eastAsia="Times New Roman" w:cs="Times New Roman"/>
          <w:lang w:val="en-GB" w:eastAsia="en-GB"/>
        </w:rPr>
      </w:pPr>
    </w:p>
    <w:p w14:paraId="6A3F35F1" w14:textId="5B428D09" w:rsidR="00EE592E" w:rsidRPr="00EE592E" w:rsidRDefault="00EE592E" w:rsidP="00EE592E">
      <w:pPr>
        <w:rPr>
          <w:rFonts w:eastAsia="Times New Roman" w:cs="Arial"/>
          <w:i/>
          <w:iCs/>
          <w:color w:val="000000"/>
          <w:sz w:val="20"/>
          <w:szCs w:val="20"/>
          <w:lang w:val="en-GB" w:eastAsia="en-GB"/>
        </w:rPr>
      </w:pPr>
      <w:r w:rsidRPr="00EE592E">
        <w:rPr>
          <w:rFonts w:eastAsia="Times New Roman" w:cs="Arial"/>
          <w:i/>
          <w:iCs/>
          <w:color w:val="000000"/>
          <w:sz w:val="20"/>
          <w:szCs w:val="20"/>
          <w:lang w:val="en-GB" w:eastAsia="en-GB"/>
        </w:rPr>
        <w:t>Figure 8: Estimated budget of the program if enacted at scale.</w:t>
      </w:r>
    </w:p>
    <w:p w14:paraId="232975B4" w14:textId="77777777" w:rsidR="00EE592E" w:rsidRPr="00EE592E" w:rsidRDefault="00EE592E" w:rsidP="00EE592E">
      <w:pPr>
        <w:rPr>
          <w:rFonts w:eastAsia="Times New Roman" w:cs="Times New Roman"/>
          <w:lang w:val="en-GB" w:eastAsia="en-GB"/>
        </w:rPr>
      </w:pPr>
    </w:p>
    <w:p w14:paraId="1605522B" w14:textId="44FD0648" w:rsidR="00EE592E" w:rsidRDefault="00B524A5" w:rsidP="00EE592E">
      <w:pPr>
        <w:rPr>
          <w:rFonts w:eastAsia="Times New Roman" w:cs="Times New Roman"/>
          <w:lang w:val="en-GB" w:eastAsia="en-GB"/>
        </w:rPr>
      </w:pPr>
      <w:r>
        <w:rPr>
          <w:noProof/>
        </w:rPr>
        <w:drawing>
          <wp:inline distT="0" distB="0" distL="0" distR="0" wp14:anchorId="39E6C615" wp14:editId="4DBD9536">
            <wp:extent cx="5943600" cy="15544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554480"/>
                    </a:xfrm>
                    <a:prstGeom prst="rect">
                      <a:avLst/>
                    </a:prstGeom>
                  </pic:spPr>
                </pic:pic>
              </a:graphicData>
            </a:graphic>
          </wp:inline>
        </w:drawing>
      </w:r>
    </w:p>
    <w:p w14:paraId="7D1213F4" w14:textId="77777777" w:rsidR="00B524A5" w:rsidRPr="00EE592E" w:rsidRDefault="00B524A5" w:rsidP="00EE592E">
      <w:pPr>
        <w:rPr>
          <w:rFonts w:eastAsia="Times New Roman" w:cs="Times New Roman"/>
          <w:lang w:val="en-GB" w:eastAsia="en-GB"/>
        </w:rPr>
      </w:pPr>
    </w:p>
    <w:p w14:paraId="652DF983" w14:textId="77777777" w:rsidR="00EE592E" w:rsidRPr="00EE592E" w:rsidRDefault="00EE592E" w:rsidP="00EE592E">
      <w:pPr>
        <w:rPr>
          <w:rFonts w:eastAsia="Times New Roman" w:cs="Times New Roman"/>
          <w:lang w:val="en-GB" w:eastAsia="en-GB"/>
        </w:rPr>
      </w:pPr>
      <w:r w:rsidRPr="00EE592E">
        <w:rPr>
          <w:rFonts w:eastAsia="Times New Roman" w:cs="Arial"/>
          <w:color w:val="000000"/>
          <w:lang w:val="en-GB" w:eastAsia="en-GB"/>
        </w:rPr>
        <w:t>We will track and measure these costs over the course of the intervention. At the end of the intervention, a final reconciliation of these costs will be published as an appendix to the final paper, alongside a table of the final budget. These costs will be backed by:</w:t>
      </w:r>
    </w:p>
    <w:p w14:paraId="2FC9F1C7" w14:textId="77777777" w:rsidR="00EE592E" w:rsidRPr="00EE592E" w:rsidRDefault="00EE592E" w:rsidP="00D42FF2">
      <w:pPr>
        <w:numPr>
          <w:ilvl w:val="0"/>
          <w:numId w:val="9"/>
        </w:numPr>
        <w:textAlignment w:val="baseline"/>
        <w:rPr>
          <w:rFonts w:eastAsia="Times New Roman" w:cs="Arial"/>
          <w:color w:val="000000"/>
          <w:lang w:val="en-GB" w:eastAsia="en-GB"/>
        </w:rPr>
      </w:pPr>
      <w:r w:rsidRPr="00EE592E">
        <w:rPr>
          <w:rFonts w:eastAsia="Times New Roman" w:cs="Arial"/>
          <w:color w:val="000000"/>
          <w:lang w:val="en-GB" w:eastAsia="en-GB"/>
        </w:rPr>
        <w:t xml:space="preserve">The project’s financial report, pulled from </w:t>
      </w:r>
      <w:r w:rsidRPr="00EE592E">
        <w:rPr>
          <w:rFonts w:eastAsia="Times New Roman" w:cs="Arial"/>
          <w:i/>
          <w:iCs/>
          <w:color w:val="000000"/>
          <w:lang w:val="en-GB" w:eastAsia="en-GB"/>
        </w:rPr>
        <w:t>Intacct</w:t>
      </w:r>
      <w:r w:rsidRPr="00EE592E">
        <w:rPr>
          <w:rFonts w:eastAsia="Times New Roman" w:cs="Arial"/>
          <w:color w:val="000000"/>
          <w:lang w:val="en-GB" w:eastAsia="en-GB"/>
        </w:rPr>
        <w:t xml:space="preserve"> budgeting software</w:t>
      </w:r>
    </w:p>
    <w:p w14:paraId="714D3B4D" w14:textId="77777777" w:rsidR="00EE592E" w:rsidRPr="00EE592E" w:rsidRDefault="00EE592E" w:rsidP="00D42FF2">
      <w:pPr>
        <w:numPr>
          <w:ilvl w:val="0"/>
          <w:numId w:val="9"/>
        </w:numPr>
        <w:spacing w:before="100" w:beforeAutospacing="1" w:after="100" w:afterAutospacing="1"/>
        <w:textAlignment w:val="baseline"/>
        <w:rPr>
          <w:rFonts w:eastAsia="Times New Roman" w:cs="Arial"/>
          <w:color w:val="000000"/>
          <w:lang w:val="en-GB" w:eastAsia="en-GB"/>
        </w:rPr>
      </w:pPr>
      <w:r w:rsidRPr="00EE592E">
        <w:rPr>
          <w:rFonts w:eastAsia="Times New Roman" w:cs="Arial"/>
          <w:color w:val="000000"/>
          <w:lang w:val="en-GB" w:eastAsia="en-GB"/>
        </w:rPr>
        <w:t>GiveDirectly’s regularly audited financial statements at the organisation-wide level</w:t>
      </w:r>
    </w:p>
    <w:p w14:paraId="34350B7D" w14:textId="217CA64E" w:rsidR="00347259" w:rsidRPr="00347259" w:rsidRDefault="00347259" w:rsidP="00036039">
      <w:pPr>
        <w:rPr>
          <w:rFonts w:eastAsia="Times New Roman" w:cs="Times New Roman"/>
          <w:i/>
          <w:color w:val="000000"/>
          <w:lang w:val="en-GB" w:eastAsia="en-GB"/>
        </w:rPr>
      </w:pPr>
    </w:p>
    <w:sectPr w:rsidR="00347259" w:rsidRPr="00347259">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6FFB4" w14:textId="77777777" w:rsidR="00F327FF" w:rsidRDefault="00F327FF" w:rsidP="002D1AFE">
      <w:r>
        <w:separator/>
      </w:r>
    </w:p>
  </w:endnote>
  <w:endnote w:type="continuationSeparator" w:id="0">
    <w:p w14:paraId="4A8E894A" w14:textId="77777777" w:rsidR="00F327FF" w:rsidRDefault="00F327FF" w:rsidP="002D1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4932171"/>
      <w:docPartObj>
        <w:docPartGallery w:val="Page Numbers (Bottom of Page)"/>
        <w:docPartUnique/>
      </w:docPartObj>
    </w:sdtPr>
    <w:sdtEndPr>
      <w:rPr>
        <w:noProof/>
      </w:rPr>
    </w:sdtEndPr>
    <w:sdtContent>
      <w:p w14:paraId="6A2D0773" w14:textId="31148A8D" w:rsidR="005C141C" w:rsidRDefault="005C141C">
        <w:pPr>
          <w:pStyle w:val="Footer"/>
          <w:jc w:val="right"/>
        </w:pPr>
        <w:r>
          <w:fldChar w:fldCharType="begin"/>
        </w:r>
        <w:r>
          <w:instrText xml:space="preserve"> PAGE   \* MERGEFORMAT </w:instrText>
        </w:r>
        <w:r>
          <w:fldChar w:fldCharType="separate"/>
        </w:r>
        <w:r w:rsidR="008F0DC8">
          <w:rPr>
            <w:noProof/>
          </w:rPr>
          <w:t>21</w:t>
        </w:r>
        <w:r>
          <w:rPr>
            <w:noProof/>
          </w:rPr>
          <w:fldChar w:fldCharType="end"/>
        </w:r>
      </w:p>
    </w:sdtContent>
  </w:sdt>
  <w:p w14:paraId="5C83C45B" w14:textId="77777777" w:rsidR="005C141C" w:rsidRDefault="005C14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17FDD5" w14:textId="77777777" w:rsidR="00F327FF" w:rsidRDefault="00F327FF" w:rsidP="002D1AFE">
      <w:r>
        <w:separator/>
      </w:r>
    </w:p>
  </w:footnote>
  <w:footnote w:type="continuationSeparator" w:id="0">
    <w:p w14:paraId="34F47F90" w14:textId="77777777" w:rsidR="00F327FF" w:rsidRDefault="00F327FF" w:rsidP="002D1AFE">
      <w:r>
        <w:continuationSeparator/>
      </w:r>
    </w:p>
  </w:footnote>
  <w:footnote w:id="1">
    <w:p w14:paraId="1342FF97" w14:textId="1352456A" w:rsidR="005C141C" w:rsidRPr="000C6A32" w:rsidRDefault="005C141C" w:rsidP="00D37A77">
      <w:pPr>
        <w:pStyle w:val="NoSpacing"/>
        <w:rPr>
          <w:rFonts w:ascii="Cambria" w:hAnsi="Cambria"/>
          <w:sz w:val="16"/>
          <w:szCs w:val="16"/>
        </w:rPr>
      </w:pPr>
      <w:r w:rsidRPr="000C6A32">
        <w:rPr>
          <w:rStyle w:val="FootnoteReference"/>
          <w:rFonts w:ascii="Cambria" w:hAnsi="Cambria"/>
          <w:sz w:val="16"/>
          <w:szCs w:val="16"/>
        </w:rPr>
        <w:footnoteRef/>
      </w:r>
      <w:r w:rsidRPr="000C6A32">
        <w:rPr>
          <w:rFonts w:ascii="Cambria" w:hAnsi="Cambria"/>
          <w:sz w:val="16"/>
          <w:szCs w:val="16"/>
        </w:rPr>
        <w:t xml:space="preserve"> The survey instrument will also gather qualitative information on beneficiary reactions to the transfers, which will be used alongside the quantitative data to inform future studies and optimize program benefits. </w:t>
      </w:r>
    </w:p>
  </w:footnote>
  <w:footnote w:id="2">
    <w:p w14:paraId="7EA13B8C" w14:textId="48CB74CD" w:rsidR="005C141C" w:rsidRPr="002B37F0" w:rsidRDefault="005C141C">
      <w:pPr>
        <w:pStyle w:val="FootnoteText"/>
        <w:rPr>
          <w:sz w:val="16"/>
          <w:szCs w:val="16"/>
        </w:rPr>
      </w:pPr>
      <w:r w:rsidRPr="002B37F0">
        <w:rPr>
          <w:rStyle w:val="FootnoteReference"/>
          <w:sz w:val="16"/>
          <w:szCs w:val="16"/>
        </w:rPr>
        <w:footnoteRef/>
      </w:r>
      <w:r w:rsidRPr="002B37F0">
        <w:rPr>
          <w:sz w:val="16"/>
          <w:szCs w:val="16"/>
        </w:rPr>
        <w:t xml:space="preserve"> </w:t>
      </w:r>
      <w:r>
        <w:rPr>
          <w:sz w:val="16"/>
          <w:szCs w:val="16"/>
        </w:rPr>
        <w:t>C</w:t>
      </w:r>
      <w:r w:rsidRPr="002B37F0">
        <w:rPr>
          <w:sz w:val="16"/>
          <w:szCs w:val="16"/>
        </w:rPr>
        <w:t>omparison</w:t>
      </w:r>
      <w:r>
        <w:rPr>
          <w:sz w:val="16"/>
          <w:szCs w:val="16"/>
        </w:rPr>
        <w:t>s</w:t>
      </w:r>
      <w:r w:rsidRPr="002B37F0">
        <w:rPr>
          <w:sz w:val="16"/>
          <w:szCs w:val="16"/>
        </w:rPr>
        <w:t xml:space="preserve"> of coffee farmers and non-coffee farmers</w:t>
      </w:r>
      <w:r>
        <w:rPr>
          <w:sz w:val="16"/>
          <w:szCs w:val="16"/>
        </w:rPr>
        <w:t xml:space="preserve"> will be illustrative as statistical test will not be</w:t>
      </w:r>
      <w:r w:rsidRPr="002B37F0">
        <w:rPr>
          <w:sz w:val="16"/>
          <w:szCs w:val="16"/>
        </w:rPr>
        <w:t xml:space="preserve"> powered</w:t>
      </w:r>
      <w:r>
        <w:rPr>
          <w:sz w:val="16"/>
          <w:szCs w:val="16"/>
        </w:rPr>
        <w:t xml:space="preserve"> at conventional </w:t>
      </w:r>
      <w:r w:rsidRPr="005134C2">
        <w:rPr>
          <w:sz w:val="16"/>
          <w:szCs w:val="16"/>
        </w:rPr>
        <w:t xml:space="preserve">levels. </w:t>
      </w:r>
    </w:p>
  </w:footnote>
  <w:footnote w:id="3">
    <w:p w14:paraId="63421546" w14:textId="473E4AF9" w:rsidR="005C141C" w:rsidRPr="007F5202" w:rsidRDefault="005C141C">
      <w:pPr>
        <w:pStyle w:val="FootnoteText"/>
        <w:rPr>
          <w:sz w:val="16"/>
          <w:szCs w:val="16"/>
        </w:rPr>
      </w:pPr>
      <w:r w:rsidRPr="007F5202">
        <w:rPr>
          <w:rStyle w:val="FootnoteReference"/>
          <w:sz w:val="16"/>
          <w:szCs w:val="16"/>
        </w:rPr>
        <w:footnoteRef/>
      </w:r>
      <w:r w:rsidRPr="007F5202">
        <w:rPr>
          <w:sz w:val="16"/>
          <w:szCs w:val="16"/>
        </w:rPr>
        <w:t xml:space="preserve"> </w:t>
      </w:r>
      <w:r>
        <w:rPr>
          <w:sz w:val="16"/>
          <w:szCs w:val="16"/>
        </w:rPr>
        <w:t>GiveDirectly used in-person open-ended interviews to inform program design and to lay the groundwork for their baseline. The GiveDirectly team interviewed</w:t>
      </w:r>
      <w:r w:rsidRPr="007F5202">
        <w:rPr>
          <w:sz w:val="16"/>
          <w:szCs w:val="16"/>
        </w:rPr>
        <w:t xml:space="preserve"> approximately 40 ho</w:t>
      </w:r>
      <w:r>
        <w:rPr>
          <w:sz w:val="16"/>
          <w:szCs w:val="16"/>
        </w:rPr>
        <w:t>useholds on</w:t>
      </w:r>
      <w:r w:rsidRPr="007F5202">
        <w:rPr>
          <w:sz w:val="16"/>
          <w:szCs w:val="16"/>
        </w:rPr>
        <w:t xml:space="preserve"> agricultural</w:t>
      </w:r>
      <w:r>
        <w:rPr>
          <w:sz w:val="16"/>
          <w:szCs w:val="16"/>
        </w:rPr>
        <w:t xml:space="preserve"> practices, asset holdings, etc, during June 2016.</w:t>
      </w:r>
    </w:p>
  </w:footnote>
  <w:footnote w:id="4">
    <w:p w14:paraId="49A8FABE" w14:textId="43346C1F" w:rsidR="005C141C" w:rsidRPr="000C6A32" w:rsidRDefault="005C141C" w:rsidP="001E16C6">
      <w:pPr>
        <w:pStyle w:val="FootnoteText"/>
        <w:rPr>
          <w:sz w:val="16"/>
          <w:szCs w:val="16"/>
        </w:rPr>
      </w:pPr>
      <w:r w:rsidRPr="000C6A32">
        <w:rPr>
          <w:rStyle w:val="FootnoteReference"/>
          <w:sz w:val="16"/>
          <w:szCs w:val="16"/>
        </w:rPr>
        <w:footnoteRef/>
      </w:r>
      <w:r w:rsidRPr="000C6A32">
        <w:rPr>
          <w:sz w:val="16"/>
          <w:szCs w:val="16"/>
        </w:rPr>
        <w:t xml:space="preserve"> This is for ethical reasons. GiveDirectly does not want to exclude the poorest members of a community from immediately receiving </w:t>
      </w:r>
      <w:r>
        <w:rPr>
          <w:sz w:val="16"/>
          <w:szCs w:val="16"/>
        </w:rPr>
        <w:t>a</w:t>
      </w:r>
      <w:r w:rsidRPr="000C6A32">
        <w:rPr>
          <w:sz w:val="16"/>
          <w:szCs w:val="16"/>
        </w:rPr>
        <w:t xml:space="preserve"> </w:t>
      </w:r>
      <w:r>
        <w:rPr>
          <w:sz w:val="16"/>
          <w:szCs w:val="16"/>
        </w:rPr>
        <w:t>cash transfers</w:t>
      </w:r>
      <w:r w:rsidRPr="000C6A32">
        <w:rPr>
          <w:sz w:val="16"/>
          <w:szCs w:val="16"/>
        </w:rPr>
        <w:t xml:space="preserve">. </w:t>
      </w:r>
    </w:p>
  </w:footnote>
  <w:footnote w:id="5">
    <w:p w14:paraId="72A83784" w14:textId="77777777" w:rsidR="005C141C" w:rsidRPr="000C6A32" w:rsidRDefault="005C141C" w:rsidP="001E16C6">
      <w:pPr>
        <w:pStyle w:val="FootnoteText"/>
        <w:rPr>
          <w:sz w:val="16"/>
          <w:szCs w:val="16"/>
        </w:rPr>
      </w:pPr>
      <w:r w:rsidRPr="000C6A32">
        <w:rPr>
          <w:rStyle w:val="FootnoteReference"/>
          <w:sz w:val="16"/>
          <w:szCs w:val="16"/>
        </w:rPr>
        <w:footnoteRef/>
      </w:r>
      <w:r w:rsidRPr="000C6A32">
        <w:rPr>
          <w:sz w:val="16"/>
          <w:szCs w:val="16"/>
        </w:rPr>
        <w:t xml:space="preserve"> This is for research reasons. GiveDirectly is interested in measuring the impact of their cash transfer program on relatively poorer households. </w:t>
      </w:r>
    </w:p>
  </w:footnote>
  <w:footnote w:id="6">
    <w:p w14:paraId="3012AB3F" w14:textId="2CEFBB63" w:rsidR="005C141C" w:rsidRPr="005D3D6A" w:rsidRDefault="005C141C">
      <w:pPr>
        <w:pStyle w:val="FootnoteText"/>
        <w:rPr>
          <w:sz w:val="16"/>
          <w:szCs w:val="16"/>
        </w:rPr>
      </w:pPr>
      <w:r>
        <w:rPr>
          <w:rStyle w:val="FootnoteReference"/>
        </w:rPr>
        <w:footnoteRef/>
      </w:r>
      <w:r>
        <w:t xml:space="preserve"> </w:t>
      </w:r>
      <w:r>
        <w:rPr>
          <w:sz w:val="16"/>
          <w:szCs w:val="16"/>
        </w:rPr>
        <w:t xml:space="preserve">In the case of odd numbers of HHs in groups, we allow matching across the coffee production terciles. Remaining odd HHs were grouped together and repaired based only on their targeting index. </w:t>
      </w:r>
    </w:p>
  </w:footnote>
  <w:footnote w:id="7">
    <w:p w14:paraId="34B4DBF0" w14:textId="0B473E5E" w:rsidR="005C141C" w:rsidRDefault="005C141C">
      <w:pPr>
        <w:pStyle w:val="FootnoteText"/>
      </w:pPr>
      <w:r>
        <w:rPr>
          <w:rStyle w:val="FootnoteReference"/>
        </w:rPr>
        <w:footnoteRef/>
      </w:r>
      <w:r>
        <w:t xml:space="preserve"> </w:t>
      </w:r>
      <w:r w:rsidRPr="0054015E">
        <w:rPr>
          <w:sz w:val="16"/>
          <w:szCs w:val="16"/>
        </w:rPr>
        <w:t xml:space="preserve">By default, we will define coffee farmers </w:t>
      </w:r>
      <w:r w:rsidRPr="0054015E">
        <w:rPr>
          <w:rFonts w:eastAsiaTheme="minorEastAsia"/>
          <w:sz w:val="16"/>
          <w:szCs w:val="16"/>
        </w:rPr>
        <w:t xml:space="preserve">as those harvesting coffee at baseline during either of the previous two seasons (Sept-Dec 2016 or May-June 2016). However, there is a large group of farmers that self-identify as coffee farmers and have coffee trees but did not report harvesting at baseline. One primary reason for this is if they have trees that are too young to produce. If a large proportion of this group (greater than around 70%) reports harvesting coffee at endline, we will redefine the definition of coffee farmer to include this group. </w:t>
      </w:r>
    </w:p>
  </w:footnote>
  <w:footnote w:id="8">
    <w:p w14:paraId="28FBCA27" w14:textId="77D030D9" w:rsidR="005C141C" w:rsidRPr="007F4161" w:rsidRDefault="005C141C">
      <w:pPr>
        <w:pStyle w:val="FootnoteText"/>
        <w:rPr>
          <w:sz w:val="16"/>
          <w:szCs w:val="16"/>
        </w:rPr>
      </w:pPr>
      <w:r>
        <w:rPr>
          <w:rStyle w:val="FootnoteReference"/>
        </w:rPr>
        <w:footnoteRef/>
      </w:r>
      <w:r>
        <w:t xml:space="preserve"> </w:t>
      </w:r>
      <w:r>
        <w:rPr>
          <w:sz w:val="16"/>
          <w:szCs w:val="16"/>
        </w:rPr>
        <w:t xml:space="preserve">Best-practice for paired randomization would involve including all pair dummies as control. Unfortunately, after randomization the pair information was lost in the dataset, and cannot be perfectly recreated due to ties in some of the stratification variables used to create the pairs. Therefore, for analysis we will recreate higher-level strata dummies using all variables used to make the original pairs apart from the targeting index. We will then include all these dummies plus the targeting index as control variables in the regression. </w:t>
      </w:r>
    </w:p>
  </w:footnote>
  <w:footnote w:id="9">
    <w:p w14:paraId="26750725" w14:textId="5473D79E" w:rsidR="005C141C" w:rsidRDefault="005C141C">
      <w:pPr>
        <w:pStyle w:val="FootnoteText"/>
      </w:pPr>
      <w:r>
        <w:rPr>
          <w:rStyle w:val="FootnoteReference"/>
        </w:rPr>
        <w:footnoteRef/>
      </w:r>
      <w:r>
        <w:t xml:space="preserve"> The food security index will be the same as in Hauhofer and Shapiro (2016).   </w:t>
      </w:r>
    </w:p>
  </w:footnote>
  <w:footnote w:id="10">
    <w:p w14:paraId="1E397ED9" w14:textId="61CB306F" w:rsidR="005C141C" w:rsidRDefault="005C141C">
      <w:pPr>
        <w:pStyle w:val="FootnoteText"/>
      </w:pPr>
      <w:r>
        <w:rPr>
          <w:rStyle w:val="FootnoteReference"/>
        </w:rPr>
        <w:footnoteRef/>
      </w:r>
      <w:r>
        <w:t xml:space="preserve"> In order to avoid capturing opposing effects, the consumption index will not include flow spending on durables, such as roof repair. These types of spending could go down as a result of buying new asset. </w:t>
      </w:r>
    </w:p>
  </w:footnote>
  <w:footnote w:id="11">
    <w:p w14:paraId="0897DD78" w14:textId="0B134E5F" w:rsidR="00FE27B9" w:rsidRDefault="00FE27B9">
      <w:pPr>
        <w:pStyle w:val="FootnoteText"/>
      </w:pPr>
      <w:r>
        <w:rPr>
          <w:rStyle w:val="FootnoteReference"/>
        </w:rPr>
        <w:footnoteRef/>
      </w:r>
      <w:r>
        <w:t xml:space="preserve"> Our survey asks about harvest and sales from the most recent harvest season. Given that there are two harvest seasons for most crops in the regions, we convert to an approximate monthly figure by dividing by 6.</w:t>
      </w:r>
    </w:p>
  </w:footnote>
  <w:footnote w:id="12">
    <w:p w14:paraId="56F786B0" w14:textId="45A96AB3" w:rsidR="005C141C" w:rsidRDefault="005C141C">
      <w:pPr>
        <w:pStyle w:val="FootnoteText"/>
      </w:pPr>
      <w:r>
        <w:rPr>
          <w:rStyle w:val="FootnoteReference"/>
        </w:rPr>
        <w:footnoteRef/>
      </w:r>
      <w:r>
        <w:t xml:space="preserve"> Information on PPI can be found here: </w:t>
      </w:r>
      <w:r w:rsidRPr="00297E7D">
        <w:t>http://www.progressoutofpoverty.org/country/uganda</w:t>
      </w:r>
    </w:p>
  </w:footnote>
  <w:footnote w:id="13">
    <w:p w14:paraId="72DE66B6" w14:textId="296A8E8A" w:rsidR="0062416A" w:rsidRDefault="0062416A">
      <w:pPr>
        <w:pStyle w:val="FootnoteText"/>
      </w:pPr>
      <w:r>
        <w:rPr>
          <w:rStyle w:val="FootnoteReference"/>
        </w:rPr>
        <w:footnoteRef/>
      </w:r>
      <w:r>
        <w:t xml:space="preserve"> Some households in the village received transfers even though they were not part of this study.</w:t>
      </w:r>
    </w:p>
  </w:footnote>
  <w:footnote w:id="14">
    <w:p w14:paraId="40B953AD" w14:textId="6525A107" w:rsidR="0062416A" w:rsidRDefault="0062416A">
      <w:pPr>
        <w:pStyle w:val="FootnoteText"/>
      </w:pPr>
      <w:r>
        <w:rPr>
          <w:rStyle w:val="FootnoteReference"/>
        </w:rPr>
        <w:footnoteRef/>
      </w:r>
      <w:r>
        <w:t xml:space="preserve"> We consider land to be shared if the wives report having joint land ownership with other wives or share in agricultural inputs or outputs. There are some situations where wives do not share land with each other, but the husband has an own separate plot of land that is not attached to any wife. We do not consider this a shared land situation.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B35CD"/>
    <w:multiLevelType w:val="hybridMultilevel"/>
    <w:tmpl w:val="4268FECA"/>
    <w:lvl w:ilvl="0" w:tplc="2B444F52">
      <w:start w:val="1"/>
      <w:numFmt w:val="decimal"/>
      <w:pStyle w:val="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50308F"/>
    <w:multiLevelType w:val="hybridMultilevel"/>
    <w:tmpl w:val="F1DAD3EA"/>
    <w:lvl w:ilvl="0" w:tplc="04BE514A">
      <w:start w:val="1"/>
      <w:numFmt w:val="lowerRoman"/>
      <w:lvlText w:val="%1."/>
      <w:lvlJc w:val="left"/>
      <w:pPr>
        <w:ind w:left="1080" w:hanging="720"/>
      </w:pPr>
      <w:rPr>
        <w:rFonts w:cs="Times New Roman"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F7782D"/>
    <w:multiLevelType w:val="hybridMultilevel"/>
    <w:tmpl w:val="696EFF8C"/>
    <w:lvl w:ilvl="0" w:tplc="F7F4F83A">
      <w:start w:val="1"/>
      <w:numFmt w:val="lowerRoman"/>
      <w:lvlText w:val="%1."/>
      <w:lvlJc w:val="left"/>
      <w:pPr>
        <w:ind w:left="1080" w:hanging="720"/>
      </w:pPr>
      <w:rPr>
        <w:rFonts w:cs="Arial" w:hint="default"/>
        <w:color w:val="00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5A0E82"/>
    <w:multiLevelType w:val="hybridMultilevel"/>
    <w:tmpl w:val="119E2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231C71"/>
    <w:multiLevelType w:val="hybridMultilevel"/>
    <w:tmpl w:val="9EB2B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A435F1"/>
    <w:multiLevelType w:val="multilevel"/>
    <w:tmpl w:val="47DC5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2D5D5B"/>
    <w:multiLevelType w:val="hybridMultilevel"/>
    <w:tmpl w:val="6658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6D5FD7"/>
    <w:multiLevelType w:val="hybridMultilevel"/>
    <w:tmpl w:val="195069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797A6A"/>
    <w:multiLevelType w:val="hybridMultilevel"/>
    <w:tmpl w:val="023622E2"/>
    <w:lvl w:ilvl="0" w:tplc="04090001">
      <w:start w:val="1"/>
      <w:numFmt w:val="bullet"/>
      <w:lvlText w:val=""/>
      <w:lvlJc w:val="left"/>
      <w:pPr>
        <w:ind w:left="720" w:hanging="360"/>
      </w:pPr>
      <w:rPr>
        <w:rFonts w:ascii="Symbol" w:hAnsi="Symbol" w:hint="default"/>
      </w:rPr>
    </w:lvl>
    <w:lvl w:ilvl="1" w:tplc="046A8E9A">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5C20E0"/>
    <w:multiLevelType w:val="hybridMultilevel"/>
    <w:tmpl w:val="4CAA7610"/>
    <w:lvl w:ilvl="0" w:tplc="D5281C12">
      <w:start w:val="1"/>
      <w:numFmt w:val="lowerRoman"/>
      <w:lvlText w:val="%1."/>
      <w:lvlJc w:val="left"/>
      <w:pPr>
        <w:ind w:left="1080" w:hanging="720"/>
      </w:pPr>
      <w:rPr>
        <w:rFonts w:cs="Arial" w:hint="default"/>
        <w:color w:val="00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0E30CC4"/>
    <w:multiLevelType w:val="hybridMultilevel"/>
    <w:tmpl w:val="B538A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DD777E"/>
    <w:multiLevelType w:val="hybridMultilevel"/>
    <w:tmpl w:val="F8E4FD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0"/>
  </w:num>
  <w:num w:numId="5">
    <w:abstractNumId w:val="6"/>
  </w:num>
  <w:num w:numId="6">
    <w:abstractNumId w:val="11"/>
  </w:num>
  <w:num w:numId="7">
    <w:abstractNumId w:val="8"/>
  </w:num>
  <w:num w:numId="8">
    <w:abstractNumId w:val="7"/>
  </w:num>
  <w:num w:numId="9">
    <w:abstractNumId w:val="5"/>
  </w:num>
  <w:num w:numId="10">
    <w:abstractNumId w:val="9"/>
  </w:num>
  <w:num w:numId="11">
    <w:abstractNumId w:val="2"/>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0" w:nlCheck="1" w:checkStyle="1"/>
  <w:activeWritingStyle w:appName="MSWord" w:lang="en-GB" w:vendorID="64" w:dllVersion="0"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43F"/>
    <w:rsid w:val="00000CBC"/>
    <w:rsid w:val="000025A9"/>
    <w:rsid w:val="00002A59"/>
    <w:rsid w:val="00002E99"/>
    <w:rsid w:val="000033C4"/>
    <w:rsid w:val="00004A6E"/>
    <w:rsid w:val="00004BC5"/>
    <w:rsid w:val="00004C25"/>
    <w:rsid w:val="000053E1"/>
    <w:rsid w:val="000061BE"/>
    <w:rsid w:val="00006456"/>
    <w:rsid w:val="00006C1A"/>
    <w:rsid w:val="000071DA"/>
    <w:rsid w:val="000079C4"/>
    <w:rsid w:val="00011144"/>
    <w:rsid w:val="00011A4D"/>
    <w:rsid w:val="00011BD5"/>
    <w:rsid w:val="00011E2E"/>
    <w:rsid w:val="00011F79"/>
    <w:rsid w:val="00012072"/>
    <w:rsid w:val="000120A3"/>
    <w:rsid w:val="000126C6"/>
    <w:rsid w:val="000137E7"/>
    <w:rsid w:val="00014476"/>
    <w:rsid w:val="0001588C"/>
    <w:rsid w:val="00016113"/>
    <w:rsid w:val="00016CA2"/>
    <w:rsid w:val="00021123"/>
    <w:rsid w:val="000214B4"/>
    <w:rsid w:val="0002230E"/>
    <w:rsid w:val="00022705"/>
    <w:rsid w:val="00022894"/>
    <w:rsid w:val="00022EB6"/>
    <w:rsid w:val="00023153"/>
    <w:rsid w:val="0002324B"/>
    <w:rsid w:val="00023615"/>
    <w:rsid w:val="000257DB"/>
    <w:rsid w:val="00026C14"/>
    <w:rsid w:val="0003010F"/>
    <w:rsid w:val="000314F6"/>
    <w:rsid w:val="0003155F"/>
    <w:rsid w:val="000315C8"/>
    <w:rsid w:val="00031DA5"/>
    <w:rsid w:val="00033F77"/>
    <w:rsid w:val="000358AE"/>
    <w:rsid w:val="00036039"/>
    <w:rsid w:val="00036963"/>
    <w:rsid w:val="00040B91"/>
    <w:rsid w:val="00042BF6"/>
    <w:rsid w:val="00043089"/>
    <w:rsid w:val="0004333E"/>
    <w:rsid w:val="0004371D"/>
    <w:rsid w:val="00044ADB"/>
    <w:rsid w:val="00044EAD"/>
    <w:rsid w:val="00045F65"/>
    <w:rsid w:val="00045FDB"/>
    <w:rsid w:val="00046C4B"/>
    <w:rsid w:val="00046EE6"/>
    <w:rsid w:val="0005038E"/>
    <w:rsid w:val="00050C4A"/>
    <w:rsid w:val="000512BE"/>
    <w:rsid w:val="00051ACA"/>
    <w:rsid w:val="0005391B"/>
    <w:rsid w:val="00053B58"/>
    <w:rsid w:val="000542B5"/>
    <w:rsid w:val="00056B2D"/>
    <w:rsid w:val="000570EA"/>
    <w:rsid w:val="00060450"/>
    <w:rsid w:val="000605EC"/>
    <w:rsid w:val="00062658"/>
    <w:rsid w:val="00062DE8"/>
    <w:rsid w:val="00062E5B"/>
    <w:rsid w:val="00064E97"/>
    <w:rsid w:val="000655FE"/>
    <w:rsid w:val="00066D5D"/>
    <w:rsid w:val="00067358"/>
    <w:rsid w:val="00067460"/>
    <w:rsid w:val="0006769B"/>
    <w:rsid w:val="00067D5F"/>
    <w:rsid w:val="00070240"/>
    <w:rsid w:val="00070CFA"/>
    <w:rsid w:val="000729C2"/>
    <w:rsid w:val="0007428A"/>
    <w:rsid w:val="00076A10"/>
    <w:rsid w:val="00076EAE"/>
    <w:rsid w:val="0007707C"/>
    <w:rsid w:val="00077C8D"/>
    <w:rsid w:val="00077E5F"/>
    <w:rsid w:val="00077F1B"/>
    <w:rsid w:val="0008032F"/>
    <w:rsid w:val="000804B8"/>
    <w:rsid w:val="00080AD5"/>
    <w:rsid w:val="00082721"/>
    <w:rsid w:val="00083046"/>
    <w:rsid w:val="000835D8"/>
    <w:rsid w:val="00083F1F"/>
    <w:rsid w:val="00083FFE"/>
    <w:rsid w:val="0008418F"/>
    <w:rsid w:val="00084548"/>
    <w:rsid w:val="00084C24"/>
    <w:rsid w:val="00084C8E"/>
    <w:rsid w:val="00086122"/>
    <w:rsid w:val="000865FD"/>
    <w:rsid w:val="00090DFD"/>
    <w:rsid w:val="00092221"/>
    <w:rsid w:val="000929C6"/>
    <w:rsid w:val="00092ACA"/>
    <w:rsid w:val="00092E0F"/>
    <w:rsid w:val="00093D4B"/>
    <w:rsid w:val="00093D80"/>
    <w:rsid w:val="0009400E"/>
    <w:rsid w:val="00094401"/>
    <w:rsid w:val="00094954"/>
    <w:rsid w:val="00094C08"/>
    <w:rsid w:val="00094CAC"/>
    <w:rsid w:val="0009580D"/>
    <w:rsid w:val="00095C4D"/>
    <w:rsid w:val="000979A0"/>
    <w:rsid w:val="00097F45"/>
    <w:rsid w:val="000A01DF"/>
    <w:rsid w:val="000A02C4"/>
    <w:rsid w:val="000A093E"/>
    <w:rsid w:val="000A0A64"/>
    <w:rsid w:val="000A3718"/>
    <w:rsid w:val="000A4E22"/>
    <w:rsid w:val="000A60C8"/>
    <w:rsid w:val="000A62A5"/>
    <w:rsid w:val="000A6766"/>
    <w:rsid w:val="000A6D68"/>
    <w:rsid w:val="000A7708"/>
    <w:rsid w:val="000B0BD4"/>
    <w:rsid w:val="000B0EA9"/>
    <w:rsid w:val="000B15C9"/>
    <w:rsid w:val="000B16DC"/>
    <w:rsid w:val="000B18F1"/>
    <w:rsid w:val="000B1F3D"/>
    <w:rsid w:val="000B1F63"/>
    <w:rsid w:val="000B3170"/>
    <w:rsid w:val="000B32A3"/>
    <w:rsid w:val="000B34D6"/>
    <w:rsid w:val="000B4B7C"/>
    <w:rsid w:val="000B4C4E"/>
    <w:rsid w:val="000B569A"/>
    <w:rsid w:val="000B5AB4"/>
    <w:rsid w:val="000B62E7"/>
    <w:rsid w:val="000B635A"/>
    <w:rsid w:val="000B6497"/>
    <w:rsid w:val="000B6ECE"/>
    <w:rsid w:val="000B6F99"/>
    <w:rsid w:val="000B707D"/>
    <w:rsid w:val="000B76DD"/>
    <w:rsid w:val="000B7D49"/>
    <w:rsid w:val="000C348B"/>
    <w:rsid w:val="000C3DC2"/>
    <w:rsid w:val="000C5558"/>
    <w:rsid w:val="000C6A32"/>
    <w:rsid w:val="000C6BBD"/>
    <w:rsid w:val="000C710C"/>
    <w:rsid w:val="000C743C"/>
    <w:rsid w:val="000D026B"/>
    <w:rsid w:val="000D0E7B"/>
    <w:rsid w:val="000D0F8B"/>
    <w:rsid w:val="000D25E8"/>
    <w:rsid w:val="000D2663"/>
    <w:rsid w:val="000D2CCA"/>
    <w:rsid w:val="000D348C"/>
    <w:rsid w:val="000D5C0D"/>
    <w:rsid w:val="000D5E04"/>
    <w:rsid w:val="000D6E84"/>
    <w:rsid w:val="000D7583"/>
    <w:rsid w:val="000D75E1"/>
    <w:rsid w:val="000D775C"/>
    <w:rsid w:val="000E0372"/>
    <w:rsid w:val="000E1BDA"/>
    <w:rsid w:val="000E1E56"/>
    <w:rsid w:val="000E1F60"/>
    <w:rsid w:val="000E3A6F"/>
    <w:rsid w:val="000E4176"/>
    <w:rsid w:val="000E54E7"/>
    <w:rsid w:val="000E60AE"/>
    <w:rsid w:val="000E62AD"/>
    <w:rsid w:val="000E6712"/>
    <w:rsid w:val="000E7BF5"/>
    <w:rsid w:val="000F0991"/>
    <w:rsid w:val="000F19B8"/>
    <w:rsid w:val="000F204C"/>
    <w:rsid w:val="000F2340"/>
    <w:rsid w:val="000F2B1B"/>
    <w:rsid w:val="000F2EC1"/>
    <w:rsid w:val="000F3017"/>
    <w:rsid w:val="000F34D7"/>
    <w:rsid w:val="000F3903"/>
    <w:rsid w:val="000F40F6"/>
    <w:rsid w:val="000F430E"/>
    <w:rsid w:val="000F44E8"/>
    <w:rsid w:val="000F4528"/>
    <w:rsid w:val="000F5067"/>
    <w:rsid w:val="000F51BD"/>
    <w:rsid w:val="000F6174"/>
    <w:rsid w:val="000F6C67"/>
    <w:rsid w:val="000F6DF9"/>
    <w:rsid w:val="00100FE8"/>
    <w:rsid w:val="0010146C"/>
    <w:rsid w:val="00101520"/>
    <w:rsid w:val="001015AE"/>
    <w:rsid w:val="001018A6"/>
    <w:rsid w:val="001025B8"/>
    <w:rsid w:val="00102649"/>
    <w:rsid w:val="001026D5"/>
    <w:rsid w:val="001027B6"/>
    <w:rsid w:val="0010413A"/>
    <w:rsid w:val="001047E7"/>
    <w:rsid w:val="001054DD"/>
    <w:rsid w:val="00105B40"/>
    <w:rsid w:val="00106264"/>
    <w:rsid w:val="00106426"/>
    <w:rsid w:val="00106783"/>
    <w:rsid w:val="00107F0C"/>
    <w:rsid w:val="0011076B"/>
    <w:rsid w:val="001116D9"/>
    <w:rsid w:val="00112395"/>
    <w:rsid w:val="00112636"/>
    <w:rsid w:val="00112D55"/>
    <w:rsid w:val="001137F1"/>
    <w:rsid w:val="0011398C"/>
    <w:rsid w:val="00113BE2"/>
    <w:rsid w:val="00113E49"/>
    <w:rsid w:val="00113FF5"/>
    <w:rsid w:val="00114A8A"/>
    <w:rsid w:val="0011505D"/>
    <w:rsid w:val="001156A7"/>
    <w:rsid w:val="00115B18"/>
    <w:rsid w:val="001163F9"/>
    <w:rsid w:val="001168F2"/>
    <w:rsid w:val="00116B40"/>
    <w:rsid w:val="001174A8"/>
    <w:rsid w:val="00120880"/>
    <w:rsid w:val="00121F56"/>
    <w:rsid w:val="00122FBC"/>
    <w:rsid w:val="00122FBD"/>
    <w:rsid w:val="0012683A"/>
    <w:rsid w:val="00126EDF"/>
    <w:rsid w:val="00127AC8"/>
    <w:rsid w:val="00130E2F"/>
    <w:rsid w:val="001320B3"/>
    <w:rsid w:val="00132C23"/>
    <w:rsid w:val="00133471"/>
    <w:rsid w:val="0013355D"/>
    <w:rsid w:val="0013456B"/>
    <w:rsid w:val="00134D15"/>
    <w:rsid w:val="00134E12"/>
    <w:rsid w:val="001352A1"/>
    <w:rsid w:val="00135BB6"/>
    <w:rsid w:val="0013650D"/>
    <w:rsid w:val="001365E4"/>
    <w:rsid w:val="00136E90"/>
    <w:rsid w:val="001374ED"/>
    <w:rsid w:val="00137810"/>
    <w:rsid w:val="00140796"/>
    <w:rsid w:val="00140E03"/>
    <w:rsid w:val="0014134A"/>
    <w:rsid w:val="00141C8A"/>
    <w:rsid w:val="00141D05"/>
    <w:rsid w:val="00143F8A"/>
    <w:rsid w:val="001443A1"/>
    <w:rsid w:val="0014496B"/>
    <w:rsid w:val="0014502C"/>
    <w:rsid w:val="001450F8"/>
    <w:rsid w:val="0014687C"/>
    <w:rsid w:val="00146D61"/>
    <w:rsid w:val="001470D0"/>
    <w:rsid w:val="0014720F"/>
    <w:rsid w:val="0014749D"/>
    <w:rsid w:val="0014776C"/>
    <w:rsid w:val="0015016D"/>
    <w:rsid w:val="00150E7F"/>
    <w:rsid w:val="0015348B"/>
    <w:rsid w:val="001541AD"/>
    <w:rsid w:val="00154B62"/>
    <w:rsid w:val="00154BED"/>
    <w:rsid w:val="00154EA9"/>
    <w:rsid w:val="00156368"/>
    <w:rsid w:val="001563D5"/>
    <w:rsid w:val="00156436"/>
    <w:rsid w:val="0015728E"/>
    <w:rsid w:val="001601A9"/>
    <w:rsid w:val="001614D5"/>
    <w:rsid w:val="00162889"/>
    <w:rsid w:val="0016499C"/>
    <w:rsid w:val="001655F1"/>
    <w:rsid w:val="0016628C"/>
    <w:rsid w:val="001665B5"/>
    <w:rsid w:val="001667EE"/>
    <w:rsid w:val="00166ED1"/>
    <w:rsid w:val="0016755B"/>
    <w:rsid w:val="00170D7F"/>
    <w:rsid w:val="001713E0"/>
    <w:rsid w:val="00172508"/>
    <w:rsid w:val="001759D6"/>
    <w:rsid w:val="00175B3A"/>
    <w:rsid w:val="00175BE2"/>
    <w:rsid w:val="001764EF"/>
    <w:rsid w:val="0017728F"/>
    <w:rsid w:val="0018073B"/>
    <w:rsid w:val="0018084F"/>
    <w:rsid w:val="001813BB"/>
    <w:rsid w:val="00181D45"/>
    <w:rsid w:val="001820BD"/>
    <w:rsid w:val="001821FE"/>
    <w:rsid w:val="001831AF"/>
    <w:rsid w:val="0018327A"/>
    <w:rsid w:val="0018431D"/>
    <w:rsid w:val="00187A5D"/>
    <w:rsid w:val="0019012B"/>
    <w:rsid w:val="00191FE3"/>
    <w:rsid w:val="00193610"/>
    <w:rsid w:val="001946DF"/>
    <w:rsid w:val="00194F13"/>
    <w:rsid w:val="00195E67"/>
    <w:rsid w:val="0019672F"/>
    <w:rsid w:val="00196B6F"/>
    <w:rsid w:val="00197D8C"/>
    <w:rsid w:val="001A010C"/>
    <w:rsid w:val="001A03BD"/>
    <w:rsid w:val="001A145C"/>
    <w:rsid w:val="001A4ABC"/>
    <w:rsid w:val="001A6121"/>
    <w:rsid w:val="001A7B8F"/>
    <w:rsid w:val="001A7F42"/>
    <w:rsid w:val="001B004C"/>
    <w:rsid w:val="001B047A"/>
    <w:rsid w:val="001B1D41"/>
    <w:rsid w:val="001B20A5"/>
    <w:rsid w:val="001B21D4"/>
    <w:rsid w:val="001B442F"/>
    <w:rsid w:val="001B44F5"/>
    <w:rsid w:val="001B4AC6"/>
    <w:rsid w:val="001B61C4"/>
    <w:rsid w:val="001B7C07"/>
    <w:rsid w:val="001C0A74"/>
    <w:rsid w:val="001C0C6E"/>
    <w:rsid w:val="001C0D69"/>
    <w:rsid w:val="001C12D8"/>
    <w:rsid w:val="001C1877"/>
    <w:rsid w:val="001C309A"/>
    <w:rsid w:val="001C36F3"/>
    <w:rsid w:val="001C3ADC"/>
    <w:rsid w:val="001C3BD3"/>
    <w:rsid w:val="001C3D30"/>
    <w:rsid w:val="001C3E7D"/>
    <w:rsid w:val="001C4025"/>
    <w:rsid w:val="001C5A30"/>
    <w:rsid w:val="001C5C91"/>
    <w:rsid w:val="001C78D4"/>
    <w:rsid w:val="001C7D19"/>
    <w:rsid w:val="001D011D"/>
    <w:rsid w:val="001D026C"/>
    <w:rsid w:val="001D05E4"/>
    <w:rsid w:val="001D1277"/>
    <w:rsid w:val="001D2590"/>
    <w:rsid w:val="001D31E3"/>
    <w:rsid w:val="001D424D"/>
    <w:rsid w:val="001D4E68"/>
    <w:rsid w:val="001D5C29"/>
    <w:rsid w:val="001D5C45"/>
    <w:rsid w:val="001D658C"/>
    <w:rsid w:val="001E0469"/>
    <w:rsid w:val="001E0ADF"/>
    <w:rsid w:val="001E1283"/>
    <w:rsid w:val="001E16C6"/>
    <w:rsid w:val="001E2158"/>
    <w:rsid w:val="001E2693"/>
    <w:rsid w:val="001E3376"/>
    <w:rsid w:val="001E5361"/>
    <w:rsid w:val="001E58F2"/>
    <w:rsid w:val="001E666D"/>
    <w:rsid w:val="001E7898"/>
    <w:rsid w:val="001E7916"/>
    <w:rsid w:val="001F1CCA"/>
    <w:rsid w:val="001F206F"/>
    <w:rsid w:val="001F2787"/>
    <w:rsid w:val="001F284C"/>
    <w:rsid w:val="001F308D"/>
    <w:rsid w:val="001F4081"/>
    <w:rsid w:val="001F413F"/>
    <w:rsid w:val="001F484A"/>
    <w:rsid w:val="001F4B1F"/>
    <w:rsid w:val="001F5F10"/>
    <w:rsid w:val="001F78D9"/>
    <w:rsid w:val="00200503"/>
    <w:rsid w:val="00202B0B"/>
    <w:rsid w:val="00202E46"/>
    <w:rsid w:val="00202EE7"/>
    <w:rsid w:val="002034AA"/>
    <w:rsid w:val="00203A82"/>
    <w:rsid w:val="00204EF0"/>
    <w:rsid w:val="00205080"/>
    <w:rsid w:val="002051D1"/>
    <w:rsid w:val="00206345"/>
    <w:rsid w:val="00207F7A"/>
    <w:rsid w:val="002101AD"/>
    <w:rsid w:val="002108CC"/>
    <w:rsid w:val="00210CB3"/>
    <w:rsid w:val="00211E7B"/>
    <w:rsid w:val="002128D1"/>
    <w:rsid w:val="00212D3D"/>
    <w:rsid w:val="0021329B"/>
    <w:rsid w:val="002137B5"/>
    <w:rsid w:val="00213A46"/>
    <w:rsid w:val="00214785"/>
    <w:rsid w:val="0021479A"/>
    <w:rsid w:val="00214A5D"/>
    <w:rsid w:val="00214D1C"/>
    <w:rsid w:val="00214D30"/>
    <w:rsid w:val="00214DEE"/>
    <w:rsid w:val="00215A69"/>
    <w:rsid w:val="002165B7"/>
    <w:rsid w:val="00217155"/>
    <w:rsid w:val="00222993"/>
    <w:rsid w:val="00222B13"/>
    <w:rsid w:val="002233B7"/>
    <w:rsid w:val="00223D66"/>
    <w:rsid w:val="00224280"/>
    <w:rsid w:val="00224491"/>
    <w:rsid w:val="00224561"/>
    <w:rsid w:val="00224685"/>
    <w:rsid w:val="00225203"/>
    <w:rsid w:val="002255E8"/>
    <w:rsid w:val="00225940"/>
    <w:rsid w:val="00225F83"/>
    <w:rsid w:val="002300D5"/>
    <w:rsid w:val="002306E0"/>
    <w:rsid w:val="00230E79"/>
    <w:rsid w:val="0023143F"/>
    <w:rsid w:val="00231A5C"/>
    <w:rsid w:val="00232000"/>
    <w:rsid w:val="00232B91"/>
    <w:rsid w:val="002338E4"/>
    <w:rsid w:val="00233AC2"/>
    <w:rsid w:val="002347D7"/>
    <w:rsid w:val="00234C45"/>
    <w:rsid w:val="00234DC7"/>
    <w:rsid w:val="00236A30"/>
    <w:rsid w:val="00236A68"/>
    <w:rsid w:val="002374C2"/>
    <w:rsid w:val="002400AB"/>
    <w:rsid w:val="00240BF6"/>
    <w:rsid w:val="00240EDD"/>
    <w:rsid w:val="0024262B"/>
    <w:rsid w:val="002439DD"/>
    <w:rsid w:val="00244D4F"/>
    <w:rsid w:val="00244D6A"/>
    <w:rsid w:val="00244E83"/>
    <w:rsid w:val="00245519"/>
    <w:rsid w:val="002466FA"/>
    <w:rsid w:val="00246BAA"/>
    <w:rsid w:val="00251CCE"/>
    <w:rsid w:val="00251F2F"/>
    <w:rsid w:val="0025464F"/>
    <w:rsid w:val="00254B7B"/>
    <w:rsid w:val="00255100"/>
    <w:rsid w:val="00255B2F"/>
    <w:rsid w:val="002561ED"/>
    <w:rsid w:val="002565B3"/>
    <w:rsid w:val="00256B8C"/>
    <w:rsid w:val="00256DF5"/>
    <w:rsid w:val="0025705B"/>
    <w:rsid w:val="002578B2"/>
    <w:rsid w:val="00261528"/>
    <w:rsid w:val="00261899"/>
    <w:rsid w:val="00264613"/>
    <w:rsid w:val="0026548E"/>
    <w:rsid w:val="00267C13"/>
    <w:rsid w:val="00270031"/>
    <w:rsid w:val="0027096D"/>
    <w:rsid w:val="00271126"/>
    <w:rsid w:val="00271548"/>
    <w:rsid w:val="0027197C"/>
    <w:rsid w:val="00271A84"/>
    <w:rsid w:val="002726EB"/>
    <w:rsid w:val="002732ED"/>
    <w:rsid w:val="00274580"/>
    <w:rsid w:val="002748F9"/>
    <w:rsid w:val="00274DA8"/>
    <w:rsid w:val="00275BFA"/>
    <w:rsid w:val="00275D93"/>
    <w:rsid w:val="00275FCE"/>
    <w:rsid w:val="00275FE5"/>
    <w:rsid w:val="00276943"/>
    <w:rsid w:val="002806D9"/>
    <w:rsid w:val="002824D7"/>
    <w:rsid w:val="00282CA7"/>
    <w:rsid w:val="00282E2E"/>
    <w:rsid w:val="002831CA"/>
    <w:rsid w:val="002836E7"/>
    <w:rsid w:val="002847E6"/>
    <w:rsid w:val="002848E2"/>
    <w:rsid w:val="00284B49"/>
    <w:rsid w:val="00285423"/>
    <w:rsid w:val="002858C3"/>
    <w:rsid w:val="00285AEB"/>
    <w:rsid w:val="00285FB7"/>
    <w:rsid w:val="00285FBA"/>
    <w:rsid w:val="00286725"/>
    <w:rsid w:val="002901FB"/>
    <w:rsid w:val="00292F90"/>
    <w:rsid w:val="00293860"/>
    <w:rsid w:val="002950C1"/>
    <w:rsid w:val="0029514E"/>
    <w:rsid w:val="00297C1E"/>
    <w:rsid w:val="00297E7D"/>
    <w:rsid w:val="002A0179"/>
    <w:rsid w:val="002A0924"/>
    <w:rsid w:val="002A1160"/>
    <w:rsid w:val="002A1963"/>
    <w:rsid w:val="002A1BCB"/>
    <w:rsid w:val="002A2060"/>
    <w:rsid w:val="002A3D98"/>
    <w:rsid w:val="002A489D"/>
    <w:rsid w:val="002A4D33"/>
    <w:rsid w:val="002A665B"/>
    <w:rsid w:val="002A7EE7"/>
    <w:rsid w:val="002B10F5"/>
    <w:rsid w:val="002B2650"/>
    <w:rsid w:val="002B31F1"/>
    <w:rsid w:val="002B3210"/>
    <w:rsid w:val="002B3719"/>
    <w:rsid w:val="002B37F0"/>
    <w:rsid w:val="002B3816"/>
    <w:rsid w:val="002B3A5F"/>
    <w:rsid w:val="002B4068"/>
    <w:rsid w:val="002B4CE5"/>
    <w:rsid w:val="002B537F"/>
    <w:rsid w:val="002B6663"/>
    <w:rsid w:val="002B6D26"/>
    <w:rsid w:val="002B71E5"/>
    <w:rsid w:val="002C1AE8"/>
    <w:rsid w:val="002C203E"/>
    <w:rsid w:val="002C2114"/>
    <w:rsid w:val="002C2455"/>
    <w:rsid w:val="002C27A1"/>
    <w:rsid w:val="002C3206"/>
    <w:rsid w:val="002C3FAC"/>
    <w:rsid w:val="002C52A7"/>
    <w:rsid w:val="002C626D"/>
    <w:rsid w:val="002C63D2"/>
    <w:rsid w:val="002C7B9B"/>
    <w:rsid w:val="002D066A"/>
    <w:rsid w:val="002D0C51"/>
    <w:rsid w:val="002D1285"/>
    <w:rsid w:val="002D1AFE"/>
    <w:rsid w:val="002D2865"/>
    <w:rsid w:val="002D3490"/>
    <w:rsid w:val="002D39FC"/>
    <w:rsid w:val="002D4845"/>
    <w:rsid w:val="002D4B3D"/>
    <w:rsid w:val="002D577B"/>
    <w:rsid w:val="002D589E"/>
    <w:rsid w:val="002D6D7F"/>
    <w:rsid w:val="002D7830"/>
    <w:rsid w:val="002E0515"/>
    <w:rsid w:val="002E1B4D"/>
    <w:rsid w:val="002E23F6"/>
    <w:rsid w:val="002E265E"/>
    <w:rsid w:val="002E2FBC"/>
    <w:rsid w:val="002E4130"/>
    <w:rsid w:val="002E4A22"/>
    <w:rsid w:val="002E56D0"/>
    <w:rsid w:val="002E5EA1"/>
    <w:rsid w:val="002E5ED3"/>
    <w:rsid w:val="002E6715"/>
    <w:rsid w:val="002E67F4"/>
    <w:rsid w:val="002E7DF7"/>
    <w:rsid w:val="002F06F2"/>
    <w:rsid w:val="002F1552"/>
    <w:rsid w:val="002F2093"/>
    <w:rsid w:val="002F2215"/>
    <w:rsid w:val="002F23D1"/>
    <w:rsid w:val="002F2799"/>
    <w:rsid w:val="002F3978"/>
    <w:rsid w:val="002F3B8A"/>
    <w:rsid w:val="002F4AA5"/>
    <w:rsid w:val="002F52F3"/>
    <w:rsid w:val="002F604F"/>
    <w:rsid w:val="002F63AD"/>
    <w:rsid w:val="002F6E7F"/>
    <w:rsid w:val="002F768D"/>
    <w:rsid w:val="002F7778"/>
    <w:rsid w:val="003024E1"/>
    <w:rsid w:val="0030279C"/>
    <w:rsid w:val="00303358"/>
    <w:rsid w:val="003036B4"/>
    <w:rsid w:val="0030380F"/>
    <w:rsid w:val="00303D5C"/>
    <w:rsid w:val="00304C43"/>
    <w:rsid w:val="003053A8"/>
    <w:rsid w:val="003055A0"/>
    <w:rsid w:val="003076AE"/>
    <w:rsid w:val="003100C4"/>
    <w:rsid w:val="00310334"/>
    <w:rsid w:val="00312FB5"/>
    <w:rsid w:val="003131C1"/>
    <w:rsid w:val="003139A9"/>
    <w:rsid w:val="00315BFD"/>
    <w:rsid w:val="00316945"/>
    <w:rsid w:val="00316C3F"/>
    <w:rsid w:val="00320A51"/>
    <w:rsid w:val="00321D2A"/>
    <w:rsid w:val="0032206A"/>
    <w:rsid w:val="003241AC"/>
    <w:rsid w:val="00324208"/>
    <w:rsid w:val="00325332"/>
    <w:rsid w:val="00325DFC"/>
    <w:rsid w:val="00325EBE"/>
    <w:rsid w:val="003279D6"/>
    <w:rsid w:val="00327C40"/>
    <w:rsid w:val="003302BF"/>
    <w:rsid w:val="00330A44"/>
    <w:rsid w:val="00330C12"/>
    <w:rsid w:val="0033133B"/>
    <w:rsid w:val="003315FE"/>
    <w:rsid w:val="00331ED9"/>
    <w:rsid w:val="003333B4"/>
    <w:rsid w:val="00333880"/>
    <w:rsid w:val="00334A89"/>
    <w:rsid w:val="00334E59"/>
    <w:rsid w:val="003374A7"/>
    <w:rsid w:val="00340EE4"/>
    <w:rsid w:val="00341758"/>
    <w:rsid w:val="003417D0"/>
    <w:rsid w:val="00343087"/>
    <w:rsid w:val="0034569C"/>
    <w:rsid w:val="00345982"/>
    <w:rsid w:val="00347259"/>
    <w:rsid w:val="00347801"/>
    <w:rsid w:val="00347EC6"/>
    <w:rsid w:val="003506A3"/>
    <w:rsid w:val="00350A75"/>
    <w:rsid w:val="00350B84"/>
    <w:rsid w:val="003516B9"/>
    <w:rsid w:val="00352D81"/>
    <w:rsid w:val="003534D7"/>
    <w:rsid w:val="00353997"/>
    <w:rsid w:val="003549D0"/>
    <w:rsid w:val="003560D9"/>
    <w:rsid w:val="00356A48"/>
    <w:rsid w:val="00360349"/>
    <w:rsid w:val="00360AF8"/>
    <w:rsid w:val="00360C0A"/>
    <w:rsid w:val="003612E8"/>
    <w:rsid w:val="003640EB"/>
    <w:rsid w:val="00364FE3"/>
    <w:rsid w:val="0036557A"/>
    <w:rsid w:val="00366406"/>
    <w:rsid w:val="003700C6"/>
    <w:rsid w:val="00371A64"/>
    <w:rsid w:val="00372EBF"/>
    <w:rsid w:val="00373367"/>
    <w:rsid w:val="0037388E"/>
    <w:rsid w:val="00373A4D"/>
    <w:rsid w:val="00373EF4"/>
    <w:rsid w:val="00374207"/>
    <w:rsid w:val="00375418"/>
    <w:rsid w:val="003754F5"/>
    <w:rsid w:val="00375C7B"/>
    <w:rsid w:val="00375E5A"/>
    <w:rsid w:val="00380150"/>
    <w:rsid w:val="00381445"/>
    <w:rsid w:val="00384298"/>
    <w:rsid w:val="00386398"/>
    <w:rsid w:val="003863B4"/>
    <w:rsid w:val="00386D8C"/>
    <w:rsid w:val="00386FA6"/>
    <w:rsid w:val="00390913"/>
    <w:rsid w:val="00391829"/>
    <w:rsid w:val="00391E3D"/>
    <w:rsid w:val="0039228D"/>
    <w:rsid w:val="00393D6D"/>
    <w:rsid w:val="003949C6"/>
    <w:rsid w:val="003954B1"/>
    <w:rsid w:val="0039586B"/>
    <w:rsid w:val="0039603A"/>
    <w:rsid w:val="00397900"/>
    <w:rsid w:val="003A0BBC"/>
    <w:rsid w:val="003A113A"/>
    <w:rsid w:val="003A136F"/>
    <w:rsid w:val="003A1CBE"/>
    <w:rsid w:val="003A26D2"/>
    <w:rsid w:val="003A2769"/>
    <w:rsid w:val="003A2A28"/>
    <w:rsid w:val="003A2EF3"/>
    <w:rsid w:val="003A3C87"/>
    <w:rsid w:val="003A3EA4"/>
    <w:rsid w:val="003A44A0"/>
    <w:rsid w:val="003A4954"/>
    <w:rsid w:val="003A4EB0"/>
    <w:rsid w:val="003A5C7E"/>
    <w:rsid w:val="003A6003"/>
    <w:rsid w:val="003A64C2"/>
    <w:rsid w:val="003A6634"/>
    <w:rsid w:val="003A6949"/>
    <w:rsid w:val="003A708C"/>
    <w:rsid w:val="003B015B"/>
    <w:rsid w:val="003B02A5"/>
    <w:rsid w:val="003B0D20"/>
    <w:rsid w:val="003B1400"/>
    <w:rsid w:val="003B158D"/>
    <w:rsid w:val="003B1864"/>
    <w:rsid w:val="003B1B81"/>
    <w:rsid w:val="003B22E6"/>
    <w:rsid w:val="003B236F"/>
    <w:rsid w:val="003B2848"/>
    <w:rsid w:val="003B2CE6"/>
    <w:rsid w:val="003B2D61"/>
    <w:rsid w:val="003B4351"/>
    <w:rsid w:val="003B47C7"/>
    <w:rsid w:val="003B6762"/>
    <w:rsid w:val="003B6980"/>
    <w:rsid w:val="003B7E6B"/>
    <w:rsid w:val="003C0671"/>
    <w:rsid w:val="003C0775"/>
    <w:rsid w:val="003C0897"/>
    <w:rsid w:val="003C0B89"/>
    <w:rsid w:val="003C126A"/>
    <w:rsid w:val="003C1755"/>
    <w:rsid w:val="003C29C8"/>
    <w:rsid w:val="003C2FB7"/>
    <w:rsid w:val="003C3963"/>
    <w:rsid w:val="003C5BA0"/>
    <w:rsid w:val="003C5EE2"/>
    <w:rsid w:val="003C60CC"/>
    <w:rsid w:val="003C6862"/>
    <w:rsid w:val="003C6B33"/>
    <w:rsid w:val="003C7126"/>
    <w:rsid w:val="003D083C"/>
    <w:rsid w:val="003D0A0C"/>
    <w:rsid w:val="003D120C"/>
    <w:rsid w:val="003D2745"/>
    <w:rsid w:val="003D463B"/>
    <w:rsid w:val="003D4D4B"/>
    <w:rsid w:val="003D7401"/>
    <w:rsid w:val="003D748F"/>
    <w:rsid w:val="003D7BD3"/>
    <w:rsid w:val="003E16C7"/>
    <w:rsid w:val="003E17B9"/>
    <w:rsid w:val="003E1ED7"/>
    <w:rsid w:val="003E321F"/>
    <w:rsid w:val="003E3890"/>
    <w:rsid w:val="003E39BE"/>
    <w:rsid w:val="003E3E2F"/>
    <w:rsid w:val="003E7088"/>
    <w:rsid w:val="003F0214"/>
    <w:rsid w:val="003F1980"/>
    <w:rsid w:val="003F1C5E"/>
    <w:rsid w:val="003F3A53"/>
    <w:rsid w:val="003F40C9"/>
    <w:rsid w:val="003F45EF"/>
    <w:rsid w:val="003F4A0D"/>
    <w:rsid w:val="003F603B"/>
    <w:rsid w:val="003F6850"/>
    <w:rsid w:val="003F6C57"/>
    <w:rsid w:val="003F6E23"/>
    <w:rsid w:val="003F7634"/>
    <w:rsid w:val="0040043D"/>
    <w:rsid w:val="00402238"/>
    <w:rsid w:val="00402B40"/>
    <w:rsid w:val="004036F0"/>
    <w:rsid w:val="00406AA0"/>
    <w:rsid w:val="00406C94"/>
    <w:rsid w:val="00406EDB"/>
    <w:rsid w:val="00407673"/>
    <w:rsid w:val="00407F29"/>
    <w:rsid w:val="00410701"/>
    <w:rsid w:val="00410ECA"/>
    <w:rsid w:val="004115E0"/>
    <w:rsid w:val="00411E7E"/>
    <w:rsid w:val="004127EC"/>
    <w:rsid w:val="00412E35"/>
    <w:rsid w:val="00413A5E"/>
    <w:rsid w:val="0041447B"/>
    <w:rsid w:val="0041646F"/>
    <w:rsid w:val="00416CC9"/>
    <w:rsid w:val="004172CB"/>
    <w:rsid w:val="00417AFD"/>
    <w:rsid w:val="00420176"/>
    <w:rsid w:val="00420BAD"/>
    <w:rsid w:val="00421456"/>
    <w:rsid w:val="004218EF"/>
    <w:rsid w:val="00422264"/>
    <w:rsid w:val="0042250F"/>
    <w:rsid w:val="00423225"/>
    <w:rsid w:val="00423379"/>
    <w:rsid w:val="00423D32"/>
    <w:rsid w:val="00424675"/>
    <w:rsid w:val="004248FE"/>
    <w:rsid w:val="00425134"/>
    <w:rsid w:val="00425846"/>
    <w:rsid w:val="00426A16"/>
    <w:rsid w:val="00426C7F"/>
    <w:rsid w:val="00427F49"/>
    <w:rsid w:val="0043043F"/>
    <w:rsid w:val="00430D49"/>
    <w:rsid w:val="0043211A"/>
    <w:rsid w:val="00432899"/>
    <w:rsid w:val="0043385E"/>
    <w:rsid w:val="00433F6B"/>
    <w:rsid w:val="0043445F"/>
    <w:rsid w:val="00434513"/>
    <w:rsid w:val="004364DD"/>
    <w:rsid w:val="004366B9"/>
    <w:rsid w:val="00436CBD"/>
    <w:rsid w:val="00440074"/>
    <w:rsid w:val="00441873"/>
    <w:rsid w:val="00441C3D"/>
    <w:rsid w:val="004427C1"/>
    <w:rsid w:val="00443299"/>
    <w:rsid w:val="004432AB"/>
    <w:rsid w:val="004438E9"/>
    <w:rsid w:val="004448F7"/>
    <w:rsid w:val="00444CA0"/>
    <w:rsid w:val="00445E8D"/>
    <w:rsid w:val="0044635D"/>
    <w:rsid w:val="00447200"/>
    <w:rsid w:val="00447A0D"/>
    <w:rsid w:val="0045137C"/>
    <w:rsid w:val="0045163B"/>
    <w:rsid w:val="00451C39"/>
    <w:rsid w:val="004526B9"/>
    <w:rsid w:val="004536AF"/>
    <w:rsid w:val="00453D5B"/>
    <w:rsid w:val="004542C5"/>
    <w:rsid w:val="004544AB"/>
    <w:rsid w:val="00454F5E"/>
    <w:rsid w:val="00454FDA"/>
    <w:rsid w:val="00455029"/>
    <w:rsid w:val="004558D6"/>
    <w:rsid w:val="0045591F"/>
    <w:rsid w:val="00456F9C"/>
    <w:rsid w:val="0045756B"/>
    <w:rsid w:val="00460918"/>
    <w:rsid w:val="004614AC"/>
    <w:rsid w:val="0046160D"/>
    <w:rsid w:val="00461BC3"/>
    <w:rsid w:val="0046357E"/>
    <w:rsid w:val="00464394"/>
    <w:rsid w:val="00464CA4"/>
    <w:rsid w:val="00465755"/>
    <w:rsid w:val="004663F8"/>
    <w:rsid w:val="00466622"/>
    <w:rsid w:val="0046699D"/>
    <w:rsid w:val="00467149"/>
    <w:rsid w:val="00467605"/>
    <w:rsid w:val="00467923"/>
    <w:rsid w:val="00470482"/>
    <w:rsid w:val="00471D00"/>
    <w:rsid w:val="00472B4E"/>
    <w:rsid w:val="0047313F"/>
    <w:rsid w:val="00473153"/>
    <w:rsid w:val="0047494D"/>
    <w:rsid w:val="00475675"/>
    <w:rsid w:val="0047596C"/>
    <w:rsid w:val="00475FF2"/>
    <w:rsid w:val="00476331"/>
    <w:rsid w:val="00476E1D"/>
    <w:rsid w:val="00477A80"/>
    <w:rsid w:val="00477B7F"/>
    <w:rsid w:val="00481063"/>
    <w:rsid w:val="00482F06"/>
    <w:rsid w:val="00483500"/>
    <w:rsid w:val="0048407B"/>
    <w:rsid w:val="00484A0E"/>
    <w:rsid w:val="00484FE7"/>
    <w:rsid w:val="00485CCF"/>
    <w:rsid w:val="00485CD2"/>
    <w:rsid w:val="004860B1"/>
    <w:rsid w:val="0048675F"/>
    <w:rsid w:val="00491D69"/>
    <w:rsid w:val="004920F1"/>
    <w:rsid w:val="00492862"/>
    <w:rsid w:val="00492AC0"/>
    <w:rsid w:val="00492B07"/>
    <w:rsid w:val="0049348B"/>
    <w:rsid w:val="00493AEF"/>
    <w:rsid w:val="00493E13"/>
    <w:rsid w:val="00494B15"/>
    <w:rsid w:val="00494DA3"/>
    <w:rsid w:val="004955D4"/>
    <w:rsid w:val="00496097"/>
    <w:rsid w:val="0049630D"/>
    <w:rsid w:val="00496F7B"/>
    <w:rsid w:val="004A0011"/>
    <w:rsid w:val="004A022E"/>
    <w:rsid w:val="004A149F"/>
    <w:rsid w:val="004A186B"/>
    <w:rsid w:val="004A1CFF"/>
    <w:rsid w:val="004A2D97"/>
    <w:rsid w:val="004A3C90"/>
    <w:rsid w:val="004A47CC"/>
    <w:rsid w:val="004A4E46"/>
    <w:rsid w:val="004A51BA"/>
    <w:rsid w:val="004A561E"/>
    <w:rsid w:val="004A5A7E"/>
    <w:rsid w:val="004A69EF"/>
    <w:rsid w:val="004A7C6C"/>
    <w:rsid w:val="004B0389"/>
    <w:rsid w:val="004B086B"/>
    <w:rsid w:val="004B0A53"/>
    <w:rsid w:val="004B1954"/>
    <w:rsid w:val="004B3244"/>
    <w:rsid w:val="004B392A"/>
    <w:rsid w:val="004B3ED8"/>
    <w:rsid w:val="004B40A5"/>
    <w:rsid w:val="004B42AF"/>
    <w:rsid w:val="004B42F0"/>
    <w:rsid w:val="004B4E82"/>
    <w:rsid w:val="004B5355"/>
    <w:rsid w:val="004B571D"/>
    <w:rsid w:val="004B6EC7"/>
    <w:rsid w:val="004B7765"/>
    <w:rsid w:val="004B7DE3"/>
    <w:rsid w:val="004C0387"/>
    <w:rsid w:val="004C03A7"/>
    <w:rsid w:val="004C1672"/>
    <w:rsid w:val="004C1F9B"/>
    <w:rsid w:val="004C22F8"/>
    <w:rsid w:val="004C27DF"/>
    <w:rsid w:val="004C296F"/>
    <w:rsid w:val="004C3194"/>
    <w:rsid w:val="004C4D53"/>
    <w:rsid w:val="004C521A"/>
    <w:rsid w:val="004C5479"/>
    <w:rsid w:val="004C5904"/>
    <w:rsid w:val="004C61F3"/>
    <w:rsid w:val="004C71CE"/>
    <w:rsid w:val="004C757D"/>
    <w:rsid w:val="004C787A"/>
    <w:rsid w:val="004D09C8"/>
    <w:rsid w:val="004D0C80"/>
    <w:rsid w:val="004D0CB5"/>
    <w:rsid w:val="004D10F1"/>
    <w:rsid w:val="004D2A2D"/>
    <w:rsid w:val="004D3756"/>
    <w:rsid w:val="004D397B"/>
    <w:rsid w:val="004D43E9"/>
    <w:rsid w:val="004D6105"/>
    <w:rsid w:val="004D778D"/>
    <w:rsid w:val="004E03FC"/>
    <w:rsid w:val="004E26C7"/>
    <w:rsid w:val="004E36EB"/>
    <w:rsid w:val="004E3DE0"/>
    <w:rsid w:val="004E5700"/>
    <w:rsid w:val="004E574E"/>
    <w:rsid w:val="004E6403"/>
    <w:rsid w:val="004E6623"/>
    <w:rsid w:val="004E7434"/>
    <w:rsid w:val="004E76E2"/>
    <w:rsid w:val="004F09A4"/>
    <w:rsid w:val="004F0E29"/>
    <w:rsid w:val="004F1256"/>
    <w:rsid w:val="004F187B"/>
    <w:rsid w:val="004F26CD"/>
    <w:rsid w:val="004F26D9"/>
    <w:rsid w:val="004F49F2"/>
    <w:rsid w:val="004F4FDC"/>
    <w:rsid w:val="004F5ABC"/>
    <w:rsid w:val="004F5F1F"/>
    <w:rsid w:val="004F779B"/>
    <w:rsid w:val="00501FBD"/>
    <w:rsid w:val="0050272C"/>
    <w:rsid w:val="00502799"/>
    <w:rsid w:val="00502A8C"/>
    <w:rsid w:val="00502CDF"/>
    <w:rsid w:val="00502DC9"/>
    <w:rsid w:val="005035D6"/>
    <w:rsid w:val="0050449B"/>
    <w:rsid w:val="005044DA"/>
    <w:rsid w:val="00504522"/>
    <w:rsid w:val="00504723"/>
    <w:rsid w:val="0050546E"/>
    <w:rsid w:val="00505C26"/>
    <w:rsid w:val="005063CA"/>
    <w:rsid w:val="00506FA7"/>
    <w:rsid w:val="00507007"/>
    <w:rsid w:val="0050753C"/>
    <w:rsid w:val="00507F34"/>
    <w:rsid w:val="0051083F"/>
    <w:rsid w:val="00510F51"/>
    <w:rsid w:val="00512542"/>
    <w:rsid w:val="005129A7"/>
    <w:rsid w:val="005129F9"/>
    <w:rsid w:val="005133A6"/>
    <w:rsid w:val="005134C2"/>
    <w:rsid w:val="00513D69"/>
    <w:rsid w:val="005145EE"/>
    <w:rsid w:val="00514A15"/>
    <w:rsid w:val="00514B8B"/>
    <w:rsid w:val="00514EBE"/>
    <w:rsid w:val="00516049"/>
    <w:rsid w:val="005164C0"/>
    <w:rsid w:val="00516719"/>
    <w:rsid w:val="0051692F"/>
    <w:rsid w:val="00516966"/>
    <w:rsid w:val="00516FE6"/>
    <w:rsid w:val="005173D8"/>
    <w:rsid w:val="0051754C"/>
    <w:rsid w:val="0052011F"/>
    <w:rsid w:val="00520248"/>
    <w:rsid w:val="00520C44"/>
    <w:rsid w:val="005213A0"/>
    <w:rsid w:val="00521A4B"/>
    <w:rsid w:val="00522108"/>
    <w:rsid w:val="00523E53"/>
    <w:rsid w:val="00524A05"/>
    <w:rsid w:val="00525E93"/>
    <w:rsid w:val="00526464"/>
    <w:rsid w:val="00530871"/>
    <w:rsid w:val="0053235C"/>
    <w:rsid w:val="0053361B"/>
    <w:rsid w:val="00534452"/>
    <w:rsid w:val="00534712"/>
    <w:rsid w:val="00534AD0"/>
    <w:rsid w:val="00536208"/>
    <w:rsid w:val="005362B1"/>
    <w:rsid w:val="00536D6E"/>
    <w:rsid w:val="0054015E"/>
    <w:rsid w:val="00540666"/>
    <w:rsid w:val="00540769"/>
    <w:rsid w:val="00540EE4"/>
    <w:rsid w:val="0054145D"/>
    <w:rsid w:val="005417C8"/>
    <w:rsid w:val="0054195D"/>
    <w:rsid w:val="00541A18"/>
    <w:rsid w:val="00541C0C"/>
    <w:rsid w:val="005420E7"/>
    <w:rsid w:val="00542CE5"/>
    <w:rsid w:val="00543A58"/>
    <w:rsid w:val="00543B77"/>
    <w:rsid w:val="005446D5"/>
    <w:rsid w:val="005457F0"/>
    <w:rsid w:val="00545F64"/>
    <w:rsid w:val="00546A3C"/>
    <w:rsid w:val="0054746B"/>
    <w:rsid w:val="00547AAB"/>
    <w:rsid w:val="00547B71"/>
    <w:rsid w:val="00547B75"/>
    <w:rsid w:val="0055094B"/>
    <w:rsid w:val="005520BD"/>
    <w:rsid w:val="0055301D"/>
    <w:rsid w:val="005539B7"/>
    <w:rsid w:val="00553EE2"/>
    <w:rsid w:val="005544E9"/>
    <w:rsid w:val="005560AF"/>
    <w:rsid w:val="00556A01"/>
    <w:rsid w:val="00557125"/>
    <w:rsid w:val="0055714C"/>
    <w:rsid w:val="005578A4"/>
    <w:rsid w:val="00561634"/>
    <w:rsid w:val="00561EB7"/>
    <w:rsid w:val="005623B8"/>
    <w:rsid w:val="00562A8E"/>
    <w:rsid w:val="00563EF1"/>
    <w:rsid w:val="00564451"/>
    <w:rsid w:val="00564C92"/>
    <w:rsid w:val="00566F89"/>
    <w:rsid w:val="00567AB7"/>
    <w:rsid w:val="00567DA3"/>
    <w:rsid w:val="00567DA8"/>
    <w:rsid w:val="00571006"/>
    <w:rsid w:val="00571FF0"/>
    <w:rsid w:val="00572001"/>
    <w:rsid w:val="00573652"/>
    <w:rsid w:val="00573ECF"/>
    <w:rsid w:val="00575964"/>
    <w:rsid w:val="00575D68"/>
    <w:rsid w:val="0057758E"/>
    <w:rsid w:val="0057776A"/>
    <w:rsid w:val="005810FD"/>
    <w:rsid w:val="00581C4D"/>
    <w:rsid w:val="00581F24"/>
    <w:rsid w:val="0058201D"/>
    <w:rsid w:val="005829FB"/>
    <w:rsid w:val="00583C07"/>
    <w:rsid w:val="0058609E"/>
    <w:rsid w:val="00586E3A"/>
    <w:rsid w:val="00587C65"/>
    <w:rsid w:val="00590945"/>
    <w:rsid w:val="00590A2B"/>
    <w:rsid w:val="00592973"/>
    <w:rsid w:val="00593828"/>
    <w:rsid w:val="005938C8"/>
    <w:rsid w:val="0059436C"/>
    <w:rsid w:val="0059506C"/>
    <w:rsid w:val="005956F7"/>
    <w:rsid w:val="00595F0F"/>
    <w:rsid w:val="005977AA"/>
    <w:rsid w:val="005A15C4"/>
    <w:rsid w:val="005A1D38"/>
    <w:rsid w:val="005A24BA"/>
    <w:rsid w:val="005A2943"/>
    <w:rsid w:val="005A3DB0"/>
    <w:rsid w:val="005A477E"/>
    <w:rsid w:val="005A4DB6"/>
    <w:rsid w:val="005A58F2"/>
    <w:rsid w:val="005A60D2"/>
    <w:rsid w:val="005A70E0"/>
    <w:rsid w:val="005B0586"/>
    <w:rsid w:val="005B0E41"/>
    <w:rsid w:val="005B15FD"/>
    <w:rsid w:val="005B183C"/>
    <w:rsid w:val="005B1EB3"/>
    <w:rsid w:val="005B20C7"/>
    <w:rsid w:val="005B254D"/>
    <w:rsid w:val="005B27D6"/>
    <w:rsid w:val="005B28CE"/>
    <w:rsid w:val="005B31B0"/>
    <w:rsid w:val="005B3FBD"/>
    <w:rsid w:val="005B4348"/>
    <w:rsid w:val="005B4C37"/>
    <w:rsid w:val="005B54D3"/>
    <w:rsid w:val="005B5577"/>
    <w:rsid w:val="005B58A4"/>
    <w:rsid w:val="005B66E3"/>
    <w:rsid w:val="005B6D19"/>
    <w:rsid w:val="005B6F32"/>
    <w:rsid w:val="005C0C6E"/>
    <w:rsid w:val="005C141C"/>
    <w:rsid w:val="005C204E"/>
    <w:rsid w:val="005C39BD"/>
    <w:rsid w:val="005C63BF"/>
    <w:rsid w:val="005C67C3"/>
    <w:rsid w:val="005C7626"/>
    <w:rsid w:val="005C7D9B"/>
    <w:rsid w:val="005D053F"/>
    <w:rsid w:val="005D152E"/>
    <w:rsid w:val="005D190F"/>
    <w:rsid w:val="005D247E"/>
    <w:rsid w:val="005D2540"/>
    <w:rsid w:val="005D33FF"/>
    <w:rsid w:val="005D3CF4"/>
    <w:rsid w:val="005D3D6A"/>
    <w:rsid w:val="005D43E7"/>
    <w:rsid w:val="005D4607"/>
    <w:rsid w:val="005D551F"/>
    <w:rsid w:val="005D56BC"/>
    <w:rsid w:val="005D6948"/>
    <w:rsid w:val="005D6C1F"/>
    <w:rsid w:val="005D7606"/>
    <w:rsid w:val="005E0375"/>
    <w:rsid w:val="005E1CBF"/>
    <w:rsid w:val="005E1F57"/>
    <w:rsid w:val="005E2178"/>
    <w:rsid w:val="005E22E9"/>
    <w:rsid w:val="005E2A80"/>
    <w:rsid w:val="005E2F18"/>
    <w:rsid w:val="005E408A"/>
    <w:rsid w:val="005E534E"/>
    <w:rsid w:val="005E6055"/>
    <w:rsid w:val="005E6482"/>
    <w:rsid w:val="005E7473"/>
    <w:rsid w:val="005E7CE0"/>
    <w:rsid w:val="005E7ED2"/>
    <w:rsid w:val="005F034F"/>
    <w:rsid w:val="005F050D"/>
    <w:rsid w:val="005F2CEA"/>
    <w:rsid w:val="005F3257"/>
    <w:rsid w:val="005F3DC4"/>
    <w:rsid w:val="005F5514"/>
    <w:rsid w:val="005F5E82"/>
    <w:rsid w:val="005F6835"/>
    <w:rsid w:val="0060180D"/>
    <w:rsid w:val="006022EE"/>
    <w:rsid w:val="006025E8"/>
    <w:rsid w:val="00603A04"/>
    <w:rsid w:val="00604021"/>
    <w:rsid w:val="00605205"/>
    <w:rsid w:val="00605E5C"/>
    <w:rsid w:val="006061ED"/>
    <w:rsid w:val="00607124"/>
    <w:rsid w:val="0060790A"/>
    <w:rsid w:val="00607C57"/>
    <w:rsid w:val="00610329"/>
    <w:rsid w:val="00610B6B"/>
    <w:rsid w:val="00610C61"/>
    <w:rsid w:val="00610F22"/>
    <w:rsid w:val="006121DB"/>
    <w:rsid w:val="00614259"/>
    <w:rsid w:val="006151BC"/>
    <w:rsid w:val="00615E88"/>
    <w:rsid w:val="006162E2"/>
    <w:rsid w:val="00616E6E"/>
    <w:rsid w:val="00616E96"/>
    <w:rsid w:val="0061769E"/>
    <w:rsid w:val="00620F04"/>
    <w:rsid w:val="00620FDB"/>
    <w:rsid w:val="006219AE"/>
    <w:rsid w:val="00621C43"/>
    <w:rsid w:val="00621FF1"/>
    <w:rsid w:val="00622F8B"/>
    <w:rsid w:val="0062416A"/>
    <w:rsid w:val="0062478A"/>
    <w:rsid w:val="006248D6"/>
    <w:rsid w:val="006258A1"/>
    <w:rsid w:val="00625FC1"/>
    <w:rsid w:val="006261D2"/>
    <w:rsid w:val="00627534"/>
    <w:rsid w:val="00630337"/>
    <w:rsid w:val="00630595"/>
    <w:rsid w:val="006310E2"/>
    <w:rsid w:val="00631234"/>
    <w:rsid w:val="00631B35"/>
    <w:rsid w:val="00631CDA"/>
    <w:rsid w:val="006328D2"/>
    <w:rsid w:val="00634DDE"/>
    <w:rsid w:val="00636FC7"/>
    <w:rsid w:val="00637238"/>
    <w:rsid w:val="0064012F"/>
    <w:rsid w:val="00640359"/>
    <w:rsid w:val="00641E17"/>
    <w:rsid w:val="006429D2"/>
    <w:rsid w:val="00643834"/>
    <w:rsid w:val="00643AD1"/>
    <w:rsid w:val="006444CF"/>
    <w:rsid w:val="006448C5"/>
    <w:rsid w:val="00645C6B"/>
    <w:rsid w:val="006460BD"/>
    <w:rsid w:val="00646143"/>
    <w:rsid w:val="00646815"/>
    <w:rsid w:val="00647D37"/>
    <w:rsid w:val="00650354"/>
    <w:rsid w:val="00650988"/>
    <w:rsid w:val="00650D96"/>
    <w:rsid w:val="00650DA1"/>
    <w:rsid w:val="00651E18"/>
    <w:rsid w:val="00652197"/>
    <w:rsid w:val="006530B0"/>
    <w:rsid w:val="00653985"/>
    <w:rsid w:val="00654172"/>
    <w:rsid w:val="006546F2"/>
    <w:rsid w:val="00654C11"/>
    <w:rsid w:val="00655031"/>
    <w:rsid w:val="00655075"/>
    <w:rsid w:val="0065747E"/>
    <w:rsid w:val="006615B8"/>
    <w:rsid w:val="00661F0A"/>
    <w:rsid w:val="00662D3F"/>
    <w:rsid w:val="00663076"/>
    <w:rsid w:val="00663EEA"/>
    <w:rsid w:val="006641BB"/>
    <w:rsid w:val="00664343"/>
    <w:rsid w:val="00664AC0"/>
    <w:rsid w:val="00664FC3"/>
    <w:rsid w:val="00666A7D"/>
    <w:rsid w:val="006673F8"/>
    <w:rsid w:val="00667B04"/>
    <w:rsid w:val="006706DF"/>
    <w:rsid w:val="0067152F"/>
    <w:rsid w:val="00671C02"/>
    <w:rsid w:val="00671CC9"/>
    <w:rsid w:val="006724E4"/>
    <w:rsid w:val="00672C79"/>
    <w:rsid w:val="00673B24"/>
    <w:rsid w:val="00673D67"/>
    <w:rsid w:val="00673FDD"/>
    <w:rsid w:val="00674CD2"/>
    <w:rsid w:val="00675053"/>
    <w:rsid w:val="00675817"/>
    <w:rsid w:val="00676BB2"/>
    <w:rsid w:val="006774A8"/>
    <w:rsid w:val="006800F2"/>
    <w:rsid w:val="00682ADB"/>
    <w:rsid w:val="00683174"/>
    <w:rsid w:val="006832F9"/>
    <w:rsid w:val="0068332D"/>
    <w:rsid w:val="00684BFF"/>
    <w:rsid w:val="00685196"/>
    <w:rsid w:val="0068533E"/>
    <w:rsid w:val="006868A1"/>
    <w:rsid w:val="00686F3B"/>
    <w:rsid w:val="00687325"/>
    <w:rsid w:val="006876ED"/>
    <w:rsid w:val="006910FF"/>
    <w:rsid w:val="00691147"/>
    <w:rsid w:val="0069182F"/>
    <w:rsid w:val="00692390"/>
    <w:rsid w:val="0069298A"/>
    <w:rsid w:val="00692A6C"/>
    <w:rsid w:val="00692B4A"/>
    <w:rsid w:val="00693B54"/>
    <w:rsid w:val="00694036"/>
    <w:rsid w:val="00694622"/>
    <w:rsid w:val="00695442"/>
    <w:rsid w:val="00697057"/>
    <w:rsid w:val="006970E8"/>
    <w:rsid w:val="006972D3"/>
    <w:rsid w:val="006974BA"/>
    <w:rsid w:val="006978B4"/>
    <w:rsid w:val="00697A85"/>
    <w:rsid w:val="00697C26"/>
    <w:rsid w:val="006A0216"/>
    <w:rsid w:val="006A064F"/>
    <w:rsid w:val="006A18CB"/>
    <w:rsid w:val="006A1D24"/>
    <w:rsid w:val="006A2AE3"/>
    <w:rsid w:val="006A3BA2"/>
    <w:rsid w:val="006A406A"/>
    <w:rsid w:val="006A41F2"/>
    <w:rsid w:val="006A54F6"/>
    <w:rsid w:val="006A60A9"/>
    <w:rsid w:val="006A6F9D"/>
    <w:rsid w:val="006A6FB8"/>
    <w:rsid w:val="006A7AAB"/>
    <w:rsid w:val="006B0674"/>
    <w:rsid w:val="006B1980"/>
    <w:rsid w:val="006B2695"/>
    <w:rsid w:val="006B30B1"/>
    <w:rsid w:val="006B508D"/>
    <w:rsid w:val="006B5279"/>
    <w:rsid w:val="006B52B1"/>
    <w:rsid w:val="006B5466"/>
    <w:rsid w:val="006B5BBE"/>
    <w:rsid w:val="006C055F"/>
    <w:rsid w:val="006C06D7"/>
    <w:rsid w:val="006C0D63"/>
    <w:rsid w:val="006C1028"/>
    <w:rsid w:val="006C13D6"/>
    <w:rsid w:val="006C140C"/>
    <w:rsid w:val="006C1A44"/>
    <w:rsid w:val="006C2016"/>
    <w:rsid w:val="006C20FC"/>
    <w:rsid w:val="006C2EF0"/>
    <w:rsid w:val="006C3EAC"/>
    <w:rsid w:val="006D07B1"/>
    <w:rsid w:val="006D19BA"/>
    <w:rsid w:val="006D21CB"/>
    <w:rsid w:val="006D231F"/>
    <w:rsid w:val="006D347B"/>
    <w:rsid w:val="006D3AEF"/>
    <w:rsid w:val="006D3D7E"/>
    <w:rsid w:val="006D4B01"/>
    <w:rsid w:val="006D5237"/>
    <w:rsid w:val="006D55A1"/>
    <w:rsid w:val="006D65B9"/>
    <w:rsid w:val="006D7ADB"/>
    <w:rsid w:val="006D7C59"/>
    <w:rsid w:val="006E1F15"/>
    <w:rsid w:val="006E21FB"/>
    <w:rsid w:val="006E4536"/>
    <w:rsid w:val="006E53BE"/>
    <w:rsid w:val="006F0631"/>
    <w:rsid w:val="006F0789"/>
    <w:rsid w:val="006F2B51"/>
    <w:rsid w:val="006F2E81"/>
    <w:rsid w:val="006F3628"/>
    <w:rsid w:val="006F3958"/>
    <w:rsid w:val="006F511D"/>
    <w:rsid w:val="006F640C"/>
    <w:rsid w:val="006F646B"/>
    <w:rsid w:val="006F6DB4"/>
    <w:rsid w:val="00700B46"/>
    <w:rsid w:val="00701733"/>
    <w:rsid w:val="00701ADA"/>
    <w:rsid w:val="0070240A"/>
    <w:rsid w:val="00702539"/>
    <w:rsid w:val="0070279E"/>
    <w:rsid w:val="007027E7"/>
    <w:rsid w:val="00702ACC"/>
    <w:rsid w:val="007055C8"/>
    <w:rsid w:val="0070583F"/>
    <w:rsid w:val="00706D85"/>
    <w:rsid w:val="00706F50"/>
    <w:rsid w:val="00706FBA"/>
    <w:rsid w:val="007074B1"/>
    <w:rsid w:val="00707FAB"/>
    <w:rsid w:val="00710E96"/>
    <w:rsid w:val="00711C1F"/>
    <w:rsid w:val="00713BAB"/>
    <w:rsid w:val="00713CE7"/>
    <w:rsid w:val="00714EEE"/>
    <w:rsid w:val="007151DE"/>
    <w:rsid w:val="007154E7"/>
    <w:rsid w:val="00715561"/>
    <w:rsid w:val="0071634F"/>
    <w:rsid w:val="00716BCC"/>
    <w:rsid w:val="0071779F"/>
    <w:rsid w:val="00717E20"/>
    <w:rsid w:val="0072063D"/>
    <w:rsid w:val="00720CB3"/>
    <w:rsid w:val="00720F97"/>
    <w:rsid w:val="007211DB"/>
    <w:rsid w:val="00722853"/>
    <w:rsid w:val="00726610"/>
    <w:rsid w:val="00726698"/>
    <w:rsid w:val="007274A3"/>
    <w:rsid w:val="0072752D"/>
    <w:rsid w:val="007278A9"/>
    <w:rsid w:val="00727F46"/>
    <w:rsid w:val="0073044C"/>
    <w:rsid w:val="00731443"/>
    <w:rsid w:val="00731614"/>
    <w:rsid w:val="007319AE"/>
    <w:rsid w:val="00731F5D"/>
    <w:rsid w:val="007325FF"/>
    <w:rsid w:val="007326FF"/>
    <w:rsid w:val="00732AA7"/>
    <w:rsid w:val="00733074"/>
    <w:rsid w:val="007337B0"/>
    <w:rsid w:val="007340A2"/>
    <w:rsid w:val="007362DE"/>
    <w:rsid w:val="00736C4D"/>
    <w:rsid w:val="007378EF"/>
    <w:rsid w:val="00740222"/>
    <w:rsid w:val="00740757"/>
    <w:rsid w:val="007412FE"/>
    <w:rsid w:val="00743285"/>
    <w:rsid w:val="007447EA"/>
    <w:rsid w:val="00744B5D"/>
    <w:rsid w:val="007454D3"/>
    <w:rsid w:val="00745844"/>
    <w:rsid w:val="0074637E"/>
    <w:rsid w:val="00746AB7"/>
    <w:rsid w:val="00746B08"/>
    <w:rsid w:val="00746EBC"/>
    <w:rsid w:val="00747BD0"/>
    <w:rsid w:val="007510C6"/>
    <w:rsid w:val="00751275"/>
    <w:rsid w:val="00752005"/>
    <w:rsid w:val="00752576"/>
    <w:rsid w:val="00752C78"/>
    <w:rsid w:val="0075367C"/>
    <w:rsid w:val="00753885"/>
    <w:rsid w:val="00753ECD"/>
    <w:rsid w:val="00754966"/>
    <w:rsid w:val="00754B20"/>
    <w:rsid w:val="007559ED"/>
    <w:rsid w:val="007561BB"/>
    <w:rsid w:val="007565E7"/>
    <w:rsid w:val="00756620"/>
    <w:rsid w:val="00756A3D"/>
    <w:rsid w:val="00757034"/>
    <w:rsid w:val="00761DB5"/>
    <w:rsid w:val="00762B3F"/>
    <w:rsid w:val="0076317F"/>
    <w:rsid w:val="00763D5F"/>
    <w:rsid w:val="00763E9F"/>
    <w:rsid w:val="00764412"/>
    <w:rsid w:val="007657E5"/>
    <w:rsid w:val="0076629C"/>
    <w:rsid w:val="0076682F"/>
    <w:rsid w:val="00767106"/>
    <w:rsid w:val="00770735"/>
    <w:rsid w:val="007707E0"/>
    <w:rsid w:val="007713A4"/>
    <w:rsid w:val="00771777"/>
    <w:rsid w:val="0077186E"/>
    <w:rsid w:val="0077299D"/>
    <w:rsid w:val="00774F8C"/>
    <w:rsid w:val="0077606C"/>
    <w:rsid w:val="007761C1"/>
    <w:rsid w:val="007765F9"/>
    <w:rsid w:val="007774D5"/>
    <w:rsid w:val="0077796F"/>
    <w:rsid w:val="00777DFF"/>
    <w:rsid w:val="00780653"/>
    <w:rsid w:val="00781270"/>
    <w:rsid w:val="007818CE"/>
    <w:rsid w:val="00781A19"/>
    <w:rsid w:val="007823B7"/>
    <w:rsid w:val="00782696"/>
    <w:rsid w:val="0078271B"/>
    <w:rsid w:val="0078631A"/>
    <w:rsid w:val="007867BD"/>
    <w:rsid w:val="007867C4"/>
    <w:rsid w:val="0078714E"/>
    <w:rsid w:val="007876BB"/>
    <w:rsid w:val="0079035D"/>
    <w:rsid w:val="00790543"/>
    <w:rsid w:val="00790FFC"/>
    <w:rsid w:val="00791171"/>
    <w:rsid w:val="0079246E"/>
    <w:rsid w:val="00794E33"/>
    <w:rsid w:val="007962AA"/>
    <w:rsid w:val="007962B9"/>
    <w:rsid w:val="007973C9"/>
    <w:rsid w:val="007A0188"/>
    <w:rsid w:val="007A02D2"/>
    <w:rsid w:val="007A0329"/>
    <w:rsid w:val="007A04A3"/>
    <w:rsid w:val="007A1540"/>
    <w:rsid w:val="007A295C"/>
    <w:rsid w:val="007A2B8C"/>
    <w:rsid w:val="007A30DF"/>
    <w:rsid w:val="007A3207"/>
    <w:rsid w:val="007A3D5E"/>
    <w:rsid w:val="007A44DF"/>
    <w:rsid w:val="007A50BB"/>
    <w:rsid w:val="007A598A"/>
    <w:rsid w:val="007A68D7"/>
    <w:rsid w:val="007A6E05"/>
    <w:rsid w:val="007A7B24"/>
    <w:rsid w:val="007B1A83"/>
    <w:rsid w:val="007B290B"/>
    <w:rsid w:val="007B2E6E"/>
    <w:rsid w:val="007B30CA"/>
    <w:rsid w:val="007B333B"/>
    <w:rsid w:val="007B3657"/>
    <w:rsid w:val="007B37E6"/>
    <w:rsid w:val="007B5185"/>
    <w:rsid w:val="007B5914"/>
    <w:rsid w:val="007B5AFD"/>
    <w:rsid w:val="007B5BA6"/>
    <w:rsid w:val="007B6F5E"/>
    <w:rsid w:val="007B7398"/>
    <w:rsid w:val="007C00FF"/>
    <w:rsid w:val="007C08F8"/>
    <w:rsid w:val="007C0ACE"/>
    <w:rsid w:val="007C15D1"/>
    <w:rsid w:val="007C2645"/>
    <w:rsid w:val="007C3DFF"/>
    <w:rsid w:val="007C4A09"/>
    <w:rsid w:val="007C4A33"/>
    <w:rsid w:val="007C5BD0"/>
    <w:rsid w:val="007C5C51"/>
    <w:rsid w:val="007C61F5"/>
    <w:rsid w:val="007C6CE3"/>
    <w:rsid w:val="007C6F87"/>
    <w:rsid w:val="007D003E"/>
    <w:rsid w:val="007D00B3"/>
    <w:rsid w:val="007D1B81"/>
    <w:rsid w:val="007D2510"/>
    <w:rsid w:val="007D27B9"/>
    <w:rsid w:val="007D2C3F"/>
    <w:rsid w:val="007D3BDB"/>
    <w:rsid w:val="007D3FF9"/>
    <w:rsid w:val="007D418E"/>
    <w:rsid w:val="007D51CB"/>
    <w:rsid w:val="007D5A8C"/>
    <w:rsid w:val="007D5B25"/>
    <w:rsid w:val="007D6759"/>
    <w:rsid w:val="007D6B8A"/>
    <w:rsid w:val="007E0270"/>
    <w:rsid w:val="007E0516"/>
    <w:rsid w:val="007E06B3"/>
    <w:rsid w:val="007E0D9D"/>
    <w:rsid w:val="007E2627"/>
    <w:rsid w:val="007E2921"/>
    <w:rsid w:val="007E342D"/>
    <w:rsid w:val="007E42DC"/>
    <w:rsid w:val="007E440D"/>
    <w:rsid w:val="007E5579"/>
    <w:rsid w:val="007E690D"/>
    <w:rsid w:val="007E731E"/>
    <w:rsid w:val="007E7396"/>
    <w:rsid w:val="007E7BB7"/>
    <w:rsid w:val="007F02AC"/>
    <w:rsid w:val="007F03F8"/>
    <w:rsid w:val="007F1750"/>
    <w:rsid w:val="007F1E06"/>
    <w:rsid w:val="007F20FA"/>
    <w:rsid w:val="007F2F38"/>
    <w:rsid w:val="007F3C82"/>
    <w:rsid w:val="007F4161"/>
    <w:rsid w:val="007F4AC7"/>
    <w:rsid w:val="007F4B3F"/>
    <w:rsid w:val="007F4FC0"/>
    <w:rsid w:val="007F5202"/>
    <w:rsid w:val="007F569C"/>
    <w:rsid w:val="007F76C1"/>
    <w:rsid w:val="008000AC"/>
    <w:rsid w:val="008002AB"/>
    <w:rsid w:val="008014F6"/>
    <w:rsid w:val="008019EA"/>
    <w:rsid w:val="00802A0A"/>
    <w:rsid w:val="00802C9E"/>
    <w:rsid w:val="00803122"/>
    <w:rsid w:val="00803851"/>
    <w:rsid w:val="00803DBE"/>
    <w:rsid w:val="00805206"/>
    <w:rsid w:val="00805603"/>
    <w:rsid w:val="00805743"/>
    <w:rsid w:val="00805AE2"/>
    <w:rsid w:val="008107DA"/>
    <w:rsid w:val="00810C6C"/>
    <w:rsid w:val="008113CF"/>
    <w:rsid w:val="00811696"/>
    <w:rsid w:val="00811740"/>
    <w:rsid w:val="00811C1C"/>
    <w:rsid w:val="00811F19"/>
    <w:rsid w:val="00812368"/>
    <w:rsid w:val="008130D7"/>
    <w:rsid w:val="0081317F"/>
    <w:rsid w:val="008136AF"/>
    <w:rsid w:val="008141FF"/>
    <w:rsid w:val="008153BD"/>
    <w:rsid w:val="0081589F"/>
    <w:rsid w:val="008161F5"/>
    <w:rsid w:val="0081739D"/>
    <w:rsid w:val="00817BD4"/>
    <w:rsid w:val="008204FB"/>
    <w:rsid w:val="00821779"/>
    <w:rsid w:val="008223B4"/>
    <w:rsid w:val="008227BF"/>
    <w:rsid w:val="00822CB4"/>
    <w:rsid w:val="00822E85"/>
    <w:rsid w:val="008239D1"/>
    <w:rsid w:val="00823ADD"/>
    <w:rsid w:val="00823B4A"/>
    <w:rsid w:val="008241E9"/>
    <w:rsid w:val="0082446F"/>
    <w:rsid w:val="008246D0"/>
    <w:rsid w:val="00824E1C"/>
    <w:rsid w:val="008253A3"/>
    <w:rsid w:val="00825533"/>
    <w:rsid w:val="00825F6F"/>
    <w:rsid w:val="008260D4"/>
    <w:rsid w:val="008273CE"/>
    <w:rsid w:val="00827B71"/>
    <w:rsid w:val="00830219"/>
    <w:rsid w:val="008302A5"/>
    <w:rsid w:val="00830EA1"/>
    <w:rsid w:val="00831C80"/>
    <w:rsid w:val="00831CB0"/>
    <w:rsid w:val="00831FBD"/>
    <w:rsid w:val="00832FB8"/>
    <w:rsid w:val="00835BF0"/>
    <w:rsid w:val="00837AC9"/>
    <w:rsid w:val="00837FB6"/>
    <w:rsid w:val="008406A0"/>
    <w:rsid w:val="00840C16"/>
    <w:rsid w:val="00840DB9"/>
    <w:rsid w:val="008420D6"/>
    <w:rsid w:val="00843059"/>
    <w:rsid w:val="008431E4"/>
    <w:rsid w:val="00843B0B"/>
    <w:rsid w:val="00844490"/>
    <w:rsid w:val="008454D9"/>
    <w:rsid w:val="00845A6F"/>
    <w:rsid w:val="00845CA9"/>
    <w:rsid w:val="0084697E"/>
    <w:rsid w:val="00846E77"/>
    <w:rsid w:val="00847FEF"/>
    <w:rsid w:val="00850AE2"/>
    <w:rsid w:val="008511F3"/>
    <w:rsid w:val="00851A99"/>
    <w:rsid w:val="00851F7B"/>
    <w:rsid w:val="00852286"/>
    <w:rsid w:val="00852A34"/>
    <w:rsid w:val="00853D85"/>
    <w:rsid w:val="00854562"/>
    <w:rsid w:val="00854DEA"/>
    <w:rsid w:val="00855105"/>
    <w:rsid w:val="00855956"/>
    <w:rsid w:val="00855D80"/>
    <w:rsid w:val="00856C8B"/>
    <w:rsid w:val="008576FC"/>
    <w:rsid w:val="00857BF6"/>
    <w:rsid w:val="00857D4C"/>
    <w:rsid w:val="00860104"/>
    <w:rsid w:val="008632BC"/>
    <w:rsid w:val="0086336B"/>
    <w:rsid w:val="00864118"/>
    <w:rsid w:val="008658D0"/>
    <w:rsid w:val="0086597E"/>
    <w:rsid w:val="00867912"/>
    <w:rsid w:val="00867A96"/>
    <w:rsid w:val="0087083D"/>
    <w:rsid w:val="00871994"/>
    <w:rsid w:val="008732DC"/>
    <w:rsid w:val="00873B34"/>
    <w:rsid w:val="00875B44"/>
    <w:rsid w:val="0087663A"/>
    <w:rsid w:val="008806DF"/>
    <w:rsid w:val="008812DD"/>
    <w:rsid w:val="00881415"/>
    <w:rsid w:val="00882648"/>
    <w:rsid w:val="00882D1E"/>
    <w:rsid w:val="00883612"/>
    <w:rsid w:val="00883BD6"/>
    <w:rsid w:val="0088415D"/>
    <w:rsid w:val="008843A8"/>
    <w:rsid w:val="00884B08"/>
    <w:rsid w:val="00885535"/>
    <w:rsid w:val="00885DAA"/>
    <w:rsid w:val="008864E9"/>
    <w:rsid w:val="00886DED"/>
    <w:rsid w:val="00887782"/>
    <w:rsid w:val="008877B3"/>
    <w:rsid w:val="008901D3"/>
    <w:rsid w:val="008905EF"/>
    <w:rsid w:val="00890605"/>
    <w:rsid w:val="00890A2C"/>
    <w:rsid w:val="008914F2"/>
    <w:rsid w:val="008915DD"/>
    <w:rsid w:val="008924C4"/>
    <w:rsid w:val="00892B56"/>
    <w:rsid w:val="00893560"/>
    <w:rsid w:val="008937F6"/>
    <w:rsid w:val="008939B1"/>
    <w:rsid w:val="00893D51"/>
    <w:rsid w:val="00894C5E"/>
    <w:rsid w:val="00894CCB"/>
    <w:rsid w:val="008953DE"/>
    <w:rsid w:val="00897AFF"/>
    <w:rsid w:val="008A017A"/>
    <w:rsid w:val="008A0D1E"/>
    <w:rsid w:val="008A1457"/>
    <w:rsid w:val="008A2DAE"/>
    <w:rsid w:val="008A30D0"/>
    <w:rsid w:val="008A30E6"/>
    <w:rsid w:val="008A3552"/>
    <w:rsid w:val="008A3967"/>
    <w:rsid w:val="008A3D56"/>
    <w:rsid w:val="008A4C60"/>
    <w:rsid w:val="008A62F2"/>
    <w:rsid w:val="008A680F"/>
    <w:rsid w:val="008A7A3F"/>
    <w:rsid w:val="008A7A5A"/>
    <w:rsid w:val="008A7FC8"/>
    <w:rsid w:val="008B0287"/>
    <w:rsid w:val="008B0635"/>
    <w:rsid w:val="008B1540"/>
    <w:rsid w:val="008B2BD8"/>
    <w:rsid w:val="008B2FC6"/>
    <w:rsid w:val="008B3297"/>
    <w:rsid w:val="008B3AEE"/>
    <w:rsid w:val="008B4B9D"/>
    <w:rsid w:val="008B5B3D"/>
    <w:rsid w:val="008B5B4D"/>
    <w:rsid w:val="008B685A"/>
    <w:rsid w:val="008B69AF"/>
    <w:rsid w:val="008B6BDB"/>
    <w:rsid w:val="008B7612"/>
    <w:rsid w:val="008C0071"/>
    <w:rsid w:val="008C0537"/>
    <w:rsid w:val="008C1210"/>
    <w:rsid w:val="008C13C1"/>
    <w:rsid w:val="008C162C"/>
    <w:rsid w:val="008C1B61"/>
    <w:rsid w:val="008C28FE"/>
    <w:rsid w:val="008C2AE9"/>
    <w:rsid w:val="008C322D"/>
    <w:rsid w:val="008C392A"/>
    <w:rsid w:val="008C4CBC"/>
    <w:rsid w:val="008C7DD6"/>
    <w:rsid w:val="008D0DB5"/>
    <w:rsid w:val="008D16D8"/>
    <w:rsid w:val="008D2AFA"/>
    <w:rsid w:val="008D2C7F"/>
    <w:rsid w:val="008D3839"/>
    <w:rsid w:val="008D4A74"/>
    <w:rsid w:val="008D4E1A"/>
    <w:rsid w:val="008D6534"/>
    <w:rsid w:val="008D6B50"/>
    <w:rsid w:val="008D7331"/>
    <w:rsid w:val="008D77BA"/>
    <w:rsid w:val="008D7A87"/>
    <w:rsid w:val="008E1C63"/>
    <w:rsid w:val="008E1E40"/>
    <w:rsid w:val="008E1FAC"/>
    <w:rsid w:val="008E1FFE"/>
    <w:rsid w:val="008E2356"/>
    <w:rsid w:val="008E3797"/>
    <w:rsid w:val="008E3CFD"/>
    <w:rsid w:val="008E3DB9"/>
    <w:rsid w:val="008E49B4"/>
    <w:rsid w:val="008E4D9B"/>
    <w:rsid w:val="008E5BDC"/>
    <w:rsid w:val="008E5E1F"/>
    <w:rsid w:val="008E650E"/>
    <w:rsid w:val="008F0009"/>
    <w:rsid w:val="008F0DC8"/>
    <w:rsid w:val="008F12A4"/>
    <w:rsid w:val="008F236A"/>
    <w:rsid w:val="008F28CF"/>
    <w:rsid w:val="008F2B32"/>
    <w:rsid w:val="008F3899"/>
    <w:rsid w:val="008F4A8F"/>
    <w:rsid w:val="008F4EB5"/>
    <w:rsid w:val="008F5792"/>
    <w:rsid w:val="008F5934"/>
    <w:rsid w:val="008F59D8"/>
    <w:rsid w:val="008F5A94"/>
    <w:rsid w:val="008F6245"/>
    <w:rsid w:val="008F6BDD"/>
    <w:rsid w:val="008F7507"/>
    <w:rsid w:val="008F7758"/>
    <w:rsid w:val="00900534"/>
    <w:rsid w:val="009005AE"/>
    <w:rsid w:val="00901681"/>
    <w:rsid w:val="0090300B"/>
    <w:rsid w:val="00903366"/>
    <w:rsid w:val="009035F2"/>
    <w:rsid w:val="00903777"/>
    <w:rsid w:val="009051B6"/>
    <w:rsid w:val="009059F5"/>
    <w:rsid w:val="00905ADC"/>
    <w:rsid w:val="00907189"/>
    <w:rsid w:val="009075F4"/>
    <w:rsid w:val="009107E5"/>
    <w:rsid w:val="00910861"/>
    <w:rsid w:val="0091233E"/>
    <w:rsid w:val="0091286D"/>
    <w:rsid w:val="009130D9"/>
    <w:rsid w:val="00913957"/>
    <w:rsid w:val="00913BEA"/>
    <w:rsid w:val="00913D99"/>
    <w:rsid w:val="00914BE9"/>
    <w:rsid w:val="00914D1F"/>
    <w:rsid w:val="00914E8F"/>
    <w:rsid w:val="00915699"/>
    <w:rsid w:val="00915B1B"/>
    <w:rsid w:val="0091640A"/>
    <w:rsid w:val="00916535"/>
    <w:rsid w:val="009169BD"/>
    <w:rsid w:val="0091714B"/>
    <w:rsid w:val="00917ACF"/>
    <w:rsid w:val="00917F50"/>
    <w:rsid w:val="00922C18"/>
    <w:rsid w:val="00923498"/>
    <w:rsid w:val="009241A9"/>
    <w:rsid w:val="009260B8"/>
    <w:rsid w:val="00927B5F"/>
    <w:rsid w:val="00932083"/>
    <w:rsid w:val="00933915"/>
    <w:rsid w:val="00933AD9"/>
    <w:rsid w:val="00934170"/>
    <w:rsid w:val="00934481"/>
    <w:rsid w:val="00934608"/>
    <w:rsid w:val="00934788"/>
    <w:rsid w:val="0093545C"/>
    <w:rsid w:val="00935C47"/>
    <w:rsid w:val="00935CEF"/>
    <w:rsid w:val="00936F61"/>
    <w:rsid w:val="009375E4"/>
    <w:rsid w:val="00940205"/>
    <w:rsid w:val="00940D6A"/>
    <w:rsid w:val="00940F5A"/>
    <w:rsid w:val="00942C0A"/>
    <w:rsid w:val="00942F09"/>
    <w:rsid w:val="009433F4"/>
    <w:rsid w:val="009436A7"/>
    <w:rsid w:val="00943D24"/>
    <w:rsid w:val="00943DE2"/>
    <w:rsid w:val="009440AB"/>
    <w:rsid w:val="009454EB"/>
    <w:rsid w:val="009457DB"/>
    <w:rsid w:val="00946F77"/>
    <w:rsid w:val="009473CA"/>
    <w:rsid w:val="0094770A"/>
    <w:rsid w:val="00947E96"/>
    <w:rsid w:val="009502AF"/>
    <w:rsid w:val="00950375"/>
    <w:rsid w:val="00950792"/>
    <w:rsid w:val="00952AF3"/>
    <w:rsid w:val="009537A0"/>
    <w:rsid w:val="00953AAF"/>
    <w:rsid w:val="0095497C"/>
    <w:rsid w:val="00954FC3"/>
    <w:rsid w:val="00955C7F"/>
    <w:rsid w:val="00957601"/>
    <w:rsid w:val="0096095F"/>
    <w:rsid w:val="00960EC9"/>
    <w:rsid w:val="00961A92"/>
    <w:rsid w:val="009620AB"/>
    <w:rsid w:val="009621B8"/>
    <w:rsid w:val="0096248D"/>
    <w:rsid w:val="0096278F"/>
    <w:rsid w:val="009630ED"/>
    <w:rsid w:val="00963328"/>
    <w:rsid w:val="009633CC"/>
    <w:rsid w:val="00965873"/>
    <w:rsid w:val="009668E3"/>
    <w:rsid w:val="00966E7E"/>
    <w:rsid w:val="0096728D"/>
    <w:rsid w:val="00970958"/>
    <w:rsid w:val="00970AC4"/>
    <w:rsid w:val="00970DED"/>
    <w:rsid w:val="009719EF"/>
    <w:rsid w:val="00971EB7"/>
    <w:rsid w:val="009725C6"/>
    <w:rsid w:val="00972D50"/>
    <w:rsid w:val="0097328E"/>
    <w:rsid w:val="00973507"/>
    <w:rsid w:val="0097431D"/>
    <w:rsid w:val="00974D92"/>
    <w:rsid w:val="009757B9"/>
    <w:rsid w:val="00976B42"/>
    <w:rsid w:val="009774A3"/>
    <w:rsid w:val="00980D22"/>
    <w:rsid w:val="00981C4D"/>
    <w:rsid w:val="00981D56"/>
    <w:rsid w:val="00981D73"/>
    <w:rsid w:val="009824F3"/>
    <w:rsid w:val="00982595"/>
    <w:rsid w:val="00982A17"/>
    <w:rsid w:val="0098323F"/>
    <w:rsid w:val="009833AC"/>
    <w:rsid w:val="00983509"/>
    <w:rsid w:val="009835D3"/>
    <w:rsid w:val="0098418B"/>
    <w:rsid w:val="00984EEF"/>
    <w:rsid w:val="00984FB3"/>
    <w:rsid w:val="00985B96"/>
    <w:rsid w:val="00985C22"/>
    <w:rsid w:val="00985DCE"/>
    <w:rsid w:val="0098768F"/>
    <w:rsid w:val="00987FB3"/>
    <w:rsid w:val="009901AA"/>
    <w:rsid w:val="00991ED6"/>
    <w:rsid w:val="00991F64"/>
    <w:rsid w:val="0099264C"/>
    <w:rsid w:val="00992917"/>
    <w:rsid w:val="00992A6F"/>
    <w:rsid w:val="00994589"/>
    <w:rsid w:val="009961E0"/>
    <w:rsid w:val="00997D7A"/>
    <w:rsid w:val="009A0C6D"/>
    <w:rsid w:val="009A23D9"/>
    <w:rsid w:val="009A4839"/>
    <w:rsid w:val="009A696A"/>
    <w:rsid w:val="009A6A21"/>
    <w:rsid w:val="009A6BE8"/>
    <w:rsid w:val="009A6CD0"/>
    <w:rsid w:val="009B01D3"/>
    <w:rsid w:val="009B070F"/>
    <w:rsid w:val="009B0D97"/>
    <w:rsid w:val="009B1463"/>
    <w:rsid w:val="009B18A1"/>
    <w:rsid w:val="009B19BE"/>
    <w:rsid w:val="009B337F"/>
    <w:rsid w:val="009B34F3"/>
    <w:rsid w:val="009B3AD2"/>
    <w:rsid w:val="009B6036"/>
    <w:rsid w:val="009B6369"/>
    <w:rsid w:val="009B6D70"/>
    <w:rsid w:val="009B7149"/>
    <w:rsid w:val="009B7AA8"/>
    <w:rsid w:val="009C0DC1"/>
    <w:rsid w:val="009C0EC5"/>
    <w:rsid w:val="009C187D"/>
    <w:rsid w:val="009C2375"/>
    <w:rsid w:val="009C289E"/>
    <w:rsid w:val="009C4041"/>
    <w:rsid w:val="009C4AB4"/>
    <w:rsid w:val="009C629B"/>
    <w:rsid w:val="009C637B"/>
    <w:rsid w:val="009D0518"/>
    <w:rsid w:val="009D269B"/>
    <w:rsid w:val="009D364E"/>
    <w:rsid w:val="009D3DB5"/>
    <w:rsid w:val="009D3EDD"/>
    <w:rsid w:val="009D42D6"/>
    <w:rsid w:val="009D54B1"/>
    <w:rsid w:val="009D6362"/>
    <w:rsid w:val="009D74D7"/>
    <w:rsid w:val="009D7E93"/>
    <w:rsid w:val="009E041A"/>
    <w:rsid w:val="009E0641"/>
    <w:rsid w:val="009E1252"/>
    <w:rsid w:val="009E1638"/>
    <w:rsid w:val="009E1D9B"/>
    <w:rsid w:val="009E28CA"/>
    <w:rsid w:val="009E2C0D"/>
    <w:rsid w:val="009E3293"/>
    <w:rsid w:val="009E339F"/>
    <w:rsid w:val="009E4905"/>
    <w:rsid w:val="009E5098"/>
    <w:rsid w:val="009E5F29"/>
    <w:rsid w:val="009E6008"/>
    <w:rsid w:val="009E76F1"/>
    <w:rsid w:val="009E7785"/>
    <w:rsid w:val="009F0552"/>
    <w:rsid w:val="009F0656"/>
    <w:rsid w:val="009F09F7"/>
    <w:rsid w:val="009F24B4"/>
    <w:rsid w:val="009F2B35"/>
    <w:rsid w:val="009F3A01"/>
    <w:rsid w:val="009F4C36"/>
    <w:rsid w:val="009F4FCD"/>
    <w:rsid w:val="009F6066"/>
    <w:rsid w:val="009F68D0"/>
    <w:rsid w:val="009F695C"/>
    <w:rsid w:val="009F76F1"/>
    <w:rsid w:val="00A0045B"/>
    <w:rsid w:val="00A010FA"/>
    <w:rsid w:val="00A0118A"/>
    <w:rsid w:val="00A0124E"/>
    <w:rsid w:val="00A01936"/>
    <w:rsid w:val="00A02477"/>
    <w:rsid w:val="00A02B27"/>
    <w:rsid w:val="00A04153"/>
    <w:rsid w:val="00A0531E"/>
    <w:rsid w:val="00A05B9C"/>
    <w:rsid w:val="00A06458"/>
    <w:rsid w:val="00A06C31"/>
    <w:rsid w:val="00A072D7"/>
    <w:rsid w:val="00A10462"/>
    <w:rsid w:val="00A10B42"/>
    <w:rsid w:val="00A12B8E"/>
    <w:rsid w:val="00A12CBC"/>
    <w:rsid w:val="00A14208"/>
    <w:rsid w:val="00A147EB"/>
    <w:rsid w:val="00A16EE0"/>
    <w:rsid w:val="00A20390"/>
    <w:rsid w:val="00A20791"/>
    <w:rsid w:val="00A20FDA"/>
    <w:rsid w:val="00A21591"/>
    <w:rsid w:val="00A21741"/>
    <w:rsid w:val="00A219B1"/>
    <w:rsid w:val="00A22087"/>
    <w:rsid w:val="00A2225B"/>
    <w:rsid w:val="00A2239F"/>
    <w:rsid w:val="00A228A0"/>
    <w:rsid w:val="00A239A7"/>
    <w:rsid w:val="00A23DBD"/>
    <w:rsid w:val="00A23E99"/>
    <w:rsid w:val="00A24A1E"/>
    <w:rsid w:val="00A255A7"/>
    <w:rsid w:val="00A25B6F"/>
    <w:rsid w:val="00A26C8B"/>
    <w:rsid w:val="00A30B5E"/>
    <w:rsid w:val="00A30E1E"/>
    <w:rsid w:val="00A30FCD"/>
    <w:rsid w:val="00A311B7"/>
    <w:rsid w:val="00A32FF1"/>
    <w:rsid w:val="00A3305C"/>
    <w:rsid w:val="00A33098"/>
    <w:rsid w:val="00A33AE6"/>
    <w:rsid w:val="00A33BAF"/>
    <w:rsid w:val="00A34393"/>
    <w:rsid w:val="00A35A7A"/>
    <w:rsid w:val="00A35CA0"/>
    <w:rsid w:val="00A37281"/>
    <w:rsid w:val="00A4085D"/>
    <w:rsid w:val="00A417B0"/>
    <w:rsid w:val="00A42D29"/>
    <w:rsid w:val="00A43368"/>
    <w:rsid w:val="00A433BF"/>
    <w:rsid w:val="00A44420"/>
    <w:rsid w:val="00A44BF7"/>
    <w:rsid w:val="00A454D1"/>
    <w:rsid w:val="00A46360"/>
    <w:rsid w:val="00A464ED"/>
    <w:rsid w:val="00A465AF"/>
    <w:rsid w:val="00A4702B"/>
    <w:rsid w:val="00A4723F"/>
    <w:rsid w:val="00A50906"/>
    <w:rsid w:val="00A50E16"/>
    <w:rsid w:val="00A51D50"/>
    <w:rsid w:val="00A522EA"/>
    <w:rsid w:val="00A53A4D"/>
    <w:rsid w:val="00A551BF"/>
    <w:rsid w:val="00A56456"/>
    <w:rsid w:val="00A56600"/>
    <w:rsid w:val="00A5671C"/>
    <w:rsid w:val="00A56B0E"/>
    <w:rsid w:val="00A60F68"/>
    <w:rsid w:val="00A62A29"/>
    <w:rsid w:val="00A639D8"/>
    <w:rsid w:val="00A652CF"/>
    <w:rsid w:val="00A65740"/>
    <w:rsid w:val="00A66289"/>
    <w:rsid w:val="00A66AB1"/>
    <w:rsid w:val="00A66D3E"/>
    <w:rsid w:val="00A67377"/>
    <w:rsid w:val="00A67C16"/>
    <w:rsid w:val="00A67D8A"/>
    <w:rsid w:val="00A704AF"/>
    <w:rsid w:val="00A70689"/>
    <w:rsid w:val="00A70F3E"/>
    <w:rsid w:val="00A72D45"/>
    <w:rsid w:val="00A732F7"/>
    <w:rsid w:val="00A73948"/>
    <w:rsid w:val="00A74BA1"/>
    <w:rsid w:val="00A76835"/>
    <w:rsid w:val="00A7799C"/>
    <w:rsid w:val="00A8027B"/>
    <w:rsid w:val="00A817D1"/>
    <w:rsid w:val="00A841EA"/>
    <w:rsid w:val="00A84558"/>
    <w:rsid w:val="00A85975"/>
    <w:rsid w:val="00A867AB"/>
    <w:rsid w:val="00A867BE"/>
    <w:rsid w:val="00A86B01"/>
    <w:rsid w:val="00A87CF6"/>
    <w:rsid w:val="00A9018D"/>
    <w:rsid w:val="00A9064B"/>
    <w:rsid w:val="00A906C1"/>
    <w:rsid w:val="00A90A68"/>
    <w:rsid w:val="00A9170C"/>
    <w:rsid w:val="00A91DB9"/>
    <w:rsid w:val="00A94C26"/>
    <w:rsid w:val="00A94E66"/>
    <w:rsid w:val="00A94F3C"/>
    <w:rsid w:val="00A956D0"/>
    <w:rsid w:val="00A962D6"/>
    <w:rsid w:val="00A966BA"/>
    <w:rsid w:val="00A967AB"/>
    <w:rsid w:val="00A96998"/>
    <w:rsid w:val="00AA0CD7"/>
    <w:rsid w:val="00AA3560"/>
    <w:rsid w:val="00AA3A21"/>
    <w:rsid w:val="00AA4269"/>
    <w:rsid w:val="00AA446A"/>
    <w:rsid w:val="00AA5B1A"/>
    <w:rsid w:val="00AA753B"/>
    <w:rsid w:val="00AA7D23"/>
    <w:rsid w:val="00AB0AD4"/>
    <w:rsid w:val="00AB0DCC"/>
    <w:rsid w:val="00AB1C41"/>
    <w:rsid w:val="00AB275B"/>
    <w:rsid w:val="00AB300E"/>
    <w:rsid w:val="00AB3148"/>
    <w:rsid w:val="00AB3158"/>
    <w:rsid w:val="00AB3D68"/>
    <w:rsid w:val="00AB467A"/>
    <w:rsid w:val="00AB5255"/>
    <w:rsid w:val="00AB5823"/>
    <w:rsid w:val="00AB7571"/>
    <w:rsid w:val="00AC0A1F"/>
    <w:rsid w:val="00AC0A90"/>
    <w:rsid w:val="00AC1A11"/>
    <w:rsid w:val="00AC1FD4"/>
    <w:rsid w:val="00AC2E3B"/>
    <w:rsid w:val="00AC5A79"/>
    <w:rsid w:val="00AD0FF0"/>
    <w:rsid w:val="00AD1016"/>
    <w:rsid w:val="00AD284B"/>
    <w:rsid w:val="00AD29DC"/>
    <w:rsid w:val="00AD3AD7"/>
    <w:rsid w:val="00AD4A97"/>
    <w:rsid w:val="00AD4B09"/>
    <w:rsid w:val="00AD5228"/>
    <w:rsid w:val="00AD5FC3"/>
    <w:rsid w:val="00AD637C"/>
    <w:rsid w:val="00AD6744"/>
    <w:rsid w:val="00AD676E"/>
    <w:rsid w:val="00AE0E31"/>
    <w:rsid w:val="00AE1910"/>
    <w:rsid w:val="00AE2229"/>
    <w:rsid w:val="00AE3641"/>
    <w:rsid w:val="00AE4035"/>
    <w:rsid w:val="00AE45BE"/>
    <w:rsid w:val="00AE5C5F"/>
    <w:rsid w:val="00AE5E9C"/>
    <w:rsid w:val="00AE6555"/>
    <w:rsid w:val="00AE6E47"/>
    <w:rsid w:val="00AE712B"/>
    <w:rsid w:val="00AE71F1"/>
    <w:rsid w:val="00AE747E"/>
    <w:rsid w:val="00AE76E5"/>
    <w:rsid w:val="00AE7EC9"/>
    <w:rsid w:val="00AF130B"/>
    <w:rsid w:val="00AF1AC8"/>
    <w:rsid w:val="00AF1D95"/>
    <w:rsid w:val="00AF4EF6"/>
    <w:rsid w:val="00AF5C40"/>
    <w:rsid w:val="00AF63C1"/>
    <w:rsid w:val="00AF6722"/>
    <w:rsid w:val="00AF7049"/>
    <w:rsid w:val="00B00327"/>
    <w:rsid w:val="00B00485"/>
    <w:rsid w:val="00B00585"/>
    <w:rsid w:val="00B0188B"/>
    <w:rsid w:val="00B01C45"/>
    <w:rsid w:val="00B025B9"/>
    <w:rsid w:val="00B02E16"/>
    <w:rsid w:val="00B033A8"/>
    <w:rsid w:val="00B036E3"/>
    <w:rsid w:val="00B037D4"/>
    <w:rsid w:val="00B03A1E"/>
    <w:rsid w:val="00B03BA3"/>
    <w:rsid w:val="00B03C26"/>
    <w:rsid w:val="00B04367"/>
    <w:rsid w:val="00B04CAA"/>
    <w:rsid w:val="00B0582C"/>
    <w:rsid w:val="00B05AE2"/>
    <w:rsid w:val="00B05EB0"/>
    <w:rsid w:val="00B06A0D"/>
    <w:rsid w:val="00B06C4D"/>
    <w:rsid w:val="00B072C0"/>
    <w:rsid w:val="00B0742F"/>
    <w:rsid w:val="00B10AEC"/>
    <w:rsid w:val="00B11029"/>
    <w:rsid w:val="00B11D24"/>
    <w:rsid w:val="00B124C7"/>
    <w:rsid w:val="00B12788"/>
    <w:rsid w:val="00B1301A"/>
    <w:rsid w:val="00B1689F"/>
    <w:rsid w:val="00B17241"/>
    <w:rsid w:val="00B20ADD"/>
    <w:rsid w:val="00B21EED"/>
    <w:rsid w:val="00B22AF5"/>
    <w:rsid w:val="00B23B7F"/>
    <w:rsid w:val="00B2442F"/>
    <w:rsid w:val="00B2464A"/>
    <w:rsid w:val="00B24929"/>
    <w:rsid w:val="00B24CC5"/>
    <w:rsid w:val="00B25013"/>
    <w:rsid w:val="00B25511"/>
    <w:rsid w:val="00B266F6"/>
    <w:rsid w:val="00B26A8E"/>
    <w:rsid w:val="00B27450"/>
    <w:rsid w:val="00B27EAA"/>
    <w:rsid w:val="00B3050D"/>
    <w:rsid w:val="00B30F7E"/>
    <w:rsid w:val="00B31B03"/>
    <w:rsid w:val="00B321A1"/>
    <w:rsid w:val="00B3230C"/>
    <w:rsid w:val="00B32532"/>
    <w:rsid w:val="00B32FFF"/>
    <w:rsid w:val="00B331F5"/>
    <w:rsid w:val="00B33828"/>
    <w:rsid w:val="00B33C95"/>
    <w:rsid w:val="00B344BA"/>
    <w:rsid w:val="00B34AF0"/>
    <w:rsid w:val="00B34B39"/>
    <w:rsid w:val="00B3730B"/>
    <w:rsid w:val="00B4035E"/>
    <w:rsid w:val="00B40C18"/>
    <w:rsid w:val="00B41B0A"/>
    <w:rsid w:val="00B41C47"/>
    <w:rsid w:val="00B42773"/>
    <w:rsid w:val="00B43A5D"/>
    <w:rsid w:val="00B43EDD"/>
    <w:rsid w:val="00B44BA6"/>
    <w:rsid w:val="00B45BB6"/>
    <w:rsid w:val="00B4688E"/>
    <w:rsid w:val="00B472A6"/>
    <w:rsid w:val="00B508E1"/>
    <w:rsid w:val="00B517D3"/>
    <w:rsid w:val="00B51C69"/>
    <w:rsid w:val="00B51E5A"/>
    <w:rsid w:val="00B524A5"/>
    <w:rsid w:val="00B52C7B"/>
    <w:rsid w:val="00B537EC"/>
    <w:rsid w:val="00B5483D"/>
    <w:rsid w:val="00B60187"/>
    <w:rsid w:val="00B6031D"/>
    <w:rsid w:val="00B6086C"/>
    <w:rsid w:val="00B630A1"/>
    <w:rsid w:val="00B6360E"/>
    <w:rsid w:val="00B645FC"/>
    <w:rsid w:val="00B64973"/>
    <w:rsid w:val="00B65E04"/>
    <w:rsid w:val="00B6639D"/>
    <w:rsid w:val="00B674AF"/>
    <w:rsid w:val="00B70733"/>
    <w:rsid w:val="00B70855"/>
    <w:rsid w:val="00B70EF9"/>
    <w:rsid w:val="00B70FAB"/>
    <w:rsid w:val="00B71982"/>
    <w:rsid w:val="00B721B1"/>
    <w:rsid w:val="00B7237C"/>
    <w:rsid w:val="00B74418"/>
    <w:rsid w:val="00B7506C"/>
    <w:rsid w:val="00B75077"/>
    <w:rsid w:val="00B757C9"/>
    <w:rsid w:val="00B76750"/>
    <w:rsid w:val="00B775DF"/>
    <w:rsid w:val="00B801E4"/>
    <w:rsid w:val="00B80F8C"/>
    <w:rsid w:val="00B81260"/>
    <w:rsid w:val="00B83671"/>
    <w:rsid w:val="00B83AAA"/>
    <w:rsid w:val="00B8492B"/>
    <w:rsid w:val="00B85D43"/>
    <w:rsid w:val="00B90625"/>
    <w:rsid w:val="00B90E41"/>
    <w:rsid w:val="00B91090"/>
    <w:rsid w:val="00B91B59"/>
    <w:rsid w:val="00B92138"/>
    <w:rsid w:val="00B921E1"/>
    <w:rsid w:val="00B930A5"/>
    <w:rsid w:val="00B935A1"/>
    <w:rsid w:val="00B9385D"/>
    <w:rsid w:val="00B954C2"/>
    <w:rsid w:val="00B95855"/>
    <w:rsid w:val="00B9605D"/>
    <w:rsid w:val="00B96651"/>
    <w:rsid w:val="00B979D4"/>
    <w:rsid w:val="00BA0028"/>
    <w:rsid w:val="00BA0E98"/>
    <w:rsid w:val="00BA115D"/>
    <w:rsid w:val="00BA14E0"/>
    <w:rsid w:val="00BA14F8"/>
    <w:rsid w:val="00BA16AE"/>
    <w:rsid w:val="00BA2057"/>
    <w:rsid w:val="00BA2F87"/>
    <w:rsid w:val="00BA38AD"/>
    <w:rsid w:val="00BA3AB4"/>
    <w:rsid w:val="00BA3BFD"/>
    <w:rsid w:val="00BA6B50"/>
    <w:rsid w:val="00BB0C34"/>
    <w:rsid w:val="00BB1764"/>
    <w:rsid w:val="00BB187E"/>
    <w:rsid w:val="00BB1B5C"/>
    <w:rsid w:val="00BB40DB"/>
    <w:rsid w:val="00BB57F7"/>
    <w:rsid w:val="00BB728B"/>
    <w:rsid w:val="00BB74BB"/>
    <w:rsid w:val="00BB7D03"/>
    <w:rsid w:val="00BC031D"/>
    <w:rsid w:val="00BC0C02"/>
    <w:rsid w:val="00BC1024"/>
    <w:rsid w:val="00BC18EA"/>
    <w:rsid w:val="00BC1A4F"/>
    <w:rsid w:val="00BC3E0E"/>
    <w:rsid w:val="00BC4839"/>
    <w:rsid w:val="00BC57B5"/>
    <w:rsid w:val="00BC5910"/>
    <w:rsid w:val="00BC6245"/>
    <w:rsid w:val="00BC72C9"/>
    <w:rsid w:val="00BC74F8"/>
    <w:rsid w:val="00BD169F"/>
    <w:rsid w:val="00BD2129"/>
    <w:rsid w:val="00BD254A"/>
    <w:rsid w:val="00BD3388"/>
    <w:rsid w:val="00BD3F00"/>
    <w:rsid w:val="00BD4E0E"/>
    <w:rsid w:val="00BD67F6"/>
    <w:rsid w:val="00BD6A89"/>
    <w:rsid w:val="00BD76E6"/>
    <w:rsid w:val="00BE0046"/>
    <w:rsid w:val="00BE0073"/>
    <w:rsid w:val="00BE08CC"/>
    <w:rsid w:val="00BE0FDE"/>
    <w:rsid w:val="00BE1831"/>
    <w:rsid w:val="00BE1F08"/>
    <w:rsid w:val="00BE338F"/>
    <w:rsid w:val="00BE5582"/>
    <w:rsid w:val="00BE5D4A"/>
    <w:rsid w:val="00BE6E1C"/>
    <w:rsid w:val="00BE71BB"/>
    <w:rsid w:val="00BE7C0D"/>
    <w:rsid w:val="00BF0190"/>
    <w:rsid w:val="00BF0A05"/>
    <w:rsid w:val="00BF0CF9"/>
    <w:rsid w:val="00BF138A"/>
    <w:rsid w:val="00BF3D3D"/>
    <w:rsid w:val="00BF40A4"/>
    <w:rsid w:val="00BF4F5F"/>
    <w:rsid w:val="00BF5315"/>
    <w:rsid w:val="00BF648A"/>
    <w:rsid w:val="00BF6CDB"/>
    <w:rsid w:val="00BF70E6"/>
    <w:rsid w:val="00BF798F"/>
    <w:rsid w:val="00C005ED"/>
    <w:rsid w:val="00C006BB"/>
    <w:rsid w:val="00C00B37"/>
    <w:rsid w:val="00C021B0"/>
    <w:rsid w:val="00C02FFD"/>
    <w:rsid w:val="00C05B1F"/>
    <w:rsid w:val="00C06757"/>
    <w:rsid w:val="00C103BF"/>
    <w:rsid w:val="00C12204"/>
    <w:rsid w:val="00C1273A"/>
    <w:rsid w:val="00C13F01"/>
    <w:rsid w:val="00C14258"/>
    <w:rsid w:val="00C1438B"/>
    <w:rsid w:val="00C154D3"/>
    <w:rsid w:val="00C159B1"/>
    <w:rsid w:val="00C16893"/>
    <w:rsid w:val="00C16E52"/>
    <w:rsid w:val="00C17578"/>
    <w:rsid w:val="00C1776F"/>
    <w:rsid w:val="00C20181"/>
    <w:rsid w:val="00C203CA"/>
    <w:rsid w:val="00C20865"/>
    <w:rsid w:val="00C20A06"/>
    <w:rsid w:val="00C20C52"/>
    <w:rsid w:val="00C21B62"/>
    <w:rsid w:val="00C225B5"/>
    <w:rsid w:val="00C22844"/>
    <w:rsid w:val="00C23EAB"/>
    <w:rsid w:val="00C24361"/>
    <w:rsid w:val="00C24EA2"/>
    <w:rsid w:val="00C24F8D"/>
    <w:rsid w:val="00C250B3"/>
    <w:rsid w:val="00C25CEC"/>
    <w:rsid w:val="00C277D8"/>
    <w:rsid w:val="00C27B04"/>
    <w:rsid w:val="00C30A26"/>
    <w:rsid w:val="00C30CEC"/>
    <w:rsid w:val="00C3157C"/>
    <w:rsid w:val="00C3292C"/>
    <w:rsid w:val="00C32E7C"/>
    <w:rsid w:val="00C34470"/>
    <w:rsid w:val="00C345E1"/>
    <w:rsid w:val="00C35AC2"/>
    <w:rsid w:val="00C35B22"/>
    <w:rsid w:val="00C37538"/>
    <w:rsid w:val="00C40D17"/>
    <w:rsid w:val="00C41273"/>
    <w:rsid w:val="00C41A57"/>
    <w:rsid w:val="00C41FC3"/>
    <w:rsid w:val="00C426AE"/>
    <w:rsid w:val="00C43565"/>
    <w:rsid w:val="00C43732"/>
    <w:rsid w:val="00C43BF1"/>
    <w:rsid w:val="00C4431D"/>
    <w:rsid w:val="00C443FD"/>
    <w:rsid w:val="00C44413"/>
    <w:rsid w:val="00C4622E"/>
    <w:rsid w:val="00C473A0"/>
    <w:rsid w:val="00C512B0"/>
    <w:rsid w:val="00C51CD6"/>
    <w:rsid w:val="00C52531"/>
    <w:rsid w:val="00C53829"/>
    <w:rsid w:val="00C53962"/>
    <w:rsid w:val="00C55057"/>
    <w:rsid w:val="00C55264"/>
    <w:rsid w:val="00C5642E"/>
    <w:rsid w:val="00C56A36"/>
    <w:rsid w:val="00C57234"/>
    <w:rsid w:val="00C57289"/>
    <w:rsid w:val="00C57455"/>
    <w:rsid w:val="00C57F16"/>
    <w:rsid w:val="00C60116"/>
    <w:rsid w:val="00C6234D"/>
    <w:rsid w:val="00C62A00"/>
    <w:rsid w:val="00C63221"/>
    <w:rsid w:val="00C632DF"/>
    <w:rsid w:val="00C63EC8"/>
    <w:rsid w:val="00C64476"/>
    <w:rsid w:val="00C647E1"/>
    <w:rsid w:val="00C64B3D"/>
    <w:rsid w:val="00C65D0C"/>
    <w:rsid w:val="00C66964"/>
    <w:rsid w:val="00C66C5C"/>
    <w:rsid w:val="00C66E58"/>
    <w:rsid w:val="00C67843"/>
    <w:rsid w:val="00C734F0"/>
    <w:rsid w:val="00C7450B"/>
    <w:rsid w:val="00C74571"/>
    <w:rsid w:val="00C747E9"/>
    <w:rsid w:val="00C75656"/>
    <w:rsid w:val="00C761DC"/>
    <w:rsid w:val="00C7711E"/>
    <w:rsid w:val="00C805D9"/>
    <w:rsid w:val="00C825B6"/>
    <w:rsid w:val="00C82C14"/>
    <w:rsid w:val="00C82F79"/>
    <w:rsid w:val="00C8341E"/>
    <w:rsid w:val="00C837D0"/>
    <w:rsid w:val="00C83F86"/>
    <w:rsid w:val="00C841F7"/>
    <w:rsid w:val="00C84DB3"/>
    <w:rsid w:val="00C84EC7"/>
    <w:rsid w:val="00C863BA"/>
    <w:rsid w:val="00C8688E"/>
    <w:rsid w:val="00C86C62"/>
    <w:rsid w:val="00C873B7"/>
    <w:rsid w:val="00C87AA8"/>
    <w:rsid w:val="00C913BF"/>
    <w:rsid w:val="00C914D7"/>
    <w:rsid w:val="00C91830"/>
    <w:rsid w:val="00C91B14"/>
    <w:rsid w:val="00C91B6D"/>
    <w:rsid w:val="00C91E6B"/>
    <w:rsid w:val="00C923C2"/>
    <w:rsid w:val="00C9273F"/>
    <w:rsid w:val="00C92C78"/>
    <w:rsid w:val="00C92D82"/>
    <w:rsid w:val="00C9319B"/>
    <w:rsid w:val="00C93A77"/>
    <w:rsid w:val="00C95DBC"/>
    <w:rsid w:val="00C963DA"/>
    <w:rsid w:val="00C96B05"/>
    <w:rsid w:val="00C96C85"/>
    <w:rsid w:val="00C97071"/>
    <w:rsid w:val="00CA00D9"/>
    <w:rsid w:val="00CA098E"/>
    <w:rsid w:val="00CA0CD6"/>
    <w:rsid w:val="00CA2677"/>
    <w:rsid w:val="00CA2B2A"/>
    <w:rsid w:val="00CA4BB9"/>
    <w:rsid w:val="00CA5176"/>
    <w:rsid w:val="00CA589C"/>
    <w:rsid w:val="00CA634A"/>
    <w:rsid w:val="00CB04C6"/>
    <w:rsid w:val="00CB052D"/>
    <w:rsid w:val="00CB0624"/>
    <w:rsid w:val="00CB0A68"/>
    <w:rsid w:val="00CB0FBF"/>
    <w:rsid w:val="00CB1856"/>
    <w:rsid w:val="00CB2591"/>
    <w:rsid w:val="00CB3085"/>
    <w:rsid w:val="00CB40EC"/>
    <w:rsid w:val="00CB52E9"/>
    <w:rsid w:val="00CB6152"/>
    <w:rsid w:val="00CB7307"/>
    <w:rsid w:val="00CB73DE"/>
    <w:rsid w:val="00CC003A"/>
    <w:rsid w:val="00CC1839"/>
    <w:rsid w:val="00CC1EBF"/>
    <w:rsid w:val="00CC2F48"/>
    <w:rsid w:val="00CC37F0"/>
    <w:rsid w:val="00CC4B9C"/>
    <w:rsid w:val="00CC66B5"/>
    <w:rsid w:val="00CD09FA"/>
    <w:rsid w:val="00CD137B"/>
    <w:rsid w:val="00CD148F"/>
    <w:rsid w:val="00CD2635"/>
    <w:rsid w:val="00CD2D7A"/>
    <w:rsid w:val="00CD3AAA"/>
    <w:rsid w:val="00CD3ECE"/>
    <w:rsid w:val="00CD4A07"/>
    <w:rsid w:val="00CD4FF5"/>
    <w:rsid w:val="00CD54AE"/>
    <w:rsid w:val="00CD6125"/>
    <w:rsid w:val="00CD6953"/>
    <w:rsid w:val="00CE04F5"/>
    <w:rsid w:val="00CE1336"/>
    <w:rsid w:val="00CE1AD6"/>
    <w:rsid w:val="00CE1C15"/>
    <w:rsid w:val="00CE24CC"/>
    <w:rsid w:val="00CE2556"/>
    <w:rsid w:val="00CE27AE"/>
    <w:rsid w:val="00CE28E0"/>
    <w:rsid w:val="00CE298E"/>
    <w:rsid w:val="00CE2C01"/>
    <w:rsid w:val="00CE3368"/>
    <w:rsid w:val="00CE3AF4"/>
    <w:rsid w:val="00CE504C"/>
    <w:rsid w:val="00CE504F"/>
    <w:rsid w:val="00CE5086"/>
    <w:rsid w:val="00CE5DF9"/>
    <w:rsid w:val="00CE6C04"/>
    <w:rsid w:val="00CE73C8"/>
    <w:rsid w:val="00CF00D2"/>
    <w:rsid w:val="00CF0B05"/>
    <w:rsid w:val="00CF1664"/>
    <w:rsid w:val="00CF16CB"/>
    <w:rsid w:val="00CF1C36"/>
    <w:rsid w:val="00CF2027"/>
    <w:rsid w:val="00CF3F83"/>
    <w:rsid w:val="00CF4D40"/>
    <w:rsid w:val="00CF6763"/>
    <w:rsid w:val="00CF6C1D"/>
    <w:rsid w:val="00CF7A23"/>
    <w:rsid w:val="00CF7D33"/>
    <w:rsid w:val="00CF7DF4"/>
    <w:rsid w:val="00CF7E2D"/>
    <w:rsid w:val="00CF7F23"/>
    <w:rsid w:val="00D0010D"/>
    <w:rsid w:val="00D00C79"/>
    <w:rsid w:val="00D028F3"/>
    <w:rsid w:val="00D03F2B"/>
    <w:rsid w:val="00D046F8"/>
    <w:rsid w:val="00D0544F"/>
    <w:rsid w:val="00D078C8"/>
    <w:rsid w:val="00D100BE"/>
    <w:rsid w:val="00D10267"/>
    <w:rsid w:val="00D11338"/>
    <w:rsid w:val="00D121C9"/>
    <w:rsid w:val="00D12CD3"/>
    <w:rsid w:val="00D1314C"/>
    <w:rsid w:val="00D14278"/>
    <w:rsid w:val="00D14C0F"/>
    <w:rsid w:val="00D15BF4"/>
    <w:rsid w:val="00D16410"/>
    <w:rsid w:val="00D17801"/>
    <w:rsid w:val="00D20586"/>
    <w:rsid w:val="00D205F1"/>
    <w:rsid w:val="00D20FDD"/>
    <w:rsid w:val="00D2246F"/>
    <w:rsid w:val="00D23183"/>
    <w:rsid w:val="00D235DC"/>
    <w:rsid w:val="00D23A17"/>
    <w:rsid w:val="00D23C22"/>
    <w:rsid w:val="00D24DAE"/>
    <w:rsid w:val="00D305DD"/>
    <w:rsid w:val="00D31BAE"/>
    <w:rsid w:val="00D329A4"/>
    <w:rsid w:val="00D32D54"/>
    <w:rsid w:val="00D3344E"/>
    <w:rsid w:val="00D34629"/>
    <w:rsid w:val="00D34A14"/>
    <w:rsid w:val="00D34D4F"/>
    <w:rsid w:val="00D35D0F"/>
    <w:rsid w:val="00D3734A"/>
    <w:rsid w:val="00D37A77"/>
    <w:rsid w:val="00D406C7"/>
    <w:rsid w:val="00D40A9C"/>
    <w:rsid w:val="00D40BFA"/>
    <w:rsid w:val="00D4248F"/>
    <w:rsid w:val="00D42585"/>
    <w:rsid w:val="00D42FF2"/>
    <w:rsid w:val="00D440D1"/>
    <w:rsid w:val="00D44A77"/>
    <w:rsid w:val="00D45297"/>
    <w:rsid w:val="00D4750E"/>
    <w:rsid w:val="00D4757E"/>
    <w:rsid w:val="00D47C9F"/>
    <w:rsid w:val="00D47F98"/>
    <w:rsid w:val="00D50AE9"/>
    <w:rsid w:val="00D51205"/>
    <w:rsid w:val="00D51209"/>
    <w:rsid w:val="00D514F5"/>
    <w:rsid w:val="00D5222A"/>
    <w:rsid w:val="00D522DB"/>
    <w:rsid w:val="00D5297C"/>
    <w:rsid w:val="00D535A8"/>
    <w:rsid w:val="00D53D6C"/>
    <w:rsid w:val="00D547EB"/>
    <w:rsid w:val="00D55444"/>
    <w:rsid w:val="00D562D0"/>
    <w:rsid w:val="00D5638A"/>
    <w:rsid w:val="00D573C0"/>
    <w:rsid w:val="00D575AA"/>
    <w:rsid w:val="00D60A19"/>
    <w:rsid w:val="00D61102"/>
    <w:rsid w:val="00D61A13"/>
    <w:rsid w:val="00D640F1"/>
    <w:rsid w:val="00D649B9"/>
    <w:rsid w:val="00D65122"/>
    <w:rsid w:val="00D659C0"/>
    <w:rsid w:val="00D66A96"/>
    <w:rsid w:val="00D66CA1"/>
    <w:rsid w:val="00D67E40"/>
    <w:rsid w:val="00D71EE1"/>
    <w:rsid w:val="00D723AC"/>
    <w:rsid w:val="00D72F98"/>
    <w:rsid w:val="00D738B1"/>
    <w:rsid w:val="00D74A99"/>
    <w:rsid w:val="00D76DF2"/>
    <w:rsid w:val="00D802CE"/>
    <w:rsid w:val="00D81077"/>
    <w:rsid w:val="00D810F1"/>
    <w:rsid w:val="00D81128"/>
    <w:rsid w:val="00D8246A"/>
    <w:rsid w:val="00D829BC"/>
    <w:rsid w:val="00D835C7"/>
    <w:rsid w:val="00D845D2"/>
    <w:rsid w:val="00D863B0"/>
    <w:rsid w:val="00D865D0"/>
    <w:rsid w:val="00D86A6E"/>
    <w:rsid w:val="00D86A81"/>
    <w:rsid w:val="00D87410"/>
    <w:rsid w:val="00D90DFF"/>
    <w:rsid w:val="00D91CF3"/>
    <w:rsid w:val="00D923DF"/>
    <w:rsid w:val="00D92698"/>
    <w:rsid w:val="00D93418"/>
    <w:rsid w:val="00D946B1"/>
    <w:rsid w:val="00D95048"/>
    <w:rsid w:val="00D95DB8"/>
    <w:rsid w:val="00D961B8"/>
    <w:rsid w:val="00D96C7C"/>
    <w:rsid w:val="00D96EBE"/>
    <w:rsid w:val="00D97681"/>
    <w:rsid w:val="00DA18F0"/>
    <w:rsid w:val="00DA204A"/>
    <w:rsid w:val="00DA2EA6"/>
    <w:rsid w:val="00DA327E"/>
    <w:rsid w:val="00DA3521"/>
    <w:rsid w:val="00DA35D4"/>
    <w:rsid w:val="00DA457C"/>
    <w:rsid w:val="00DA4B81"/>
    <w:rsid w:val="00DA4E6A"/>
    <w:rsid w:val="00DA541E"/>
    <w:rsid w:val="00DA5DDA"/>
    <w:rsid w:val="00DA6146"/>
    <w:rsid w:val="00DA68F9"/>
    <w:rsid w:val="00DB0EB8"/>
    <w:rsid w:val="00DB4682"/>
    <w:rsid w:val="00DB5539"/>
    <w:rsid w:val="00DB554E"/>
    <w:rsid w:val="00DB5DDC"/>
    <w:rsid w:val="00DB6051"/>
    <w:rsid w:val="00DB6A76"/>
    <w:rsid w:val="00DC182B"/>
    <w:rsid w:val="00DC29C2"/>
    <w:rsid w:val="00DC2C5F"/>
    <w:rsid w:val="00DC318B"/>
    <w:rsid w:val="00DC35E3"/>
    <w:rsid w:val="00DC3DD9"/>
    <w:rsid w:val="00DC4970"/>
    <w:rsid w:val="00DC5175"/>
    <w:rsid w:val="00DC58D5"/>
    <w:rsid w:val="00DC661C"/>
    <w:rsid w:val="00DC666D"/>
    <w:rsid w:val="00DC6760"/>
    <w:rsid w:val="00DC67D3"/>
    <w:rsid w:val="00DC7AD5"/>
    <w:rsid w:val="00DD09F2"/>
    <w:rsid w:val="00DD0FE6"/>
    <w:rsid w:val="00DD1645"/>
    <w:rsid w:val="00DD28F2"/>
    <w:rsid w:val="00DD301B"/>
    <w:rsid w:val="00DD31E6"/>
    <w:rsid w:val="00DD3305"/>
    <w:rsid w:val="00DD3C07"/>
    <w:rsid w:val="00DD4789"/>
    <w:rsid w:val="00DD7E3C"/>
    <w:rsid w:val="00DE0A25"/>
    <w:rsid w:val="00DE19D4"/>
    <w:rsid w:val="00DE1EC0"/>
    <w:rsid w:val="00DE293F"/>
    <w:rsid w:val="00DE3257"/>
    <w:rsid w:val="00DE49AC"/>
    <w:rsid w:val="00DE6C08"/>
    <w:rsid w:val="00DE7231"/>
    <w:rsid w:val="00DF01D6"/>
    <w:rsid w:val="00DF09BE"/>
    <w:rsid w:val="00DF237F"/>
    <w:rsid w:val="00DF353A"/>
    <w:rsid w:val="00DF40F1"/>
    <w:rsid w:val="00DF44D2"/>
    <w:rsid w:val="00DF49F7"/>
    <w:rsid w:val="00DF4B82"/>
    <w:rsid w:val="00DF5191"/>
    <w:rsid w:val="00DF54ED"/>
    <w:rsid w:val="00DF58C6"/>
    <w:rsid w:val="00DF6FF2"/>
    <w:rsid w:val="00DF7333"/>
    <w:rsid w:val="00DF7520"/>
    <w:rsid w:val="00DF7642"/>
    <w:rsid w:val="00E00565"/>
    <w:rsid w:val="00E0093E"/>
    <w:rsid w:val="00E01070"/>
    <w:rsid w:val="00E01ACA"/>
    <w:rsid w:val="00E03B80"/>
    <w:rsid w:val="00E03C54"/>
    <w:rsid w:val="00E03DEB"/>
    <w:rsid w:val="00E06165"/>
    <w:rsid w:val="00E0629A"/>
    <w:rsid w:val="00E10447"/>
    <w:rsid w:val="00E10A83"/>
    <w:rsid w:val="00E10AF5"/>
    <w:rsid w:val="00E11F81"/>
    <w:rsid w:val="00E12CCA"/>
    <w:rsid w:val="00E13192"/>
    <w:rsid w:val="00E16006"/>
    <w:rsid w:val="00E2083E"/>
    <w:rsid w:val="00E2099A"/>
    <w:rsid w:val="00E21A6F"/>
    <w:rsid w:val="00E22B43"/>
    <w:rsid w:val="00E23174"/>
    <w:rsid w:val="00E23389"/>
    <w:rsid w:val="00E23BC7"/>
    <w:rsid w:val="00E23CA9"/>
    <w:rsid w:val="00E23FF4"/>
    <w:rsid w:val="00E24205"/>
    <w:rsid w:val="00E268AF"/>
    <w:rsid w:val="00E269F9"/>
    <w:rsid w:val="00E3155B"/>
    <w:rsid w:val="00E31BCC"/>
    <w:rsid w:val="00E31BDE"/>
    <w:rsid w:val="00E31E2F"/>
    <w:rsid w:val="00E31E4F"/>
    <w:rsid w:val="00E325C7"/>
    <w:rsid w:val="00E32D13"/>
    <w:rsid w:val="00E3364E"/>
    <w:rsid w:val="00E349E5"/>
    <w:rsid w:val="00E34FD8"/>
    <w:rsid w:val="00E361A9"/>
    <w:rsid w:val="00E37A8B"/>
    <w:rsid w:val="00E37D77"/>
    <w:rsid w:val="00E37E0C"/>
    <w:rsid w:val="00E4189A"/>
    <w:rsid w:val="00E41AE6"/>
    <w:rsid w:val="00E41D3F"/>
    <w:rsid w:val="00E42953"/>
    <w:rsid w:val="00E44A05"/>
    <w:rsid w:val="00E44BAB"/>
    <w:rsid w:val="00E45488"/>
    <w:rsid w:val="00E45AEB"/>
    <w:rsid w:val="00E463D3"/>
    <w:rsid w:val="00E46DED"/>
    <w:rsid w:val="00E47C81"/>
    <w:rsid w:val="00E50012"/>
    <w:rsid w:val="00E50159"/>
    <w:rsid w:val="00E50536"/>
    <w:rsid w:val="00E5117B"/>
    <w:rsid w:val="00E51C6E"/>
    <w:rsid w:val="00E526DD"/>
    <w:rsid w:val="00E5299D"/>
    <w:rsid w:val="00E52C16"/>
    <w:rsid w:val="00E530D8"/>
    <w:rsid w:val="00E53A56"/>
    <w:rsid w:val="00E55707"/>
    <w:rsid w:val="00E56187"/>
    <w:rsid w:val="00E57BC4"/>
    <w:rsid w:val="00E601ED"/>
    <w:rsid w:val="00E60A05"/>
    <w:rsid w:val="00E60B94"/>
    <w:rsid w:val="00E60BE8"/>
    <w:rsid w:val="00E61522"/>
    <w:rsid w:val="00E61967"/>
    <w:rsid w:val="00E63900"/>
    <w:rsid w:val="00E63F7D"/>
    <w:rsid w:val="00E6539D"/>
    <w:rsid w:val="00E65824"/>
    <w:rsid w:val="00E673FB"/>
    <w:rsid w:val="00E7006F"/>
    <w:rsid w:val="00E706E4"/>
    <w:rsid w:val="00E71B58"/>
    <w:rsid w:val="00E7202D"/>
    <w:rsid w:val="00E72519"/>
    <w:rsid w:val="00E72620"/>
    <w:rsid w:val="00E73B77"/>
    <w:rsid w:val="00E73FC9"/>
    <w:rsid w:val="00E74C86"/>
    <w:rsid w:val="00E757A0"/>
    <w:rsid w:val="00E75E5A"/>
    <w:rsid w:val="00E771A7"/>
    <w:rsid w:val="00E77AB4"/>
    <w:rsid w:val="00E77BC1"/>
    <w:rsid w:val="00E8086F"/>
    <w:rsid w:val="00E81934"/>
    <w:rsid w:val="00E82A8F"/>
    <w:rsid w:val="00E841B1"/>
    <w:rsid w:val="00E841EC"/>
    <w:rsid w:val="00E84467"/>
    <w:rsid w:val="00E845DB"/>
    <w:rsid w:val="00E848A9"/>
    <w:rsid w:val="00E851B4"/>
    <w:rsid w:val="00E85380"/>
    <w:rsid w:val="00E85420"/>
    <w:rsid w:val="00E86E87"/>
    <w:rsid w:val="00E90FF3"/>
    <w:rsid w:val="00E9104E"/>
    <w:rsid w:val="00E92209"/>
    <w:rsid w:val="00E9269D"/>
    <w:rsid w:val="00E931E5"/>
    <w:rsid w:val="00E9539C"/>
    <w:rsid w:val="00E95414"/>
    <w:rsid w:val="00EA0032"/>
    <w:rsid w:val="00EA0C38"/>
    <w:rsid w:val="00EA1DC7"/>
    <w:rsid w:val="00EA2A93"/>
    <w:rsid w:val="00EA30E3"/>
    <w:rsid w:val="00EA38DD"/>
    <w:rsid w:val="00EA3B8A"/>
    <w:rsid w:val="00EA5388"/>
    <w:rsid w:val="00EA5785"/>
    <w:rsid w:val="00EA6428"/>
    <w:rsid w:val="00EA659B"/>
    <w:rsid w:val="00EB022F"/>
    <w:rsid w:val="00EB04E8"/>
    <w:rsid w:val="00EB1BDD"/>
    <w:rsid w:val="00EB253D"/>
    <w:rsid w:val="00EB2717"/>
    <w:rsid w:val="00EB41A0"/>
    <w:rsid w:val="00EB458F"/>
    <w:rsid w:val="00EB45AC"/>
    <w:rsid w:val="00EB6F4A"/>
    <w:rsid w:val="00EB6FF5"/>
    <w:rsid w:val="00EB7E05"/>
    <w:rsid w:val="00EC0E01"/>
    <w:rsid w:val="00EC21E3"/>
    <w:rsid w:val="00EC22DB"/>
    <w:rsid w:val="00EC37CB"/>
    <w:rsid w:val="00EC3E4A"/>
    <w:rsid w:val="00EC4292"/>
    <w:rsid w:val="00EC6B7C"/>
    <w:rsid w:val="00EC7364"/>
    <w:rsid w:val="00EC745E"/>
    <w:rsid w:val="00EC7555"/>
    <w:rsid w:val="00ED0324"/>
    <w:rsid w:val="00ED1A68"/>
    <w:rsid w:val="00ED1A8B"/>
    <w:rsid w:val="00ED24BA"/>
    <w:rsid w:val="00ED2CC7"/>
    <w:rsid w:val="00ED2D5D"/>
    <w:rsid w:val="00ED33C0"/>
    <w:rsid w:val="00ED348A"/>
    <w:rsid w:val="00ED3FA8"/>
    <w:rsid w:val="00ED4103"/>
    <w:rsid w:val="00ED4840"/>
    <w:rsid w:val="00ED4D2B"/>
    <w:rsid w:val="00ED5502"/>
    <w:rsid w:val="00ED6117"/>
    <w:rsid w:val="00ED620E"/>
    <w:rsid w:val="00ED6256"/>
    <w:rsid w:val="00ED6E84"/>
    <w:rsid w:val="00ED72C2"/>
    <w:rsid w:val="00EE07D0"/>
    <w:rsid w:val="00EE0DA7"/>
    <w:rsid w:val="00EE1B4A"/>
    <w:rsid w:val="00EE1D3D"/>
    <w:rsid w:val="00EE23CF"/>
    <w:rsid w:val="00EE26B3"/>
    <w:rsid w:val="00EE2907"/>
    <w:rsid w:val="00EE37E5"/>
    <w:rsid w:val="00EE442A"/>
    <w:rsid w:val="00EE4D16"/>
    <w:rsid w:val="00EE58F0"/>
    <w:rsid w:val="00EE592E"/>
    <w:rsid w:val="00EE609C"/>
    <w:rsid w:val="00EF069C"/>
    <w:rsid w:val="00EF0886"/>
    <w:rsid w:val="00EF12EF"/>
    <w:rsid w:val="00EF147A"/>
    <w:rsid w:val="00EF2F21"/>
    <w:rsid w:val="00EF2F3E"/>
    <w:rsid w:val="00EF3269"/>
    <w:rsid w:val="00EF345C"/>
    <w:rsid w:val="00EF472E"/>
    <w:rsid w:val="00EF5444"/>
    <w:rsid w:val="00EF60F6"/>
    <w:rsid w:val="00EF6442"/>
    <w:rsid w:val="00EF6668"/>
    <w:rsid w:val="00EF6808"/>
    <w:rsid w:val="00EF73A5"/>
    <w:rsid w:val="00EF7747"/>
    <w:rsid w:val="00F0135C"/>
    <w:rsid w:val="00F01CE9"/>
    <w:rsid w:val="00F041F1"/>
    <w:rsid w:val="00F045D1"/>
    <w:rsid w:val="00F049F1"/>
    <w:rsid w:val="00F05302"/>
    <w:rsid w:val="00F06595"/>
    <w:rsid w:val="00F06D01"/>
    <w:rsid w:val="00F078DC"/>
    <w:rsid w:val="00F07D29"/>
    <w:rsid w:val="00F07F5F"/>
    <w:rsid w:val="00F108CB"/>
    <w:rsid w:val="00F12E3E"/>
    <w:rsid w:val="00F131FC"/>
    <w:rsid w:val="00F1345E"/>
    <w:rsid w:val="00F14164"/>
    <w:rsid w:val="00F14C86"/>
    <w:rsid w:val="00F14EBC"/>
    <w:rsid w:val="00F15CCD"/>
    <w:rsid w:val="00F15E96"/>
    <w:rsid w:val="00F15E9F"/>
    <w:rsid w:val="00F170ED"/>
    <w:rsid w:val="00F207CA"/>
    <w:rsid w:val="00F2081F"/>
    <w:rsid w:val="00F219C1"/>
    <w:rsid w:val="00F2311C"/>
    <w:rsid w:val="00F23C36"/>
    <w:rsid w:val="00F2401B"/>
    <w:rsid w:val="00F24338"/>
    <w:rsid w:val="00F243F9"/>
    <w:rsid w:val="00F24DAA"/>
    <w:rsid w:val="00F26119"/>
    <w:rsid w:val="00F261A2"/>
    <w:rsid w:val="00F270C7"/>
    <w:rsid w:val="00F273AC"/>
    <w:rsid w:val="00F2796A"/>
    <w:rsid w:val="00F27C5C"/>
    <w:rsid w:val="00F3098E"/>
    <w:rsid w:val="00F31A2A"/>
    <w:rsid w:val="00F31B1E"/>
    <w:rsid w:val="00F327FF"/>
    <w:rsid w:val="00F32C29"/>
    <w:rsid w:val="00F332D8"/>
    <w:rsid w:val="00F33661"/>
    <w:rsid w:val="00F342C7"/>
    <w:rsid w:val="00F34A14"/>
    <w:rsid w:val="00F3533B"/>
    <w:rsid w:val="00F35455"/>
    <w:rsid w:val="00F3623C"/>
    <w:rsid w:val="00F36775"/>
    <w:rsid w:val="00F367D5"/>
    <w:rsid w:val="00F42393"/>
    <w:rsid w:val="00F42AEA"/>
    <w:rsid w:val="00F43EB6"/>
    <w:rsid w:val="00F444AF"/>
    <w:rsid w:val="00F45FE6"/>
    <w:rsid w:val="00F468CC"/>
    <w:rsid w:val="00F506D3"/>
    <w:rsid w:val="00F5401D"/>
    <w:rsid w:val="00F5414F"/>
    <w:rsid w:val="00F541B5"/>
    <w:rsid w:val="00F54AB6"/>
    <w:rsid w:val="00F54BF5"/>
    <w:rsid w:val="00F55F47"/>
    <w:rsid w:val="00F56E2A"/>
    <w:rsid w:val="00F56F76"/>
    <w:rsid w:val="00F60099"/>
    <w:rsid w:val="00F60892"/>
    <w:rsid w:val="00F60957"/>
    <w:rsid w:val="00F60C20"/>
    <w:rsid w:val="00F60F1B"/>
    <w:rsid w:val="00F62BFD"/>
    <w:rsid w:val="00F62EC4"/>
    <w:rsid w:val="00F63489"/>
    <w:rsid w:val="00F63F6D"/>
    <w:rsid w:val="00F648EB"/>
    <w:rsid w:val="00F64EB9"/>
    <w:rsid w:val="00F65BC9"/>
    <w:rsid w:val="00F67E39"/>
    <w:rsid w:val="00F67F6F"/>
    <w:rsid w:val="00F70E3F"/>
    <w:rsid w:val="00F70EBA"/>
    <w:rsid w:val="00F70F68"/>
    <w:rsid w:val="00F71292"/>
    <w:rsid w:val="00F7142D"/>
    <w:rsid w:val="00F728F5"/>
    <w:rsid w:val="00F72AA8"/>
    <w:rsid w:val="00F72AE6"/>
    <w:rsid w:val="00F72D52"/>
    <w:rsid w:val="00F72E10"/>
    <w:rsid w:val="00F757AF"/>
    <w:rsid w:val="00F7626A"/>
    <w:rsid w:val="00F766D8"/>
    <w:rsid w:val="00F77C28"/>
    <w:rsid w:val="00F806FB"/>
    <w:rsid w:val="00F8099E"/>
    <w:rsid w:val="00F827B0"/>
    <w:rsid w:val="00F835D4"/>
    <w:rsid w:val="00F84FFF"/>
    <w:rsid w:val="00F85150"/>
    <w:rsid w:val="00F8572D"/>
    <w:rsid w:val="00F907E1"/>
    <w:rsid w:val="00F90C0A"/>
    <w:rsid w:val="00F91E46"/>
    <w:rsid w:val="00F9243A"/>
    <w:rsid w:val="00F9288C"/>
    <w:rsid w:val="00F928A6"/>
    <w:rsid w:val="00F92EC0"/>
    <w:rsid w:val="00F9358B"/>
    <w:rsid w:val="00F94459"/>
    <w:rsid w:val="00F94F15"/>
    <w:rsid w:val="00F950C8"/>
    <w:rsid w:val="00F957A3"/>
    <w:rsid w:val="00F95BC2"/>
    <w:rsid w:val="00F95C95"/>
    <w:rsid w:val="00F96226"/>
    <w:rsid w:val="00F96B53"/>
    <w:rsid w:val="00F96FAE"/>
    <w:rsid w:val="00FA0EBB"/>
    <w:rsid w:val="00FA3225"/>
    <w:rsid w:val="00FA37E9"/>
    <w:rsid w:val="00FA5CE9"/>
    <w:rsid w:val="00FB0604"/>
    <w:rsid w:val="00FB16FD"/>
    <w:rsid w:val="00FB1CBF"/>
    <w:rsid w:val="00FB1E4D"/>
    <w:rsid w:val="00FB253F"/>
    <w:rsid w:val="00FB273E"/>
    <w:rsid w:val="00FB2DC0"/>
    <w:rsid w:val="00FB3071"/>
    <w:rsid w:val="00FB55E4"/>
    <w:rsid w:val="00FB5793"/>
    <w:rsid w:val="00FB6078"/>
    <w:rsid w:val="00FB70E6"/>
    <w:rsid w:val="00FC00F9"/>
    <w:rsid w:val="00FC117D"/>
    <w:rsid w:val="00FC1633"/>
    <w:rsid w:val="00FC1D85"/>
    <w:rsid w:val="00FC22F0"/>
    <w:rsid w:val="00FC27F5"/>
    <w:rsid w:val="00FC50C4"/>
    <w:rsid w:val="00FC556F"/>
    <w:rsid w:val="00FC62EC"/>
    <w:rsid w:val="00FC6954"/>
    <w:rsid w:val="00FC7404"/>
    <w:rsid w:val="00FC7F76"/>
    <w:rsid w:val="00FD0020"/>
    <w:rsid w:val="00FD0908"/>
    <w:rsid w:val="00FD153C"/>
    <w:rsid w:val="00FD1F25"/>
    <w:rsid w:val="00FD2411"/>
    <w:rsid w:val="00FD2E4B"/>
    <w:rsid w:val="00FD35E4"/>
    <w:rsid w:val="00FD3A38"/>
    <w:rsid w:val="00FD48AB"/>
    <w:rsid w:val="00FD4C03"/>
    <w:rsid w:val="00FD58B9"/>
    <w:rsid w:val="00FD5E5A"/>
    <w:rsid w:val="00FD66D1"/>
    <w:rsid w:val="00FD709E"/>
    <w:rsid w:val="00FD7D82"/>
    <w:rsid w:val="00FE0D52"/>
    <w:rsid w:val="00FE1D21"/>
    <w:rsid w:val="00FE271E"/>
    <w:rsid w:val="00FE27B9"/>
    <w:rsid w:val="00FE3AC7"/>
    <w:rsid w:val="00FE3FFB"/>
    <w:rsid w:val="00FE4012"/>
    <w:rsid w:val="00FE4831"/>
    <w:rsid w:val="00FE4DB3"/>
    <w:rsid w:val="00FE5BA7"/>
    <w:rsid w:val="00FE5DD4"/>
    <w:rsid w:val="00FE6379"/>
    <w:rsid w:val="00FE7B9B"/>
    <w:rsid w:val="00FF0746"/>
    <w:rsid w:val="00FF09C1"/>
    <w:rsid w:val="00FF11BF"/>
    <w:rsid w:val="00FF125B"/>
    <w:rsid w:val="00FF1490"/>
    <w:rsid w:val="00FF1BCC"/>
    <w:rsid w:val="00FF2150"/>
    <w:rsid w:val="00FF253B"/>
    <w:rsid w:val="00FF2BE1"/>
    <w:rsid w:val="00FF3E41"/>
    <w:rsid w:val="00FF4FAE"/>
    <w:rsid w:val="00FF5571"/>
    <w:rsid w:val="00FF5A3E"/>
    <w:rsid w:val="00FF5D29"/>
    <w:rsid w:val="00FF6C48"/>
    <w:rsid w:val="00FF722A"/>
    <w:rsid w:val="00FF73BD"/>
    <w:rsid w:val="00FF7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EE215A"/>
  <w15:docId w15:val="{E455F424-B618-43D4-B89D-A3F03D3FD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heme="minorHAnsi" w:hAnsi="Cambria"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122"/>
  </w:style>
  <w:style w:type="paragraph" w:styleId="Heading1">
    <w:name w:val="heading 1"/>
    <w:basedOn w:val="Normal"/>
    <w:next w:val="Normal"/>
    <w:link w:val="Heading1Char"/>
    <w:uiPriority w:val="9"/>
    <w:qFormat/>
    <w:rsid w:val="00086122"/>
    <w:pPr>
      <w:keepNext/>
      <w:keepLines/>
      <w:spacing w:before="240"/>
      <w:outlineLvl w:val="0"/>
    </w:pPr>
    <w:rPr>
      <w:rFonts w:eastAsiaTheme="majorEastAsia" w:cstheme="majorBidi"/>
      <w:color w:val="2E74B5" w:themeColor="accent1" w:themeShade="BF"/>
      <w:sz w:val="32"/>
      <w:szCs w:val="32"/>
      <w:u w:val="single"/>
    </w:rPr>
  </w:style>
  <w:style w:type="paragraph" w:styleId="Heading2">
    <w:name w:val="heading 2"/>
    <w:basedOn w:val="Normal"/>
    <w:next w:val="Normal"/>
    <w:link w:val="Heading2Char"/>
    <w:uiPriority w:val="9"/>
    <w:unhideWhenUsed/>
    <w:qFormat/>
    <w:rsid w:val="00106426"/>
    <w:pPr>
      <w:keepNext/>
      <w:keepLines/>
      <w:spacing w:before="40"/>
      <w:outlineLvl w:val="1"/>
    </w:pPr>
    <w:rPr>
      <w:rFonts w:eastAsiaTheme="majorEastAsia"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71292"/>
    <w:pPr>
      <w:keepNext/>
      <w:keepLines/>
      <w:spacing w:before="40"/>
      <w:outlineLvl w:val="2"/>
    </w:pPr>
    <w:rPr>
      <w:rFonts w:eastAsiaTheme="majorEastAsia"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ListParagraph"/>
    <w:qFormat/>
    <w:rsid w:val="004C27DF"/>
    <w:pPr>
      <w:numPr>
        <w:numId w:val="1"/>
      </w:numPr>
    </w:pPr>
  </w:style>
  <w:style w:type="paragraph" w:styleId="ListParagraph">
    <w:name w:val="List Paragraph"/>
    <w:basedOn w:val="Normal"/>
    <w:uiPriority w:val="34"/>
    <w:qFormat/>
    <w:rsid w:val="004C27DF"/>
    <w:pPr>
      <w:ind w:left="720"/>
      <w:contextualSpacing/>
    </w:pPr>
  </w:style>
  <w:style w:type="character" w:customStyle="1" w:styleId="Heading1Char">
    <w:name w:val="Heading 1 Char"/>
    <w:basedOn w:val="DefaultParagraphFont"/>
    <w:link w:val="Heading1"/>
    <w:uiPriority w:val="9"/>
    <w:rsid w:val="00086122"/>
    <w:rPr>
      <w:rFonts w:eastAsiaTheme="majorEastAsia" w:cstheme="majorBidi"/>
      <w:color w:val="2E74B5" w:themeColor="accent1" w:themeShade="BF"/>
      <w:sz w:val="32"/>
      <w:szCs w:val="32"/>
      <w:u w:val="single"/>
    </w:rPr>
  </w:style>
  <w:style w:type="character" w:customStyle="1" w:styleId="Heading2Char">
    <w:name w:val="Heading 2 Char"/>
    <w:basedOn w:val="DefaultParagraphFont"/>
    <w:link w:val="Heading2"/>
    <w:uiPriority w:val="9"/>
    <w:rsid w:val="00106426"/>
    <w:rPr>
      <w:rFonts w:eastAsiaTheme="majorEastAsia" w:cstheme="majorBidi"/>
      <w:color w:val="2E74B5" w:themeColor="accent1" w:themeShade="BF"/>
      <w:sz w:val="26"/>
      <w:szCs w:val="26"/>
    </w:rPr>
  </w:style>
  <w:style w:type="character" w:customStyle="1" w:styleId="Heading3Char">
    <w:name w:val="Heading 3 Char"/>
    <w:basedOn w:val="DefaultParagraphFont"/>
    <w:link w:val="Heading3"/>
    <w:uiPriority w:val="9"/>
    <w:rsid w:val="00F71292"/>
    <w:rPr>
      <w:rFonts w:eastAsiaTheme="majorEastAsia" w:cstheme="majorBidi"/>
      <w:color w:val="1F4D78" w:themeColor="accent1" w:themeShade="7F"/>
      <w:sz w:val="24"/>
      <w:szCs w:val="24"/>
    </w:rPr>
  </w:style>
  <w:style w:type="paragraph" w:styleId="Header">
    <w:name w:val="header"/>
    <w:basedOn w:val="Normal"/>
    <w:link w:val="HeaderChar"/>
    <w:uiPriority w:val="99"/>
    <w:unhideWhenUsed/>
    <w:rsid w:val="002D1AFE"/>
    <w:pPr>
      <w:tabs>
        <w:tab w:val="center" w:pos="4680"/>
        <w:tab w:val="right" w:pos="9360"/>
      </w:tabs>
    </w:pPr>
  </w:style>
  <w:style w:type="character" w:customStyle="1" w:styleId="HeaderChar">
    <w:name w:val="Header Char"/>
    <w:basedOn w:val="DefaultParagraphFont"/>
    <w:link w:val="Header"/>
    <w:uiPriority w:val="99"/>
    <w:rsid w:val="002D1AFE"/>
  </w:style>
  <w:style w:type="paragraph" w:styleId="Footer">
    <w:name w:val="footer"/>
    <w:basedOn w:val="Normal"/>
    <w:link w:val="FooterChar"/>
    <w:uiPriority w:val="99"/>
    <w:unhideWhenUsed/>
    <w:rsid w:val="002D1AFE"/>
    <w:pPr>
      <w:tabs>
        <w:tab w:val="center" w:pos="4680"/>
        <w:tab w:val="right" w:pos="9360"/>
      </w:tabs>
    </w:pPr>
  </w:style>
  <w:style w:type="character" w:customStyle="1" w:styleId="FooterChar">
    <w:name w:val="Footer Char"/>
    <w:basedOn w:val="DefaultParagraphFont"/>
    <w:link w:val="Footer"/>
    <w:uiPriority w:val="99"/>
    <w:rsid w:val="002D1AFE"/>
  </w:style>
  <w:style w:type="table" w:styleId="TableGrid">
    <w:name w:val="Table Grid"/>
    <w:basedOn w:val="TableNormal"/>
    <w:uiPriority w:val="39"/>
    <w:rsid w:val="002A7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A7EE7"/>
    <w:rPr>
      <w:color w:val="808080"/>
    </w:rPr>
  </w:style>
  <w:style w:type="paragraph" w:styleId="BalloonText">
    <w:name w:val="Balloon Text"/>
    <w:basedOn w:val="Normal"/>
    <w:link w:val="BalloonTextChar"/>
    <w:uiPriority w:val="99"/>
    <w:semiHidden/>
    <w:unhideWhenUsed/>
    <w:rsid w:val="004F18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F187B"/>
    <w:rPr>
      <w:rFonts w:ascii="Lucida Grande" w:hAnsi="Lucida Grande" w:cs="Lucida Grande"/>
      <w:sz w:val="18"/>
      <w:szCs w:val="18"/>
    </w:rPr>
  </w:style>
  <w:style w:type="character" w:styleId="CommentReference">
    <w:name w:val="annotation reference"/>
    <w:basedOn w:val="DefaultParagraphFont"/>
    <w:uiPriority w:val="99"/>
    <w:semiHidden/>
    <w:unhideWhenUsed/>
    <w:rsid w:val="00203A82"/>
    <w:rPr>
      <w:sz w:val="18"/>
      <w:szCs w:val="18"/>
    </w:rPr>
  </w:style>
  <w:style w:type="paragraph" w:styleId="CommentText">
    <w:name w:val="annotation text"/>
    <w:basedOn w:val="Normal"/>
    <w:link w:val="CommentTextChar"/>
    <w:uiPriority w:val="99"/>
    <w:unhideWhenUsed/>
    <w:rsid w:val="00203A82"/>
    <w:rPr>
      <w:sz w:val="24"/>
      <w:szCs w:val="24"/>
    </w:rPr>
  </w:style>
  <w:style w:type="character" w:customStyle="1" w:styleId="CommentTextChar">
    <w:name w:val="Comment Text Char"/>
    <w:basedOn w:val="DefaultParagraphFont"/>
    <w:link w:val="CommentText"/>
    <w:uiPriority w:val="99"/>
    <w:rsid w:val="00203A82"/>
    <w:rPr>
      <w:sz w:val="24"/>
      <w:szCs w:val="24"/>
    </w:rPr>
  </w:style>
  <w:style w:type="paragraph" w:styleId="CommentSubject">
    <w:name w:val="annotation subject"/>
    <w:basedOn w:val="CommentText"/>
    <w:next w:val="CommentText"/>
    <w:link w:val="CommentSubjectChar"/>
    <w:uiPriority w:val="99"/>
    <w:semiHidden/>
    <w:unhideWhenUsed/>
    <w:rsid w:val="00203A82"/>
    <w:rPr>
      <w:b/>
      <w:bCs/>
      <w:sz w:val="20"/>
      <w:szCs w:val="20"/>
    </w:rPr>
  </w:style>
  <w:style w:type="character" w:customStyle="1" w:styleId="CommentSubjectChar">
    <w:name w:val="Comment Subject Char"/>
    <w:basedOn w:val="CommentTextChar"/>
    <w:link w:val="CommentSubject"/>
    <w:uiPriority w:val="99"/>
    <w:semiHidden/>
    <w:rsid w:val="00203A82"/>
    <w:rPr>
      <w:b/>
      <w:bCs/>
      <w:sz w:val="20"/>
      <w:szCs w:val="20"/>
    </w:rPr>
  </w:style>
  <w:style w:type="paragraph" w:styleId="NoSpacing">
    <w:name w:val="No Spacing"/>
    <w:uiPriority w:val="1"/>
    <w:qFormat/>
    <w:rsid w:val="00FB1CBF"/>
    <w:rPr>
      <w:rFonts w:asciiTheme="minorHAnsi" w:hAnsiTheme="minorHAnsi"/>
    </w:rPr>
  </w:style>
  <w:style w:type="character" w:styleId="Hyperlink">
    <w:name w:val="Hyperlink"/>
    <w:basedOn w:val="DefaultParagraphFont"/>
    <w:unhideWhenUsed/>
    <w:rsid w:val="00067460"/>
    <w:rPr>
      <w:color w:val="0563C1" w:themeColor="hyperlink"/>
      <w:u w:val="single"/>
    </w:rPr>
  </w:style>
  <w:style w:type="character" w:customStyle="1" w:styleId="apple-converted-space">
    <w:name w:val="apple-converted-space"/>
    <w:basedOn w:val="DefaultParagraphFont"/>
    <w:rsid w:val="00040B91"/>
  </w:style>
  <w:style w:type="paragraph" w:styleId="FootnoteText">
    <w:name w:val="footnote text"/>
    <w:basedOn w:val="Normal"/>
    <w:link w:val="FootnoteTextChar"/>
    <w:uiPriority w:val="99"/>
    <w:semiHidden/>
    <w:unhideWhenUsed/>
    <w:rsid w:val="00B7237C"/>
    <w:rPr>
      <w:sz w:val="20"/>
      <w:szCs w:val="20"/>
    </w:rPr>
  </w:style>
  <w:style w:type="character" w:customStyle="1" w:styleId="FootnoteTextChar">
    <w:name w:val="Footnote Text Char"/>
    <w:basedOn w:val="DefaultParagraphFont"/>
    <w:link w:val="FootnoteText"/>
    <w:uiPriority w:val="99"/>
    <w:semiHidden/>
    <w:rsid w:val="00B7237C"/>
    <w:rPr>
      <w:sz w:val="20"/>
      <w:szCs w:val="20"/>
    </w:rPr>
  </w:style>
  <w:style w:type="character" w:styleId="FootnoteReference">
    <w:name w:val="footnote reference"/>
    <w:basedOn w:val="DefaultParagraphFont"/>
    <w:uiPriority w:val="99"/>
    <w:semiHidden/>
    <w:unhideWhenUsed/>
    <w:rsid w:val="00B7237C"/>
    <w:rPr>
      <w:vertAlign w:val="superscript"/>
    </w:rPr>
  </w:style>
  <w:style w:type="paragraph" w:styleId="Revision">
    <w:name w:val="Revision"/>
    <w:hidden/>
    <w:uiPriority w:val="99"/>
    <w:semiHidden/>
    <w:rsid w:val="00126EDF"/>
  </w:style>
  <w:style w:type="paragraph" w:styleId="Caption">
    <w:name w:val="caption"/>
    <w:basedOn w:val="Normal"/>
    <w:next w:val="Normal"/>
    <w:uiPriority w:val="35"/>
    <w:unhideWhenUsed/>
    <w:qFormat/>
    <w:rsid w:val="00AE747E"/>
    <w:pPr>
      <w:spacing w:after="200"/>
    </w:pPr>
    <w:rPr>
      <w:i/>
      <w:iCs/>
      <w:color w:val="44546A" w:themeColor="text2"/>
      <w:sz w:val="18"/>
      <w:szCs w:val="18"/>
    </w:rPr>
  </w:style>
  <w:style w:type="paragraph" w:styleId="NormalWeb">
    <w:name w:val="Normal (Web)"/>
    <w:basedOn w:val="Normal"/>
    <w:uiPriority w:val="99"/>
    <w:semiHidden/>
    <w:unhideWhenUsed/>
    <w:rsid w:val="009961E0"/>
    <w:pPr>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8005">
      <w:bodyDiv w:val="1"/>
      <w:marLeft w:val="0"/>
      <w:marRight w:val="0"/>
      <w:marTop w:val="0"/>
      <w:marBottom w:val="0"/>
      <w:divBdr>
        <w:top w:val="none" w:sz="0" w:space="0" w:color="auto"/>
        <w:left w:val="none" w:sz="0" w:space="0" w:color="auto"/>
        <w:bottom w:val="none" w:sz="0" w:space="0" w:color="auto"/>
        <w:right w:val="none" w:sz="0" w:space="0" w:color="auto"/>
      </w:divBdr>
    </w:div>
    <w:div w:id="242033816">
      <w:bodyDiv w:val="1"/>
      <w:marLeft w:val="0"/>
      <w:marRight w:val="0"/>
      <w:marTop w:val="0"/>
      <w:marBottom w:val="0"/>
      <w:divBdr>
        <w:top w:val="none" w:sz="0" w:space="0" w:color="auto"/>
        <w:left w:val="none" w:sz="0" w:space="0" w:color="auto"/>
        <w:bottom w:val="none" w:sz="0" w:space="0" w:color="auto"/>
        <w:right w:val="none" w:sz="0" w:space="0" w:color="auto"/>
      </w:divBdr>
    </w:div>
    <w:div w:id="476723010">
      <w:bodyDiv w:val="1"/>
      <w:marLeft w:val="0"/>
      <w:marRight w:val="0"/>
      <w:marTop w:val="0"/>
      <w:marBottom w:val="0"/>
      <w:divBdr>
        <w:top w:val="none" w:sz="0" w:space="0" w:color="auto"/>
        <w:left w:val="none" w:sz="0" w:space="0" w:color="auto"/>
        <w:bottom w:val="none" w:sz="0" w:space="0" w:color="auto"/>
        <w:right w:val="none" w:sz="0" w:space="0" w:color="auto"/>
      </w:divBdr>
    </w:div>
    <w:div w:id="696081001">
      <w:bodyDiv w:val="1"/>
      <w:marLeft w:val="0"/>
      <w:marRight w:val="0"/>
      <w:marTop w:val="0"/>
      <w:marBottom w:val="0"/>
      <w:divBdr>
        <w:top w:val="none" w:sz="0" w:space="0" w:color="auto"/>
        <w:left w:val="none" w:sz="0" w:space="0" w:color="auto"/>
        <w:bottom w:val="none" w:sz="0" w:space="0" w:color="auto"/>
        <w:right w:val="none" w:sz="0" w:space="0" w:color="auto"/>
      </w:divBdr>
    </w:div>
    <w:div w:id="792134575">
      <w:bodyDiv w:val="1"/>
      <w:marLeft w:val="0"/>
      <w:marRight w:val="0"/>
      <w:marTop w:val="0"/>
      <w:marBottom w:val="0"/>
      <w:divBdr>
        <w:top w:val="none" w:sz="0" w:space="0" w:color="auto"/>
        <w:left w:val="none" w:sz="0" w:space="0" w:color="auto"/>
        <w:bottom w:val="none" w:sz="0" w:space="0" w:color="auto"/>
        <w:right w:val="none" w:sz="0" w:space="0" w:color="auto"/>
      </w:divBdr>
    </w:div>
    <w:div w:id="954405309">
      <w:bodyDiv w:val="1"/>
      <w:marLeft w:val="0"/>
      <w:marRight w:val="0"/>
      <w:marTop w:val="0"/>
      <w:marBottom w:val="0"/>
      <w:divBdr>
        <w:top w:val="none" w:sz="0" w:space="0" w:color="auto"/>
        <w:left w:val="none" w:sz="0" w:space="0" w:color="auto"/>
        <w:bottom w:val="none" w:sz="0" w:space="0" w:color="auto"/>
        <w:right w:val="none" w:sz="0" w:space="0" w:color="auto"/>
      </w:divBdr>
    </w:div>
    <w:div w:id="1291593679">
      <w:bodyDiv w:val="1"/>
      <w:marLeft w:val="0"/>
      <w:marRight w:val="0"/>
      <w:marTop w:val="0"/>
      <w:marBottom w:val="0"/>
      <w:divBdr>
        <w:top w:val="none" w:sz="0" w:space="0" w:color="auto"/>
        <w:left w:val="none" w:sz="0" w:space="0" w:color="auto"/>
        <w:bottom w:val="none" w:sz="0" w:space="0" w:color="auto"/>
        <w:right w:val="none" w:sz="0" w:space="0" w:color="auto"/>
      </w:divBdr>
    </w:div>
    <w:div w:id="1352494949">
      <w:bodyDiv w:val="1"/>
      <w:marLeft w:val="0"/>
      <w:marRight w:val="0"/>
      <w:marTop w:val="0"/>
      <w:marBottom w:val="0"/>
      <w:divBdr>
        <w:top w:val="none" w:sz="0" w:space="0" w:color="auto"/>
        <w:left w:val="none" w:sz="0" w:space="0" w:color="auto"/>
        <w:bottom w:val="none" w:sz="0" w:space="0" w:color="auto"/>
        <w:right w:val="none" w:sz="0" w:space="0" w:color="auto"/>
      </w:divBdr>
    </w:div>
    <w:div w:id="1569144604">
      <w:bodyDiv w:val="1"/>
      <w:marLeft w:val="0"/>
      <w:marRight w:val="0"/>
      <w:marTop w:val="0"/>
      <w:marBottom w:val="0"/>
      <w:divBdr>
        <w:top w:val="none" w:sz="0" w:space="0" w:color="auto"/>
        <w:left w:val="none" w:sz="0" w:space="0" w:color="auto"/>
        <w:bottom w:val="none" w:sz="0" w:space="0" w:color="auto"/>
        <w:right w:val="none" w:sz="0" w:space="0" w:color="auto"/>
      </w:divBdr>
    </w:div>
    <w:div w:id="1675572149">
      <w:bodyDiv w:val="1"/>
      <w:marLeft w:val="0"/>
      <w:marRight w:val="0"/>
      <w:marTop w:val="0"/>
      <w:marBottom w:val="0"/>
      <w:divBdr>
        <w:top w:val="none" w:sz="0" w:space="0" w:color="auto"/>
        <w:left w:val="none" w:sz="0" w:space="0" w:color="auto"/>
        <w:bottom w:val="none" w:sz="0" w:space="0" w:color="auto"/>
        <w:right w:val="none" w:sz="0" w:space="0" w:color="auto"/>
      </w:divBdr>
    </w:div>
    <w:div w:id="1957324200">
      <w:bodyDiv w:val="1"/>
      <w:marLeft w:val="0"/>
      <w:marRight w:val="0"/>
      <w:marTop w:val="0"/>
      <w:marBottom w:val="0"/>
      <w:divBdr>
        <w:top w:val="none" w:sz="0" w:space="0" w:color="auto"/>
        <w:left w:val="none" w:sz="0" w:space="0" w:color="auto"/>
        <w:bottom w:val="none" w:sz="0" w:space="0" w:color="auto"/>
        <w:right w:val="none" w:sz="0" w:space="0" w:color="auto"/>
      </w:divBdr>
    </w:div>
    <w:div w:id="2095779613">
      <w:bodyDiv w:val="1"/>
      <w:marLeft w:val="0"/>
      <w:marRight w:val="0"/>
      <w:marTop w:val="0"/>
      <w:marBottom w:val="0"/>
      <w:divBdr>
        <w:top w:val="none" w:sz="0" w:space="0" w:color="auto"/>
        <w:left w:val="none" w:sz="0" w:space="0" w:color="auto"/>
        <w:bottom w:val="none" w:sz="0" w:space="0" w:color="auto"/>
        <w:right w:val="none" w:sz="0" w:space="0" w:color="auto"/>
      </w:divBdr>
    </w:div>
    <w:div w:id="2141607994">
      <w:bodyDiv w:val="1"/>
      <w:marLeft w:val="0"/>
      <w:marRight w:val="0"/>
      <w:marTop w:val="0"/>
      <w:marBottom w:val="0"/>
      <w:divBdr>
        <w:top w:val="none" w:sz="0" w:space="0" w:color="auto"/>
        <w:left w:val="none" w:sz="0" w:space="0" w:color="auto"/>
        <w:bottom w:val="none" w:sz="0" w:space="0" w:color="auto"/>
        <w:right w:val="none" w:sz="0" w:space="0" w:color="auto"/>
      </w:divBdr>
      <w:divsChild>
        <w:div w:id="1693874878">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42903-D0D6-470C-84B3-F9110F927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6075</Words>
  <Characters>34630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McManus</dc:creator>
  <cp:keywords/>
  <dc:description/>
  <cp:lastModifiedBy>Dan Stein</cp:lastModifiedBy>
  <cp:revision>3</cp:revision>
  <dcterms:created xsi:type="dcterms:W3CDTF">2018-05-31T23:04:00Z</dcterms:created>
  <dcterms:modified xsi:type="dcterms:W3CDTF">2018-05-31T23:05:00Z</dcterms:modified>
</cp:coreProperties>
</file>