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E580E" w14:textId="1572C2EF" w:rsidR="00C526FC" w:rsidRDefault="000F1B7A" w:rsidP="00F9661A">
      <w:pPr>
        <w:pStyle w:val="Heading2"/>
        <w:spacing w:before="0"/>
        <w:rPr>
          <w:rFonts w:ascii="Garamond" w:hAnsi="Garamond"/>
          <w:sz w:val="28"/>
          <w:szCs w:val="28"/>
        </w:rPr>
      </w:pPr>
      <w:r>
        <w:rPr>
          <w:rFonts w:ascii="Garamond" w:hAnsi="Garamond"/>
          <w:sz w:val="28"/>
          <w:szCs w:val="28"/>
        </w:rPr>
        <w:t>Introduction</w:t>
      </w:r>
    </w:p>
    <w:p w14:paraId="3A66A550" w14:textId="41631D96" w:rsidR="000F1B7A" w:rsidRDefault="000F1B7A" w:rsidP="0088187F">
      <w:pPr>
        <w:jc w:val="both"/>
      </w:pPr>
      <w:proofErr w:type="spellStart"/>
      <w:r w:rsidRPr="000F1B7A">
        <w:rPr>
          <w:rFonts w:ascii="Garamond" w:hAnsi="Garamond"/>
        </w:rPr>
        <w:t>IDinsight</w:t>
      </w:r>
      <w:proofErr w:type="spellEnd"/>
      <w:r w:rsidRPr="000F1B7A">
        <w:rPr>
          <w:rFonts w:ascii="Garamond" w:hAnsi="Garamond"/>
        </w:rPr>
        <w:t xml:space="preserve"> is conducting a </w:t>
      </w:r>
      <w:r w:rsidR="00BB77ED">
        <w:rPr>
          <w:rFonts w:ascii="Garamond" w:hAnsi="Garamond"/>
        </w:rPr>
        <w:t xml:space="preserve">cluster </w:t>
      </w:r>
      <w:r w:rsidRPr="000F1B7A">
        <w:rPr>
          <w:rFonts w:ascii="Garamond" w:hAnsi="Garamond"/>
        </w:rPr>
        <w:t>randomized controlled trial</w:t>
      </w:r>
      <w:r w:rsidR="001C04DA">
        <w:rPr>
          <w:rFonts w:ascii="Garamond" w:hAnsi="Garamond"/>
        </w:rPr>
        <w:t xml:space="preserve"> (RCT)</w:t>
      </w:r>
      <w:r w:rsidRPr="000F1B7A">
        <w:rPr>
          <w:rFonts w:ascii="Garamond" w:hAnsi="Garamond"/>
        </w:rPr>
        <w:t xml:space="preserve"> to assess the impact of</w:t>
      </w:r>
      <w:r w:rsidR="0080154F">
        <w:rPr>
          <w:rFonts w:ascii="Garamond" w:hAnsi="Garamond"/>
        </w:rPr>
        <w:t xml:space="preserve"> delivering</w:t>
      </w:r>
      <w:r w:rsidRPr="000F1B7A">
        <w:rPr>
          <w:rFonts w:ascii="Garamond" w:hAnsi="Garamond"/>
        </w:rPr>
        <w:t xml:space="preserve"> cash incentives </w:t>
      </w:r>
      <w:r w:rsidR="0080154F">
        <w:rPr>
          <w:rFonts w:ascii="Garamond" w:hAnsi="Garamond"/>
        </w:rPr>
        <w:t xml:space="preserve">to </w:t>
      </w:r>
      <w:r w:rsidR="00550DE1" w:rsidRPr="000F1B7A">
        <w:rPr>
          <w:rFonts w:ascii="Garamond" w:hAnsi="Garamond"/>
        </w:rPr>
        <w:t>care</w:t>
      </w:r>
      <w:r w:rsidR="00550DE1">
        <w:rPr>
          <w:rFonts w:ascii="Garamond" w:hAnsi="Garamond"/>
        </w:rPr>
        <w:t>givers</w:t>
      </w:r>
      <w:r w:rsidR="00550DE1" w:rsidRPr="000F1B7A">
        <w:rPr>
          <w:rFonts w:ascii="Garamond" w:hAnsi="Garamond"/>
        </w:rPr>
        <w:t xml:space="preserve"> </w:t>
      </w:r>
      <w:r w:rsidRPr="000F1B7A">
        <w:rPr>
          <w:rFonts w:ascii="Garamond" w:hAnsi="Garamond"/>
        </w:rPr>
        <w:t>to bring their</w:t>
      </w:r>
      <w:r w:rsidR="0080154F">
        <w:rPr>
          <w:rFonts w:ascii="Garamond" w:hAnsi="Garamond"/>
        </w:rPr>
        <w:t xml:space="preserve"> </w:t>
      </w:r>
      <w:r w:rsidR="00277FC5">
        <w:rPr>
          <w:rFonts w:ascii="Garamond" w:hAnsi="Garamond"/>
        </w:rPr>
        <w:t>infants</w:t>
      </w:r>
      <w:r w:rsidRPr="000F1B7A">
        <w:rPr>
          <w:rFonts w:ascii="Garamond" w:hAnsi="Garamond"/>
        </w:rPr>
        <w:t xml:space="preserve"> for routine immunization in North West Nigeria.</w:t>
      </w:r>
      <w:r w:rsidR="00B850CF">
        <w:rPr>
          <w:rFonts w:ascii="Garamond" w:hAnsi="Garamond"/>
        </w:rPr>
        <w:t xml:space="preserve"> </w:t>
      </w:r>
      <w:r w:rsidRPr="000F1B7A">
        <w:rPr>
          <w:rFonts w:ascii="Garamond" w:hAnsi="Garamond"/>
        </w:rPr>
        <w:t xml:space="preserve">The purpose of the </w:t>
      </w:r>
      <w:r w:rsidR="00B87AB3">
        <w:rPr>
          <w:rFonts w:ascii="Garamond" w:hAnsi="Garamond"/>
        </w:rPr>
        <w:t>evaluation</w:t>
      </w:r>
      <w:r w:rsidR="00372E78" w:rsidRPr="000F1B7A">
        <w:rPr>
          <w:rFonts w:ascii="Garamond" w:hAnsi="Garamond"/>
        </w:rPr>
        <w:t xml:space="preserve"> </w:t>
      </w:r>
      <w:r w:rsidRPr="000F1B7A">
        <w:rPr>
          <w:rFonts w:ascii="Garamond" w:hAnsi="Garamond"/>
        </w:rPr>
        <w:t xml:space="preserve">is to determine the degree to which these incentives increase coverage </w:t>
      </w:r>
      <w:r w:rsidR="0055010B">
        <w:rPr>
          <w:rFonts w:ascii="Garamond" w:hAnsi="Garamond"/>
        </w:rPr>
        <w:t>rates</w:t>
      </w:r>
      <w:r w:rsidR="00D07711" w:rsidRPr="000F1B7A">
        <w:rPr>
          <w:rFonts w:ascii="Garamond" w:hAnsi="Garamond"/>
        </w:rPr>
        <w:t xml:space="preserve"> </w:t>
      </w:r>
      <w:r w:rsidRPr="000F1B7A">
        <w:rPr>
          <w:rFonts w:ascii="Garamond" w:hAnsi="Garamond"/>
        </w:rPr>
        <w:t>for the vaccines in</w:t>
      </w:r>
      <w:r w:rsidR="00372E78">
        <w:rPr>
          <w:rFonts w:ascii="Garamond" w:hAnsi="Garamond"/>
        </w:rPr>
        <w:t>cluded in Nigeria’s</w:t>
      </w:r>
      <w:r w:rsidRPr="000F1B7A">
        <w:rPr>
          <w:rFonts w:ascii="Garamond" w:hAnsi="Garamond"/>
        </w:rPr>
        <w:t xml:space="preserve"> routine immunization schedule</w:t>
      </w:r>
      <w:r>
        <w:t>.</w:t>
      </w:r>
      <w:r w:rsidR="009C2251">
        <w:rPr>
          <w:rStyle w:val="FootnoteReference"/>
        </w:rPr>
        <w:footnoteReference w:id="2"/>
      </w:r>
    </w:p>
    <w:p w14:paraId="6FA079C3" w14:textId="7A6C1CE1" w:rsidR="000F1B7A" w:rsidRDefault="000F1B7A" w:rsidP="0088187F">
      <w:pPr>
        <w:jc w:val="both"/>
      </w:pPr>
    </w:p>
    <w:p w14:paraId="3F00D95E" w14:textId="7EA7A5BB" w:rsidR="000F1B7A" w:rsidRPr="000F1B7A" w:rsidRDefault="000F1B7A" w:rsidP="0088187F">
      <w:pPr>
        <w:jc w:val="both"/>
        <w:rPr>
          <w:rFonts w:ascii="Garamond" w:hAnsi="Garamond"/>
        </w:rPr>
      </w:pPr>
      <w:r w:rsidRPr="000F1B7A">
        <w:rPr>
          <w:rFonts w:ascii="Garamond" w:hAnsi="Garamond"/>
        </w:rPr>
        <w:t xml:space="preserve">This pre-analysis plan documents the key research questions the </w:t>
      </w:r>
      <w:r w:rsidR="00B87AB3">
        <w:rPr>
          <w:rFonts w:ascii="Garamond" w:hAnsi="Garamond"/>
        </w:rPr>
        <w:t>evaluation</w:t>
      </w:r>
      <w:r w:rsidRPr="000F1B7A">
        <w:rPr>
          <w:rFonts w:ascii="Garamond" w:hAnsi="Garamond"/>
        </w:rPr>
        <w:t xml:space="preserve"> seek</w:t>
      </w:r>
      <w:r w:rsidR="00372E78">
        <w:rPr>
          <w:rFonts w:ascii="Garamond" w:hAnsi="Garamond"/>
        </w:rPr>
        <w:t>s</w:t>
      </w:r>
      <w:r w:rsidRPr="000F1B7A">
        <w:rPr>
          <w:rFonts w:ascii="Garamond" w:hAnsi="Garamond"/>
        </w:rPr>
        <w:t xml:space="preserve"> to answer and specifies the analysis that will be performed for each question. It </w:t>
      </w:r>
      <w:r w:rsidR="00F4364B">
        <w:rPr>
          <w:rFonts w:ascii="Garamond" w:hAnsi="Garamond"/>
        </w:rPr>
        <w:t>is</w:t>
      </w:r>
      <w:r w:rsidRPr="000F1B7A">
        <w:rPr>
          <w:rFonts w:ascii="Garamond" w:hAnsi="Garamond"/>
        </w:rPr>
        <w:t xml:space="preserve"> registered on 3ie’s </w:t>
      </w:r>
      <w:r w:rsidR="001C04DA">
        <w:rPr>
          <w:rFonts w:ascii="Garamond" w:hAnsi="Garamond"/>
        </w:rPr>
        <w:t>Registry for International Development Impact Evaluations (</w:t>
      </w:r>
      <w:r w:rsidRPr="000F1B7A">
        <w:rPr>
          <w:rFonts w:ascii="Garamond" w:hAnsi="Garamond"/>
        </w:rPr>
        <w:t>RIDIE</w:t>
      </w:r>
      <w:r w:rsidR="001C04DA">
        <w:rPr>
          <w:rFonts w:ascii="Garamond" w:hAnsi="Garamond"/>
        </w:rPr>
        <w:t>)</w:t>
      </w:r>
      <w:r w:rsidR="00FA3E8A">
        <w:rPr>
          <w:rFonts w:ascii="Garamond" w:hAnsi="Garamond"/>
        </w:rPr>
        <w:t>,</w:t>
      </w:r>
      <w:r w:rsidRPr="000F1B7A">
        <w:rPr>
          <w:rFonts w:ascii="Garamond" w:hAnsi="Garamond"/>
        </w:rPr>
        <w:t xml:space="preserve"> </w:t>
      </w:r>
      <w:r>
        <w:rPr>
          <w:rFonts w:ascii="Garamond" w:hAnsi="Garamond"/>
        </w:rPr>
        <w:t xml:space="preserve">the </w:t>
      </w:r>
      <w:r w:rsidR="001C04DA">
        <w:rPr>
          <w:rFonts w:ascii="Garamond" w:hAnsi="Garamond"/>
        </w:rPr>
        <w:t xml:space="preserve">World Health Organization’s </w:t>
      </w:r>
      <w:r w:rsidRPr="000F1B7A">
        <w:rPr>
          <w:rFonts w:ascii="Garamond" w:hAnsi="Garamond"/>
        </w:rPr>
        <w:t>ISRCTN registry</w:t>
      </w:r>
      <w:r w:rsidR="00FA3E8A">
        <w:rPr>
          <w:rFonts w:ascii="Garamond" w:hAnsi="Garamond"/>
        </w:rPr>
        <w:t xml:space="preserve">, and </w:t>
      </w:r>
      <w:r w:rsidR="00FA3E8A" w:rsidRPr="00FA3E8A">
        <w:rPr>
          <w:rFonts w:ascii="Garamond" w:hAnsi="Garamond"/>
        </w:rPr>
        <w:t>clinicaltrials.gov</w:t>
      </w:r>
      <w:r w:rsidRPr="000F1B7A">
        <w:rPr>
          <w:rFonts w:ascii="Garamond" w:hAnsi="Garamond"/>
        </w:rPr>
        <w:t>.</w:t>
      </w:r>
      <w:r w:rsidR="00F4364B">
        <w:rPr>
          <w:rFonts w:ascii="Garamond" w:hAnsi="Garamond"/>
        </w:rPr>
        <w:t xml:space="preserve"> This </w:t>
      </w:r>
      <w:r w:rsidR="00784C83">
        <w:rPr>
          <w:rFonts w:ascii="Garamond" w:hAnsi="Garamond"/>
        </w:rPr>
        <w:t>version updates the document based on changes to the evaluation design since first registration in November 2018.</w:t>
      </w:r>
    </w:p>
    <w:p w14:paraId="4BC86E08" w14:textId="086F4F80" w:rsidR="003E612B" w:rsidRDefault="003E612B" w:rsidP="0088187F">
      <w:pPr>
        <w:jc w:val="both"/>
      </w:pPr>
    </w:p>
    <w:p w14:paraId="64033A75" w14:textId="6B3050B6" w:rsidR="00C526FC" w:rsidRDefault="00784C83" w:rsidP="0088187F">
      <w:pPr>
        <w:jc w:val="both"/>
        <w:rPr>
          <w:rFonts w:ascii="Garamond" w:hAnsi="Garamond"/>
        </w:rPr>
      </w:pPr>
      <w:r>
        <w:rPr>
          <w:rFonts w:ascii="Garamond" w:hAnsi="Garamond"/>
        </w:rPr>
        <w:t xml:space="preserve">The first </w:t>
      </w:r>
      <w:r w:rsidR="00C943AD">
        <w:rPr>
          <w:rFonts w:ascii="Garamond" w:hAnsi="Garamond"/>
        </w:rPr>
        <w:t>registered</w:t>
      </w:r>
      <w:r w:rsidR="005D65E2">
        <w:rPr>
          <w:rFonts w:ascii="Garamond" w:hAnsi="Garamond"/>
        </w:rPr>
        <w:t xml:space="preserve"> v</w:t>
      </w:r>
      <w:r w:rsidR="00C943AD">
        <w:rPr>
          <w:rFonts w:ascii="Garamond" w:hAnsi="Garamond"/>
        </w:rPr>
        <w:t>ersion of the pre-analysis plan was</w:t>
      </w:r>
      <w:r w:rsidR="005D65E2">
        <w:rPr>
          <w:rFonts w:ascii="Garamond" w:hAnsi="Garamond"/>
        </w:rPr>
        <w:t xml:space="preserve"> written </w:t>
      </w:r>
      <w:r w:rsidR="0067045F">
        <w:rPr>
          <w:rFonts w:ascii="Garamond" w:hAnsi="Garamond"/>
        </w:rPr>
        <w:t>after</w:t>
      </w:r>
      <w:r w:rsidR="005D65E2">
        <w:rPr>
          <w:rFonts w:ascii="Garamond" w:hAnsi="Garamond"/>
        </w:rPr>
        <w:t xml:space="preserve"> baseline analysis</w:t>
      </w:r>
      <w:r w:rsidR="00693FFB">
        <w:rPr>
          <w:rFonts w:ascii="Garamond" w:hAnsi="Garamond"/>
        </w:rPr>
        <w:t>,</w:t>
      </w:r>
      <w:r w:rsidR="00FF170B">
        <w:rPr>
          <w:rFonts w:ascii="Garamond" w:hAnsi="Garamond"/>
        </w:rPr>
        <w:t xml:space="preserve"> randomization</w:t>
      </w:r>
      <w:r w:rsidR="00AF531F">
        <w:rPr>
          <w:rFonts w:ascii="Garamond" w:hAnsi="Garamond"/>
        </w:rPr>
        <w:t xml:space="preserve">, and comments from </w:t>
      </w:r>
      <w:proofErr w:type="spellStart"/>
      <w:r w:rsidR="00AF531F">
        <w:rPr>
          <w:rFonts w:ascii="Garamond" w:hAnsi="Garamond"/>
        </w:rPr>
        <w:t>Give</w:t>
      </w:r>
      <w:r w:rsidR="00693FFB">
        <w:rPr>
          <w:rFonts w:ascii="Garamond" w:hAnsi="Garamond"/>
        </w:rPr>
        <w:t>Well</w:t>
      </w:r>
      <w:proofErr w:type="spellEnd"/>
      <w:r w:rsidR="00693FFB">
        <w:rPr>
          <w:rFonts w:ascii="Garamond" w:hAnsi="Garamond"/>
        </w:rPr>
        <w:t xml:space="preserve"> (funder) and New Incentives (program implementer)</w:t>
      </w:r>
      <w:r w:rsidR="005D65E2">
        <w:rPr>
          <w:rFonts w:ascii="Garamond" w:hAnsi="Garamond"/>
        </w:rPr>
        <w:t xml:space="preserve">. </w:t>
      </w:r>
      <w:r w:rsidR="00E528DF">
        <w:rPr>
          <w:rFonts w:ascii="Garamond" w:hAnsi="Garamond"/>
        </w:rPr>
        <w:t>We wrote the</w:t>
      </w:r>
      <w:r w:rsidR="00C943AD">
        <w:rPr>
          <w:rFonts w:ascii="Garamond" w:hAnsi="Garamond"/>
        </w:rPr>
        <w:t xml:space="preserve"> first version of this </w:t>
      </w:r>
      <w:r w:rsidR="00E528DF">
        <w:rPr>
          <w:rFonts w:ascii="Garamond" w:hAnsi="Garamond"/>
        </w:rPr>
        <w:t>pre</w:t>
      </w:r>
      <w:r w:rsidR="005D65E2">
        <w:rPr>
          <w:rFonts w:ascii="Garamond" w:hAnsi="Garamond"/>
        </w:rPr>
        <w:t>-analysis plan after baseline</w:t>
      </w:r>
      <w:r w:rsidR="00372E78">
        <w:rPr>
          <w:rFonts w:ascii="Garamond" w:hAnsi="Garamond"/>
        </w:rPr>
        <w:t xml:space="preserve"> data collection</w:t>
      </w:r>
      <w:r w:rsidR="005D65E2">
        <w:rPr>
          <w:rFonts w:ascii="Garamond" w:hAnsi="Garamond"/>
        </w:rPr>
        <w:t xml:space="preserve"> </w:t>
      </w:r>
      <w:r w:rsidR="00C709A2">
        <w:rPr>
          <w:rFonts w:ascii="Garamond" w:hAnsi="Garamond"/>
        </w:rPr>
        <w:t>due to</w:t>
      </w:r>
      <w:r w:rsidR="005D65E2">
        <w:rPr>
          <w:rFonts w:ascii="Garamond" w:hAnsi="Garamond"/>
        </w:rPr>
        <w:t xml:space="preserve"> uncertainty </w:t>
      </w:r>
      <w:r w:rsidR="00DF35EB">
        <w:rPr>
          <w:rFonts w:ascii="Garamond" w:hAnsi="Garamond"/>
        </w:rPr>
        <w:t>regarding</w:t>
      </w:r>
      <w:r w:rsidR="005D65E2">
        <w:rPr>
          <w:rFonts w:ascii="Garamond" w:hAnsi="Garamond"/>
        </w:rPr>
        <w:t xml:space="preserve"> </w:t>
      </w:r>
      <w:r w:rsidR="004C426A">
        <w:rPr>
          <w:rFonts w:ascii="Garamond" w:hAnsi="Garamond"/>
        </w:rPr>
        <w:t xml:space="preserve">the optimal way </w:t>
      </w:r>
      <w:r w:rsidR="00C47FF2">
        <w:rPr>
          <w:rFonts w:ascii="Garamond" w:hAnsi="Garamond"/>
        </w:rPr>
        <w:t>to measure vaccination</w:t>
      </w:r>
      <w:r w:rsidR="00C709A2">
        <w:rPr>
          <w:rFonts w:ascii="Garamond" w:hAnsi="Garamond"/>
        </w:rPr>
        <w:t xml:space="preserve"> coverage</w:t>
      </w:r>
      <w:r w:rsidR="004C426A">
        <w:rPr>
          <w:rFonts w:ascii="Garamond" w:hAnsi="Garamond"/>
        </w:rPr>
        <w:t xml:space="preserve"> in the study context</w:t>
      </w:r>
      <w:r w:rsidR="001C04DA">
        <w:rPr>
          <w:rFonts w:ascii="Garamond" w:hAnsi="Garamond"/>
        </w:rPr>
        <w:t xml:space="preserve">. </w:t>
      </w:r>
      <w:r w:rsidR="00C943AD">
        <w:rPr>
          <w:rFonts w:ascii="Garamond" w:hAnsi="Garamond"/>
        </w:rPr>
        <w:t>We used baseline to test and evaluate options</w:t>
      </w:r>
      <w:r w:rsidR="00C47FF2">
        <w:rPr>
          <w:rFonts w:ascii="Garamond" w:hAnsi="Garamond"/>
        </w:rPr>
        <w:t>. Th</w:t>
      </w:r>
      <w:r w:rsidR="001C04DA">
        <w:rPr>
          <w:rFonts w:ascii="Garamond" w:hAnsi="Garamond"/>
        </w:rPr>
        <w:t>e</w:t>
      </w:r>
      <w:r w:rsidR="00C47FF2">
        <w:rPr>
          <w:rFonts w:ascii="Garamond" w:hAnsi="Garamond"/>
        </w:rPr>
        <w:t xml:space="preserve"> decision </w:t>
      </w:r>
      <w:r w:rsidR="001C04DA">
        <w:rPr>
          <w:rFonts w:ascii="Garamond" w:hAnsi="Garamond"/>
        </w:rPr>
        <w:t xml:space="preserve">to write the pre-analysis plan after baseline </w:t>
      </w:r>
      <w:r w:rsidR="00C47FF2">
        <w:rPr>
          <w:rFonts w:ascii="Garamond" w:hAnsi="Garamond"/>
        </w:rPr>
        <w:t xml:space="preserve">carries </w:t>
      </w:r>
      <w:r w:rsidR="00140FC8">
        <w:rPr>
          <w:rFonts w:ascii="Garamond" w:hAnsi="Garamond"/>
        </w:rPr>
        <w:t xml:space="preserve">minimal </w:t>
      </w:r>
      <w:r w:rsidR="00C47FF2">
        <w:rPr>
          <w:rFonts w:ascii="Garamond" w:hAnsi="Garamond"/>
        </w:rPr>
        <w:t>risk</w:t>
      </w:r>
      <w:r w:rsidR="005D65E2">
        <w:rPr>
          <w:rFonts w:ascii="Garamond" w:hAnsi="Garamond"/>
        </w:rPr>
        <w:t xml:space="preserve"> </w:t>
      </w:r>
      <w:r w:rsidR="00140FC8">
        <w:rPr>
          <w:rFonts w:ascii="Garamond" w:hAnsi="Garamond"/>
        </w:rPr>
        <w:t xml:space="preserve">of choosing specifications solely to inflate the treatment effect </w:t>
      </w:r>
      <w:proofErr w:type="gramStart"/>
      <w:r w:rsidR="005D65E2">
        <w:rPr>
          <w:rFonts w:ascii="Garamond" w:hAnsi="Garamond"/>
        </w:rPr>
        <w:t>since</w:t>
      </w:r>
      <w:proofErr w:type="gramEnd"/>
      <w:r w:rsidR="005D65E2">
        <w:rPr>
          <w:rFonts w:ascii="Garamond" w:hAnsi="Garamond"/>
        </w:rPr>
        <w:t xml:space="preserve"> </w:t>
      </w:r>
      <w:r w:rsidR="00E528DF">
        <w:rPr>
          <w:rFonts w:ascii="Garamond" w:hAnsi="Garamond"/>
        </w:rPr>
        <w:t xml:space="preserve">we will survey </w:t>
      </w:r>
      <w:r w:rsidR="005D65E2">
        <w:rPr>
          <w:rFonts w:ascii="Garamond" w:hAnsi="Garamond"/>
        </w:rPr>
        <w:t>different individuals</w:t>
      </w:r>
      <w:r w:rsidR="00140FC8">
        <w:rPr>
          <w:rStyle w:val="FootnoteReference"/>
          <w:rFonts w:ascii="Garamond" w:hAnsi="Garamond"/>
        </w:rPr>
        <w:footnoteReference w:id="3"/>
      </w:r>
      <w:r w:rsidR="005D65E2">
        <w:rPr>
          <w:rFonts w:ascii="Garamond" w:hAnsi="Garamond"/>
        </w:rPr>
        <w:t xml:space="preserve"> at </w:t>
      </w:r>
      <w:proofErr w:type="spellStart"/>
      <w:r w:rsidR="005D65E2">
        <w:rPr>
          <w:rFonts w:ascii="Garamond" w:hAnsi="Garamond"/>
        </w:rPr>
        <w:t>endline</w:t>
      </w:r>
      <w:proofErr w:type="spellEnd"/>
      <w:r w:rsidR="00372E78">
        <w:rPr>
          <w:rFonts w:ascii="Garamond" w:hAnsi="Garamond"/>
        </w:rPr>
        <w:t xml:space="preserve"> than we did at baseline. </w:t>
      </w:r>
    </w:p>
    <w:p w14:paraId="13065314" w14:textId="77777777" w:rsidR="00E528DF" w:rsidRPr="00C526FC" w:rsidRDefault="00E528DF" w:rsidP="00C526FC">
      <w:pPr>
        <w:rPr>
          <w:rFonts w:ascii="Garamond" w:hAnsi="Garamond"/>
        </w:rPr>
      </w:pPr>
    </w:p>
    <w:p w14:paraId="4BBB6C0C" w14:textId="3D8CC5F7" w:rsidR="00E528DF" w:rsidRDefault="000F1B7A" w:rsidP="000F1B7A">
      <w:pPr>
        <w:pStyle w:val="Heading2"/>
        <w:rPr>
          <w:rFonts w:ascii="Garamond" w:hAnsi="Garamond"/>
          <w:sz w:val="28"/>
          <w:szCs w:val="28"/>
        </w:rPr>
      </w:pPr>
      <w:r w:rsidRPr="000F1B7A">
        <w:rPr>
          <w:rFonts w:ascii="Garamond" w:hAnsi="Garamond"/>
          <w:sz w:val="28"/>
          <w:szCs w:val="28"/>
        </w:rPr>
        <w:t xml:space="preserve">Evaluation </w:t>
      </w:r>
      <w:r w:rsidR="000678B1">
        <w:rPr>
          <w:rFonts w:ascii="Garamond" w:hAnsi="Garamond"/>
          <w:sz w:val="28"/>
          <w:szCs w:val="28"/>
        </w:rPr>
        <w:t>B</w:t>
      </w:r>
      <w:r w:rsidRPr="000F1B7A">
        <w:rPr>
          <w:rFonts w:ascii="Garamond" w:hAnsi="Garamond"/>
          <w:sz w:val="28"/>
          <w:szCs w:val="28"/>
        </w:rPr>
        <w:t>ackground</w:t>
      </w:r>
    </w:p>
    <w:p w14:paraId="0D747003" w14:textId="341914D1" w:rsidR="00E22876" w:rsidRDefault="008C5440" w:rsidP="00AB408D">
      <w:pPr>
        <w:jc w:val="both"/>
        <w:rPr>
          <w:rFonts w:ascii="Garamond" w:hAnsi="Garamond"/>
        </w:rPr>
      </w:pPr>
      <w:r w:rsidRPr="009E5ED2">
        <w:rPr>
          <w:rFonts w:ascii="Garamond" w:hAnsi="Garamond"/>
        </w:rPr>
        <w:t xml:space="preserve">North West Nigeria has one of the highest fertility </w:t>
      </w:r>
      <w:r w:rsidR="00D07711">
        <w:rPr>
          <w:rFonts w:ascii="Garamond" w:hAnsi="Garamond"/>
        </w:rPr>
        <w:t>ratios</w:t>
      </w:r>
      <w:r w:rsidR="00D07711" w:rsidRPr="009E5ED2">
        <w:rPr>
          <w:rFonts w:ascii="Garamond" w:hAnsi="Garamond"/>
        </w:rPr>
        <w:t xml:space="preserve"> </w:t>
      </w:r>
      <w:r w:rsidRPr="009E5ED2">
        <w:rPr>
          <w:rFonts w:ascii="Garamond" w:hAnsi="Garamond"/>
        </w:rPr>
        <w:t>in the world with 6.7 births per woman</w:t>
      </w:r>
      <w:r w:rsidR="007E51A2">
        <w:rPr>
          <w:rFonts w:ascii="Garamond" w:hAnsi="Garamond"/>
        </w:rPr>
        <w:t xml:space="preserve"> of reproductive age</w:t>
      </w:r>
      <w:r w:rsidRPr="009E5ED2">
        <w:rPr>
          <w:rFonts w:ascii="Garamond" w:hAnsi="Garamond"/>
        </w:rPr>
        <w:t xml:space="preserve"> (DHS 2013). It also has one of the world’s lowest vaccination </w:t>
      </w:r>
      <w:r w:rsidR="00D07711">
        <w:rPr>
          <w:rFonts w:ascii="Garamond" w:hAnsi="Garamond"/>
        </w:rPr>
        <w:t>coverage estimates</w:t>
      </w:r>
      <w:r w:rsidRPr="009E5ED2">
        <w:rPr>
          <w:rFonts w:ascii="Garamond" w:hAnsi="Garamond"/>
        </w:rPr>
        <w:t>.</w:t>
      </w:r>
      <w:r w:rsidR="00AF75DD" w:rsidRPr="008C5440">
        <w:rPr>
          <w:rFonts w:ascii="Garamond" w:hAnsi="Garamond"/>
        </w:rPr>
        <w:t xml:space="preserve"> </w:t>
      </w:r>
      <w:r w:rsidRPr="009E5ED2">
        <w:rPr>
          <w:rFonts w:ascii="Garamond" w:hAnsi="Garamond"/>
        </w:rPr>
        <w:t xml:space="preserve">Consequently, this region is vulnerable to frequent measles outbreaks (NCDC 2016) and is one of the world’s last locations </w:t>
      </w:r>
      <w:r w:rsidR="00140FC8">
        <w:rPr>
          <w:rFonts w:ascii="Garamond" w:hAnsi="Garamond"/>
        </w:rPr>
        <w:t xml:space="preserve">that still has </w:t>
      </w:r>
      <w:r w:rsidR="004C426A">
        <w:rPr>
          <w:rFonts w:ascii="Garamond" w:hAnsi="Garamond"/>
        </w:rPr>
        <w:t>new cases</w:t>
      </w:r>
      <w:r w:rsidR="004022DA">
        <w:rPr>
          <w:rFonts w:ascii="Garamond" w:hAnsi="Garamond"/>
        </w:rPr>
        <w:t xml:space="preserve"> </w:t>
      </w:r>
      <w:r w:rsidR="00140FC8">
        <w:rPr>
          <w:rFonts w:ascii="Garamond" w:hAnsi="Garamond"/>
        </w:rPr>
        <w:t xml:space="preserve">of </w:t>
      </w:r>
      <w:r w:rsidRPr="009E5ED2">
        <w:rPr>
          <w:rFonts w:ascii="Garamond" w:hAnsi="Garamond"/>
        </w:rPr>
        <w:t xml:space="preserve">wild polio virus (GPEI 2017). In recent years, the donor community has invested </w:t>
      </w:r>
      <w:r w:rsidR="00866BDF" w:rsidRPr="009E5ED2">
        <w:rPr>
          <w:rFonts w:ascii="Garamond" w:hAnsi="Garamond"/>
        </w:rPr>
        <w:t xml:space="preserve">substantially </w:t>
      </w:r>
      <w:r w:rsidRPr="009E5ED2">
        <w:rPr>
          <w:rFonts w:ascii="Garamond" w:hAnsi="Garamond"/>
        </w:rPr>
        <w:t>in improving supply-side infrastructure for routine immunization (</w:t>
      </w:r>
      <w:r w:rsidRPr="009E5ED2">
        <w:rPr>
          <w:rStyle w:val="A11"/>
          <w:rFonts w:ascii="Garamond" w:hAnsi="Garamond"/>
          <w:sz w:val="22"/>
          <w:szCs w:val="22"/>
        </w:rPr>
        <w:t>NRISP 2013)</w:t>
      </w:r>
      <w:r w:rsidRPr="009E5ED2">
        <w:rPr>
          <w:rFonts w:ascii="Garamond" w:hAnsi="Garamond"/>
        </w:rPr>
        <w:t>, but coverage remain</w:t>
      </w:r>
      <w:r w:rsidR="00D07711">
        <w:rPr>
          <w:rFonts w:ascii="Garamond" w:hAnsi="Garamond"/>
        </w:rPr>
        <w:t>s</w:t>
      </w:r>
      <w:r w:rsidRPr="009E5ED2">
        <w:rPr>
          <w:rFonts w:ascii="Garamond" w:hAnsi="Garamond"/>
        </w:rPr>
        <w:t xml:space="preserve"> low. </w:t>
      </w:r>
    </w:p>
    <w:p w14:paraId="21A8A99B" w14:textId="24080220" w:rsidR="00E22876" w:rsidRDefault="00E22876" w:rsidP="00CF260A">
      <w:pPr>
        <w:jc w:val="both"/>
        <w:rPr>
          <w:rFonts w:ascii="Garamond" w:hAnsi="Garamond"/>
        </w:rPr>
      </w:pPr>
    </w:p>
    <w:p w14:paraId="3F65558C" w14:textId="011A6107" w:rsidR="00E22876" w:rsidRPr="007E51A2" w:rsidRDefault="00E22876" w:rsidP="00C231A1">
      <w:pPr>
        <w:pStyle w:val="Heading2"/>
        <w:rPr>
          <w:rFonts w:ascii="Garamond" w:hAnsi="Garamond"/>
        </w:rPr>
      </w:pPr>
      <w:r w:rsidRPr="007E51A2">
        <w:rPr>
          <w:rFonts w:ascii="Garamond" w:hAnsi="Garamond"/>
        </w:rPr>
        <w:t xml:space="preserve">The </w:t>
      </w:r>
      <w:r w:rsidR="0083280F" w:rsidRPr="007E51A2">
        <w:rPr>
          <w:rFonts w:ascii="Garamond" w:hAnsi="Garamond"/>
        </w:rPr>
        <w:t>I</w:t>
      </w:r>
      <w:r w:rsidRPr="007E51A2">
        <w:rPr>
          <w:rFonts w:ascii="Garamond" w:hAnsi="Garamond"/>
        </w:rPr>
        <w:t>ntervention</w:t>
      </w:r>
    </w:p>
    <w:p w14:paraId="5DDBFD18" w14:textId="261581CD" w:rsidR="00AB408D" w:rsidRDefault="00AB408D" w:rsidP="00AB408D">
      <w:pPr>
        <w:jc w:val="both"/>
        <w:rPr>
          <w:rFonts w:ascii="Garamond" w:hAnsi="Garamond"/>
        </w:rPr>
      </w:pPr>
      <w:r w:rsidRPr="009E5ED2">
        <w:rPr>
          <w:rFonts w:ascii="Garamond" w:hAnsi="Garamond"/>
        </w:rPr>
        <w:t xml:space="preserve">New Incentives, an international non-governmental organization (NGO), is addressing </w:t>
      </w:r>
      <w:r w:rsidR="005F45D6">
        <w:rPr>
          <w:rFonts w:ascii="Garamond" w:hAnsi="Garamond"/>
        </w:rPr>
        <w:t>the</w:t>
      </w:r>
      <w:r w:rsidRPr="009E5ED2">
        <w:rPr>
          <w:rFonts w:ascii="Garamond" w:hAnsi="Garamond"/>
        </w:rPr>
        <w:t xml:space="preserve"> apparent shortfall in demand for immunization by offering cash incentives</w:t>
      </w:r>
      <w:r>
        <w:rPr>
          <w:rFonts w:ascii="Garamond" w:hAnsi="Garamond"/>
        </w:rPr>
        <w:t xml:space="preserve"> to caregivers</w:t>
      </w:r>
      <w:r w:rsidRPr="009E5ED2">
        <w:rPr>
          <w:rFonts w:ascii="Garamond" w:hAnsi="Garamond"/>
        </w:rPr>
        <w:t xml:space="preserve"> </w:t>
      </w:r>
      <w:r>
        <w:rPr>
          <w:rFonts w:ascii="Garamond" w:hAnsi="Garamond"/>
        </w:rPr>
        <w:t>for bringing their child for recommended childhood immunizations.</w:t>
      </w:r>
      <w:r w:rsidRPr="00E22876">
        <w:rPr>
          <w:rFonts w:ascii="Garamond" w:hAnsi="Garamond"/>
        </w:rPr>
        <w:t xml:space="preserve"> </w:t>
      </w:r>
      <w:r w:rsidRPr="00AF75DD">
        <w:rPr>
          <w:rFonts w:ascii="Garamond" w:hAnsi="Garamond"/>
        </w:rPr>
        <w:t xml:space="preserve">This is based on evidence that small incentives can have a large impact on health behaviors like </w:t>
      </w:r>
      <w:r>
        <w:rPr>
          <w:rFonts w:ascii="Garamond" w:hAnsi="Garamond"/>
        </w:rPr>
        <w:t>vaccinating children</w:t>
      </w:r>
      <w:r w:rsidRPr="00AF75DD">
        <w:rPr>
          <w:rFonts w:ascii="Garamond" w:hAnsi="Garamond"/>
        </w:rPr>
        <w:t xml:space="preserve"> (</w:t>
      </w:r>
      <w:hyperlink r:id="rId8" w:history="1">
        <w:r w:rsidRPr="00AF75DD">
          <w:rPr>
            <w:rStyle w:val="Hyperlink"/>
            <w:rFonts w:ascii="Garamond" w:hAnsi="Garamond"/>
          </w:rPr>
          <w:t>Banerjee et al</w:t>
        </w:r>
        <w:r>
          <w:rPr>
            <w:rStyle w:val="Hyperlink"/>
            <w:rFonts w:ascii="Garamond" w:hAnsi="Garamond"/>
          </w:rPr>
          <w:t>.</w:t>
        </w:r>
        <w:r w:rsidRPr="00AF75DD">
          <w:rPr>
            <w:rStyle w:val="Hyperlink"/>
            <w:rFonts w:ascii="Garamond" w:hAnsi="Garamond"/>
          </w:rPr>
          <w:t xml:space="preserve"> 2010</w:t>
        </w:r>
      </w:hyperlink>
      <w:r w:rsidRPr="00AF75DD">
        <w:rPr>
          <w:rFonts w:ascii="Garamond" w:hAnsi="Garamond"/>
        </w:rPr>
        <w:t>), and evidence that that this finding could apply to immunizations in Nigeria (</w:t>
      </w:r>
      <w:hyperlink r:id="rId9" w:history="1">
        <w:r w:rsidRPr="00AF75DD">
          <w:rPr>
            <w:rStyle w:val="Hyperlink"/>
            <w:rFonts w:ascii="Garamond" w:hAnsi="Garamond"/>
          </w:rPr>
          <w:t>Sato 2014</w:t>
        </w:r>
      </w:hyperlink>
      <w:r w:rsidRPr="00AF75DD">
        <w:rPr>
          <w:rFonts w:ascii="Garamond" w:hAnsi="Garamond"/>
        </w:rPr>
        <w:t>).</w:t>
      </w:r>
      <w:r w:rsidRPr="00E22876">
        <w:rPr>
          <w:rFonts w:ascii="Garamond" w:hAnsi="Garamond"/>
        </w:rPr>
        <w:t xml:space="preserve"> </w:t>
      </w:r>
      <w:r>
        <w:rPr>
          <w:rFonts w:ascii="Garamond" w:hAnsi="Garamond"/>
        </w:rPr>
        <w:t>T</w:t>
      </w:r>
      <w:r w:rsidRPr="00AF75DD">
        <w:rPr>
          <w:rFonts w:ascii="Garamond" w:hAnsi="Garamond"/>
        </w:rPr>
        <w:t xml:space="preserve">hese small cash transfers can provide some material benefit to new </w:t>
      </w:r>
      <w:r>
        <w:rPr>
          <w:rFonts w:ascii="Garamond" w:hAnsi="Garamond"/>
        </w:rPr>
        <w:t>caregivers</w:t>
      </w:r>
      <w:r w:rsidRPr="00AF75DD">
        <w:rPr>
          <w:rFonts w:ascii="Garamond" w:hAnsi="Garamond"/>
        </w:rPr>
        <w:t xml:space="preserve"> from poor communities</w:t>
      </w:r>
      <w:r>
        <w:rPr>
          <w:rFonts w:ascii="Garamond" w:hAnsi="Garamond"/>
        </w:rPr>
        <w:t>. A</w:t>
      </w:r>
      <w:r w:rsidRPr="00AF75DD">
        <w:rPr>
          <w:rFonts w:ascii="Garamond" w:hAnsi="Garamond"/>
        </w:rPr>
        <w:t xml:space="preserve">t </w:t>
      </w:r>
      <w:r>
        <w:rPr>
          <w:rFonts w:ascii="Garamond" w:hAnsi="Garamond"/>
        </w:rPr>
        <w:t>a</w:t>
      </w:r>
      <w:r w:rsidRPr="00AF75DD">
        <w:rPr>
          <w:rFonts w:ascii="Garamond" w:hAnsi="Garamond"/>
        </w:rPr>
        <w:t xml:space="preserve"> minimum, </w:t>
      </w:r>
      <w:r>
        <w:rPr>
          <w:rFonts w:ascii="Garamond" w:hAnsi="Garamond"/>
        </w:rPr>
        <w:t>they help offset</w:t>
      </w:r>
      <w:r w:rsidRPr="00AF75DD">
        <w:rPr>
          <w:rFonts w:ascii="Garamond" w:hAnsi="Garamond"/>
        </w:rPr>
        <w:t xml:space="preserve"> time and transport costs.</w:t>
      </w:r>
    </w:p>
    <w:p w14:paraId="2D6A66B4" w14:textId="77777777" w:rsidR="00AB408D" w:rsidRDefault="00AB408D" w:rsidP="00AB408D">
      <w:pPr>
        <w:jc w:val="both"/>
        <w:rPr>
          <w:rFonts w:ascii="Garamond" w:hAnsi="Garamond"/>
        </w:rPr>
      </w:pPr>
    </w:p>
    <w:p w14:paraId="45D87671" w14:textId="41406127" w:rsidR="00222572" w:rsidRDefault="00060DAD" w:rsidP="00C231A1">
      <w:pPr>
        <w:spacing w:after="240"/>
        <w:jc w:val="both"/>
        <w:rPr>
          <w:rFonts w:ascii="Garamond" w:eastAsia="Trebuchet MS" w:hAnsi="Garamond" w:cs="Times New Roman"/>
          <w:b/>
          <w:bCs/>
          <w:smallCaps/>
          <w:color w:val="595959"/>
          <w:spacing w:val="6"/>
          <w:szCs w:val="24"/>
        </w:rPr>
      </w:pPr>
      <w:r>
        <w:rPr>
          <w:rFonts w:ascii="Garamond" w:hAnsi="Garamond"/>
        </w:rPr>
        <w:t>The c</w:t>
      </w:r>
      <w:r w:rsidR="00E22876">
        <w:rPr>
          <w:rFonts w:ascii="Garamond" w:hAnsi="Garamond"/>
        </w:rPr>
        <w:t>ash incentives</w:t>
      </w:r>
      <w:r>
        <w:rPr>
          <w:rFonts w:ascii="Garamond" w:hAnsi="Garamond"/>
        </w:rPr>
        <w:t xml:space="preserve"> in Table 1</w:t>
      </w:r>
      <w:r w:rsidR="00E22876">
        <w:rPr>
          <w:rFonts w:ascii="Garamond" w:hAnsi="Garamond"/>
        </w:rPr>
        <w:t xml:space="preserve"> are offered </w:t>
      </w:r>
      <w:r w:rsidR="008C5440" w:rsidRPr="009E5ED2">
        <w:rPr>
          <w:rFonts w:ascii="Garamond" w:hAnsi="Garamond"/>
        </w:rPr>
        <w:t>to caregivers who bring their child for vaccination at a program clinic.</w:t>
      </w:r>
      <w:r w:rsidR="008C5440" w:rsidRPr="009E5ED2">
        <w:rPr>
          <w:rStyle w:val="FootnoteReference"/>
          <w:rFonts w:ascii="Garamond" w:hAnsi="Garamond"/>
        </w:rPr>
        <w:footnoteReference w:id="4"/>
      </w:r>
      <w:r w:rsidR="00DB55A1" w:rsidRPr="00DB55A1">
        <w:rPr>
          <w:rFonts w:ascii="Garamond" w:hAnsi="Garamond"/>
          <w:vertAlign w:val="superscript"/>
        </w:rPr>
        <w:t>,</w:t>
      </w:r>
      <w:r>
        <w:rPr>
          <w:rStyle w:val="FootnoteReference"/>
          <w:rFonts w:ascii="Garamond" w:hAnsi="Garamond"/>
        </w:rPr>
        <w:footnoteReference w:id="5"/>
      </w:r>
      <w:r w:rsidR="008C5440" w:rsidRPr="009E5ED2">
        <w:rPr>
          <w:rFonts w:ascii="Garamond" w:hAnsi="Garamond"/>
        </w:rPr>
        <w:t xml:space="preserve"> </w:t>
      </w:r>
      <w:r w:rsidR="00295AFD" w:rsidRPr="00AC6D02">
        <w:rPr>
          <w:rFonts w:ascii="Garamond" w:hAnsi="Garamond"/>
        </w:rPr>
        <w:t>To be eligible</w:t>
      </w:r>
      <w:r w:rsidR="00DB55A1">
        <w:rPr>
          <w:rFonts w:ascii="Garamond" w:hAnsi="Garamond"/>
        </w:rPr>
        <w:t>, the child must</w:t>
      </w:r>
      <w:r w:rsidR="00295AFD">
        <w:rPr>
          <w:rFonts w:ascii="Garamond" w:hAnsi="Garamond"/>
        </w:rPr>
        <w:t xml:space="preserve"> reside in the catchment area of the clinic</w:t>
      </w:r>
      <w:r w:rsidR="00DB55A1">
        <w:rPr>
          <w:rFonts w:ascii="Garamond" w:hAnsi="Garamond"/>
        </w:rPr>
        <w:t xml:space="preserve"> and fall within the age range targeted for the vaccination in question</w:t>
      </w:r>
      <w:r w:rsidR="00295AFD" w:rsidRPr="00AC6D02">
        <w:rPr>
          <w:rFonts w:ascii="Garamond" w:hAnsi="Garamond"/>
        </w:rPr>
        <w:t xml:space="preserve">. </w:t>
      </w:r>
      <w:r w:rsidR="00E22876">
        <w:rPr>
          <w:rFonts w:ascii="Garamond" w:hAnsi="Garamond"/>
        </w:rPr>
        <w:t>The</w:t>
      </w:r>
      <w:r w:rsidR="00DB55A1">
        <w:rPr>
          <w:rFonts w:ascii="Garamond" w:hAnsi="Garamond"/>
        </w:rPr>
        <w:t xml:space="preserve"> incentive amount for the</w:t>
      </w:r>
      <w:r w:rsidR="00E22876">
        <w:rPr>
          <w:rFonts w:ascii="Garamond" w:hAnsi="Garamond"/>
        </w:rPr>
        <w:t xml:space="preserve"> M</w:t>
      </w:r>
      <w:r w:rsidR="00E22876" w:rsidRPr="00AF75DD">
        <w:rPr>
          <w:rFonts w:ascii="Garamond" w:hAnsi="Garamond"/>
        </w:rPr>
        <w:t>easles</w:t>
      </w:r>
      <w:r w:rsidR="00E539C1">
        <w:rPr>
          <w:rFonts w:ascii="Garamond" w:hAnsi="Garamond"/>
        </w:rPr>
        <w:t xml:space="preserve"> 1</w:t>
      </w:r>
      <w:r w:rsidR="00E22876" w:rsidRPr="00AF75DD">
        <w:rPr>
          <w:rFonts w:ascii="Garamond" w:hAnsi="Garamond"/>
        </w:rPr>
        <w:t xml:space="preserve"> vaccination</w:t>
      </w:r>
      <w:r w:rsidR="00A22C5C">
        <w:rPr>
          <w:rFonts w:ascii="Garamond" w:hAnsi="Garamond"/>
        </w:rPr>
        <w:t xml:space="preserve"> is</w:t>
      </w:r>
      <w:r w:rsidR="00E22876" w:rsidRPr="00AF75DD">
        <w:rPr>
          <w:rFonts w:ascii="Garamond" w:hAnsi="Garamond"/>
        </w:rPr>
        <w:t xml:space="preserve"> higher </w:t>
      </w:r>
      <w:r w:rsidR="00DB55A1">
        <w:rPr>
          <w:rFonts w:ascii="Garamond" w:hAnsi="Garamond"/>
        </w:rPr>
        <w:t>for two reasons. First, New Incentives believes that caregivers will need more inducement to return for the Measles</w:t>
      </w:r>
      <w:r w:rsidR="00E539C1">
        <w:rPr>
          <w:rFonts w:ascii="Garamond" w:hAnsi="Garamond"/>
        </w:rPr>
        <w:t xml:space="preserve"> 1</w:t>
      </w:r>
      <w:r w:rsidR="00DB55A1">
        <w:rPr>
          <w:rFonts w:ascii="Garamond" w:hAnsi="Garamond"/>
        </w:rPr>
        <w:t xml:space="preserve"> vaccination after the long</w:t>
      </w:r>
      <w:r w:rsidR="00A22C5C">
        <w:rPr>
          <w:rFonts w:ascii="Garamond" w:hAnsi="Garamond"/>
        </w:rPr>
        <w:t xml:space="preserve">er </w:t>
      </w:r>
      <w:r w:rsidR="00DB55A1">
        <w:rPr>
          <w:rFonts w:ascii="Garamond" w:hAnsi="Garamond"/>
        </w:rPr>
        <w:t xml:space="preserve">time interval following the last PENTA vaccination. Second, </w:t>
      </w:r>
      <w:r w:rsidR="00D068BF">
        <w:rPr>
          <w:rFonts w:ascii="Garamond" w:hAnsi="Garamond"/>
        </w:rPr>
        <w:t xml:space="preserve">evidence suggests that </w:t>
      </w:r>
      <w:r w:rsidR="00D068BF">
        <w:rPr>
          <w:rFonts w:ascii="Garamond" w:hAnsi="Garamond"/>
        </w:rPr>
        <w:lastRenderedPageBreak/>
        <w:t>there is greater</w:t>
      </w:r>
      <w:r w:rsidR="00DB55A1">
        <w:rPr>
          <w:rFonts w:ascii="Garamond" w:hAnsi="Garamond"/>
        </w:rPr>
        <w:t xml:space="preserve"> </w:t>
      </w:r>
      <w:r w:rsidR="00780A85">
        <w:rPr>
          <w:rFonts w:ascii="Garamond" w:hAnsi="Garamond"/>
        </w:rPr>
        <w:t>potential health impact</w:t>
      </w:r>
      <w:r w:rsidR="00D068BF">
        <w:rPr>
          <w:rFonts w:ascii="Garamond" w:hAnsi="Garamond"/>
        </w:rPr>
        <w:t xml:space="preserve"> from the Measles</w:t>
      </w:r>
      <w:r w:rsidR="00E539C1">
        <w:rPr>
          <w:rFonts w:ascii="Garamond" w:hAnsi="Garamond"/>
        </w:rPr>
        <w:t xml:space="preserve"> 1</w:t>
      </w:r>
      <w:r w:rsidR="00D068BF">
        <w:rPr>
          <w:rFonts w:ascii="Garamond" w:hAnsi="Garamond"/>
        </w:rPr>
        <w:t xml:space="preserve"> vaccine</w:t>
      </w:r>
      <w:r w:rsidR="0083280F">
        <w:rPr>
          <w:rFonts w:ascii="Garamond" w:hAnsi="Garamond"/>
        </w:rPr>
        <w:t>.</w:t>
      </w:r>
      <w:r w:rsidR="00531659">
        <w:rPr>
          <w:rStyle w:val="FootnoteReference"/>
          <w:rFonts w:ascii="Garamond" w:hAnsi="Garamond"/>
        </w:rPr>
        <w:footnoteReference w:id="6"/>
      </w:r>
      <w:r w:rsidR="00E22876">
        <w:rPr>
          <w:rFonts w:ascii="Garamond" w:hAnsi="Garamond"/>
        </w:rPr>
        <w:t xml:space="preserve"> </w:t>
      </w:r>
      <w:r w:rsidR="00295AFD" w:rsidRPr="00AC6D02">
        <w:rPr>
          <w:rFonts w:ascii="Garamond" w:hAnsi="Garamond"/>
        </w:rPr>
        <w:t>Infants do not need to have received the previous vaccine</w:t>
      </w:r>
      <w:r w:rsidR="00295AFD">
        <w:rPr>
          <w:rFonts w:ascii="Garamond" w:hAnsi="Garamond"/>
        </w:rPr>
        <w:t xml:space="preserve"> in the schedule to be eligible</w:t>
      </w:r>
      <w:r w:rsidR="0083280F">
        <w:rPr>
          <w:rFonts w:ascii="Garamond" w:hAnsi="Garamond"/>
        </w:rPr>
        <w:t>.</w:t>
      </w:r>
      <w:r w:rsidR="00027FBA">
        <w:rPr>
          <w:rStyle w:val="FootnoteReference"/>
          <w:rFonts w:ascii="Garamond" w:hAnsi="Garamond"/>
        </w:rPr>
        <w:footnoteReference w:id="7"/>
      </w:r>
      <w:r w:rsidR="00295AFD" w:rsidRPr="00AC6D02">
        <w:rPr>
          <w:rFonts w:ascii="Garamond" w:hAnsi="Garamond"/>
        </w:rPr>
        <w:t xml:space="preserve"> </w:t>
      </w:r>
    </w:p>
    <w:p w14:paraId="24BEB517" w14:textId="55A9E7EE" w:rsidR="009E039B" w:rsidRPr="00222572" w:rsidRDefault="005934E6" w:rsidP="00C231A1">
      <w:pPr>
        <w:jc w:val="center"/>
        <w:rPr>
          <w:rFonts w:ascii="Garamond" w:eastAsia="Trebuchet MS" w:hAnsi="Garamond" w:cs="Times New Roman"/>
          <w:b/>
          <w:bCs/>
          <w:smallCaps/>
          <w:color w:val="595959"/>
          <w:spacing w:val="6"/>
          <w:szCs w:val="24"/>
        </w:rPr>
      </w:pPr>
      <w:r>
        <w:rPr>
          <w:rFonts w:ascii="Garamond" w:eastAsia="Trebuchet MS" w:hAnsi="Garamond" w:cs="Times New Roman"/>
          <w:b/>
          <w:iCs/>
        </w:rPr>
        <w:t>Table 1</w:t>
      </w:r>
      <w:r w:rsidR="009E039B">
        <w:rPr>
          <w:rFonts w:ascii="Garamond" w:eastAsia="Trebuchet MS" w:hAnsi="Garamond" w:cs="Times New Roman"/>
          <w:b/>
          <w:iCs/>
        </w:rPr>
        <w:t>: Description &amp; Timing of Vaccines</w:t>
      </w:r>
    </w:p>
    <w:tbl>
      <w:tblPr>
        <w:tblStyle w:val="TableGrid1"/>
        <w:tblW w:w="9067" w:type="dxa"/>
        <w:tblBorders>
          <w:insideH w:val="none" w:sz="0" w:space="0" w:color="auto"/>
          <w:insideV w:val="none" w:sz="0" w:space="0" w:color="auto"/>
        </w:tblBorders>
        <w:tblLook w:val="04A0" w:firstRow="1" w:lastRow="0" w:firstColumn="1" w:lastColumn="0" w:noHBand="0" w:noVBand="1"/>
      </w:tblPr>
      <w:tblGrid>
        <w:gridCol w:w="1316"/>
        <w:gridCol w:w="2637"/>
        <w:gridCol w:w="1085"/>
        <w:gridCol w:w="2045"/>
        <w:gridCol w:w="1984"/>
      </w:tblGrid>
      <w:tr w:rsidR="00222572" w:rsidRPr="00222572" w14:paraId="5A1291DA" w14:textId="77777777" w:rsidTr="00222572">
        <w:trPr>
          <w:trHeight w:val="248"/>
        </w:trPr>
        <w:tc>
          <w:tcPr>
            <w:tcW w:w="1316" w:type="dxa"/>
            <w:shd w:val="clear" w:color="auto" w:fill="1F4E79"/>
            <w:hideMark/>
          </w:tcPr>
          <w:p w14:paraId="1C44A312" w14:textId="77777777" w:rsidR="00222572" w:rsidRPr="00222572" w:rsidRDefault="00222572" w:rsidP="00222572">
            <w:pPr>
              <w:rPr>
                <w:rFonts w:ascii="Garamond" w:eastAsia="方正姚体" w:hAnsi="Garamond" w:cs="Times New Roman"/>
                <w:color w:val="FFFFFF"/>
                <w:sz w:val="20"/>
                <w:szCs w:val="20"/>
                <w:lang w:eastAsia="zh-CN"/>
              </w:rPr>
            </w:pPr>
            <w:r w:rsidRPr="00222572">
              <w:rPr>
                <w:rFonts w:ascii="Garamond" w:eastAsia="方正姚体" w:hAnsi="Garamond" w:cs="Times New Roman"/>
                <w:color w:val="FFFFFF"/>
                <w:sz w:val="20"/>
                <w:szCs w:val="20"/>
                <w:lang w:eastAsia="zh-CN"/>
              </w:rPr>
              <w:t>Immunization</w:t>
            </w:r>
          </w:p>
        </w:tc>
        <w:tc>
          <w:tcPr>
            <w:tcW w:w="2637" w:type="dxa"/>
            <w:shd w:val="clear" w:color="auto" w:fill="1F4E79"/>
            <w:hideMark/>
          </w:tcPr>
          <w:p w14:paraId="1030B119" w14:textId="77777777" w:rsidR="00222572" w:rsidRPr="00222572" w:rsidRDefault="00222572" w:rsidP="00222572">
            <w:pPr>
              <w:rPr>
                <w:rFonts w:ascii="Garamond" w:eastAsia="方正姚体" w:hAnsi="Garamond" w:cs="Times New Roman"/>
                <w:color w:val="FFFFFF"/>
                <w:sz w:val="20"/>
                <w:szCs w:val="20"/>
                <w:lang w:eastAsia="zh-CN"/>
              </w:rPr>
            </w:pPr>
            <w:r w:rsidRPr="00222572">
              <w:rPr>
                <w:rFonts w:ascii="Garamond" w:eastAsia="方正姚体" w:hAnsi="Garamond" w:cs="Times New Roman"/>
                <w:color w:val="FFFFFF"/>
                <w:sz w:val="20"/>
                <w:szCs w:val="20"/>
                <w:lang w:eastAsia="zh-CN"/>
              </w:rPr>
              <w:t>Description</w:t>
            </w:r>
          </w:p>
        </w:tc>
        <w:tc>
          <w:tcPr>
            <w:tcW w:w="1085" w:type="dxa"/>
            <w:shd w:val="clear" w:color="auto" w:fill="1F4E79"/>
            <w:hideMark/>
          </w:tcPr>
          <w:p w14:paraId="3706D177" w14:textId="77777777" w:rsidR="00222572" w:rsidRPr="00222572" w:rsidRDefault="00222572" w:rsidP="00222572">
            <w:pPr>
              <w:rPr>
                <w:rFonts w:ascii="Garamond" w:eastAsia="方正姚体" w:hAnsi="Garamond" w:cs="Times New Roman"/>
                <w:color w:val="FFFFFF"/>
                <w:sz w:val="20"/>
                <w:szCs w:val="20"/>
                <w:lang w:eastAsia="zh-CN"/>
              </w:rPr>
            </w:pPr>
            <w:r w:rsidRPr="00222572">
              <w:rPr>
                <w:rFonts w:ascii="Garamond" w:eastAsia="方正姚体" w:hAnsi="Garamond" w:cs="Times New Roman"/>
                <w:color w:val="FFFFFF"/>
                <w:sz w:val="20"/>
                <w:szCs w:val="20"/>
                <w:lang w:eastAsia="zh-CN"/>
              </w:rPr>
              <w:t>Doses</w:t>
            </w:r>
          </w:p>
        </w:tc>
        <w:tc>
          <w:tcPr>
            <w:tcW w:w="2045" w:type="dxa"/>
            <w:shd w:val="clear" w:color="auto" w:fill="1F4E79"/>
            <w:hideMark/>
          </w:tcPr>
          <w:p w14:paraId="1B9EA3B7" w14:textId="7A7FE617" w:rsidR="00222572" w:rsidRPr="00222572" w:rsidRDefault="00222572" w:rsidP="00222572">
            <w:pPr>
              <w:rPr>
                <w:rFonts w:ascii="Garamond" w:eastAsia="方正姚体" w:hAnsi="Garamond" w:cs="Times New Roman"/>
                <w:color w:val="FFFFFF"/>
                <w:sz w:val="20"/>
                <w:szCs w:val="20"/>
                <w:lang w:eastAsia="zh-CN"/>
              </w:rPr>
            </w:pPr>
            <w:r w:rsidRPr="00222572">
              <w:rPr>
                <w:rFonts w:ascii="Garamond" w:eastAsia="方正姚体" w:hAnsi="Garamond" w:cs="Times New Roman"/>
                <w:color w:val="FFFFFF"/>
                <w:sz w:val="20"/>
                <w:szCs w:val="20"/>
                <w:lang w:eastAsia="zh-CN"/>
              </w:rPr>
              <w:t>Timing</w:t>
            </w:r>
            <w:r w:rsidR="00B320F7">
              <w:rPr>
                <w:rFonts w:ascii="Garamond" w:eastAsia="方正姚体" w:hAnsi="Garamond" w:cs="Times New Roman"/>
                <w:color w:val="FFFFFF"/>
                <w:sz w:val="20"/>
                <w:szCs w:val="20"/>
                <w:lang w:eastAsia="zh-CN"/>
              </w:rPr>
              <w:t xml:space="preserve"> (age)</w:t>
            </w:r>
            <w:r w:rsidRPr="00222572">
              <w:rPr>
                <w:rFonts w:ascii="Garamond" w:eastAsia="方正姚体" w:hAnsi="Garamond" w:cs="Times New Roman"/>
                <w:color w:val="FFFFFF"/>
                <w:sz w:val="20"/>
                <w:szCs w:val="20"/>
                <w:lang w:eastAsia="zh-CN"/>
              </w:rPr>
              <w:t xml:space="preserve"> </w:t>
            </w:r>
            <w:r w:rsidR="00B320F7">
              <w:rPr>
                <w:rFonts w:ascii="Garamond" w:eastAsia="方正姚体" w:hAnsi="Garamond" w:cs="Times New Roman"/>
                <w:color w:val="FFFFFF"/>
                <w:sz w:val="20"/>
                <w:szCs w:val="20"/>
                <w:lang w:eastAsia="zh-CN"/>
              </w:rPr>
              <w:t>for</w:t>
            </w:r>
            <w:r w:rsidRPr="00222572">
              <w:rPr>
                <w:rFonts w:ascii="Garamond" w:eastAsia="方正姚体" w:hAnsi="Garamond" w:cs="Times New Roman"/>
                <w:color w:val="FFFFFF"/>
                <w:sz w:val="20"/>
                <w:szCs w:val="20"/>
                <w:lang w:eastAsia="zh-CN"/>
              </w:rPr>
              <w:t xml:space="preserve"> doses</w:t>
            </w:r>
          </w:p>
        </w:tc>
        <w:tc>
          <w:tcPr>
            <w:tcW w:w="1984" w:type="dxa"/>
            <w:shd w:val="clear" w:color="auto" w:fill="1F4E79"/>
            <w:hideMark/>
          </w:tcPr>
          <w:p w14:paraId="2FFB6305" w14:textId="3F2A5204" w:rsidR="00222572" w:rsidRPr="007E51A2" w:rsidRDefault="00222572" w:rsidP="00222572">
            <w:pPr>
              <w:rPr>
                <w:rFonts w:ascii="Garamond" w:eastAsia="方正姚体" w:hAnsi="Garamond" w:cs="Times New Roman"/>
                <w:color w:val="FFFFFF"/>
                <w:sz w:val="20"/>
                <w:szCs w:val="20"/>
                <w:lang w:eastAsia="zh-CN"/>
              </w:rPr>
            </w:pPr>
            <w:r w:rsidRPr="00222572">
              <w:rPr>
                <w:rFonts w:ascii="Garamond" w:eastAsia="方正姚体" w:hAnsi="Garamond" w:cs="Times New Roman"/>
                <w:color w:val="FFFFFF"/>
                <w:sz w:val="20"/>
                <w:szCs w:val="20"/>
                <w:lang w:eastAsia="zh-CN"/>
              </w:rPr>
              <w:t>Incentive amount</w:t>
            </w:r>
            <w:r w:rsidRPr="00222572">
              <w:rPr>
                <w:rFonts w:ascii="Garamond" w:eastAsia="方正姚体" w:hAnsi="Garamond" w:cs="Times New Roman"/>
                <w:color w:val="FFFFFF"/>
                <w:sz w:val="20"/>
                <w:szCs w:val="20"/>
                <w:vertAlign w:val="superscript"/>
                <w:lang w:eastAsia="zh-CN"/>
              </w:rPr>
              <w:t>1</w:t>
            </w:r>
          </w:p>
        </w:tc>
      </w:tr>
      <w:tr w:rsidR="00222572" w:rsidRPr="00222572" w14:paraId="45BFAB20" w14:textId="77777777" w:rsidTr="00C231A1">
        <w:trPr>
          <w:trHeight w:val="531"/>
        </w:trPr>
        <w:tc>
          <w:tcPr>
            <w:tcW w:w="1316" w:type="dxa"/>
            <w:hideMark/>
          </w:tcPr>
          <w:p w14:paraId="15724CA3" w14:textId="77777777" w:rsidR="00222572" w:rsidRPr="00222572" w:rsidRDefault="00222572" w:rsidP="00222572">
            <w:pPr>
              <w:rPr>
                <w:rFonts w:ascii="Garamond" w:eastAsia="方正姚体" w:hAnsi="Garamond" w:cs="Times New Roman"/>
                <w:color w:val="222222"/>
                <w:sz w:val="20"/>
                <w:szCs w:val="20"/>
                <w:lang w:eastAsia="zh-CN"/>
              </w:rPr>
            </w:pPr>
            <w:r w:rsidRPr="00222572">
              <w:rPr>
                <w:rFonts w:ascii="Garamond" w:eastAsia="方正姚体" w:hAnsi="Garamond" w:cs="Times New Roman"/>
                <w:sz w:val="20"/>
                <w:szCs w:val="20"/>
                <w:lang w:eastAsia="zh-CN"/>
              </w:rPr>
              <w:t>BCG</w:t>
            </w:r>
          </w:p>
        </w:tc>
        <w:tc>
          <w:tcPr>
            <w:tcW w:w="2637" w:type="dxa"/>
            <w:hideMark/>
          </w:tcPr>
          <w:p w14:paraId="5CF2C707" w14:textId="77777777" w:rsidR="00222572" w:rsidRPr="00222572" w:rsidRDefault="00222572" w:rsidP="00222572">
            <w:pPr>
              <w:rPr>
                <w:rFonts w:ascii="Garamond" w:eastAsia="方正姚体" w:hAnsi="Garamond" w:cs="Times New Roman"/>
                <w:color w:val="222222"/>
                <w:sz w:val="20"/>
                <w:szCs w:val="20"/>
                <w:lang w:eastAsia="zh-CN"/>
              </w:rPr>
            </w:pPr>
            <w:r w:rsidRPr="00222572">
              <w:rPr>
                <w:rFonts w:ascii="Garamond" w:eastAsia="方正姚体" w:hAnsi="Garamond" w:cs="Times New Roman"/>
                <w:sz w:val="20"/>
                <w:szCs w:val="20"/>
                <w:lang w:eastAsia="zh-CN"/>
              </w:rPr>
              <w:t>Vaccine against tuberculosis</w:t>
            </w:r>
          </w:p>
        </w:tc>
        <w:tc>
          <w:tcPr>
            <w:tcW w:w="1085" w:type="dxa"/>
            <w:hideMark/>
          </w:tcPr>
          <w:p w14:paraId="68CA5220" w14:textId="77777777" w:rsidR="00222572" w:rsidRPr="00222572" w:rsidRDefault="00222572" w:rsidP="00222572">
            <w:pPr>
              <w:rPr>
                <w:rFonts w:ascii="Garamond" w:eastAsia="方正姚体" w:hAnsi="Garamond" w:cs="Times New Roman"/>
                <w:color w:val="222222"/>
                <w:sz w:val="20"/>
                <w:szCs w:val="20"/>
                <w:lang w:eastAsia="zh-CN"/>
              </w:rPr>
            </w:pPr>
            <w:r w:rsidRPr="00222572">
              <w:rPr>
                <w:rFonts w:ascii="Garamond" w:eastAsia="方正姚体" w:hAnsi="Garamond" w:cs="Times New Roman"/>
                <w:sz w:val="20"/>
                <w:szCs w:val="20"/>
                <w:lang w:eastAsia="zh-CN"/>
              </w:rPr>
              <w:t>1</w:t>
            </w:r>
          </w:p>
        </w:tc>
        <w:tc>
          <w:tcPr>
            <w:tcW w:w="2045" w:type="dxa"/>
            <w:hideMark/>
          </w:tcPr>
          <w:p w14:paraId="34BD75C2" w14:textId="77777777" w:rsidR="00222572" w:rsidRPr="00222572" w:rsidRDefault="00222572" w:rsidP="00222572">
            <w:pPr>
              <w:rPr>
                <w:rFonts w:ascii="Garamond" w:eastAsia="方正姚体" w:hAnsi="Garamond" w:cs="Times New Roman"/>
                <w:color w:val="222222"/>
                <w:sz w:val="20"/>
                <w:szCs w:val="20"/>
                <w:lang w:eastAsia="zh-CN"/>
              </w:rPr>
            </w:pPr>
            <w:r w:rsidRPr="00222572">
              <w:rPr>
                <w:rFonts w:ascii="Garamond" w:eastAsia="方正姚体" w:hAnsi="Garamond" w:cs="Times New Roman"/>
                <w:sz w:val="20"/>
                <w:szCs w:val="20"/>
                <w:lang w:eastAsia="zh-CN"/>
              </w:rPr>
              <w:t>At birth, or as close as possible</w:t>
            </w:r>
          </w:p>
        </w:tc>
        <w:tc>
          <w:tcPr>
            <w:tcW w:w="1984" w:type="dxa"/>
            <w:hideMark/>
          </w:tcPr>
          <w:p w14:paraId="635B6F09" w14:textId="14B2A34E" w:rsidR="00222572" w:rsidRPr="00222572" w:rsidRDefault="00222572" w:rsidP="007E51A2">
            <w:pPr>
              <w:rPr>
                <w:rFonts w:ascii="Garamond" w:eastAsia="方正姚体" w:hAnsi="Garamond" w:cs="Times New Roman"/>
                <w:color w:val="222222"/>
                <w:sz w:val="20"/>
                <w:szCs w:val="20"/>
                <w:lang w:eastAsia="zh-CN"/>
              </w:rPr>
            </w:pPr>
            <w:r w:rsidRPr="00222572">
              <w:rPr>
                <w:rFonts w:ascii="Times New Roman" w:eastAsia="方正姚体" w:hAnsi="Times New Roman" w:cs="Times New Roman"/>
                <w:sz w:val="20"/>
                <w:szCs w:val="20"/>
                <w:lang w:eastAsia="zh-CN"/>
              </w:rPr>
              <w:t>₦</w:t>
            </w:r>
            <w:r w:rsidR="00336809" w:rsidRPr="007E51A2">
              <w:rPr>
                <w:rFonts w:ascii="Times New Roman" w:eastAsia="方正姚体" w:hAnsi="Times New Roman" w:cs="Times New Roman"/>
                <w:sz w:val="20"/>
                <w:szCs w:val="20"/>
                <w:vertAlign w:val="superscript"/>
                <w:lang w:eastAsia="zh-CN"/>
              </w:rPr>
              <w:t>2</w:t>
            </w:r>
            <w:r w:rsidRPr="00222572">
              <w:rPr>
                <w:rFonts w:ascii="Garamond" w:eastAsia="方正姚体" w:hAnsi="Garamond" w:cs="Times New Roman"/>
                <w:sz w:val="20"/>
                <w:szCs w:val="20"/>
                <w:lang w:eastAsia="zh-CN"/>
              </w:rPr>
              <w:t>500</w:t>
            </w:r>
          </w:p>
        </w:tc>
      </w:tr>
      <w:tr w:rsidR="00222572" w:rsidRPr="00222572" w14:paraId="1714AD49" w14:textId="77777777" w:rsidTr="00C231A1">
        <w:trPr>
          <w:trHeight w:val="1170"/>
        </w:trPr>
        <w:tc>
          <w:tcPr>
            <w:tcW w:w="1316" w:type="dxa"/>
          </w:tcPr>
          <w:p w14:paraId="6514B1F4"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PENTA</w:t>
            </w:r>
          </w:p>
        </w:tc>
        <w:tc>
          <w:tcPr>
            <w:tcW w:w="2637" w:type="dxa"/>
          </w:tcPr>
          <w:p w14:paraId="65FBDAD8" w14:textId="488C536B" w:rsidR="00222572" w:rsidRPr="00222572" w:rsidRDefault="00222572" w:rsidP="001033A4">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 xml:space="preserve">Five vaccines against: diphtheria, tetanus, pertussis, Hepatitis B and </w:t>
            </w:r>
            <w:proofErr w:type="spellStart"/>
            <w:r w:rsidRPr="00222572">
              <w:rPr>
                <w:rFonts w:ascii="Garamond" w:eastAsia="方正姚体" w:hAnsi="Garamond" w:cs="Times New Roman"/>
                <w:sz w:val="20"/>
                <w:szCs w:val="20"/>
                <w:lang w:eastAsia="zh-CN"/>
              </w:rPr>
              <w:t>Haemophilus</w:t>
            </w:r>
            <w:proofErr w:type="spellEnd"/>
            <w:r w:rsidRPr="00222572">
              <w:rPr>
                <w:rFonts w:ascii="Garamond" w:eastAsia="方正姚体" w:hAnsi="Garamond" w:cs="Times New Roman"/>
                <w:sz w:val="20"/>
                <w:szCs w:val="20"/>
                <w:lang w:eastAsia="zh-CN"/>
              </w:rPr>
              <w:t xml:space="preserve"> Influenza Type B (HIB)</w:t>
            </w:r>
          </w:p>
        </w:tc>
        <w:tc>
          <w:tcPr>
            <w:tcW w:w="1085" w:type="dxa"/>
          </w:tcPr>
          <w:p w14:paraId="0A077E51"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3</w:t>
            </w:r>
          </w:p>
        </w:tc>
        <w:tc>
          <w:tcPr>
            <w:tcW w:w="2045" w:type="dxa"/>
          </w:tcPr>
          <w:p w14:paraId="5C85A7D7"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At 6 weeks, 10 weeks and 14 weeks</w:t>
            </w:r>
          </w:p>
        </w:tc>
        <w:tc>
          <w:tcPr>
            <w:tcW w:w="1984" w:type="dxa"/>
          </w:tcPr>
          <w:p w14:paraId="0E84C8B6" w14:textId="77777777" w:rsidR="00222572" w:rsidRPr="00222572" w:rsidRDefault="00222572" w:rsidP="00222572">
            <w:pPr>
              <w:rPr>
                <w:rFonts w:ascii="Garamond" w:eastAsia="方正姚体" w:hAnsi="Garamond" w:cs="Times New Roman"/>
                <w:sz w:val="20"/>
                <w:szCs w:val="20"/>
                <w:lang w:eastAsia="zh-CN"/>
              </w:rPr>
            </w:pPr>
            <w:r w:rsidRPr="00222572">
              <w:rPr>
                <w:rFonts w:ascii="Times New Roman" w:eastAsia="方正姚体" w:hAnsi="Times New Roman" w:cs="Times New Roman"/>
                <w:sz w:val="20"/>
                <w:szCs w:val="20"/>
                <w:lang w:eastAsia="zh-CN"/>
              </w:rPr>
              <w:t>₦</w:t>
            </w:r>
            <w:r w:rsidRPr="00222572">
              <w:rPr>
                <w:rFonts w:ascii="Garamond" w:eastAsia="方正姚体" w:hAnsi="Garamond" w:cs="Times New Roman"/>
                <w:sz w:val="20"/>
                <w:szCs w:val="20"/>
                <w:lang w:eastAsia="zh-CN"/>
              </w:rPr>
              <w:t>500 for each dose of PENTA, when PCV is also received</w:t>
            </w:r>
          </w:p>
        </w:tc>
      </w:tr>
      <w:tr w:rsidR="00222572" w:rsidRPr="00222572" w14:paraId="44BF682F" w14:textId="77777777" w:rsidTr="00C231A1">
        <w:trPr>
          <w:trHeight w:val="540"/>
        </w:trPr>
        <w:tc>
          <w:tcPr>
            <w:tcW w:w="1316" w:type="dxa"/>
          </w:tcPr>
          <w:p w14:paraId="0F4881B8"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PCV</w:t>
            </w:r>
          </w:p>
        </w:tc>
        <w:tc>
          <w:tcPr>
            <w:tcW w:w="2637" w:type="dxa"/>
          </w:tcPr>
          <w:p w14:paraId="6BA52C29"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 xml:space="preserve">Vaccine against pneumococcal bacteria </w:t>
            </w:r>
          </w:p>
        </w:tc>
        <w:tc>
          <w:tcPr>
            <w:tcW w:w="1085" w:type="dxa"/>
          </w:tcPr>
          <w:p w14:paraId="3A9C0333"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3</w:t>
            </w:r>
          </w:p>
        </w:tc>
        <w:tc>
          <w:tcPr>
            <w:tcW w:w="2045" w:type="dxa"/>
          </w:tcPr>
          <w:p w14:paraId="0E33A15C"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[as for PENTA]</w:t>
            </w:r>
          </w:p>
        </w:tc>
        <w:tc>
          <w:tcPr>
            <w:tcW w:w="1984" w:type="dxa"/>
          </w:tcPr>
          <w:p w14:paraId="6DC1F420"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[as for PENTA]</w:t>
            </w:r>
          </w:p>
        </w:tc>
      </w:tr>
      <w:tr w:rsidR="00222572" w:rsidRPr="00222572" w14:paraId="34ACA6D8" w14:textId="77777777" w:rsidTr="00B16A46">
        <w:trPr>
          <w:trHeight w:val="248"/>
        </w:trPr>
        <w:tc>
          <w:tcPr>
            <w:tcW w:w="1316" w:type="dxa"/>
          </w:tcPr>
          <w:p w14:paraId="7E0CB6F3" w14:textId="4F8A7C88"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Measles</w:t>
            </w:r>
            <w:r w:rsidR="00E539C1">
              <w:rPr>
                <w:rFonts w:ascii="Garamond" w:eastAsia="方正姚体" w:hAnsi="Garamond" w:cs="Times New Roman"/>
                <w:sz w:val="20"/>
                <w:szCs w:val="20"/>
                <w:lang w:eastAsia="zh-CN"/>
              </w:rPr>
              <w:t xml:space="preserve"> 1</w:t>
            </w:r>
          </w:p>
        </w:tc>
        <w:tc>
          <w:tcPr>
            <w:tcW w:w="2637" w:type="dxa"/>
          </w:tcPr>
          <w:p w14:paraId="48D38D5A" w14:textId="77777777" w:rsidR="00222572" w:rsidRPr="00222572" w:rsidRDefault="00222572" w:rsidP="00222572">
            <w:pPr>
              <w:rPr>
                <w:rFonts w:ascii="Garamond" w:eastAsia="方正姚体" w:hAnsi="Garamond" w:cs="Times New Roman"/>
                <w:sz w:val="20"/>
                <w:szCs w:val="20"/>
                <w:lang w:val="en-AU" w:eastAsia="zh-CN"/>
              </w:rPr>
            </w:pPr>
            <w:r w:rsidRPr="00222572">
              <w:rPr>
                <w:rFonts w:ascii="Garamond" w:eastAsia="方正姚体" w:hAnsi="Garamond" w:cs="Times New Roman"/>
                <w:sz w:val="20"/>
                <w:szCs w:val="20"/>
                <w:lang w:eastAsia="zh-CN"/>
              </w:rPr>
              <w:t>Vaccine against measles, mumps, rubella, and varicella</w:t>
            </w:r>
          </w:p>
        </w:tc>
        <w:tc>
          <w:tcPr>
            <w:tcW w:w="1085" w:type="dxa"/>
          </w:tcPr>
          <w:p w14:paraId="76E27FF2"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1</w:t>
            </w:r>
          </w:p>
        </w:tc>
        <w:tc>
          <w:tcPr>
            <w:tcW w:w="2045" w:type="dxa"/>
          </w:tcPr>
          <w:p w14:paraId="6A536757" w14:textId="77777777" w:rsidR="00222572" w:rsidRPr="00222572" w:rsidRDefault="00222572" w:rsidP="00222572">
            <w:pPr>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9 months</w:t>
            </w:r>
          </w:p>
        </w:tc>
        <w:tc>
          <w:tcPr>
            <w:tcW w:w="1984" w:type="dxa"/>
          </w:tcPr>
          <w:p w14:paraId="1CB05B56" w14:textId="77777777" w:rsidR="00222572" w:rsidRPr="00222572" w:rsidRDefault="00222572" w:rsidP="00222572">
            <w:pPr>
              <w:rPr>
                <w:rFonts w:ascii="Garamond" w:eastAsia="方正姚体" w:hAnsi="Garamond" w:cs="Times New Roman"/>
                <w:sz w:val="20"/>
                <w:szCs w:val="20"/>
                <w:lang w:eastAsia="zh-CN"/>
              </w:rPr>
            </w:pPr>
            <w:r w:rsidRPr="00222572">
              <w:rPr>
                <w:rFonts w:ascii="Times New Roman" w:eastAsia="方正姚体" w:hAnsi="Times New Roman" w:cs="Times New Roman"/>
                <w:sz w:val="20"/>
                <w:szCs w:val="20"/>
                <w:lang w:eastAsia="zh-CN"/>
              </w:rPr>
              <w:t>₦</w:t>
            </w:r>
            <w:r w:rsidRPr="00222572">
              <w:rPr>
                <w:rFonts w:ascii="Garamond" w:eastAsia="方正姚体" w:hAnsi="Garamond" w:cs="Times New Roman"/>
                <w:sz w:val="20"/>
                <w:szCs w:val="20"/>
                <w:lang w:eastAsia="zh-CN"/>
              </w:rPr>
              <w:t>2000</w:t>
            </w:r>
          </w:p>
        </w:tc>
      </w:tr>
    </w:tbl>
    <w:p w14:paraId="5E897393" w14:textId="77777777" w:rsidR="00222572" w:rsidRPr="00222572" w:rsidRDefault="00222572" w:rsidP="00222572">
      <w:pPr>
        <w:jc w:val="both"/>
        <w:rPr>
          <w:rFonts w:ascii="Garamond" w:eastAsia="Trebuchet MS" w:hAnsi="Garamond" w:cs="Times New Roman"/>
          <w:sz w:val="2"/>
          <w:szCs w:val="2"/>
        </w:rPr>
      </w:pPr>
    </w:p>
    <w:p w14:paraId="0475A31E" w14:textId="3209D3C0" w:rsidR="00AF75DD" w:rsidRDefault="00B1011C" w:rsidP="0088187F">
      <w:pPr>
        <w:jc w:val="both"/>
        <w:rPr>
          <w:rFonts w:ascii="Garamond" w:hAnsi="Garamond"/>
          <w:sz w:val="20"/>
          <w:szCs w:val="20"/>
        </w:rPr>
      </w:pPr>
      <w:r>
        <w:rPr>
          <w:rFonts w:ascii="Garamond" w:hAnsi="Garamond"/>
          <w:sz w:val="20"/>
          <w:szCs w:val="20"/>
          <w:vertAlign w:val="superscript"/>
        </w:rPr>
        <w:t>1</w:t>
      </w:r>
      <w:r>
        <w:rPr>
          <w:rFonts w:ascii="Garamond" w:hAnsi="Garamond"/>
          <w:sz w:val="20"/>
          <w:szCs w:val="20"/>
        </w:rPr>
        <w:t xml:space="preserve"> </w:t>
      </w:r>
      <w:r w:rsidR="003C7A0D">
        <w:rPr>
          <w:rFonts w:ascii="Garamond" w:hAnsi="Garamond"/>
          <w:sz w:val="20"/>
          <w:szCs w:val="20"/>
        </w:rPr>
        <w:t xml:space="preserve">If an infant is eligible for multiple vaccines on a visit, the caregiver will only receive </w:t>
      </w:r>
      <w:r w:rsidR="001C604F">
        <w:rPr>
          <w:rFonts w:ascii="Garamond" w:hAnsi="Garamond"/>
          <w:sz w:val="20"/>
          <w:szCs w:val="20"/>
        </w:rPr>
        <w:t>the</w:t>
      </w:r>
      <w:r w:rsidR="003C7A0D">
        <w:rPr>
          <w:rFonts w:ascii="Garamond" w:hAnsi="Garamond"/>
          <w:sz w:val="20"/>
          <w:szCs w:val="20"/>
        </w:rPr>
        <w:t xml:space="preserve"> incentive for the latest </w:t>
      </w:r>
      <w:r w:rsidR="00336809">
        <w:rPr>
          <w:rFonts w:ascii="Garamond" w:hAnsi="Garamond"/>
          <w:sz w:val="20"/>
          <w:szCs w:val="20"/>
        </w:rPr>
        <w:t>vaccine</w:t>
      </w:r>
      <w:r w:rsidR="003C7A0D">
        <w:rPr>
          <w:rFonts w:ascii="Garamond" w:hAnsi="Garamond"/>
          <w:sz w:val="20"/>
          <w:szCs w:val="20"/>
        </w:rPr>
        <w:t>.</w:t>
      </w:r>
    </w:p>
    <w:p w14:paraId="39C8B58B" w14:textId="0F94D247" w:rsidR="007E51A2" w:rsidRPr="003C7A0D" w:rsidRDefault="007E51A2" w:rsidP="0088187F">
      <w:pPr>
        <w:jc w:val="both"/>
        <w:rPr>
          <w:rFonts w:ascii="Garamond" w:hAnsi="Garamond"/>
          <w:sz w:val="20"/>
          <w:szCs w:val="20"/>
        </w:rPr>
      </w:pPr>
      <w:r w:rsidRPr="007E51A2">
        <w:rPr>
          <w:rFonts w:ascii="Garamond" w:hAnsi="Garamond"/>
          <w:sz w:val="20"/>
          <w:szCs w:val="20"/>
          <w:vertAlign w:val="superscript"/>
        </w:rPr>
        <w:t>2</w:t>
      </w:r>
      <w:r>
        <w:rPr>
          <w:rFonts w:ascii="Garamond" w:hAnsi="Garamond"/>
          <w:sz w:val="20"/>
          <w:szCs w:val="20"/>
        </w:rPr>
        <w:t xml:space="preserve"> Nigerian Naira</w:t>
      </w:r>
    </w:p>
    <w:p w14:paraId="2570FA61" w14:textId="77777777" w:rsidR="00506075" w:rsidRDefault="00506075" w:rsidP="00981974">
      <w:pPr>
        <w:jc w:val="both"/>
        <w:rPr>
          <w:rFonts w:ascii="Garamond" w:hAnsi="Garamond"/>
        </w:rPr>
      </w:pPr>
    </w:p>
    <w:p w14:paraId="7F3C095B" w14:textId="584D382D" w:rsidR="00AC11CB" w:rsidRDefault="00AF75DD" w:rsidP="00981974">
      <w:pPr>
        <w:jc w:val="both"/>
        <w:rPr>
          <w:rFonts w:ascii="Garamond" w:hAnsi="Garamond"/>
        </w:rPr>
      </w:pPr>
      <w:r w:rsidRPr="00AC6D02">
        <w:rPr>
          <w:rFonts w:ascii="Garamond" w:hAnsi="Garamond"/>
        </w:rPr>
        <w:t xml:space="preserve">New Incentives has a team of field officers responsible for disbursing incentives to </w:t>
      </w:r>
      <w:r>
        <w:rPr>
          <w:rFonts w:ascii="Garamond" w:hAnsi="Garamond"/>
        </w:rPr>
        <w:t>caregivers</w:t>
      </w:r>
      <w:r w:rsidRPr="00AC6D02">
        <w:rPr>
          <w:rFonts w:ascii="Garamond" w:hAnsi="Garamond"/>
        </w:rPr>
        <w:t>. On each vaccination day, the field officers check vaccine quality and stock</w:t>
      </w:r>
      <w:r w:rsidR="001458CD">
        <w:rPr>
          <w:rFonts w:ascii="Garamond" w:hAnsi="Garamond"/>
        </w:rPr>
        <w:t>,</w:t>
      </w:r>
      <w:r>
        <w:rPr>
          <w:rStyle w:val="FootnoteReference"/>
          <w:rFonts w:ascii="Garamond" w:hAnsi="Garamond"/>
        </w:rPr>
        <w:footnoteReference w:id="8"/>
      </w:r>
      <w:r w:rsidRPr="00AC6D02">
        <w:rPr>
          <w:rFonts w:ascii="Garamond" w:hAnsi="Garamond"/>
        </w:rPr>
        <w:t xml:space="preserve"> and then prepare to disburse incentives. Incentives are paid in cash by a New Incentives staff member who also </w:t>
      </w:r>
      <w:r>
        <w:rPr>
          <w:rFonts w:ascii="Garamond" w:hAnsi="Garamond"/>
        </w:rPr>
        <w:t>ensures the infant meets the eligibility criteria outlined above</w:t>
      </w:r>
      <w:r w:rsidR="002F6149">
        <w:rPr>
          <w:rFonts w:ascii="Garamond" w:hAnsi="Garamond"/>
        </w:rPr>
        <w:t>.</w:t>
      </w:r>
      <w:r w:rsidRPr="00AC6D02">
        <w:rPr>
          <w:rStyle w:val="FootnoteReference"/>
          <w:rFonts w:ascii="Garamond" w:hAnsi="Garamond"/>
        </w:rPr>
        <w:footnoteReference w:id="9"/>
      </w:r>
      <w:r w:rsidRPr="00AC6D02">
        <w:rPr>
          <w:rFonts w:ascii="Garamond" w:hAnsi="Garamond"/>
        </w:rPr>
        <w:t xml:space="preserve">  </w:t>
      </w:r>
    </w:p>
    <w:p w14:paraId="52064D2A" w14:textId="77777777" w:rsidR="00981974" w:rsidRPr="00981974" w:rsidRDefault="00981974" w:rsidP="00981974">
      <w:pPr>
        <w:jc w:val="both"/>
        <w:rPr>
          <w:rFonts w:ascii="Garamond" w:hAnsi="Garamond"/>
        </w:rPr>
      </w:pPr>
    </w:p>
    <w:p w14:paraId="03845794" w14:textId="06745ACE" w:rsidR="00AF75DD" w:rsidRDefault="00AF75DD" w:rsidP="00963A8F">
      <w:pPr>
        <w:keepNext/>
        <w:spacing w:line="259" w:lineRule="auto"/>
        <w:rPr>
          <w:rFonts w:ascii="Garamond" w:hAnsi="Garamond"/>
          <w:b/>
          <w:i/>
        </w:rPr>
      </w:pPr>
      <w:r>
        <w:rPr>
          <w:rFonts w:ascii="Garamond" w:hAnsi="Garamond"/>
          <w:b/>
          <w:i/>
        </w:rPr>
        <w:t>Theory of Change</w:t>
      </w:r>
      <w:r w:rsidR="0088187F">
        <w:rPr>
          <w:rFonts w:ascii="Garamond" w:hAnsi="Garamond"/>
          <w:b/>
          <w:i/>
        </w:rPr>
        <w:t xml:space="preserve"> and Outcome Variable</w:t>
      </w:r>
    </w:p>
    <w:p w14:paraId="148214C6" w14:textId="22C41B04" w:rsidR="006D523D" w:rsidRPr="00222572" w:rsidRDefault="00AF75DD" w:rsidP="00506075">
      <w:pPr>
        <w:keepNext/>
        <w:jc w:val="both"/>
        <w:rPr>
          <w:rFonts w:ascii="Garamond" w:eastAsia="Trebuchet MS" w:hAnsi="Garamond" w:cs="Times New Roman"/>
          <w:sz w:val="2"/>
          <w:szCs w:val="2"/>
        </w:rPr>
      </w:pPr>
      <w:r>
        <w:rPr>
          <w:rFonts w:ascii="Garamond" w:hAnsi="Garamond"/>
        </w:rPr>
        <w:t xml:space="preserve">New Incentives </w:t>
      </w:r>
      <w:r w:rsidR="005121B8">
        <w:rPr>
          <w:rFonts w:ascii="Garamond" w:hAnsi="Garamond"/>
        </w:rPr>
        <w:t xml:space="preserve">anticipates </w:t>
      </w:r>
      <w:r w:rsidR="00D07711">
        <w:rPr>
          <w:rFonts w:ascii="Garamond" w:hAnsi="Garamond"/>
        </w:rPr>
        <w:t xml:space="preserve">that their incentive program will </w:t>
      </w:r>
      <w:r>
        <w:rPr>
          <w:rFonts w:ascii="Garamond" w:hAnsi="Garamond"/>
        </w:rPr>
        <w:t>improve the health status of Nigerian children in a variety of ways</w:t>
      </w:r>
      <w:r w:rsidR="00380868">
        <w:rPr>
          <w:rFonts w:ascii="Garamond" w:hAnsi="Garamond"/>
        </w:rPr>
        <w:t>.</w:t>
      </w:r>
      <w:r w:rsidR="001656B6">
        <w:rPr>
          <w:rFonts w:ascii="Garamond" w:hAnsi="Garamond"/>
        </w:rPr>
        <w:t xml:space="preserve"> T</w:t>
      </w:r>
      <w:r>
        <w:rPr>
          <w:rFonts w:ascii="Garamond" w:hAnsi="Garamond"/>
        </w:rPr>
        <w:t xml:space="preserve">he primary focus of the </w:t>
      </w:r>
      <w:r w:rsidR="008962FD">
        <w:rPr>
          <w:rFonts w:ascii="Garamond" w:hAnsi="Garamond"/>
        </w:rPr>
        <w:t>study</w:t>
      </w:r>
      <w:r>
        <w:rPr>
          <w:rFonts w:ascii="Garamond" w:hAnsi="Garamond"/>
        </w:rPr>
        <w:t xml:space="preserve"> is the direct impact of the program on coverage</w:t>
      </w:r>
      <w:r w:rsidR="000E112D">
        <w:rPr>
          <w:rFonts w:ascii="Garamond" w:hAnsi="Garamond"/>
        </w:rPr>
        <w:t xml:space="preserve"> </w:t>
      </w:r>
      <w:r w:rsidR="00762E99">
        <w:rPr>
          <w:rFonts w:ascii="Garamond" w:hAnsi="Garamond"/>
        </w:rPr>
        <w:t>rates for</w:t>
      </w:r>
      <w:r w:rsidR="000E112D">
        <w:rPr>
          <w:rFonts w:ascii="Garamond" w:hAnsi="Garamond"/>
        </w:rPr>
        <w:t xml:space="preserve"> incentivized immunizations</w:t>
      </w:r>
      <w:r>
        <w:rPr>
          <w:rFonts w:ascii="Garamond" w:hAnsi="Garamond"/>
        </w:rPr>
        <w:t xml:space="preserve"> for</w:t>
      </w:r>
      <w:r w:rsidR="00170EB9">
        <w:rPr>
          <w:rFonts w:ascii="Garamond" w:hAnsi="Garamond"/>
        </w:rPr>
        <w:t xml:space="preserve"> eligible</w:t>
      </w:r>
      <w:r>
        <w:rPr>
          <w:rFonts w:ascii="Garamond" w:hAnsi="Garamond"/>
        </w:rPr>
        <w:t xml:space="preserve"> infants </w:t>
      </w:r>
      <w:r w:rsidR="000C444E">
        <w:rPr>
          <w:rFonts w:ascii="Garamond" w:hAnsi="Garamond"/>
        </w:rPr>
        <w:t>in the study area</w:t>
      </w:r>
      <w:r>
        <w:rPr>
          <w:rFonts w:ascii="Garamond" w:hAnsi="Garamond"/>
        </w:rPr>
        <w:t xml:space="preserve">. </w:t>
      </w:r>
      <w:r w:rsidR="000E112D">
        <w:rPr>
          <w:rFonts w:ascii="Garamond" w:hAnsi="Garamond"/>
        </w:rPr>
        <w:t>T</w:t>
      </w:r>
      <w:r>
        <w:rPr>
          <w:rFonts w:ascii="Garamond" w:hAnsi="Garamond"/>
        </w:rPr>
        <w:t xml:space="preserve">he primary </w:t>
      </w:r>
      <w:r w:rsidR="00E22876">
        <w:rPr>
          <w:rFonts w:ascii="Garamond" w:hAnsi="Garamond"/>
        </w:rPr>
        <w:t>causal</w:t>
      </w:r>
      <w:r>
        <w:rPr>
          <w:rFonts w:ascii="Garamond" w:hAnsi="Garamond"/>
        </w:rPr>
        <w:t xml:space="preserve"> pathway is </w:t>
      </w:r>
      <w:r w:rsidR="00E22876">
        <w:rPr>
          <w:rFonts w:ascii="Garamond" w:hAnsi="Garamond"/>
        </w:rPr>
        <w:t>that cash changes the caregiver</w:t>
      </w:r>
      <w:r w:rsidR="00A34B70">
        <w:rPr>
          <w:rFonts w:ascii="Garamond" w:hAnsi="Garamond"/>
        </w:rPr>
        <w:t>’</w:t>
      </w:r>
      <w:r w:rsidR="00E22876">
        <w:rPr>
          <w:rFonts w:ascii="Garamond" w:hAnsi="Garamond"/>
        </w:rPr>
        <w:t>s assessment</w:t>
      </w:r>
      <w:r w:rsidR="00A34B70">
        <w:rPr>
          <w:rFonts w:ascii="Garamond" w:hAnsi="Garamond"/>
        </w:rPr>
        <w:t xml:space="preserve"> of</w:t>
      </w:r>
      <w:r w:rsidR="00E22876">
        <w:rPr>
          <w:rFonts w:ascii="Garamond" w:hAnsi="Garamond"/>
        </w:rPr>
        <w:t xml:space="preserve"> the benefit of vaccination by </w:t>
      </w:r>
      <w:r w:rsidR="00380868" w:rsidRPr="00B1230C">
        <w:rPr>
          <w:rFonts w:ascii="Garamond" w:hAnsi="Garamond"/>
        </w:rPr>
        <w:t>minimizing</w:t>
      </w:r>
      <w:r w:rsidR="00E22876" w:rsidRPr="00B1230C">
        <w:rPr>
          <w:rFonts w:ascii="Garamond" w:hAnsi="Garamond"/>
        </w:rPr>
        <w:t xml:space="preserve"> barriers and providing a larger benefit</w:t>
      </w:r>
      <w:r w:rsidR="000C444E">
        <w:rPr>
          <w:rFonts w:ascii="Garamond" w:hAnsi="Garamond"/>
        </w:rPr>
        <w:t>. However, the theory of change includes other</w:t>
      </w:r>
      <w:r w:rsidR="00645EA1">
        <w:rPr>
          <w:rFonts w:ascii="Garamond" w:hAnsi="Garamond"/>
        </w:rPr>
        <w:t xml:space="preserve"> pathways </w:t>
      </w:r>
      <w:r w:rsidR="00D07711">
        <w:rPr>
          <w:rFonts w:ascii="Garamond" w:hAnsi="Garamond"/>
        </w:rPr>
        <w:t>that increase</w:t>
      </w:r>
      <w:r w:rsidR="00645EA1">
        <w:rPr>
          <w:rFonts w:ascii="Garamond" w:hAnsi="Garamond"/>
        </w:rPr>
        <w:t xml:space="preserve"> coverage</w:t>
      </w:r>
      <w:r w:rsidR="000C444E">
        <w:rPr>
          <w:rFonts w:ascii="Garamond" w:hAnsi="Garamond"/>
        </w:rPr>
        <w:t xml:space="preserve"> such as</w:t>
      </w:r>
      <w:r>
        <w:rPr>
          <w:rFonts w:ascii="Garamond" w:hAnsi="Garamond"/>
        </w:rPr>
        <w:t xml:space="preserve"> New Incentives’ supply side engagement, New Incentives’ marketing and outreach to community leaders</w:t>
      </w:r>
      <w:r w:rsidR="000C444E">
        <w:rPr>
          <w:rFonts w:ascii="Garamond" w:hAnsi="Garamond"/>
        </w:rPr>
        <w:t xml:space="preserve">, and </w:t>
      </w:r>
      <w:r>
        <w:rPr>
          <w:rFonts w:ascii="Garamond" w:hAnsi="Garamond"/>
        </w:rPr>
        <w:t>reduced social</w:t>
      </w:r>
      <w:r w:rsidR="000C444E">
        <w:rPr>
          <w:rFonts w:ascii="Garamond" w:hAnsi="Garamond"/>
        </w:rPr>
        <w:t xml:space="preserve"> and informational</w:t>
      </w:r>
      <w:r>
        <w:rPr>
          <w:rFonts w:ascii="Garamond" w:hAnsi="Garamond"/>
        </w:rPr>
        <w:t xml:space="preserve"> barriers</w:t>
      </w:r>
      <w:r w:rsidR="000C444E">
        <w:rPr>
          <w:rFonts w:ascii="Garamond" w:hAnsi="Garamond"/>
        </w:rPr>
        <w:t xml:space="preserve"> to </w:t>
      </w:r>
      <w:r w:rsidR="001E3889">
        <w:rPr>
          <w:rFonts w:ascii="Garamond" w:hAnsi="Garamond"/>
        </w:rPr>
        <w:t>vaccination</w:t>
      </w:r>
      <w:r w:rsidR="000C444E">
        <w:rPr>
          <w:rFonts w:ascii="Garamond" w:hAnsi="Garamond"/>
        </w:rPr>
        <w:t xml:space="preserve"> as it becomes more common</w:t>
      </w:r>
      <w:r w:rsidR="00EB6A22">
        <w:rPr>
          <w:rFonts w:ascii="Garamond" w:hAnsi="Garamond"/>
        </w:rPr>
        <w:t>.</w:t>
      </w:r>
      <w:r w:rsidR="001E3889">
        <w:rPr>
          <w:rStyle w:val="FootnoteReference"/>
          <w:rFonts w:ascii="Garamond" w:hAnsi="Garamond"/>
        </w:rPr>
        <w:footnoteReference w:id="10"/>
      </w:r>
      <w:r w:rsidR="000E112D">
        <w:rPr>
          <w:rFonts w:ascii="Garamond" w:hAnsi="Garamond"/>
        </w:rPr>
        <w:t xml:space="preserve"> </w:t>
      </w:r>
      <w:r w:rsidR="00506075">
        <w:rPr>
          <w:rFonts w:ascii="Garamond" w:hAnsi="Garamond"/>
        </w:rPr>
        <w:t xml:space="preserve">In addition, the theory of change includes secondary outcomes such as increased consumption (from cash transfers) and improvements in other health outcomes (from increased use of general health services). </w:t>
      </w:r>
    </w:p>
    <w:p w14:paraId="32B5CCF3" w14:textId="1BCA395C" w:rsidR="00AF75DD" w:rsidRDefault="00AF75DD" w:rsidP="00486B85"/>
    <w:p w14:paraId="38073C77" w14:textId="24F32B05" w:rsidR="005077A6" w:rsidRPr="005077A6" w:rsidRDefault="005077A6" w:rsidP="005077A6">
      <w:pPr>
        <w:keepNext/>
        <w:rPr>
          <w:rFonts w:ascii="Garamond" w:hAnsi="Garamond"/>
          <w:i/>
        </w:rPr>
      </w:pPr>
      <w:r w:rsidRPr="005077A6">
        <w:rPr>
          <w:rFonts w:ascii="Garamond" w:hAnsi="Garamond"/>
          <w:i/>
        </w:rPr>
        <w:lastRenderedPageBreak/>
        <w:t xml:space="preserve">Figure 1: </w:t>
      </w:r>
      <w:r>
        <w:rPr>
          <w:rFonts w:ascii="Garamond" w:hAnsi="Garamond"/>
          <w:i/>
        </w:rPr>
        <w:t>New Incentives</w:t>
      </w:r>
      <w:r w:rsidR="009F51C1">
        <w:rPr>
          <w:rFonts w:ascii="Garamond" w:hAnsi="Garamond"/>
          <w:i/>
        </w:rPr>
        <w:t>’</w:t>
      </w:r>
      <w:r w:rsidR="00866BDF">
        <w:rPr>
          <w:rFonts w:ascii="Garamond" w:hAnsi="Garamond"/>
          <w:i/>
        </w:rPr>
        <w:t xml:space="preserve"> </w:t>
      </w:r>
      <w:r w:rsidR="009F51C1">
        <w:rPr>
          <w:rFonts w:ascii="Garamond" w:hAnsi="Garamond"/>
          <w:i/>
        </w:rPr>
        <w:t>P</w:t>
      </w:r>
      <w:r w:rsidR="00866BDF">
        <w:rPr>
          <w:rFonts w:ascii="Garamond" w:hAnsi="Garamond"/>
          <w:i/>
        </w:rPr>
        <w:t>rogram</w:t>
      </w:r>
      <w:r>
        <w:rPr>
          <w:rFonts w:ascii="Garamond" w:hAnsi="Garamond"/>
          <w:i/>
        </w:rPr>
        <w:t xml:space="preserve"> Theory of Change</w:t>
      </w:r>
    </w:p>
    <w:p w14:paraId="1A341971" w14:textId="44133723" w:rsidR="00AF75DD" w:rsidRDefault="00AF75DD" w:rsidP="00F31F9D">
      <w:pPr>
        <w:keepNext/>
      </w:pPr>
    </w:p>
    <w:p w14:paraId="2088D9D5" w14:textId="3D197760" w:rsidR="004053DA" w:rsidRPr="00921A7E" w:rsidRDefault="004053DA" w:rsidP="00486B85">
      <w:r>
        <w:rPr>
          <w:rStyle w:val="SubtleEmphasis"/>
          <w:b/>
          <w:i w:val="0"/>
          <w:noProof/>
        </w:rPr>
        <w:drawing>
          <wp:inline distT="0" distB="0" distL="0" distR="0" wp14:anchorId="15058428" wp14:editId="1F078FE5">
            <wp:extent cx="5943600" cy="2501043"/>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501043"/>
                    </a:xfrm>
                    <a:prstGeom prst="rect">
                      <a:avLst/>
                    </a:prstGeom>
                    <a:noFill/>
                  </pic:spPr>
                </pic:pic>
              </a:graphicData>
            </a:graphic>
          </wp:inline>
        </w:drawing>
      </w:r>
    </w:p>
    <w:p w14:paraId="560CD3B1" w14:textId="4C87869C" w:rsidR="00506075" w:rsidRDefault="00506075" w:rsidP="00397755">
      <w:pPr>
        <w:jc w:val="both"/>
        <w:rPr>
          <w:rFonts w:ascii="Garamond" w:hAnsi="Garamond"/>
        </w:rPr>
      </w:pPr>
    </w:p>
    <w:p w14:paraId="544B19FA" w14:textId="2505F679" w:rsidR="00B320F7" w:rsidRPr="00B320F7" w:rsidRDefault="00506075" w:rsidP="00B320F7">
      <w:pPr>
        <w:keepNext/>
        <w:jc w:val="both"/>
        <w:rPr>
          <w:rFonts w:ascii="Garamond" w:hAnsi="Garamond"/>
        </w:rPr>
      </w:pPr>
      <w:r>
        <w:rPr>
          <w:rFonts w:ascii="Garamond" w:hAnsi="Garamond"/>
        </w:rPr>
        <w:t xml:space="preserve">One </w:t>
      </w:r>
      <w:r w:rsidR="00956E80">
        <w:rPr>
          <w:rFonts w:ascii="Garamond" w:hAnsi="Garamond"/>
        </w:rPr>
        <w:t>secondary causal pathway</w:t>
      </w:r>
      <w:r>
        <w:rPr>
          <w:rFonts w:ascii="Garamond" w:hAnsi="Garamond"/>
        </w:rPr>
        <w:t xml:space="preserve"> warrants further mention: it is likely that New Incentives’ program indirectly increases coverage rates for vaccinations </w:t>
      </w:r>
      <w:r w:rsidR="00B320F7">
        <w:rPr>
          <w:rFonts w:ascii="Garamond" w:hAnsi="Garamond"/>
        </w:rPr>
        <w:t xml:space="preserve">beyond those for which it directly pays incentives. </w:t>
      </w:r>
      <w:r w:rsidR="00B320F7" w:rsidRPr="00B320F7">
        <w:rPr>
          <w:rFonts w:ascii="Garamond" w:hAnsi="Garamond"/>
        </w:rPr>
        <w:t xml:space="preserve">New Incentives aims to incentivize initiation and adherence to the Nigeria Routine Immunization Schedule. While technically New Incentives makes cash transfers </w:t>
      </w:r>
      <w:r w:rsidR="0087796B">
        <w:rPr>
          <w:rFonts w:ascii="Garamond" w:hAnsi="Garamond"/>
        </w:rPr>
        <w:t>for</w:t>
      </w:r>
      <w:r w:rsidR="00B320F7" w:rsidRPr="00B320F7">
        <w:rPr>
          <w:rFonts w:ascii="Garamond" w:hAnsi="Garamond"/>
        </w:rPr>
        <w:t xml:space="preserve"> </w:t>
      </w:r>
      <w:r w:rsidR="0087796B">
        <w:rPr>
          <w:rFonts w:ascii="Garamond" w:hAnsi="Garamond"/>
        </w:rPr>
        <w:t>the</w:t>
      </w:r>
      <w:r w:rsidR="00B320F7" w:rsidRPr="00B320F7">
        <w:rPr>
          <w:rFonts w:ascii="Garamond" w:hAnsi="Garamond"/>
        </w:rPr>
        <w:t xml:space="preserve"> vaccines listed in Table 1</w:t>
      </w:r>
      <w:r w:rsidR="00B320F7">
        <w:rPr>
          <w:rFonts w:ascii="Garamond" w:hAnsi="Garamond"/>
        </w:rPr>
        <w:t xml:space="preserve"> above</w:t>
      </w:r>
      <w:r w:rsidR="00B320F7" w:rsidRPr="00B320F7">
        <w:rPr>
          <w:rFonts w:ascii="Garamond" w:hAnsi="Garamond"/>
        </w:rPr>
        <w:t>; in practice they have found that</w:t>
      </w:r>
      <w:r w:rsidR="0087796B">
        <w:rPr>
          <w:rFonts w:ascii="Garamond" w:hAnsi="Garamond"/>
        </w:rPr>
        <w:t xml:space="preserve"> </w:t>
      </w:r>
      <w:r w:rsidR="00B320F7" w:rsidRPr="00B320F7">
        <w:rPr>
          <w:rFonts w:ascii="Garamond" w:hAnsi="Garamond"/>
        </w:rPr>
        <w:t>infants</w:t>
      </w:r>
      <w:r w:rsidR="0019642A">
        <w:rPr>
          <w:rFonts w:ascii="Garamond" w:hAnsi="Garamond"/>
        </w:rPr>
        <w:t xml:space="preserve"> tend to</w:t>
      </w:r>
      <w:r w:rsidR="00B320F7" w:rsidRPr="00B320F7">
        <w:rPr>
          <w:rFonts w:ascii="Garamond" w:hAnsi="Garamond"/>
        </w:rPr>
        <w:t xml:space="preserve"> receive all vaccines scheduled for a visit once they are at the clinic. New Incentives also works with clinic staff to improve their internal procedures and address supply-side issues, such as vaccine stockouts, through existing channels. These efforts apply equally to all routine immunizations.</w:t>
      </w:r>
      <w:r w:rsidR="0019642A">
        <w:rPr>
          <w:rFonts w:ascii="Garamond" w:hAnsi="Garamond"/>
        </w:rPr>
        <w:t xml:space="preserve"> Accordingly, </w:t>
      </w:r>
      <w:r w:rsidR="0019642A" w:rsidRPr="00B320F7">
        <w:rPr>
          <w:rFonts w:ascii="Garamond" w:hAnsi="Garamond"/>
        </w:rPr>
        <w:t>New Incentives chose to pay for </w:t>
      </w:r>
      <w:r w:rsidR="0019642A" w:rsidRPr="00B320F7">
        <w:rPr>
          <w:rFonts w:ascii="Garamond" w:hAnsi="Garamond"/>
          <w:i/>
          <w:iCs/>
        </w:rPr>
        <w:t>some</w:t>
      </w:r>
      <w:r w:rsidR="0019642A" w:rsidRPr="00B320F7">
        <w:rPr>
          <w:rFonts w:ascii="Garamond" w:hAnsi="Garamond"/>
        </w:rPr>
        <w:t> of each visit's immunizations with the expectation that this will encourage </w:t>
      </w:r>
      <w:proofErr w:type="gramStart"/>
      <w:r w:rsidR="0019642A" w:rsidRPr="00B320F7">
        <w:rPr>
          <w:rFonts w:ascii="Garamond" w:hAnsi="Garamond"/>
          <w:i/>
          <w:iCs/>
        </w:rPr>
        <w:t>all</w:t>
      </w:r>
      <w:r w:rsidR="0019642A" w:rsidRPr="00B320F7">
        <w:rPr>
          <w:rFonts w:ascii="Garamond" w:hAnsi="Garamond"/>
        </w:rPr>
        <w:t> of</w:t>
      </w:r>
      <w:proofErr w:type="gramEnd"/>
      <w:r w:rsidR="0019642A" w:rsidRPr="00B320F7">
        <w:rPr>
          <w:rFonts w:ascii="Garamond" w:hAnsi="Garamond"/>
        </w:rPr>
        <w:t xml:space="preserve"> that visit's immunizations. During piloting, they found that this simplified payment schedule is easier for beneficiaries to understand.</w:t>
      </w:r>
    </w:p>
    <w:p w14:paraId="66DFC77D" w14:textId="77777777" w:rsidR="00B320F7" w:rsidRDefault="00B320F7" w:rsidP="00506075">
      <w:pPr>
        <w:keepNext/>
        <w:jc w:val="both"/>
        <w:rPr>
          <w:rFonts w:ascii="Garamond" w:hAnsi="Garamond"/>
        </w:rPr>
      </w:pPr>
    </w:p>
    <w:p w14:paraId="75476640" w14:textId="3EDC255A" w:rsidR="00506075" w:rsidRDefault="00506075" w:rsidP="0019642A">
      <w:pPr>
        <w:jc w:val="both"/>
        <w:rPr>
          <w:rFonts w:ascii="Garamond" w:hAnsi="Garamond"/>
        </w:rPr>
      </w:pPr>
      <w:r>
        <w:rPr>
          <w:rFonts w:ascii="Garamond" w:hAnsi="Garamond"/>
        </w:rPr>
        <w:t xml:space="preserve">Table 2 lists </w:t>
      </w:r>
      <w:r w:rsidR="0019642A">
        <w:rPr>
          <w:rFonts w:ascii="Garamond" w:hAnsi="Garamond"/>
        </w:rPr>
        <w:t>all the immunizations scheduled for each clinic visit and notes which are</w:t>
      </w:r>
      <w:r w:rsidR="00B320F7">
        <w:rPr>
          <w:rFonts w:ascii="Garamond" w:hAnsi="Garamond"/>
        </w:rPr>
        <w:t xml:space="preserve"> directly</w:t>
      </w:r>
      <w:r>
        <w:rPr>
          <w:rFonts w:ascii="Garamond" w:hAnsi="Garamond"/>
        </w:rPr>
        <w:t xml:space="preserve"> incentivized</w:t>
      </w:r>
      <w:r w:rsidR="0019642A">
        <w:rPr>
          <w:rFonts w:ascii="Garamond" w:hAnsi="Garamond"/>
        </w:rPr>
        <w:t xml:space="preserve"> through cash transfers and which are indirectly incentivized by occurring at the same visit. </w:t>
      </w:r>
      <w:proofErr w:type="spellStart"/>
      <w:r w:rsidR="0019642A">
        <w:rPr>
          <w:rFonts w:ascii="Garamond" w:hAnsi="Garamond"/>
        </w:rPr>
        <w:t>IDinsight</w:t>
      </w:r>
      <w:proofErr w:type="spellEnd"/>
      <w:r w:rsidR="0019642A">
        <w:rPr>
          <w:rFonts w:ascii="Garamond" w:hAnsi="Garamond"/>
        </w:rPr>
        <w:t xml:space="preserve"> plans to measure coverage for all directly incentivized and at least some indirectly incentivized vaccinations at </w:t>
      </w:r>
      <w:proofErr w:type="spellStart"/>
      <w:r w:rsidR="0019642A">
        <w:rPr>
          <w:rFonts w:ascii="Garamond" w:hAnsi="Garamond"/>
        </w:rPr>
        <w:t>endline</w:t>
      </w:r>
      <w:proofErr w:type="spellEnd"/>
      <w:r w:rsidR="0019642A">
        <w:rPr>
          <w:rFonts w:ascii="Garamond" w:hAnsi="Garamond"/>
        </w:rPr>
        <w:t xml:space="preserve">. </w:t>
      </w:r>
      <w:r w:rsidR="00157BAB">
        <w:rPr>
          <w:rFonts w:ascii="Garamond" w:hAnsi="Garamond"/>
        </w:rPr>
        <w:t xml:space="preserve">Annex 5 discusses how </w:t>
      </w:r>
      <w:proofErr w:type="spellStart"/>
      <w:r w:rsidR="00157BAB">
        <w:rPr>
          <w:rFonts w:ascii="Garamond" w:hAnsi="Garamond"/>
        </w:rPr>
        <w:t>GiveWell</w:t>
      </w:r>
      <w:proofErr w:type="spellEnd"/>
      <w:r w:rsidR="00157BAB">
        <w:rPr>
          <w:rFonts w:ascii="Garamond" w:hAnsi="Garamond"/>
        </w:rPr>
        <w:t xml:space="preserve"> will incorporate </w:t>
      </w:r>
      <w:r w:rsidR="00A80544">
        <w:rPr>
          <w:rFonts w:ascii="Garamond" w:hAnsi="Garamond"/>
        </w:rPr>
        <w:t>each of these</w:t>
      </w:r>
      <w:r w:rsidR="00157BAB">
        <w:rPr>
          <w:rFonts w:ascii="Garamond" w:hAnsi="Garamond"/>
        </w:rPr>
        <w:t xml:space="preserve"> into its cost effectiveness estimates for the New Incentives program</w:t>
      </w:r>
      <w:r w:rsidR="009B7022">
        <w:rPr>
          <w:rFonts w:ascii="Garamond" w:hAnsi="Garamond"/>
        </w:rPr>
        <w:t>.</w:t>
      </w:r>
    </w:p>
    <w:p w14:paraId="4F2AAA06" w14:textId="77777777" w:rsidR="00506075" w:rsidRDefault="00506075" w:rsidP="00506075">
      <w:pPr>
        <w:keepNext/>
        <w:jc w:val="both"/>
        <w:rPr>
          <w:rFonts w:ascii="Garamond" w:hAnsi="Garamond"/>
        </w:rPr>
      </w:pPr>
    </w:p>
    <w:p w14:paraId="32C97CED" w14:textId="3E5AC8A3" w:rsidR="00506075" w:rsidRPr="00222572" w:rsidRDefault="00506075" w:rsidP="0019642A">
      <w:pPr>
        <w:keepNext/>
        <w:jc w:val="center"/>
        <w:rPr>
          <w:rFonts w:ascii="Garamond" w:eastAsia="Trebuchet MS" w:hAnsi="Garamond" w:cs="Times New Roman"/>
          <w:b/>
          <w:bCs/>
          <w:smallCaps/>
          <w:color w:val="595959"/>
          <w:spacing w:val="6"/>
          <w:szCs w:val="24"/>
        </w:rPr>
      </w:pPr>
      <w:r>
        <w:rPr>
          <w:rFonts w:ascii="Garamond" w:eastAsia="Trebuchet MS" w:hAnsi="Garamond" w:cs="Times New Roman"/>
          <w:b/>
          <w:iCs/>
        </w:rPr>
        <w:t xml:space="preserve">Table 2: </w:t>
      </w:r>
      <w:r w:rsidR="00B320F7">
        <w:rPr>
          <w:rFonts w:ascii="Garamond" w:eastAsia="Trebuchet MS" w:hAnsi="Garamond" w:cs="Times New Roman"/>
          <w:b/>
          <w:iCs/>
        </w:rPr>
        <w:t>New Incentives and the Routine Immunization Schedule</w:t>
      </w:r>
    </w:p>
    <w:tbl>
      <w:tblPr>
        <w:tblStyle w:val="TableGrid1"/>
        <w:tblW w:w="9350" w:type="dxa"/>
        <w:tblBorders>
          <w:insideH w:val="none" w:sz="0" w:space="0" w:color="auto"/>
          <w:insideV w:val="none" w:sz="0" w:space="0" w:color="auto"/>
        </w:tblBorders>
        <w:tblLook w:val="04A0" w:firstRow="1" w:lastRow="0" w:firstColumn="1" w:lastColumn="0" w:noHBand="0" w:noVBand="1"/>
      </w:tblPr>
      <w:tblGrid>
        <w:gridCol w:w="2314"/>
        <w:gridCol w:w="2111"/>
        <w:gridCol w:w="2428"/>
        <w:gridCol w:w="2497"/>
      </w:tblGrid>
      <w:tr w:rsidR="00B320F7" w:rsidRPr="00222572" w14:paraId="22912290" w14:textId="77777777" w:rsidTr="00B320F7">
        <w:trPr>
          <w:trHeight w:val="66"/>
        </w:trPr>
        <w:tc>
          <w:tcPr>
            <w:tcW w:w="2314" w:type="dxa"/>
            <w:shd w:val="clear" w:color="auto" w:fill="1F4E79"/>
          </w:tcPr>
          <w:p w14:paraId="76CA5448" w14:textId="255B3175" w:rsidR="00B320F7" w:rsidRDefault="00B320F7" w:rsidP="0019642A">
            <w:pPr>
              <w:keepNext/>
              <w:rPr>
                <w:rFonts w:ascii="Garamond" w:eastAsia="方正姚体" w:hAnsi="Garamond" w:cs="Times New Roman"/>
                <w:color w:val="FFFFFF"/>
                <w:sz w:val="20"/>
                <w:szCs w:val="20"/>
                <w:lang w:eastAsia="zh-CN"/>
              </w:rPr>
            </w:pPr>
            <w:r w:rsidRPr="00222572">
              <w:rPr>
                <w:rFonts w:ascii="Garamond" w:eastAsia="方正姚体" w:hAnsi="Garamond" w:cs="Times New Roman"/>
                <w:color w:val="FFFFFF"/>
                <w:sz w:val="20"/>
                <w:szCs w:val="20"/>
                <w:lang w:eastAsia="zh-CN"/>
              </w:rPr>
              <w:t>Timing</w:t>
            </w:r>
            <w:r>
              <w:rPr>
                <w:rFonts w:ascii="Garamond" w:eastAsia="方正姚体" w:hAnsi="Garamond" w:cs="Times New Roman"/>
                <w:color w:val="FFFFFF"/>
                <w:sz w:val="20"/>
                <w:szCs w:val="20"/>
                <w:lang w:eastAsia="zh-CN"/>
              </w:rPr>
              <w:t xml:space="preserve"> (age) </w:t>
            </w:r>
            <w:r w:rsidR="0019642A">
              <w:rPr>
                <w:rFonts w:ascii="Garamond" w:eastAsia="方正姚体" w:hAnsi="Garamond" w:cs="Times New Roman"/>
                <w:color w:val="FFFFFF"/>
                <w:sz w:val="20"/>
                <w:szCs w:val="20"/>
                <w:lang w:eastAsia="zh-CN"/>
              </w:rPr>
              <w:t>for</w:t>
            </w:r>
            <w:r>
              <w:rPr>
                <w:rFonts w:ascii="Garamond" w:eastAsia="方正姚体" w:hAnsi="Garamond" w:cs="Times New Roman"/>
                <w:color w:val="FFFFFF"/>
                <w:sz w:val="20"/>
                <w:szCs w:val="20"/>
                <w:lang w:eastAsia="zh-CN"/>
              </w:rPr>
              <w:t xml:space="preserve"> visit</w:t>
            </w:r>
          </w:p>
        </w:tc>
        <w:tc>
          <w:tcPr>
            <w:tcW w:w="2111" w:type="dxa"/>
            <w:shd w:val="clear" w:color="auto" w:fill="1F4E79"/>
          </w:tcPr>
          <w:p w14:paraId="7A67C5B1" w14:textId="261A1D41" w:rsidR="00B320F7" w:rsidRDefault="00B320F7" w:rsidP="0019642A">
            <w:pPr>
              <w:keepNext/>
              <w:rPr>
                <w:rFonts w:ascii="Garamond" w:eastAsia="方正姚体" w:hAnsi="Garamond" w:cs="Times New Roman"/>
                <w:color w:val="FFFFFF"/>
                <w:sz w:val="20"/>
                <w:szCs w:val="20"/>
                <w:lang w:eastAsia="zh-CN"/>
              </w:rPr>
            </w:pPr>
            <w:r>
              <w:rPr>
                <w:rFonts w:ascii="Garamond" w:eastAsia="方正姚体" w:hAnsi="Garamond" w:cs="Times New Roman"/>
                <w:color w:val="FFFFFF"/>
                <w:sz w:val="20"/>
                <w:szCs w:val="20"/>
                <w:lang w:eastAsia="zh-CN"/>
              </w:rPr>
              <w:t>RI Schedule Vaccines for this visit</w:t>
            </w:r>
          </w:p>
        </w:tc>
        <w:tc>
          <w:tcPr>
            <w:tcW w:w="2428" w:type="dxa"/>
            <w:shd w:val="clear" w:color="auto" w:fill="1F4E79"/>
            <w:hideMark/>
          </w:tcPr>
          <w:p w14:paraId="4B10333C" w14:textId="6967FC7F" w:rsidR="00B320F7" w:rsidRPr="00222572" w:rsidRDefault="00B320F7" w:rsidP="0019642A">
            <w:pPr>
              <w:keepNext/>
              <w:rPr>
                <w:rFonts w:ascii="Garamond" w:eastAsia="方正姚体" w:hAnsi="Garamond" w:cs="Times New Roman"/>
                <w:color w:val="FFFFFF"/>
                <w:sz w:val="20"/>
                <w:szCs w:val="20"/>
                <w:lang w:eastAsia="zh-CN"/>
              </w:rPr>
            </w:pPr>
            <w:r>
              <w:rPr>
                <w:rFonts w:ascii="Garamond" w:eastAsia="方正姚体" w:hAnsi="Garamond" w:cs="Times New Roman"/>
                <w:color w:val="FFFFFF"/>
                <w:sz w:val="20"/>
                <w:szCs w:val="20"/>
                <w:lang w:eastAsia="zh-CN"/>
              </w:rPr>
              <w:t>Directly Incentivized</w:t>
            </w:r>
          </w:p>
        </w:tc>
        <w:tc>
          <w:tcPr>
            <w:tcW w:w="2497" w:type="dxa"/>
            <w:shd w:val="clear" w:color="auto" w:fill="1F4E79"/>
            <w:hideMark/>
          </w:tcPr>
          <w:p w14:paraId="478A5FFC" w14:textId="3691FC43" w:rsidR="00B320F7" w:rsidRPr="00222572" w:rsidRDefault="00B320F7" w:rsidP="0019642A">
            <w:pPr>
              <w:keepNext/>
              <w:rPr>
                <w:rFonts w:ascii="Garamond" w:eastAsia="方正姚体" w:hAnsi="Garamond" w:cs="Times New Roman"/>
                <w:color w:val="FFFFFF"/>
                <w:sz w:val="20"/>
                <w:szCs w:val="20"/>
                <w:lang w:eastAsia="zh-CN"/>
              </w:rPr>
            </w:pPr>
            <w:r>
              <w:rPr>
                <w:rFonts w:ascii="Garamond" w:eastAsia="方正姚体" w:hAnsi="Garamond" w:cs="Times New Roman"/>
                <w:color w:val="FFFFFF"/>
                <w:sz w:val="20"/>
                <w:szCs w:val="20"/>
                <w:lang w:eastAsia="zh-CN"/>
              </w:rPr>
              <w:t>Indirectly Incentivized</w:t>
            </w:r>
          </w:p>
        </w:tc>
      </w:tr>
      <w:tr w:rsidR="00B320F7" w:rsidRPr="00367E01" w14:paraId="512CB4B5" w14:textId="77777777" w:rsidTr="00B320F7">
        <w:trPr>
          <w:trHeight w:val="142"/>
        </w:trPr>
        <w:tc>
          <w:tcPr>
            <w:tcW w:w="2314" w:type="dxa"/>
          </w:tcPr>
          <w:p w14:paraId="34E7A3E3" w14:textId="77777777" w:rsidR="00B320F7" w:rsidRDefault="00B320F7" w:rsidP="0019642A">
            <w:pPr>
              <w:keepNext/>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At birth, or as close as possible</w:t>
            </w:r>
          </w:p>
          <w:p w14:paraId="3587106F" w14:textId="77777777" w:rsidR="00B320F7" w:rsidRDefault="00B320F7" w:rsidP="0019642A">
            <w:pPr>
              <w:keepNext/>
              <w:rPr>
                <w:rFonts w:ascii="Garamond" w:eastAsia="方正姚体" w:hAnsi="Garamond" w:cs="Times New Roman"/>
                <w:sz w:val="20"/>
                <w:szCs w:val="20"/>
                <w:lang w:eastAsia="zh-CN"/>
              </w:rPr>
            </w:pPr>
          </w:p>
          <w:p w14:paraId="198E4B6B" w14:textId="77777777" w:rsidR="00B320F7" w:rsidRDefault="00B320F7" w:rsidP="0019642A">
            <w:pPr>
              <w:keepNext/>
              <w:rPr>
                <w:rFonts w:ascii="Garamond" w:eastAsia="方正姚体" w:hAnsi="Garamond" w:cs="Times New Roman"/>
                <w:sz w:val="20"/>
                <w:szCs w:val="20"/>
                <w:lang w:eastAsia="zh-CN"/>
              </w:rPr>
            </w:pPr>
          </w:p>
          <w:p w14:paraId="02EFFA3A" w14:textId="77777777" w:rsidR="00B320F7" w:rsidRPr="00222572"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6 weeks</w:t>
            </w:r>
          </w:p>
        </w:tc>
        <w:tc>
          <w:tcPr>
            <w:tcW w:w="2111" w:type="dxa"/>
          </w:tcPr>
          <w:p w14:paraId="4D908820" w14:textId="77777777" w:rsidR="00B320F7" w:rsidRDefault="00B320F7" w:rsidP="0019642A">
            <w:pPr>
              <w:keepNext/>
              <w:rPr>
                <w:rFonts w:ascii="Garamond" w:eastAsia="方正姚体" w:hAnsi="Garamond" w:cs="Times New Roman"/>
                <w:sz w:val="20"/>
                <w:szCs w:val="20"/>
                <w:lang w:val="es-US" w:eastAsia="zh-CN"/>
              </w:rPr>
            </w:pPr>
            <w:r>
              <w:rPr>
                <w:rFonts w:ascii="Garamond" w:eastAsia="方正姚体" w:hAnsi="Garamond" w:cs="Times New Roman"/>
                <w:sz w:val="20"/>
                <w:szCs w:val="20"/>
                <w:lang w:eastAsia="zh-CN"/>
              </w:rPr>
              <w:t xml:space="preserve">BCG, </w:t>
            </w:r>
            <w:r w:rsidRPr="00367E01">
              <w:rPr>
                <w:rFonts w:ascii="Garamond" w:eastAsia="方正姚体" w:hAnsi="Garamond" w:cs="Times New Roman"/>
                <w:sz w:val="20"/>
                <w:szCs w:val="20"/>
                <w:lang w:val="es-US" w:eastAsia="zh-CN"/>
              </w:rPr>
              <w:t xml:space="preserve">Hepatitis B </w:t>
            </w:r>
            <w:proofErr w:type="spellStart"/>
            <w:r w:rsidRPr="00367E01">
              <w:rPr>
                <w:rFonts w:ascii="Garamond" w:eastAsia="方正姚体" w:hAnsi="Garamond" w:cs="Times New Roman"/>
                <w:sz w:val="20"/>
                <w:szCs w:val="20"/>
                <w:lang w:val="es-US" w:eastAsia="zh-CN"/>
              </w:rPr>
              <w:t>Vaccine</w:t>
            </w:r>
            <w:proofErr w:type="spellEnd"/>
            <w:r w:rsidRPr="00367E01">
              <w:rPr>
                <w:rFonts w:ascii="Garamond" w:eastAsia="方正姚体" w:hAnsi="Garamond" w:cs="Times New Roman"/>
                <w:sz w:val="20"/>
                <w:szCs w:val="20"/>
                <w:lang w:val="es-US" w:eastAsia="zh-CN"/>
              </w:rPr>
              <w:t xml:space="preserve">, Oral Polio </w:t>
            </w:r>
            <w:proofErr w:type="spellStart"/>
            <w:r w:rsidRPr="00367E01">
              <w:rPr>
                <w:rFonts w:ascii="Garamond" w:eastAsia="方正姚体" w:hAnsi="Garamond" w:cs="Times New Roman"/>
                <w:sz w:val="20"/>
                <w:szCs w:val="20"/>
                <w:lang w:val="es-US" w:eastAsia="zh-CN"/>
              </w:rPr>
              <w:t>Va</w:t>
            </w:r>
            <w:r>
              <w:rPr>
                <w:rFonts w:ascii="Garamond" w:eastAsia="方正姚体" w:hAnsi="Garamond" w:cs="Times New Roman"/>
                <w:sz w:val="20"/>
                <w:szCs w:val="20"/>
                <w:lang w:val="es-US" w:eastAsia="zh-CN"/>
              </w:rPr>
              <w:t>ccine</w:t>
            </w:r>
            <w:proofErr w:type="spellEnd"/>
            <w:r>
              <w:rPr>
                <w:rFonts w:ascii="Garamond" w:eastAsia="方正姚体" w:hAnsi="Garamond" w:cs="Times New Roman"/>
                <w:sz w:val="20"/>
                <w:szCs w:val="20"/>
                <w:lang w:val="es-US" w:eastAsia="zh-CN"/>
              </w:rPr>
              <w:t xml:space="preserve"> (OPV) 0</w:t>
            </w:r>
          </w:p>
          <w:p w14:paraId="232A516B" w14:textId="77777777" w:rsidR="00B320F7" w:rsidRDefault="00B320F7" w:rsidP="0019642A">
            <w:pPr>
              <w:keepNext/>
              <w:rPr>
                <w:rFonts w:ascii="Garamond" w:eastAsia="方正姚体" w:hAnsi="Garamond" w:cs="Times New Roman"/>
                <w:sz w:val="20"/>
                <w:szCs w:val="20"/>
                <w:lang w:eastAsia="zh-CN"/>
              </w:rPr>
            </w:pPr>
          </w:p>
          <w:p w14:paraId="07171AF6" w14:textId="1E7A59DE" w:rsidR="00B320F7" w:rsidRPr="00222572"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 xml:space="preserve">PENTA 1, PCV 1, </w:t>
            </w:r>
            <w:r>
              <w:rPr>
                <w:rFonts w:ascii="Garamond" w:eastAsia="方正姚体" w:hAnsi="Garamond" w:cs="Times New Roman"/>
                <w:sz w:val="20"/>
                <w:szCs w:val="20"/>
                <w:lang w:val="es-US" w:eastAsia="zh-CN"/>
              </w:rPr>
              <w:t>OPV 1</w:t>
            </w:r>
            <w:r>
              <w:rPr>
                <w:rFonts w:ascii="Garamond" w:eastAsia="方正姚体" w:hAnsi="Garamond" w:cs="Times New Roman"/>
                <w:sz w:val="20"/>
                <w:szCs w:val="20"/>
                <w:lang w:eastAsia="zh-CN"/>
              </w:rPr>
              <w:t>, Rotavirus 1</w:t>
            </w:r>
          </w:p>
        </w:tc>
        <w:tc>
          <w:tcPr>
            <w:tcW w:w="2428" w:type="dxa"/>
            <w:hideMark/>
          </w:tcPr>
          <w:p w14:paraId="4B5F38F2" w14:textId="7A1808D0" w:rsidR="00B320F7" w:rsidRDefault="00B320F7" w:rsidP="0019642A">
            <w:pPr>
              <w:keepNext/>
              <w:rPr>
                <w:rFonts w:ascii="Garamond" w:eastAsia="方正姚体" w:hAnsi="Garamond" w:cs="Times New Roman"/>
                <w:sz w:val="20"/>
                <w:szCs w:val="20"/>
                <w:lang w:eastAsia="zh-CN"/>
              </w:rPr>
            </w:pPr>
            <w:r w:rsidRPr="00222572">
              <w:rPr>
                <w:rFonts w:ascii="Garamond" w:eastAsia="方正姚体" w:hAnsi="Garamond" w:cs="Times New Roman"/>
                <w:sz w:val="20"/>
                <w:szCs w:val="20"/>
                <w:lang w:eastAsia="zh-CN"/>
              </w:rPr>
              <w:t>BCG</w:t>
            </w:r>
          </w:p>
          <w:p w14:paraId="1F186666" w14:textId="77777777" w:rsidR="00B320F7" w:rsidRDefault="00B320F7" w:rsidP="0019642A">
            <w:pPr>
              <w:keepNext/>
              <w:rPr>
                <w:rFonts w:ascii="Garamond" w:eastAsia="方正姚体" w:hAnsi="Garamond" w:cs="Times New Roman"/>
                <w:color w:val="222222"/>
                <w:sz w:val="20"/>
                <w:szCs w:val="20"/>
                <w:lang w:eastAsia="zh-CN"/>
              </w:rPr>
            </w:pPr>
          </w:p>
          <w:p w14:paraId="061D104E" w14:textId="77777777" w:rsidR="00B320F7" w:rsidRDefault="00B320F7" w:rsidP="0019642A">
            <w:pPr>
              <w:keepNext/>
              <w:rPr>
                <w:rFonts w:ascii="Garamond" w:eastAsia="方正姚体" w:hAnsi="Garamond" w:cs="Times New Roman"/>
                <w:color w:val="222222"/>
                <w:sz w:val="20"/>
                <w:szCs w:val="20"/>
                <w:lang w:eastAsia="zh-CN"/>
              </w:rPr>
            </w:pPr>
          </w:p>
          <w:p w14:paraId="667215B1" w14:textId="77777777" w:rsidR="00B320F7" w:rsidRDefault="00B320F7" w:rsidP="0019642A">
            <w:pPr>
              <w:keepNext/>
              <w:rPr>
                <w:rFonts w:ascii="Garamond" w:eastAsia="方正姚体" w:hAnsi="Garamond" w:cs="Times New Roman"/>
                <w:sz w:val="20"/>
                <w:szCs w:val="20"/>
                <w:lang w:eastAsia="zh-CN"/>
              </w:rPr>
            </w:pPr>
          </w:p>
          <w:p w14:paraId="24072B1F" w14:textId="2EBB672E" w:rsidR="00B320F7" w:rsidRPr="00222572" w:rsidRDefault="00B320F7" w:rsidP="0019642A">
            <w:pPr>
              <w:keepNext/>
              <w:rPr>
                <w:rFonts w:ascii="Garamond" w:eastAsia="方正姚体" w:hAnsi="Garamond" w:cs="Times New Roman"/>
                <w:color w:val="222222"/>
                <w:sz w:val="20"/>
                <w:szCs w:val="20"/>
                <w:lang w:eastAsia="zh-CN"/>
              </w:rPr>
            </w:pPr>
            <w:r>
              <w:rPr>
                <w:rFonts w:ascii="Garamond" w:eastAsia="方正姚体" w:hAnsi="Garamond" w:cs="Times New Roman"/>
                <w:sz w:val="20"/>
                <w:szCs w:val="20"/>
                <w:lang w:eastAsia="zh-CN"/>
              </w:rPr>
              <w:t>PENTA 1, PCV 1</w:t>
            </w:r>
          </w:p>
        </w:tc>
        <w:tc>
          <w:tcPr>
            <w:tcW w:w="2497" w:type="dxa"/>
            <w:hideMark/>
          </w:tcPr>
          <w:p w14:paraId="420E133D" w14:textId="77777777" w:rsidR="00B320F7" w:rsidRDefault="00B320F7" w:rsidP="0019642A">
            <w:pPr>
              <w:keepNext/>
              <w:rPr>
                <w:rFonts w:ascii="Garamond" w:eastAsia="方正姚体" w:hAnsi="Garamond" w:cs="Times New Roman"/>
                <w:sz w:val="20"/>
                <w:szCs w:val="20"/>
                <w:lang w:val="es-US" w:eastAsia="zh-CN"/>
              </w:rPr>
            </w:pPr>
            <w:r w:rsidRPr="00367E01">
              <w:rPr>
                <w:rFonts w:ascii="Garamond" w:eastAsia="方正姚体" w:hAnsi="Garamond" w:cs="Times New Roman"/>
                <w:sz w:val="20"/>
                <w:szCs w:val="20"/>
                <w:lang w:val="es-US" w:eastAsia="zh-CN"/>
              </w:rPr>
              <w:t xml:space="preserve">Hepatitis B </w:t>
            </w:r>
            <w:proofErr w:type="spellStart"/>
            <w:r w:rsidRPr="00367E01">
              <w:rPr>
                <w:rFonts w:ascii="Garamond" w:eastAsia="方正姚体" w:hAnsi="Garamond" w:cs="Times New Roman"/>
                <w:sz w:val="20"/>
                <w:szCs w:val="20"/>
                <w:lang w:val="es-US" w:eastAsia="zh-CN"/>
              </w:rPr>
              <w:t>Vaccine</w:t>
            </w:r>
            <w:proofErr w:type="spellEnd"/>
            <w:r w:rsidRPr="00367E01">
              <w:rPr>
                <w:rFonts w:ascii="Garamond" w:eastAsia="方正姚体" w:hAnsi="Garamond" w:cs="Times New Roman"/>
                <w:sz w:val="20"/>
                <w:szCs w:val="20"/>
                <w:lang w:val="es-US" w:eastAsia="zh-CN"/>
              </w:rPr>
              <w:t xml:space="preserve">, Oral Polio </w:t>
            </w:r>
            <w:proofErr w:type="spellStart"/>
            <w:r w:rsidRPr="00367E01">
              <w:rPr>
                <w:rFonts w:ascii="Garamond" w:eastAsia="方正姚体" w:hAnsi="Garamond" w:cs="Times New Roman"/>
                <w:sz w:val="20"/>
                <w:szCs w:val="20"/>
                <w:lang w:val="es-US" w:eastAsia="zh-CN"/>
              </w:rPr>
              <w:t>Va</w:t>
            </w:r>
            <w:r>
              <w:rPr>
                <w:rFonts w:ascii="Garamond" w:eastAsia="方正姚体" w:hAnsi="Garamond" w:cs="Times New Roman"/>
                <w:sz w:val="20"/>
                <w:szCs w:val="20"/>
                <w:lang w:val="es-US" w:eastAsia="zh-CN"/>
              </w:rPr>
              <w:t>ccine</w:t>
            </w:r>
            <w:proofErr w:type="spellEnd"/>
            <w:r>
              <w:rPr>
                <w:rFonts w:ascii="Garamond" w:eastAsia="方正姚体" w:hAnsi="Garamond" w:cs="Times New Roman"/>
                <w:sz w:val="20"/>
                <w:szCs w:val="20"/>
                <w:lang w:val="es-US" w:eastAsia="zh-CN"/>
              </w:rPr>
              <w:t xml:space="preserve"> (OPV) 0</w:t>
            </w:r>
          </w:p>
          <w:p w14:paraId="3104CFDF" w14:textId="77777777" w:rsidR="00B320F7" w:rsidRDefault="00B320F7" w:rsidP="0019642A">
            <w:pPr>
              <w:keepNext/>
              <w:rPr>
                <w:rFonts w:ascii="Garamond" w:eastAsia="方正姚体" w:hAnsi="Garamond" w:cs="Times New Roman"/>
                <w:color w:val="222222"/>
                <w:sz w:val="20"/>
                <w:szCs w:val="20"/>
                <w:lang w:val="es-US" w:eastAsia="zh-CN"/>
              </w:rPr>
            </w:pPr>
          </w:p>
          <w:p w14:paraId="2873A88F" w14:textId="77777777" w:rsidR="00B320F7" w:rsidRDefault="00B320F7" w:rsidP="0019642A">
            <w:pPr>
              <w:keepNext/>
              <w:rPr>
                <w:rFonts w:ascii="Garamond" w:eastAsia="方正姚体" w:hAnsi="Garamond" w:cs="Times New Roman"/>
                <w:sz w:val="20"/>
                <w:szCs w:val="20"/>
                <w:lang w:val="es-US" w:eastAsia="zh-CN"/>
              </w:rPr>
            </w:pPr>
          </w:p>
          <w:p w14:paraId="20A76725" w14:textId="41B71A2B" w:rsidR="00B320F7" w:rsidRPr="00367E01" w:rsidRDefault="00B320F7" w:rsidP="0019642A">
            <w:pPr>
              <w:keepNext/>
              <w:rPr>
                <w:rFonts w:ascii="Garamond" w:eastAsia="方正姚体" w:hAnsi="Garamond" w:cs="Times New Roman"/>
                <w:color w:val="222222"/>
                <w:sz w:val="20"/>
                <w:szCs w:val="20"/>
                <w:lang w:val="es-US" w:eastAsia="zh-CN"/>
              </w:rPr>
            </w:pPr>
            <w:r>
              <w:rPr>
                <w:rFonts w:ascii="Garamond" w:eastAsia="方正姚体" w:hAnsi="Garamond" w:cs="Times New Roman"/>
                <w:sz w:val="20"/>
                <w:szCs w:val="20"/>
                <w:lang w:val="es-US" w:eastAsia="zh-CN"/>
              </w:rPr>
              <w:t>OPV 1</w:t>
            </w:r>
            <w:r>
              <w:rPr>
                <w:rFonts w:ascii="Garamond" w:eastAsia="方正姚体" w:hAnsi="Garamond" w:cs="Times New Roman"/>
                <w:sz w:val="20"/>
                <w:szCs w:val="20"/>
                <w:lang w:eastAsia="zh-CN"/>
              </w:rPr>
              <w:t>, Rotavirus 1</w:t>
            </w:r>
          </w:p>
        </w:tc>
      </w:tr>
      <w:tr w:rsidR="00B320F7" w:rsidRPr="00222572" w14:paraId="15BFB73F" w14:textId="77777777" w:rsidTr="00B320F7">
        <w:trPr>
          <w:trHeight w:val="315"/>
        </w:trPr>
        <w:tc>
          <w:tcPr>
            <w:tcW w:w="2314" w:type="dxa"/>
          </w:tcPr>
          <w:p w14:paraId="3B1D5B6C" w14:textId="77777777" w:rsidR="00B320F7" w:rsidRDefault="00B320F7" w:rsidP="0019642A">
            <w:pPr>
              <w:keepNext/>
              <w:rPr>
                <w:rFonts w:ascii="Garamond" w:eastAsia="方正姚体" w:hAnsi="Garamond" w:cs="Times New Roman"/>
                <w:sz w:val="20"/>
                <w:szCs w:val="20"/>
                <w:lang w:eastAsia="zh-CN"/>
              </w:rPr>
            </w:pPr>
          </w:p>
          <w:p w14:paraId="704905A3" w14:textId="77777777" w:rsidR="00B320F7"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10 weeks</w:t>
            </w:r>
          </w:p>
          <w:p w14:paraId="3C6A4264" w14:textId="77777777" w:rsidR="00B320F7" w:rsidRDefault="00B320F7" w:rsidP="0019642A">
            <w:pPr>
              <w:keepNext/>
              <w:rPr>
                <w:rFonts w:ascii="Garamond" w:eastAsia="方正姚体" w:hAnsi="Garamond" w:cs="Times New Roman"/>
                <w:sz w:val="20"/>
                <w:szCs w:val="20"/>
                <w:lang w:eastAsia="zh-CN"/>
              </w:rPr>
            </w:pPr>
          </w:p>
          <w:p w14:paraId="0008BF70" w14:textId="77777777" w:rsidR="0087796B" w:rsidRDefault="0087796B" w:rsidP="0019642A">
            <w:pPr>
              <w:keepNext/>
              <w:rPr>
                <w:rFonts w:ascii="Garamond" w:eastAsia="方正姚体" w:hAnsi="Garamond" w:cs="Times New Roman"/>
                <w:sz w:val="20"/>
                <w:szCs w:val="20"/>
                <w:lang w:eastAsia="zh-CN"/>
              </w:rPr>
            </w:pPr>
          </w:p>
          <w:p w14:paraId="5381B9B0" w14:textId="192A1F8A" w:rsidR="00B320F7"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14 weeks</w:t>
            </w:r>
          </w:p>
          <w:p w14:paraId="32BD7A18" w14:textId="77777777" w:rsidR="00B320F7" w:rsidRDefault="00B320F7" w:rsidP="0019642A">
            <w:pPr>
              <w:keepNext/>
              <w:rPr>
                <w:rFonts w:ascii="Garamond" w:eastAsia="方正姚体" w:hAnsi="Garamond" w:cs="Times New Roman"/>
                <w:sz w:val="20"/>
                <w:szCs w:val="20"/>
                <w:lang w:eastAsia="zh-CN"/>
              </w:rPr>
            </w:pPr>
          </w:p>
          <w:p w14:paraId="7EBB97AD" w14:textId="77777777" w:rsidR="0087796B" w:rsidRDefault="0087796B" w:rsidP="0019642A">
            <w:pPr>
              <w:keepNext/>
              <w:rPr>
                <w:rFonts w:ascii="Garamond" w:eastAsia="方正姚体" w:hAnsi="Garamond" w:cs="Times New Roman"/>
                <w:sz w:val="20"/>
                <w:szCs w:val="20"/>
                <w:lang w:eastAsia="zh-CN"/>
              </w:rPr>
            </w:pPr>
          </w:p>
          <w:p w14:paraId="2A01A670" w14:textId="6157C208" w:rsidR="00B320F7" w:rsidRPr="00222572"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9 months</w:t>
            </w:r>
          </w:p>
        </w:tc>
        <w:tc>
          <w:tcPr>
            <w:tcW w:w="2111" w:type="dxa"/>
          </w:tcPr>
          <w:p w14:paraId="78877DD2" w14:textId="77777777" w:rsidR="00B320F7" w:rsidRDefault="00B320F7" w:rsidP="0019642A">
            <w:pPr>
              <w:keepNext/>
              <w:rPr>
                <w:rFonts w:ascii="Garamond" w:eastAsia="方正姚体" w:hAnsi="Garamond" w:cs="Times New Roman"/>
                <w:sz w:val="20"/>
                <w:szCs w:val="20"/>
                <w:lang w:val="es-US" w:eastAsia="zh-CN"/>
              </w:rPr>
            </w:pPr>
          </w:p>
          <w:p w14:paraId="011DC69C" w14:textId="6E58F93B" w:rsidR="00B320F7" w:rsidRPr="001B7EAF" w:rsidRDefault="00B320F7" w:rsidP="0019642A">
            <w:pPr>
              <w:keepNext/>
              <w:rPr>
                <w:rFonts w:ascii="Garamond" w:eastAsia="方正姚体" w:hAnsi="Garamond" w:cs="Times New Roman"/>
                <w:sz w:val="20"/>
                <w:szCs w:val="20"/>
                <w:lang w:val="es-US" w:eastAsia="zh-CN"/>
              </w:rPr>
            </w:pPr>
            <w:r w:rsidRPr="001B7EAF">
              <w:rPr>
                <w:rFonts w:ascii="Garamond" w:eastAsia="方正姚体" w:hAnsi="Garamond" w:cs="Times New Roman"/>
                <w:sz w:val="20"/>
                <w:szCs w:val="20"/>
                <w:lang w:val="es-US" w:eastAsia="zh-CN"/>
              </w:rPr>
              <w:t>PENTA 2, PCV 2</w:t>
            </w:r>
            <w:r>
              <w:rPr>
                <w:rFonts w:ascii="Garamond" w:eastAsia="方正姚体" w:hAnsi="Garamond" w:cs="Times New Roman"/>
                <w:sz w:val="20"/>
                <w:szCs w:val="20"/>
                <w:lang w:val="es-US" w:eastAsia="zh-CN"/>
              </w:rPr>
              <w:t>,</w:t>
            </w:r>
          </w:p>
          <w:p w14:paraId="00F2EC23" w14:textId="77777777" w:rsidR="00B320F7" w:rsidRPr="00D95096" w:rsidRDefault="00B320F7" w:rsidP="0019642A">
            <w:pPr>
              <w:keepNext/>
              <w:rPr>
                <w:rFonts w:ascii="Garamond" w:eastAsia="方正姚体" w:hAnsi="Garamond" w:cs="Times New Roman"/>
                <w:sz w:val="20"/>
                <w:szCs w:val="20"/>
                <w:lang w:val="es-US" w:eastAsia="zh-CN"/>
              </w:rPr>
            </w:pPr>
            <w:r w:rsidRPr="00D95096">
              <w:rPr>
                <w:rFonts w:ascii="Garamond" w:eastAsia="方正姚体" w:hAnsi="Garamond" w:cs="Times New Roman"/>
                <w:sz w:val="20"/>
                <w:szCs w:val="20"/>
                <w:lang w:val="es-US" w:eastAsia="zh-CN"/>
              </w:rPr>
              <w:t>OPV 2, Rotavirus 2</w:t>
            </w:r>
          </w:p>
          <w:p w14:paraId="208B053F" w14:textId="77777777" w:rsidR="00B320F7" w:rsidRDefault="00B320F7" w:rsidP="0019642A">
            <w:pPr>
              <w:keepNext/>
              <w:rPr>
                <w:rFonts w:ascii="Garamond" w:eastAsia="方正姚体" w:hAnsi="Garamond" w:cs="Times New Roman"/>
                <w:sz w:val="20"/>
                <w:szCs w:val="20"/>
                <w:lang w:val="es-US" w:eastAsia="zh-CN"/>
              </w:rPr>
            </w:pPr>
          </w:p>
          <w:p w14:paraId="0D18635D" w14:textId="7BA8A113" w:rsidR="00B320F7" w:rsidRPr="00D95096" w:rsidRDefault="00B320F7" w:rsidP="0019642A">
            <w:pPr>
              <w:keepNext/>
              <w:rPr>
                <w:rFonts w:ascii="Garamond" w:eastAsia="方正姚体" w:hAnsi="Garamond" w:cs="Times New Roman"/>
                <w:sz w:val="20"/>
                <w:szCs w:val="20"/>
                <w:lang w:val="es-US" w:eastAsia="zh-CN"/>
              </w:rPr>
            </w:pPr>
            <w:r w:rsidRPr="00D95096">
              <w:rPr>
                <w:rFonts w:ascii="Garamond" w:eastAsia="方正姚体" w:hAnsi="Garamond" w:cs="Times New Roman"/>
                <w:sz w:val="20"/>
                <w:szCs w:val="20"/>
                <w:lang w:val="es-US" w:eastAsia="zh-CN"/>
              </w:rPr>
              <w:t>PENTA 3, PCV3,</w:t>
            </w:r>
          </w:p>
          <w:p w14:paraId="1055045A" w14:textId="77777777" w:rsidR="00B320F7"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OPV 3</w:t>
            </w:r>
          </w:p>
          <w:p w14:paraId="6A15CC9E" w14:textId="77777777" w:rsidR="0087796B" w:rsidRDefault="0087796B" w:rsidP="0019642A">
            <w:pPr>
              <w:keepNext/>
              <w:rPr>
                <w:rFonts w:ascii="Garamond" w:eastAsia="方正姚体" w:hAnsi="Garamond" w:cs="Times New Roman"/>
                <w:sz w:val="20"/>
                <w:szCs w:val="20"/>
                <w:lang w:eastAsia="zh-CN"/>
              </w:rPr>
            </w:pPr>
          </w:p>
          <w:p w14:paraId="5E315B23" w14:textId="303E88E0" w:rsidR="00B320F7" w:rsidRPr="00B320F7" w:rsidRDefault="00B320F7" w:rsidP="0019642A">
            <w:pPr>
              <w:keepNext/>
              <w:rPr>
                <w:rFonts w:ascii="Garamond" w:eastAsia="方正姚体" w:hAnsi="Garamond" w:cs="Times New Roman"/>
                <w:sz w:val="20"/>
                <w:szCs w:val="20"/>
                <w:lang w:eastAsia="zh-CN"/>
              </w:rPr>
            </w:pPr>
            <w:r w:rsidRPr="00B320F7">
              <w:rPr>
                <w:rFonts w:ascii="Garamond" w:eastAsia="方正姚体" w:hAnsi="Garamond" w:cs="Times New Roman"/>
                <w:sz w:val="20"/>
                <w:szCs w:val="20"/>
                <w:lang w:eastAsia="zh-CN"/>
              </w:rPr>
              <w:t>Measles,</w:t>
            </w:r>
            <w:r>
              <w:rPr>
                <w:rFonts w:ascii="Garamond" w:eastAsia="方正姚体" w:hAnsi="Garamond" w:cs="Times New Roman"/>
                <w:sz w:val="20"/>
                <w:szCs w:val="20"/>
                <w:lang w:eastAsia="zh-CN"/>
              </w:rPr>
              <w:t xml:space="preserve"> Yellow Fever</w:t>
            </w:r>
          </w:p>
        </w:tc>
        <w:tc>
          <w:tcPr>
            <w:tcW w:w="2428" w:type="dxa"/>
          </w:tcPr>
          <w:p w14:paraId="1C5AE79D" w14:textId="1C720B89" w:rsidR="00B320F7" w:rsidRPr="00D95096" w:rsidRDefault="00B320F7" w:rsidP="0019642A">
            <w:pPr>
              <w:keepNext/>
              <w:rPr>
                <w:rFonts w:ascii="Garamond" w:eastAsia="方正姚体" w:hAnsi="Garamond" w:cs="Times New Roman"/>
                <w:sz w:val="20"/>
                <w:szCs w:val="20"/>
                <w:lang w:val="es-US" w:eastAsia="zh-CN"/>
              </w:rPr>
            </w:pPr>
          </w:p>
          <w:p w14:paraId="66742C1A" w14:textId="77777777" w:rsidR="00B320F7" w:rsidRPr="001B7EAF" w:rsidRDefault="00B320F7" w:rsidP="0019642A">
            <w:pPr>
              <w:keepNext/>
              <w:rPr>
                <w:rFonts w:ascii="Garamond" w:eastAsia="方正姚体" w:hAnsi="Garamond" w:cs="Times New Roman"/>
                <w:sz w:val="20"/>
                <w:szCs w:val="20"/>
                <w:lang w:val="es-US" w:eastAsia="zh-CN"/>
              </w:rPr>
            </w:pPr>
            <w:r w:rsidRPr="001B7EAF">
              <w:rPr>
                <w:rFonts w:ascii="Garamond" w:eastAsia="方正姚体" w:hAnsi="Garamond" w:cs="Times New Roman"/>
                <w:sz w:val="20"/>
                <w:szCs w:val="20"/>
                <w:lang w:val="es-US" w:eastAsia="zh-CN"/>
              </w:rPr>
              <w:t>PENTA 2, PCV 2</w:t>
            </w:r>
          </w:p>
          <w:p w14:paraId="11CCD8E2" w14:textId="77777777" w:rsidR="00B320F7" w:rsidRPr="001B7EAF" w:rsidRDefault="00B320F7" w:rsidP="0019642A">
            <w:pPr>
              <w:keepNext/>
              <w:rPr>
                <w:rFonts w:ascii="Garamond" w:eastAsia="方正姚体" w:hAnsi="Garamond" w:cs="Times New Roman"/>
                <w:sz w:val="20"/>
                <w:szCs w:val="20"/>
                <w:lang w:val="es-US" w:eastAsia="zh-CN"/>
              </w:rPr>
            </w:pPr>
          </w:p>
          <w:p w14:paraId="1422E14E" w14:textId="77777777" w:rsidR="0087796B" w:rsidRDefault="0087796B" w:rsidP="0019642A">
            <w:pPr>
              <w:keepNext/>
              <w:rPr>
                <w:rFonts w:ascii="Garamond" w:eastAsia="方正姚体" w:hAnsi="Garamond" w:cs="Times New Roman"/>
                <w:sz w:val="20"/>
                <w:szCs w:val="20"/>
                <w:lang w:val="es-US" w:eastAsia="zh-CN"/>
              </w:rPr>
            </w:pPr>
          </w:p>
          <w:p w14:paraId="7AA91E1B" w14:textId="362A76B8" w:rsidR="00B320F7" w:rsidRPr="001B7EAF" w:rsidRDefault="00B320F7" w:rsidP="0019642A">
            <w:pPr>
              <w:keepNext/>
              <w:rPr>
                <w:rFonts w:ascii="Garamond" w:eastAsia="方正姚体" w:hAnsi="Garamond" w:cs="Times New Roman"/>
                <w:sz w:val="20"/>
                <w:szCs w:val="20"/>
                <w:lang w:val="es-US" w:eastAsia="zh-CN"/>
              </w:rPr>
            </w:pPr>
            <w:r w:rsidRPr="001B7EAF">
              <w:rPr>
                <w:rFonts w:ascii="Garamond" w:eastAsia="方正姚体" w:hAnsi="Garamond" w:cs="Times New Roman"/>
                <w:sz w:val="20"/>
                <w:szCs w:val="20"/>
                <w:lang w:val="es-US" w:eastAsia="zh-CN"/>
              </w:rPr>
              <w:t>PENTA 3, PCV</w:t>
            </w:r>
            <w:r w:rsidR="00642006">
              <w:rPr>
                <w:rFonts w:ascii="Garamond" w:eastAsia="方正姚体" w:hAnsi="Garamond" w:cs="Times New Roman"/>
                <w:sz w:val="20"/>
                <w:szCs w:val="20"/>
                <w:lang w:val="es-US" w:eastAsia="zh-CN"/>
              </w:rPr>
              <w:t xml:space="preserve"> </w:t>
            </w:r>
            <w:r w:rsidRPr="001B7EAF">
              <w:rPr>
                <w:rFonts w:ascii="Garamond" w:eastAsia="方正姚体" w:hAnsi="Garamond" w:cs="Times New Roman"/>
                <w:sz w:val="20"/>
                <w:szCs w:val="20"/>
                <w:lang w:val="es-US" w:eastAsia="zh-CN"/>
              </w:rPr>
              <w:t>3</w:t>
            </w:r>
          </w:p>
          <w:p w14:paraId="44F4E101" w14:textId="77777777" w:rsidR="00B320F7" w:rsidRPr="001B7EAF" w:rsidRDefault="00B320F7" w:rsidP="0019642A">
            <w:pPr>
              <w:keepNext/>
              <w:rPr>
                <w:rFonts w:ascii="Garamond" w:eastAsia="方正姚体" w:hAnsi="Garamond" w:cs="Times New Roman"/>
                <w:sz w:val="20"/>
                <w:szCs w:val="20"/>
                <w:lang w:val="es-US" w:eastAsia="zh-CN"/>
              </w:rPr>
            </w:pPr>
          </w:p>
          <w:p w14:paraId="6736D720" w14:textId="77777777" w:rsidR="0087796B" w:rsidRDefault="0087796B" w:rsidP="0019642A">
            <w:pPr>
              <w:keepNext/>
              <w:rPr>
                <w:rFonts w:ascii="Garamond" w:eastAsia="方正姚体" w:hAnsi="Garamond" w:cs="Times New Roman"/>
                <w:sz w:val="20"/>
                <w:szCs w:val="20"/>
                <w:lang w:val="es-US" w:eastAsia="zh-CN"/>
              </w:rPr>
            </w:pPr>
          </w:p>
          <w:p w14:paraId="0168AC1F" w14:textId="7DB6C1D4" w:rsidR="00B320F7" w:rsidRPr="001B7EAF" w:rsidRDefault="00B320F7" w:rsidP="0019642A">
            <w:pPr>
              <w:keepNext/>
              <w:rPr>
                <w:rFonts w:ascii="Garamond" w:eastAsia="方正姚体" w:hAnsi="Garamond" w:cs="Times New Roman"/>
                <w:sz w:val="20"/>
                <w:szCs w:val="20"/>
                <w:lang w:val="es-US" w:eastAsia="zh-CN"/>
              </w:rPr>
            </w:pPr>
            <w:proofErr w:type="spellStart"/>
            <w:r w:rsidRPr="001B7EAF">
              <w:rPr>
                <w:rFonts w:ascii="Garamond" w:eastAsia="方正姚体" w:hAnsi="Garamond" w:cs="Times New Roman"/>
                <w:sz w:val="20"/>
                <w:szCs w:val="20"/>
                <w:lang w:val="es-US" w:eastAsia="zh-CN"/>
              </w:rPr>
              <w:t>Measles</w:t>
            </w:r>
            <w:proofErr w:type="spellEnd"/>
          </w:p>
        </w:tc>
        <w:tc>
          <w:tcPr>
            <w:tcW w:w="2497" w:type="dxa"/>
          </w:tcPr>
          <w:p w14:paraId="279FE30D" w14:textId="77777777" w:rsidR="00B320F7" w:rsidRDefault="00B320F7" w:rsidP="0019642A">
            <w:pPr>
              <w:keepNext/>
              <w:rPr>
                <w:rFonts w:ascii="Garamond" w:eastAsia="方正姚体" w:hAnsi="Garamond" w:cs="Times New Roman"/>
                <w:sz w:val="20"/>
                <w:szCs w:val="20"/>
                <w:lang w:val="es-US" w:eastAsia="zh-CN"/>
              </w:rPr>
            </w:pPr>
          </w:p>
          <w:p w14:paraId="3BD62FA2" w14:textId="77777777" w:rsidR="00B320F7"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OPV 2, Rotavirus 2</w:t>
            </w:r>
          </w:p>
          <w:p w14:paraId="22EE2AE3" w14:textId="77777777" w:rsidR="00B320F7" w:rsidRDefault="00B320F7" w:rsidP="0019642A">
            <w:pPr>
              <w:keepNext/>
              <w:rPr>
                <w:rFonts w:ascii="Garamond" w:eastAsia="方正姚体" w:hAnsi="Garamond" w:cs="Times New Roman"/>
                <w:sz w:val="20"/>
                <w:szCs w:val="20"/>
                <w:lang w:eastAsia="zh-CN"/>
              </w:rPr>
            </w:pPr>
          </w:p>
          <w:p w14:paraId="51010C37" w14:textId="77777777" w:rsidR="0087796B" w:rsidRDefault="0087796B" w:rsidP="0019642A">
            <w:pPr>
              <w:keepNext/>
              <w:rPr>
                <w:rFonts w:ascii="Garamond" w:eastAsia="方正姚体" w:hAnsi="Garamond" w:cs="Times New Roman"/>
                <w:sz w:val="20"/>
                <w:szCs w:val="20"/>
                <w:lang w:eastAsia="zh-CN"/>
              </w:rPr>
            </w:pPr>
          </w:p>
          <w:p w14:paraId="25F01E22" w14:textId="6AA4D80B" w:rsidR="00B320F7"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OPV 3</w:t>
            </w:r>
          </w:p>
          <w:p w14:paraId="07C0C5C3" w14:textId="77777777" w:rsidR="00B320F7" w:rsidRDefault="00B320F7" w:rsidP="0019642A">
            <w:pPr>
              <w:keepNext/>
              <w:rPr>
                <w:rFonts w:ascii="Garamond" w:eastAsia="方正姚体" w:hAnsi="Garamond" w:cs="Times New Roman"/>
                <w:sz w:val="20"/>
                <w:szCs w:val="20"/>
                <w:lang w:eastAsia="zh-CN"/>
              </w:rPr>
            </w:pPr>
          </w:p>
          <w:p w14:paraId="04052AE6" w14:textId="77777777" w:rsidR="0087796B" w:rsidRDefault="0087796B" w:rsidP="0019642A">
            <w:pPr>
              <w:keepNext/>
              <w:rPr>
                <w:rFonts w:ascii="Garamond" w:eastAsia="方正姚体" w:hAnsi="Garamond" w:cs="Times New Roman"/>
                <w:sz w:val="20"/>
                <w:szCs w:val="20"/>
                <w:lang w:eastAsia="zh-CN"/>
              </w:rPr>
            </w:pPr>
          </w:p>
          <w:p w14:paraId="096F814A" w14:textId="3DE7E33B" w:rsidR="00B320F7" w:rsidRPr="00222572" w:rsidRDefault="00B320F7" w:rsidP="0019642A">
            <w:pPr>
              <w:keepNext/>
              <w:rPr>
                <w:rFonts w:ascii="Garamond" w:eastAsia="方正姚体" w:hAnsi="Garamond" w:cs="Times New Roman"/>
                <w:sz w:val="20"/>
                <w:szCs w:val="20"/>
                <w:lang w:eastAsia="zh-CN"/>
              </w:rPr>
            </w:pPr>
            <w:r>
              <w:rPr>
                <w:rFonts w:ascii="Garamond" w:eastAsia="方正姚体" w:hAnsi="Garamond" w:cs="Times New Roman"/>
                <w:sz w:val="20"/>
                <w:szCs w:val="20"/>
                <w:lang w:eastAsia="zh-CN"/>
              </w:rPr>
              <w:t>Yellow Fever</w:t>
            </w:r>
          </w:p>
        </w:tc>
      </w:tr>
    </w:tbl>
    <w:p w14:paraId="440791DC" w14:textId="3BCE95A5" w:rsidR="002D02BA" w:rsidRPr="002D02BA" w:rsidRDefault="002D02BA" w:rsidP="00397755">
      <w:pPr>
        <w:jc w:val="both"/>
        <w:rPr>
          <w:rFonts w:ascii="Garamond" w:hAnsi="Garamond"/>
          <w:b/>
          <w:bCs/>
          <w:i/>
          <w:iCs/>
        </w:rPr>
      </w:pPr>
    </w:p>
    <w:p w14:paraId="19858033" w14:textId="3193EDA9" w:rsidR="00017E58" w:rsidRDefault="00017E58" w:rsidP="00017E58">
      <w:pPr>
        <w:jc w:val="both"/>
        <w:rPr>
          <w:rFonts w:ascii="Garamond" w:hAnsi="Garamond"/>
        </w:rPr>
      </w:pPr>
    </w:p>
    <w:p w14:paraId="2A233028" w14:textId="77777777" w:rsidR="00017E58" w:rsidRDefault="00017E58" w:rsidP="00017E58">
      <w:pPr>
        <w:pStyle w:val="Heading2"/>
        <w:jc w:val="both"/>
        <w:rPr>
          <w:rFonts w:ascii="Garamond" w:hAnsi="Garamond"/>
          <w:sz w:val="28"/>
          <w:szCs w:val="28"/>
        </w:rPr>
      </w:pPr>
      <w:r>
        <w:rPr>
          <w:rFonts w:ascii="Garamond" w:hAnsi="Garamond"/>
          <w:sz w:val="28"/>
          <w:szCs w:val="28"/>
        </w:rPr>
        <w:t>Evaluation Design</w:t>
      </w:r>
    </w:p>
    <w:p w14:paraId="13112AAA" w14:textId="19B5DCFC" w:rsidR="00017E58" w:rsidRDefault="00017E58" w:rsidP="00017E58">
      <w:pPr>
        <w:jc w:val="both"/>
        <w:rPr>
          <w:rFonts w:ascii="Garamond" w:hAnsi="Garamond"/>
        </w:rPr>
      </w:pPr>
    </w:p>
    <w:p w14:paraId="70EB6B43" w14:textId="71AEFC8B" w:rsidR="00017E58" w:rsidRPr="00017E58" w:rsidRDefault="00017E58" w:rsidP="00017E58">
      <w:pPr>
        <w:pStyle w:val="Heading4"/>
        <w:spacing w:line="259" w:lineRule="auto"/>
        <w:jc w:val="both"/>
        <w:rPr>
          <w:rFonts w:ascii="Garamond" w:hAnsi="Garamond"/>
          <w:b/>
          <w:color w:val="auto"/>
        </w:rPr>
      </w:pPr>
      <w:r>
        <w:rPr>
          <w:rFonts w:ascii="Garamond" w:hAnsi="Garamond"/>
          <w:b/>
          <w:color w:val="auto"/>
        </w:rPr>
        <w:t>Decision to Inform</w:t>
      </w:r>
    </w:p>
    <w:p w14:paraId="51B7A686" w14:textId="134357A1" w:rsidR="00486B85" w:rsidRDefault="0088187F" w:rsidP="00017E58">
      <w:pPr>
        <w:jc w:val="both"/>
        <w:rPr>
          <w:rFonts w:ascii="Garamond" w:hAnsi="Garamond"/>
        </w:rPr>
      </w:pPr>
      <w:proofErr w:type="spellStart"/>
      <w:r>
        <w:rPr>
          <w:rFonts w:ascii="Garamond" w:hAnsi="Garamond"/>
        </w:rPr>
        <w:t>IDinsight</w:t>
      </w:r>
      <w:proofErr w:type="spellEnd"/>
      <w:r>
        <w:rPr>
          <w:rFonts w:ascii="Garamond" w:hAnsi="Garamond"/>
        </w:rPr>
        <w:t xml:space="preserve"> designed th</w:t>
      </w:r>
      <w:r w:rsidR="009F51C1">
        <w:rPr>
          <w:rFonts w:ascii="Garamond" w:hAnsi="Garamond"/>
        </w:rPr>
        <w:t>is impact</w:t>
      </w:r>
      <w:r>
        <w:rPr>
          <w:rFonts w:ascii="Garamond" w:hAnsi="Garamond"/>
        </w:rPr>
        <w:t xml:space="preserve"> </w:t>
      </w:r>
      <w:r w:rsidR="0087708C">
        <w:rPr>
          <w:rFonts w:ascii="Garamond" w:hAnsi="Garamond"/>
        </w:rPr>
        <w:t>evaluation</w:t>
      </w:r>
      <w:r>
        <w:rPr>
          <w:rFonts w:ascii="Garamond" w:hAnsi="Garamond"/>
        </w:rPr>
        <w:t xml:space="preserve"> to inform </w:t>
      </w:r>
      <w:proofErr w:type="spellStart"/>
      <w:r>
        <w:rPr>
          <w:rFonts w:ascii="Garamond" w:hAnsi="Garamond"/>
        </w:rPr>
        <w:t>GiveWell’s</w:t>
      </w:r>
      <w:proofErr w:type="spellEnd"/>
      <w:r>
        <w:rPr>
          <w:rFonts w:ascii="Garamond" w:hAnsi="Garamond"/>
        </w:rPr>
        <w:t xml:space="preserve"> decision on whether to </w:t>
      </w:r>
      <w:r w:rsidR="004053DA">
        <w:rPr>
          <w:rFonts w:ascii="Garamond" w:hAnsi="Garamond"/>
        </w:rPr>
        <w:t xml:space="preserve">recommend </w:t>
      </w:r>
      <w:r>
        <w:rPr>
          <w:rFonts w:ascii="Garamond" w:hAnsi="Garamond"/>
        </w:rPr>
        <w:t>fund</w:t>
      </w:r>
      <w:r w:rsidR="004053DA">
        <w:rPr>
          <w:rFonts w:ascii="Garamond" w:hAnsi="Garamond"/>
        </w:rPr>
        <w:t>ing</w:t>
      </w:r>
      <w:r>
        <w:rPr>
          <w:rFonts w:ascii="Garamond" w:hAnsi="Garamond"/>
        </w:rPr>
        <w:t xml:space="preserve"> </w:t>
      </w:r>
      <w:r w:rsidR="00A34B70">
        <w:rPr>
          <w:rFonts w:ascii="Garamond" w:hAnsi="Garamond"/>
        </w:rPr>
        <w:t>for the</w:t>
      </w:r>
      <w:r w:rsidR="004053DA">
        <w:rPr>
          <w:rFonts w:ascii="Garamond" w:hAnsi="Garamond"/>
        </w:rPr>
        <w:t xml:space="preserve"> </w:t>
      </w:r>
      <w:r>
        <w:rPr>
          <w:rFonts w:ascii="Garamond" w:hAnsi="Garamond"/>
        </w:rPr>
        <w:t>scale</w:t>
      </w:r>
      <w:r w:rsidR="007F26B5">
        <w:rPr>
          <w:rFonts w:ascii="Garamond" w:hAnsi="Garamond"/>
        </w:rPr>
        <w:noBreakHyphen/>
      </w:r>
      <w:r>
        <w:rPr>
          <w:rFonts w:ascii="Garamond" w:hAnsi="Garamond"/>
        </w:rPr>
        <w:t>up of New Incentives</w:t>
      </w:r>
      <w:r w:rsidR="00645EA1">
        <w:rPr>
          <w:rFonts w:ascii="Garamond" w:hAnsi="Garamond"/>
        </w:rPr>
        <w:t>’</w:t>
      </w:r>
      <w:r>
        <w:rPr>
          <w:rFonts w:ascii="Garamond" w:hAnsi="Garamond"/>
        </w:rPr>
        <w:t xml:space="preserve"> program</w:t>
      </w:r>
      <w:r w:rsidR="00D81861">
        <w:rPr>
          <w:rFonts w:ascii="Garamond" w:hAnsi="Garamond"/>
        </w:rPr>
        <w:t xml:space="preserve"> in </w:t>
      </w:r>
      <w:r w:rsidR="00295AFD">
        <w:rPr>
          <w:rFonts w:ascii="Garamond" w:hAnsi="Garamond"/>
        </w:rPr>
        <w:t>North West Nigeria</w:t>
      </w:r>
      <w:r w:rsidR="00017E58">
        <w:rPr>
          <w:rFonts w:ascii="Garamond" w:hAnsi="Garamond"/>
        </w:rPr>
        <w:t xml:space="preserve"> and/or designate New </w:t>
      </w:r>
      <w:proofErr w:type="spellStart"/>
      <w:r w:rsidR="00017E58">
        <w:rPr>
          <w:rFonts w:ascii="Garamond" w:hAnsi="Garamond"/>
        </w:rPr>
        <w:t>Inventives</w:t>
      </w:r>
      <w:proofErr w:type="spellEnd"/>
      <w:r w:rsidR="00017E58">
        <w:rPr>
          <w:rFonts w:ascii="Garamond" w:hAnsi="Garamond"/>
        </w:rPr>
        <w:t xml:space="preserve"> as a “Top Charity</w:t>
      </w:r>
      <w:r w:rsidR="00A80544">
        <w:rPr>
          <w:rFonts w:ascii="Garamond" w:hAnsi="Garamond"/>
        </w:rPr>
        <w:t>.</w:t>
      </w:r>
      <w:r w:rsidR="00017E58">
        <w:rPr>
          <w:rFonts w:ascii="Garamond" w:hAnsi="Garamond"/>
        </w:rPr>
        <w:t>”</w:t>
      </w:r>
      <w:r w:rsidR="00017E58">
        <w:rPr>
          <w:rStyle w:val="FootnoteReference"/>
          <w:rFonts w:ascii="Garamond" w:hAnsi="Garamond"/>
        </w:rPr>
        <w:footnoteReference w:id="11"/>
      </w:r>
      <w:r w:rsidR="00A80544">
        <w:rPr>
          <w:rFonts w:ascii="Garamond" w:hAnsi="Garamond"/>
        </w:rPr>
        <w:t xml:space="preserve"> </w:t>
      </w:r>
      <w:proofErr w:type="spellStart"/>
      <w:r w:rsidR="00A80544">
        <w:rPr>
          <w:rFonts w:ascii="Garamond" w:hAnsi="Garamond"/>
        </w:rPr>
        <w:t>GiveWell</w:t>
      </w:r>
      <w:proofErr w:type="spellEnd"/>
      <w:r w:rsidR="00A80544">
        <w:rPr>
          <w:rFonts w:ascii="Garamond" w:hAnsi="Garamond"/>
        </w:rPr>
        <w:t xml:space="preserve"> bases this decision on a variety of factors, outlined in detail on their website</w:t>
      </w:r>
      <w:r>
        <w:rPr>
          <w:rFonts w:ascii="Garamond" w:hAnsi="Garamond"/>
        </w:rPr>
        <w:t>.</w:t>
      </w:r>
      <w:r w:rsidR="00A80544">
        <w:rPr>
          <w:rStyle w:val="FootnoteReference"/>
          <w:rFonts w:ascii="Garamond" w:hAnsi="Garamond"/>
        </w:rPr>
        <w:footnoteReference w:id="12"/>
      </w:r>
      <w:r>
        <w:rPr>
          <w:rFonts w:ascii="Garamond" w:hAnsi="Garamond"/>
        </w:rPr>
        <w:t xml:space="preserve"> </w:t>
      </w:r>
      <w:r w:rsidR="00674811">
        <w:rPr>
          <w:rFonts w:ascii="Garamond" w:hAnsi="Garamond"/>
        </w:rPr>
        <w:t xml:space="preserve">One key input is the cost effectiveness of candidate charities: the cost of saving or improving a life via the charity’s program. </w:t>
      </w:r>
      <w:proofErr w:type="spellStart"/>
      <w:r w:rsidR="00674811">
        <w:rPr>
          <w:rFonts w:ascii="Garamond" w:hAnsi="Garamond"/>
        </w:rPr>
        <w:t>IDinsight’s</w:t>
      </w:r>
      <w:proofErr w:type="spellEnd"/>
      <w:r w:rsidR="00674811">
        <w:rPr>
          <w:rFonts w:ascii="Garamond" w:hAnsi="Garamond"/>
        </w:rPr>
        <w:t xml:space="preserve"> evaluation will inform </w:t>
      </w:r>
      <w:proofErr w:type="spellStart"/>
      <w:r w:rsidR="00674811">
        <w:rPr>
          <w:rFonts w:ascii="Garamond" w:hAnsi="Garamond"/>
        </w:rPr>
        <w:t>GiveWell’s</w:t>
      </w:r>
      <w:proofErr w:type="spellEnd"/>
      <w:r w:rsidR="00674811">
        <w:rPr>
          <w:rFonts w:ascii="Garamond" w:hAnsi="Garamond"/>
        </w:rPr>
        <w:t xml:space="preserve"> cost effectiveness assessment of New Incentives by estimating the program’s impact on immunization coverage rates.</w:t>
      </w:r>
      <w:r w:rsidR="00674811">
        <w:rPr>
          <w:rStyle w:val="FootnoteReference"/>
          <w:rFonts w:ascii="Garamond" w:hAnsi="Garamond"/>
        </w:rPr>
        <w:footnoteReference w:id="13"/>
      </w:r>
      <w:r w:rsidR="00017E58">
        <w:rPr>
          <w:rFonts w:ascii="Garamond" w:hAnsi="Garamond"/>
        </w:rPr>
        <w:t xml:space="preserve"> </w:t>
      </w:r>
      <w:proofErr w:type="spellStart"/>
      <w:r>
        <w:rPr>
          <w:rFonts w:ascii="Garamond" w:hAnsi="Garamond"/>
        </w:rPr>
        <w:t>GiveWell</w:t>
      </w:r>
      <w:proofErr w:type="spellEnd"/>
      <w:r>
        <w:rPr>
          <w:rFonts w:ascii="Garamond" w:hAnsi="Garamond"/>
        </w:rPr>
        <w:t xml:space="preserve"> plans </w:t>
      </w:r>
      <w:r w:rsidR="00157BAB">
        <w:rPr>
          <w:rFonts w:ascii="Garamond" w:hAnsi="Garamond"/>
        </w:rPr>
        <w:t>to</w:t>
      </w:r>
      <w:r>
        <w:rPr>
          <w:rFonts w:ascii="Garamond" w:hAnsi="Garamond"/>
        </w:rPr>
        <w:t xml:space="preserve"> translat</w:t>
      </w:r>
      <w:r w:rsidR="00157BAB">
        <w:rPr>
          <w:rFonts w:ascii="Garamond" w:hAnsi="Garamond"/>
        </w:rPr>
        <w:t>e</w:t>
      </w:r>
      <w:r>
        <w:rPr>
          <w:rFonts w:ascii="Garamond" w:hAnsi="Garamond"/>
        </w:rPr>
        <w:t xml:space="preserve"> the coverage increases for each vaccination into an estimate of lives saved and illness prevented in order to compare </w:t>
      </w:r>
      <w:r w:rsidR="007A4D3C">
        <w:rPr>
          <w:rFonts w:ascii="Garamond" w:hAnsi="Garamond"/>
        </w:rPr>
        <w:t xml:space="preserve">the cost-effectiveness of </w:t>
      </w:r>
      <w:r>
        <w:rPr>
          <w:rFonts w:ascii="Garamond" w:hAnsi="Garamond"/>
        </w:rPr>
        <w:t xml:space="preserve">New Incentives’ program to other programs </w:t>
      </w:r>
      <w:proofErr w:type="spellStart"/>
      <w:r>
        <w:rPr>
          <w:rFonts w:ascii="Garamond" w:hAnsi="Garamond"/>
        </w:rPr>
        <w:t>GiveWell</w:t>
      </w:r>
      <w:proofErr w:type="spellEnd"/>
      <w:r>
        <w:rPr>
          <w:rFonts w:ascii="Garamond" w:hAnsi="Garamond"/>
        </w:rPr>
        <w:t xml:space="preserve"> </w:t>
      </w:r>
      <w:r w:rsidR="004053DA">
        <w:rPr>
          <w:rFonts w:ascii="Garamond" w:hAnsi="Garamond"/>
        </w:rPr>
        <w:t>recommends</w:t>
      </w:r>
      <w:r>
        <w:rPr>
          <w:rFonts w:ascii="Garamond" w:hAnsi="Garamond"/>
        </w:rPr>
        <w:t>.</w:t>
      </w:r>
      <w:r w:rsidR="00017E58">
        <w:rPr>
          <w:rFonts w:ascii="Garamond" w:hAnsi="Garamond"/>
        </w:rPr>
        <w:t xml:space="preserve"> For more detail on </w:t>
      </w:r>
      <w:proofErr w:type="spellStart"/>
      <w:r w:rsidR="00017E58">
        <w:rPr>
          <w:rFonts w:ascii="Garamond" w:hAnsi="Garamond"/>
        </w:rPr>
        <w:t>GiveWell’s</w:t>
      </w:r>
      <w:proofErr w:type="spellEnd"/>
      <w:r w:rsidR="00017E58">
        <w:rPr>
          <w:rFonts w:ascii="Garamond" w:hAnsi="Garamond"/>
        </w:rPr>
        <w:t xml:space="preserve"> methodology and decision making, please see Annex 5 and the </w:t>
      </w:r>
      <w:proofErr w:type="spellStart"/>
      <w:r w:rsidR="00017E58">
        <w:rPr>
          <w:rFonts w:ascii="Garamond" w:hAnsi="Garamond"/>
        </w:rPr>
        <w:t>GiveWell</w:t>
      </w:r>
      <w:proofErr w:type="spellEnd"/>
      <w:r w:rsidR="00017E58">
        <w:rPr>
          <w:rFonts w:ascii="Garamond" w:hAnsi="Garamond"/>
        </w:rPr>
        <w:t xml:space="preserve"> website.</w:t>
      </w:r>
    </w:p>
    <w:p w14:paraId="4413ECF5" w14:textId="4B764101" w:rsidR="0088187F" w:rsidRDefault="0088187F" w:rsidP="00812FFA">
      <w:pPr>
        <w:jc w:val="both"/>
        <w:rPr>
          <w:rFonts w:ascii="Garamond" w:hAnsi="Garamond"/>
        </w:rPr>
      </w:pPr>
    </w:p>
    <w:p w14:paraId="12A8A094" w14:textId="5FEFF2D2" w:rsidR="0088187F" w:rsidRDefault="0088187F" w:rsidP="00812FFA">
      <w:pPr>
        <w:jc w:val="both"/>
        <w:rPr>
          <w:rFonts w:ascii="Garamond" w:hAnsi="Garamond"/>
        </w:rPr>
      </w:pPr>
      <w:r>
        <w:rPr>
          <w:rFonts w:ascii="Garamond" w:hAnsi="Garamond"/>
        </w:rPr>
        <w:t>Since</w:t>
      </w:r>
      <w:r w:rsidR="00247B0C">
        <w:rPr>
          <w:rFonts w:ascii="Garamond" w:hAnsi="Garamond"/>
        </w:rPr>
        <w:t xml:space="preserve"> coverage rates for each vaccination enter the</w:t>
      </w:r>
      <w:r>
        <w:rPr>
          <w:rFonts w:ascii="Garamond" w:hAnsi="Garamond"/>
        </w:rPr>
        <w:t xml:space="preserve"> </w:t>
      </w:r>
      <w:proofErr w:type="spellStart"/>
      <w:r>
        <w:rPr>
          <w:rFonts w:ascii="Garamond" w:hAnsi="Garamond"/>
        </w:rPr>
        <w:t>GiveWell</w:t>
      </w:r>
      <w:proofErr w:type="spellEnd"/>
      <w:r w:rsidR="00247B0C">
        <w:rPr>
          <w:rFonts w:ascii="Garamond" w:hAnsi="Garamond"/>
        </w:rPr>
        <w:t xml:space="preserve"> cost-effectiveness model separately, </w:t>
      </w:r>
      <w:proofErr w:type="spellStart"/>
      <w:r w:rsidR="00017E58">
        <w:rPr>
          <w:rFonts w:ascii="Garamond" w:hAnsi="Garamond"/>
        </w:rPr>
        <w:t>IDinsight</w:t>
      </w:r>
      <w:proofErr w:type="spellEnd"/>
      <w:r w:rsidR="00247B0C">
        <w:rPr>
          <w:rFonts w:ascii="Garamond" w:hAnsi="Garamond"/>
        </w:rPr>
        <w:t xml:space="preserve"> will also estimate three separate outcome variables: the coverage rates for </w:t>
      </w:r>
      <w:r w:rsidR="00F97460">
        <w:rPr>
          <w:rFonts w:ascii="Garamond" w:hAnsi="Garamond"/>
        </w:rPr>
        <w:t xml:space="preserve">BCG, </w:t>
      </w:r>
      <w:r w:rsidR="006105BA">
        <w:rPr>
          <w:rFonts w:ascii="Garamond" w:hAnsi="Garamond"/>
        </w:rPr>
        <w:t>PENTA</w:t>
      </w:r>
      <w:r w:rsidR="00A22C5C">
        <w:rPr>
          <w:rFonts w:ascii="Garamond" w:hAnsi="Garamond"/>
        </w:rPr>
        <w:t xml:space="preserve"> (any dose)</w:t>
      </w:r>
      <w:r w:rsidR="006105BA">
        <w:rPr>
          <w:rFonts w:ascii="Garamond" w:hAnsi="Garamond"/>
        </w:rPr>
        <w:t xml:space="preserve">, and </w:t>
      </w:r>
      <w:r w:rsidR="00FC0838">
        <w:rPr>
          <w:rFonts w:ascii="Garamond" w:hAnsi="Garamond"/>
        </w:rPr>
        <w:t>Measles</w:t>
      </w:r>
      <w:r w:rsidR="00E539C1">
        <w:rPr>
          <w:rFonts w:ascii="Garamond" w:hAnsi="Garamond"/>
        </w:rPr>
        <w:t xml:space="preserve"> 1</w:t>
      </w:r>
      <w:r w:rsidR="009F51C1">
        <w:rPr>
          <w:rFonts w:ascii="Garamond" w:hAnsi="Garamond"/>
        </w:rPr>
        <w:t>.</w:t>
      </w:r>
    </w:p>
    <w:p w14:paraId="07FA9C0F" w14:textId="29435DCA" w:rsidR="0088187F" w:rsidRDefault="0088187F" w:rsidP="00FA4025">
      <w:pPr>
        <w:jc w:val="both"/>
        <w:rPr>
          <w:rFonts w:ascii="Garamond" w:hAnsi="Garamond"/>
        </w:rPr>
      </w:pPr>
    </w:p>
    <w:p w14:paraId="5BA4A5C1" w14:textId="77777777" w:rsidR="001A6A41" w:rsidRPr="007B2642" w:rsidRDefault="001A6A41" w:rsidP="00963A8F">
      <w:pPr>
        <w:pStyle w:val="Heading4"/>
        <w:spacing w:line="259" w:lineRule="auto"/>
        <w:jc w:val="both"/>
        <w:rPr>
          <w:rFonts w:ascii="Garamond" w:hAnsi="Garamond"/>
          <w:b/>
          <w:color w:val="auto"/>
        </w:rPr>
      </w:pPr>
      <w:r w:rsidRPr="007B2642">
        <w:rPr>
          <w:rFonts w:ascii="Garamond" w:hAnsi="Garamond"/>
          <w:b/>
          <w:color w:val="auto"/>
        </w:rPr>
        <w:t>Overall Design</w:t>
      </w:r>
    </w:p>
    <w:p w14:paraId="115CC3CE" w14:textId="79AAE6AE" w:rsidR="006105BA" w:rsidRPr="00921A7E" w:rsidRDefault="001A6A41" w:rsidP="00FA4025">
      <w:pPr>
        <w:jc w:val="both"/>
      </w:pPr>
      <w:r w:rsidRPr="006105BA">
        <w:rPr>
          <w:rFonts w:ascii="Garamond" w:hAnsi="Garamond"/>
        </w:rPr>
        <w:t xml:space="preserve">The </w:t>
      </w:r>
      <w:r w:rsidR="008962FD">
        <w:rPr>
          <w:rFonts w:ascii="Garamond" w:hAnsi="Garamond"/>
        </w:rPr>
        <w:t>study</w:t>
      </w:r>
      <w:r w:rsidRPr="006105BA">
        <w:rPr>
          <w:rFonts w:ascii="Garamond" w:hAnsi="Garamond"/>
        </w:rPr>
        <w:t xml:space="preserve"> will be structured as a two-arm cluster RCT. One arm will serve as</w:t>
      </w:r>
      <w:r w:rsidR="00E07AB9">
        <w:rPr>
          <w:rFonts w:ascii="Garamond" w:hAnsi="Garamond"/>
        </w:rPr>
        <w:t xml:space="preserve"> the</w:t>
      </w:r>
      <w:r w:rsidRPr="006105BA">
        <w:rPr>
          <w:rFonts w:ascii="Garamond" w:hAnsi="Garamond"/>
        </w:rPr>
        <w:t xml:space="preserve"> control </w:t>
      </w:r>
      <w:r w:rsidR="00FE17AE">
        <w:rPr>
          <w:rFonts w:ascii="Garamond" w:hAnsi="Garamond"/>
        </w:rPr>
        <w:t>and will operate as the status quo</w:t>
      </w:r>
      <w:r w:rsidR="00107807">
        <w:rPr>
          <w:rFonts w:ascii="Garamond" w:hAnsi="Garamond"/>
        </w:rPr>
        <w:t xml:space="preserve">, while </w:t>
      </w:r>
      <w:r w:rsidRPr="006105BA">
        <w:rPr>
          <w:rFonts w:ascii="Garamond" w:hAnsi="Garamond"/>
        </w:rPr>
        <w:t>the other arm will receive New Incentives</w:t>
      </w:r>
      <w:r w:rsidR="00E07AB9">
        <w:rPr>
          <w:rFonts w:ascii="Garamond" w:hAnsi="Garamond"/>
        </w:rPr>
        <w:t>’</w:t>
      </w:r>
      <w:r w:rsidRPr="006105BA">
        <w:rPr>
          <w:rFonts w:ascii="Garamond" w:hAnsi="Garamond"/>
        </w:rPr>
        <w:t xml:space="preserve"> full program. </w:t>
      </w:r>
      <w:r w:rsidR="006105BA" w:rsidRPr="006105BA">
        <w:rPr>
          <w:rFonts w:ascii="Garamond" w:hAnsi="Garamond"/>
        </w:rPr>
        <w:t>This</w:t>
      </w:r>
      <w:r w:rsidR="00397755">
        <w:rPr>
          <w:rFonts w:ascii="Garamond" w:hAnsi="Garamond"/>
        </w:rPr>
        <w:t xml:space="preserve"> design</w:t>
      </w:r>
      <w:r w:rsidR="006105BA" w:rsidRPr="006105BA">
        <w:rPr>
          <w:rFonts w:ascii="Garamond" w:hAnsi="Garamond"/>
        </w:rPr>
        <w:t xml:space="preserve"> will </w:t>
      </w:r>
      <w:r w:rsidR="007A2824">
        <w:rPr>
          <w:rFonts w:ascii="Garamond" w:hAnsi="Garamond"/>
        </w:rPr>
        <w:t>measure</w:t>
      </w:r>
      <w:r w:rsidR="006105BA" w:rsidRPr="006105BA">
        <w:rPr>
          <w:rFonts w:ascii="Garamond" w:hAnsi="Garamond"/>
        </w:rPr>
        <w:t xml:space="preserve"> the causal </w:t>
      </w:r>
      <w:r w:rsidR="00085960">
        <w:rPr>
          <w:rFonts w:ascii="Garamond" w:hAnsi="Garamond"/>
        </w:rPr>
        <w:t>effect</w:t>
      </w:r>
      <w:r w:rsidR="00085960" w:rsidRPr="006105BA">
        <w:rPr>
          <w:rFonts w:ascii="Garamond" w:hAnsi="Garamond"/>
        </w:rPr>
        <w:t xml:space="preserve"> </w:t>
      </w:r>
      <w:r w:rsidR="006105BA" w:rsidRPr="006105BA">
        <w:rPr>
          <w:rFonts w:ascii="Garamond" w:hAnsi="Garamond"/>
        </w:rPr>
        <w:t>of New Incentives</w:t>
      </w:r>
      <w:r w:rsidR="00E07AB9">
        <w:rPr>
          <w:rFonts w:ascii="Garamond" w:hAnsi="Garamond"/>
        </w:rPr>
        <w:t>’</w:t>
      </w:r>
      <w:r w:rsidR="006105BA" w:rsidRPr="006105BA">
        <w:rPr>
          <w:rFonts w:ascii="Garamond" w:hAnsi="Garamond"/>
        </w:rPr>
        <w:t xml:space="preserve"> program on the </w:t>
      </w:r>
      <w:r w:rsidR="00F97460">
        <w:rPr>
          <w:rFonts w:ascii="Garamond" w:hAnsi="Garamond"/>
        </w:rPr>
        <w:t xml:space="preserve">likelihood </w:t>
      </w:r>
      <w:r w:rsidR="006105BA" w:rsidRPr="006105BA">
        <w:rPr>
          <w:rFonts w:ascii="Garamond" w:hAnsi="Garamond"/>
        </w:rPr>
        <w:t>of an infant</w:t>
      </w:r>
      <w:r w:rsidR="006105BA">
        <w:t xml:space="preserve"> </w:t>
      </w:r>
      <w:r w:rsidR="006105BA" w:rsidRPr="006105BA">
        <w:rPr>
          <w:rFonts w:ascii="Garamond" w:hAnsi="Garamond"/>
        </w:rPr>
        <w:t>receiving a vaccine</w:t>
      </w:r>
      <w:r w:rsidR="006105BA" w:rsidRPr="00921A7E">
        <w:t>.</w:t>
      </w:r>
      <w:r w:rsidR="00107807">
        <w:rPr>
          <w:rStyle w:val="FootnoteReference"/>
        </w:rPr>
        <w:footnoteReference w:id="14"/>
      </w:r>
      <w:r w:rsidR="006105BA" w:rsidRPr="00921A7E">
        <w:t xml:space="preserve"> </w:t>
      </w:r>
    </w:p>
    <w:p w14:paraId="1720AD4A" w14:textId="70658C88" w:rsidR="001A6A41" w:rsidRDefault="001A6A41" w:rsidP="00FA4025">
      <w:pPr>
        <w:jc w:val="both"/>
      </w:pPr>
    </w:p>
    <w:p w14:paraId="3CE2AD3B" w14:textId="5F4116D2" w:rsidR="007B2642" w:rsidRPr="007B2642" w:rsidRDefault="007B2642" w:rsidP="00963A8F">
      <w:pPr>
        <w:pStyle w:val="Heading4"/>
        <w:spacing w:line="259" w:lineRule="auto"/>
        <w:jc w:val="both"/>
        <w:rPr>
          <w:rFonts w:ascii="Garamond" w:hAnsi="Garamond"/>
          <w:b/>
          <w:color w:val="auto"/>
        </w:rPr>
      </w:pPr>
      <w:r w:rsidRPr="007B2642">
        <w:rPr>
          <w:rFonts w:ascii="Garamond" w:hAnsi="Garamond"/>
          <w:b/>
          <w:color w:val="auto"/>
        </w:rPr>
        <w:lastRenderedPageBreak/>
        <w:t xml:space="preserve">Unit </w:t>
      </w:r>
      <w:r w:rsidR="00E07AB9">
        <w:rPr>
          <w:rFonts w:ascii="Garamond" w:hAnsi="Garamond"/>
          <w:b/>
          <w:color w:val="auto"/>
        </w:rPr>
        <w:t>o</w:t>
      </w:r>
      <w:r w:rsidRPr="007B2642">
        <w:rPr>
          <w:rFonts w:ascii="Garamond" w:hAnsi="Garamond"/>
          <w:b/>
          <w:color w:val="auto"/>
        </w:rPr>
        <w:t>f Treatment and Randomization</w:t>
      </w:r>
    </w:p>
    <w:p w14:paraId="1094F237" w14:textId="5F1556CC" w:rsidR="007B2642" w:rsidRDefault="0088187F" w:rsidP="00FA4025">
      <w:pPr>
        <w:jc w:val="both"/>
        <w:rPr>
          <w:rFonts w:ascii="Garamond" w:hAnsi="Garamond"/>
        </w:rPr>
      </w:pPr>
      <w:r>
        <w:rPr>
          <w:rFonts w:ascii="Garamond" w:hAnsi="Garamond"/>
        </w:rPr>
        <w:t xml:space="preserve">The </w:t>
      </w:r>
      <w:r w:rsidR="001A6A41">
        <w:rPr>
          <w:rFonts w:ascii="Garamond" w:hAnsi="Garamond"/>
        </w:rPr>
        <w:t>unit of treatment and randomization is the clinic catchment</w:t>
      </w:r>
      <w:r w:rsidR="00397755">
        <w:rPr>
          <w:rFonts w:ascii="Garamond" w:hAnsi="Garamond"/>
        </w:rPr>
        <w:t>.</w:t>
      </w:r>
      <w:r w:rsidR="001A6A41">
        <w:rPr>
          <w:rStyle w:val="FootnoteReference"/>
          <w:rFonts w:ascii="Garamond" w:hAnsi="Garamond"/>
        </w:rPr>
        <w:footnoteReference w:id="15"/>
      </w:r>
    </w:p>
    <w:p w14:paraId="75A5267E" w14:textId="12FE1D47" w:rsidR="001E3BD8" w:rsidRDefault="001E3BD8" w:rsidP="00E528DF">
      <w:pPr>
        <w:rPr>
          <w:rFonts w:ascii="Garamond" w:hAnsi="Garamond"/>
        </w:rPr>
      </w:pPr>
    </w:p>
    <w:p w14:paraId="3979B388" w14:textId="77777777" w:rsidR="00ED465D" w:rsidRDefault="00ED465D" w:rsidP="00167EE2">
      <w:pPr>
        <w:keepNext/>
        <w:spacing w:line="259" w:lineRule="auto"/>
        <w:rPr>
          <w:rFonts w:ascii="Garamond" w:hAnsi="Garamond"/>
          <w:b/>
          <w:i/>
        </w:rPr>
      </w:pPr>
      <w:r>
        <w:rPr>
          <w:rFonts w:ascii="Garamond" w:hAnsi="Garamond"/>
          <w:b/>
          <w:i/>
        </w:rPr>
        <w:t>Outcome Measurement</w:t>
      </w:r>
    </w:p>
    <w:p w14:paraId="6C0DDDC2" w14:textId="52AEA07B" w:rsidR="00ED465D" w:rsidRPr="00ED465D" w:rsidRDefault="00BF456D" w:rsidP="00FA4025">
      <w:pPr>
        <w:jc w:val="both"/>
        <w:rPr>
          <w:rFonts w:ascii="Garamond" w:hAnsi="Garamond"/>
          <w:b/>
          <w:i/>
        </w:rPr>
      </w:pPr>
      <w:proofErr w:type="spellStart"/>
      <w:r>
        <w:rPr>
          <w:rFonts w:ascii="Garamond" w:hAnsi="Garamond"/>
        </w:rPr>
        <w:t>IDinsight</w:t>
      </w:r>
      <w:proofErr w:type="spellEnd"/>
      <w:r w:rsidR="00D81861">
        <w:rPr>
          <w:rFonts w:ascii="Garamond" w:hAnsi="Garamond"/>
        </w:rPr>
        <w:t xml:space="preserve"> will use caregivers</w:t>
      </w:r>
      <w:r w:rsidR="0059139C">
        <w:rPr>
          <w:rFonts w:ascii="Garamond" w:hAnsi="Garamond"/>
        </w:rPr>
        <w:t>’</w:t>
      </w:r>
      <w:r w:rsidR="00D81861">
        <w:rPr>
          <w:rFonts w:ascii="Garamond" w:hAnsi="Garamond"/>
        </w:rPr>
        <w:t xml:space="preserve"> report</w:t>
      </w:r>
      <w:r w:rsidR="00325CF3">
        <w:rPr>
          <w:rFonts w:ascii="Garamond" w:hAnsi="Garamond"/>
        </w:rPr>
        <w:t>s of their child’s</w:t>
      </w:r>
      <w:r w:rsidR="00D81861">
        <w:rPr>
          <w:rFonts w:ascii="Garamond" w:hAnsi="Garamond"/>
        </w:rPr>
        <w:t xml:space="preserve"> vaccination history to </w:t>
      </w:r>
      <w:r w:rsidR="00107807">
        <w:rPr>
          <w:rFonts w:ascii="Garamond" w:hAnsi="Garamond"/>
        </w:rPr>
        <w:t>measure</w:t>
      </w:r>
      <w:r w:rsidR="00D81861">
        <w:rPr>
          <w:rFonts w:ascii="Garamond" w:hAnsi="Garamond"/>
        </w:rPr>
        <w:t xml:space="preserve"> t</w:t>
      </w:r>
      <w:r w:rsidR="00ED465D">
        <w:rPr>
          <w:rFonts w:ascii="Garamond" w:hAnsi="Garamond"/>
        </w:rPr>
        <w:t>he coverage outcome variables</w:t>
      </w:r>
      <w:r w:rsidR="00D81861">
        <w:rPr>
          <w:rFonts w:ascii="Garamond" w:hAnsi="Garamond"/>
        </w:rPr>
        <w:t xml:space="preserve">. </w:t>
      </w:r>
      <w:r w:rsidR="00A00236">
        <w:rPr>
          <w:rFonts w:ascii="Garamond" w:hAnsi="Garamond"/>
        </w:rPr>
        <w:t>We will use</w:t>
      </w:r>
      <w:r w:rsidR="005B6D72">
        <w:rPr>
          <w:rFonts w:ascii="Garamond" w:hAnsi="Garamond"/>
        </w:rPr>
        <w:t xml:space="preserve"> various</w:t>
      </w:r>
      <w:r w:rsidR="00325CF3">
        <w:rPr>
          <w:rFonts w:ascii="Garamond" w:hAnsi="Garamond"/>
        </w:rPr>
        <w:t xml:space="preserve"> alternative sources, primarily</w:t>
      </w:r>
      <w:r w:rsidR="00A00236">
        <w:rPr>
          <w:rFonts w:ascii="Garamond" w:hAnsi="Garamond"/>
        </w:rPr>
        <w:t xml:space="preserve"> a</w:t>
      </w:r>
      <w:r w:rsidR="00ED465D">
        <w:rPr>
          <w:rFonts w:ascii="Garamond" w:hAnsi="Garamond"/>
        </w:rPr>
        <w:t>dministrative</w:t>
      </w:r>
      <w:r w:rsidR="00325CF3">
        <w:rPr>
          <w:rFonts w:ascii="Garamond" w:hAnsi="Garamond"/>
        </w:rPr>
        <w:t>,</w:t>
      </w:r>
      <w:r w:rsidR="00ED465D">
        <w:rPr>
          <w:rFonts w:ascii="Garamond" w:hAnsi="Garamond"/>
        </w:rPr>
        <w:t xml:space="preserve"> </w:t>
      </w:r>
      <w:r w:rsidR="00A00236">
        <w:rPr>
          <w:rFonts w:ascii="Garamond" w:hAnsi="Garamond"/>
        </w:rPr>
        <w:t xml:space="preserve">to </w:t>
      </w:r>
      <w:r w:rsidR="00325CF3">
        <w:rPr>
          <w:rFonts w:ascii="Garamond" w:hAnsi="Garamond"/>
        </w:rPr>
        <w:t>assess</w:t>
      </w:r>
      <w:r w:rsidR="00ED465D">
        <w:rPr>
          <w:rFonts w:ascii="Garamond" w:hAnsi="Garamond"/>
        </w:rPr>
        <w:t xml:space="preserve"> the accuracy of </w:t>
      </w:r>
      <w:r w:rsidR="00325CF3">
        <w:rPr>
          <w:rFonts w:ascii="Garamond" w:hAnsi="Garamond"/>
        </w:rPr>
        <w:t>“</w:t>
      </w:r>
      <w:r w:rsidR="00ED465D">
        <w:rPr>
          <w:rFonts w:ascii="Garamond" w:hAnsi="Garamond"/>
        </w:rPr>
        <w:t>self-reported</w:t>
      </w:r>
      <w:r w:rsidR="00325CF3">
        <w:rPr>
          <w:rFonts w:ascii="Garamond" w:hAnsi="Garamond"/>
        </w:rPr>
        <w:t>”</w:t>
      </w:r>
      <w:r w:rsidR="00ED465D">
        <w:rPr>
          <w:rFonts w:ascii="Garamond" w:hAnsi="Garamond"/>
        </w:rPr>
        <w:t xml:space="preserve"> coverage.</w:t>
      </w:r>
      <w:r w:rsidR="00080444">
        <w:rPr>
          <w:rFonts w:ascii="Garamond" w:hAnsi="Garamond"/>
        </w:rPr>
        <w:t xml:space="preserve"> </w:t>
      </w:r>
      <w:r w:rsidR="005B6D72">
        <w:rPr>
          <w:rFonts w:ascii="Garamond" w:hAnsi="Garamond"/>
        </w:rPr>
        <w:t>Administrative</w:t>
      </w:r>
      <w:r w:rsidR="000A7A5A">
        <w:rPr>
          <w:rFonts w:ascii="Garamond" w:hAnsi="Garamond"/>
        </w:rPr>
        <w:t xml:space="preserve"> source</w:t>
      </w:r>
      <w:r w:rsidR="005B6D72">
        <w:rPr>
          <w:rFonts w:ascii="Garamond" w:hAnsi="Garamond"/>
        </w:rPr>
        <w:t>s</w:t>
      </w:r>
      <w:r w:rsidR="000A7A5A">
        <w:rPr>
          <w:rFonts w:ascii="Garamond" w:hAnsi="Garamond"/>
        </w:rPr>
        <w:t xml:space="preserve"> will be </w:t>
      </w:r>
      <w:r w:rsidR="00B14178">
        <w:rPr>
          <w:rFonts w:ascii="Garamond" w:hAnsi="Garamond"/>
        </w:rPr>
        <w:t>clinics’ registers</w:t>
      </w:r>
      <w:r w:rsidR="00C57E77">
        <w:rPr>
          <w:rFonts w:ascii="Garamond" w:hAnsi="Garamond"/>
        </w:rPr>
        <w:t>, child health cards,</w:t>
      </w:r>
      <w:r w:rsidR="000A7A5A">
        <w:rPr>
          <w:rFonts w:ascii="Garamond" w:hAnsi="Garamond"/>
        </w:rPr>
        <w:t xml:space="preserve"> and</w:t>
      </w:r>
      <w:r w:rsidR="005B6D72">
        <w:rPr>
          <w:rFonts w:ascii="Garamond" w:hAnsi="Garamond"/>
        </w:rPr>
        <w:t>.</w:t>
      </w:r>
      <w:r w:rsidR="005E4EA8">
        <w:rPr>
          <w:rStyle w:val="FootnoteReference"/>
          <w:rFonts w:ascii="Garamond" w:hAnsi="Garamond"/>
        </w:rPr>
        <w:footnoteReference w:id="16"/>
      </w:r>
      <w:r w:rsidR="005B6D72">
        <w:rPr>
          <w:rFonts w:ascii="Garamond" w:hAnsi="Garamond"/>
        </w:rPr>
        <w:t xml:space="preserve"> Additionally, the BCG vaccination leaves a visible scar, for which enumerators will check, providing another</w:t>
      </w:r>
      <w:r w:rsidR="00325CF3">
        <w:rPr>
          <w:rFonts w:ascii="Garamond" w:hAnsi="Garamond"/>
        </w:rPr>
        <w:t xml:space="preserve"> opportunity to</w:t>
      </w:r>
      <w:r w:rsidR="005B6D72">
        <w:rPr>
          <w:rFonts w:ascii="Garamond" w:hAnsi="Garamond"/>
        </w:rPr>
        <w:t xml:space="preserve"> </w:t>
      </w:r>
      <w:r w:rsidR="00325CF3">
        <w:rPr>
          <w:rFonts w:ascii="Garamond" w:hAnsi="Garamond"/>
        </w:rPr>
        <w:t>assess</w:t>
      </w:r>
      <w:r w:rsidR="005B6D72">
        <w:rPr>
          <w:rFonts w:ascii="Garamond" w:hAnsi="Garamond"/>
        </w:rPr>
        <w:t xml:space="preserve"> caregiver recall</w:t>
      </w:r>
      <w:r w:rsidR="000A7A5A">
        <w:rPr>
          <w:rFonts w:ascii="Garamond" w:hAnsi="Garamond"/>
        </w:rPr>
        <w:t>.</w:t>
      </w:r>
      <w:r w:rsidR="00CB3B40">
        <w:rPr>
          <w:rStyle w:val="FootnoteReference"/>
          <w:rFonts w:ascii="Garamond" w:hAnsi="Garamond"/>
        </w:rPr>
        <w:footnoteReference w:id="17"/>
      </w:r>
      <w:r w:rsidR="000A7A5A">
        <w:rPr>
          <w:rFonts w:ascii="Garamond" w:hAnsi="Garamond"/>
        </w:rPr>
        <w:t xml:space="preserve"> </w:t>
      </w:r>
      <w:r w:rsidR="00080444">
        <w:rPr>
          <w:rFonts w:ascii="Garamond" w:hAnsi="Garamond"/>
        </w:rPr>
        <w:t>Additional outcomes of interest include timeliness based on vaccination dates recorded on child health cards</w:t>
      </w:r>
      <w:r w:rsidR="00050F45">
        <w:rPr>
          <w:rFonts w:ascii="Garamond" w:hAnsi="Garamond"/>
        </w:rPr>
        <w:t xml:space="preserve"> or clinic registers</w:t>
      </w:r>
      <w:r w:rsidR="00B93F1E">
        <w:rPr>
          <w:rFonts w:ascii="Garamond" w:hAnsi="Garamond"/>
        </w:rPr>
        <w:t>.</w:t>
      </w:r>
    </w:p>
    <w:p w14:paraId="352AECA8" w14:textId="4AC5AC04" w:rsidR="007B2642" w:rsidRDefault="007B2642" w:rsidP="00E528DF">
      <w:pPr>
        <w:rPr>
          <w:rFonts w:ascii="Garamond" w:hAnsi="Garamond"/>
        </w:rPr>
      </w:pPr>
    </w:p>
    <w:p w14:paraId="1C64FE21" w14:textId="5960FD3A" w:rsidR="007B2642" w:rsidRDefault="001E3BD8" w:rsidP="00963A8F">
      <w:pPr>
        <w:spacing w:line="259" w:lineRule="auto"/>
        <w:rPr>
          <w:rFonts w:ascii="Garamond" w:hAnsi="Garamond"/>
          <w:b/>
          <w:i/>
        </w:rPr>
      </w:pPr>
      <w:r>
        <w:rPr>
          <w:rFonts w:ascii="Garamond" w:hAnsi="Garamond"/>
          <w:b/>
          <w:i/>
        </w:rPr>
        <w:t>Research Questions</w:t>
      </w:r>
    </w:p>
    <w:p w14:paraId="78DF872A" w14:textId="1C92EA83" w:rsidR="001E3BD8" w:rsidRDefault="00ED465D" w:rsidP="00FA4025">
      <w:pPr>
        <w:jc w:val="both"/>
        <w:rPr>
          <w:rFonts w:ascii="Garamond" w:hAnsi="Garamond"/>
        </w:rPr>
      </w:pPr>
      <w:r>
        <w:rPr>
          <w:rFonts w:ascii="Garamond" w:hAnsi="Garamond"/>
        </w:rPr>
        <w:t>The primary research question</w:t>
      </w:r>
      <w:r w:rsidR="00FE17AE">
        <w:rPr>
          <w:rFonts w:ascii="Garamond" w:hAnsi="Garamond"/>
        </w:rPr>
        <w:t>s are</w:t>
      </w:r>
      <w:r>
        <w:rPr>
          <w:rFonts w:ascii="Garamond" w:hAnsi="Garamond"/>
        </w:rPr>
        <w:t>:</w:t>
      </w:r>
    </w:p>
    <w:p w14:paraId="4B3B54D1" w14:textId="77777777" w:rsidR="00107807" w:rsidRPr="00FB2F7B" w:rsidRDefault="00107807" w:rsidP="00FA4025">
      <w:pPr>
        <w:jc w:val="both"/>
        <w:rPr>
          <w:rFonts w:ascii="Garamond" w:hAnsi="Garamond"/>
          <w:sz w:val="12"/>
        </w:rPr>
      </w:pPr>
    </w:p>
    <w:p w14:paraId="16C2D446" w14:textId="5DC39C7C" w:rsidR="00107807" w:rsidRPr="00727DC1" w:rsidRDefault="00712F1A" w:rsidP="00727DC1">
      <w:pPr>
        <w:pStyle w:val="ListParagraph"/>
        <w:numPr>
          <w:ilvl w:val="0"/>
          <w:numId w:val="2"/>
        </w:numPr>
        <w:spacing w:after="120" w:line="259" w:lineRule="auto"/>
        <w:jc w:val="both"/>
        <w:rPr>
          <w:rFonts w:ascii="Garamond" w:hAnsi="Garamond"/>
        </w:rPr>
      </w:pPr>
      <w:r>
        <w:rPr>
          <w:rFonts w:ascii="Garamond" w:hAnsi="Garamond"/>
        </w:rPr>
        <w:t>What is the effect</w:t>
      </w:r>
      <w:r w:rsidR="00A00236">
        <w:rPr>
          <w:rFonts w:ascii="Garamond" w:hAnsi="Garamond"/>
        </w:rPr>
        <w:t xml:space="preserve"> </w:t>
      </w:r>
      <w:r>
        <w:rPr>
          <w:rFonts w:ascii="Garamond" w:hAnsi="Garamond"/>
        </w:rPr>
        <w:t>of</w:t>
      </w:r>
      <w:r w:rsidR="00ED465D" w:rsidRPr="00ED465D">
        <w:rPr>
          <w:rFonts w:ascii="Garamond" w:hAnsi="Garamond"/>
        </w:rPr>
        <w:t xml:space="preserve"> New Incentives’ program </w:t>
      </w:r>
      <w:r>
        <w:rPr>
          <w:rFonts w:ascii="Garamond" w:hAnsi="Garamond"/>
        </w:rPr>
        <w:t>on</w:t>
      </w:r>
      <w:r w:rsidRPr="00ED465D">
        <w:rPr>
          <w:rFonts w:ascii="Garamond" w:hAnsi="Garamond"/>
        </w:rPr>
        <w:t xml:space="preserve"> </w:t>
      </w:r>
      <w:r w:rsidR="00ED465D" w:rsidRPr="00ED465D">
        <w:rPr>
          <w:rFonts w:ascii="Garamond" w:hAnsi="Garamond"/>
        </w:rPr>
        <w:t xml:space="preserve">the </w:t>
      </w:r>
      <w:r w:rsidR="003D39A3">
        <w:rPr>
          <w:rFonts w:ascii="Garamond" w:hAnsi="Garamond"/>
        </w:rPr>
        <w:t xml:space="preserve">probability </w:t>
      </w:r>
      <w:r w:rsidR="00107807">
        <w:rPr>
          <w:rFonts w:ascii="Garamond" w:hAnsi="Garamond"/>
        </w:rPr>
        <w:t xml:space="preserve">that </w:t>
      </w:r>
      <w:r w:rsidR="00C57E77">
        <w:rPr>
          <w:rFonts w:ascii="Garamond" w:hAnsi="Garamond"/>
        </w:rPr>
        <w:t>a</w:t>
      </w:r>
      <w:r w:rsidR="006105FD">
        <w:rPr>
          <w:rFonts w:ascii="Garamond" w:hAnsi="Garamond"/>
        </w:rPr>
        <w:t xml:space="preserve"> </w:t>
      </w:r>
      <w:r w:rsidR="00FE17AE">
        <w:rPr>
          <w:rFonts w:ascii="Garamond" w:hAnsi="Garamond"/>
        </w:rPr>
        <w:t>12 to 16</w:t>
      </w:r>
      <w:r w:rsidR="00E74DDE">
        <w:rPr>
          <w:rFonts w:ascii="Garamond" w:hAnsi="Garamond"/>
        </w:rPr>
        <w:noBreakHyphen/>
      </w:r>
      <w:r w:rsidR="00FE17AE">
        <w:rPr>
          <w:rFonts w:ascii="Garamond" w:hAnsi="Garamond"/>
        </w:rPr>
        <w:t>month old</w:t>
      </w:r>
      <w:r w:rsidR="00FE17AE" w:rsidRPr="00ED465D">
        <w:rPr>
          <w:rFonts w:ascii="Garamond" w:hAnsi="Garamond"/>
        </w:rPr>
        <w:t xml:space="preserve"> </w:t>
      </w:r>
      <w:r w:rsidR="00460830" w:rsidRPr="00ED465D">
        <w:rPr>
          <w:rFonts w:ascii="Garamond" w:hAnsi="Garamond"/>
        </w:rPr>
        <w:t xml:space="preserve">in a community served by a </w:t>
      </w:r>
      <w:r w:rsidR="00642006">
        <w:rPr>
          <w:rFonts w:ascii="Garamond" w:hAnsi="Garamond"/>
        </w:rPr>
        <w:t>study</w:t>
      </w:r>
      <w:r w:rsidR="00642006" w:rsidRPr="00ED465D">
        <w:rPr>
          <w:rFonts w:ascii="Garamond" w:hAnsi="Garamond"/>
        </w:rPr>
        <w:t xml:space="preserve"> </w:t>
      </w:r>
      <w:r w:rsidR="00460830" w:rsidRPr="00ED465D">
        <w:rPr>
          <w:rFonts w:ascii="Garamond" w:hAnsi="Garamond"/>
        </w:rPr>
        <w:t>clinic</w:t>
      </w:r>
      <w:r w:rsidR="00460830">
        <w:rPr>
          <w:rFonts w:ascii="Garamond" w:hAnsi="Garamond"/>
        </w:rPr>
        <w:t xml:space="preserve"> </w:t>
      </w:r>
      <w:r w:rsidR="006105BA">
        <w:rPr>
          <w:rFonts w:ascii="Garamond" w:hAnsi="Garamond"/>
        </w:rPr>
        <w:t>received BCG</w:t>
      </w:r>
      <w:r w:rsidR="00ED465D" w:rsidRPr="00ED465D">
        <w:rPr>
          <w:rFonts w:ascii="Garamond" w:hAnsi="Garamond"/>
        </w:rPr>
        <w:t>?</w:t>
      </w:r>
    </w:p>
    <w:p w14:paraId="4CB2B5A0" w14:textId="0993D17B" w:rsidR="00107807" w:rsidRPr="00727DC1" w:rsidRDefault="007D3683" w:rsidP="00727DC1">
      <w:pPr>
        <w:pStyle w:val="ListParagraph"/>
        <w:numPr>
          <w:ilvl w:val="0"/>
          <w:numId w:val="2"/>
        </w:numPr>
        <w:spacing w:after="120" w:line="259" w:lineRule="auto"/>
        <w:jc w:val="both"/>
        <w:rPr>
          <w:rFonts w:ascii="Garamond" w:hAnsi="Garamond"/>
        </w:rPr>
      </w:pPr>
      <w:r>
        <w:rPr>
          <w:rFonts w:ascii="Garamond" w:hAnsi="Garamond"/>
        </w:rPr>
        <w:t>What is the effect of</w:t>
      </w:r>
      <w:r w:rsidR="00FE17AE" w:rsidRPr="00ED465D">
        <w:rPr>
          <w:rFonts w:ascii="Garamond" w:hAnsi="Garamond"/>
        </w:rPr>
        <w:t xml:space="preserve"> New Incentives’ program </w:t>
      </w:r>
      <w:r>
        <w:rPr>
          <w:rFonts w:ascii="Garamond" w:hAnsi="Garamond"/>
        </w:rPr>
        <w:t>on</w:t>
      </w:r>
      <w:r w:rsidRPr="00ED465D">
        <w:rPr>
          <w:rFonts w:ascii="Garamond" w:hAnsi="Garamond"/>
        </w:rPr>
        <w:t xml:space="preserve"> </w:t>
      </w:r>
      <w:r w:rsidR="00FE17AE" w:rsidRPr="00ED465D">
        <w:rPr>
          <w:rFonts w:ascii="Garamond" w:hAnsi="Garamond"/>
        </w:rPr>
        <w:t xml:space="preserve">the </w:t>
      </w:r>
      <w:r w:rsidR="003D39A3">
        <w:rPr>
          <w:rFonts w:ascii="Garamond" w:hAnsi="Garamond"/>
        </w:rPr>
        <w:t xml:space="preserve">probability </w:t>
      </w:r>
      <w:r w:rsidR="00107807">
        <w:rPr>
          <w:rFonts w:ascii="Garamond" w:hAnsi="Garamond"/>
        </w:rPr>
        <w:t>that</w:t>
      </w:r>
      <w:r w:rsidR="00C57E77">
        <w:rPr>
          <w:rFonts w:ascii="Garamond" w:hAnsi="Garamond"/>
        </w:rPr>
        <w:t xml:space="preserve"> a</w:t>
      </w:r>
      <w:r w:rsidR="00FE17AE" w:rsidRPr="00ED465D">
        <w:rPr>
          <w:rFonts w:ascii="Garamond" w:hAnsi="Garamond"/>
        </w:rPr>
        <w:t xml:space="preserve"> </w:t>
      </w:r>
      <w:r w:rsidR="00FE17AE">
        <w:rPr>
          <w:rFonts w:ascii="Garamond" w:hAnsi="Garamond"/>
        </w:rPr>
        <w:t xml:space="preserve">12 to </w:t>
      </w:r>
      <w:r w:rsidR="00E74DDE">
        <w:rPr>
          <w:rFonts w:ascii="Garamond" w:hAnsi="Garamond"/>
        </w:rPr>
        <w:t>16</w:t>
      </w:r>
      <w:r w:rsidR="00E74DDE">
        <w:rPr>
          <w:rFonts w:ascii="Garamond" w:hAnsi="Garamond"/>
        </w:rPr>
        <w:noBreakHyphen/>
        <w:t xml:space="preserve">month </w:t>
      </w:r>
      <w:r w:rsidR="00FE17AE">
        <w:rPr>
          <w:rFonts w:ascii="Garamond" w:hAnsi="Garamond"/>
        </w:rPr>
        <w:t>old</w:t>
      </w:r>
      <w:r w:rsidR="00FE17AE" w:rsidRPr="00ED465D">
        <w:rPr>
          <w:rFonts w:ascii="Garamond" w:hAnsi="Garamond"/>
        </w:rPr>
        <w:t xml:space="preserve"> </w:t>
      </w:r>
      <w:r w:rsidR="00460830" w:rsidRPr="00ED465D">
        <w:rPr>
          <w:rFonts w:ascii="Garamond" w:hAnsi="Garamond"/>
        </w:rPr>
        <w:t xml:space="preserve">in a community served by a </w:t>
      </w:r>
      <w:r w:rsidR="00642006">
        <w:rPr>
          <w:rFonts w:ascii="Garamond" w:hAnsi="Garamond"/>
        </w:rPr>
        <w:t>study</w:t>
      </w:r>
      <w:r w:rsidR="00642006" w:rsidRPr="00ED465D">
        <w:rPr>
          <w:rFonts w:ascii="Garamond" w:hAnsi="Garamond"/>
        </w:rPr>
        <w:t xml:space="preserve"> </w:t>
      </w:r>
      <w:r w:rsidR="00460830" w:rsidRPr="00ED465D">
        <w:rPr>
          <w:rFonts w:ascii="Garamond" w:hAnsi="Garamond"/>
        </w:rPr>
        <w:t>clinic</w:t>
      </w:r>
      <w:r w:rsidR="00460830">
        <w:rPr>
          <w:rFonts w:ascii="Garamond" w:hAnsi="Garamond"/>
        </w:rPr>
        <w:t xml:space="preserve"> </w:t>
      </w:r>
      <w:r w:rsidR="00FE17AE">
        <w:rPr>
          <w:rFonts w:ascii="Garamond" w:hAnsi="Garamond"/>
        </w:rPr>
        <w:t>received at least one dose of PENTA</w:t>
      </w:r>
      <w:r w:rsidR="00FE17AE" w:rsidRPr="00ED465D">
        <w:rPr>
          <w:rFonts w:ascii="Garamond" w:hAnsi="Garamond"/>
        </w:rPr>
        <w:t>?</w:t>
      </w:r>
      <w:r w:rsidR="006D05EC">
        <w:rPr>
          <w:rStyle w:val="FootnoteReference"/>
          <w:rFonts w:ascii="Garamond" w:hAnsi="Garamond"/>
        </w:rPr>
        <w:footnoteReference w:id="18"/>
      </w:r>
    </w:p>
    <w:p w14:paraId="251712A6" w14:textId="70DA1AD0" w:rsidR="00FE17AE" w:rsidRPr="006105FD" w:rsidRDefault="007D3683" w:rsidP="006C30CC">
      <w:pPr>
        <w:pStyle w:val="ListParagraph"/>
        <w:numPr>
          <w:ilvl w:val="0"/>
          <w:numId w:val="2"/>
        </w:numPr>
        <w:spacing w:after="120" w:line="259" w:lineRule="auto"/>
        <w:jc w:val="both"/>
        <w:rPr>
          <w:rFonts w:ascii="Garamond" w:hAnsi="Garamond"/>
        </w:rPr>
      </w:pPr>
      <w:r>
        <w:rPr>
          <w:rFonts w:ascii="Garamond" w:hAnsi="Garamond"/>
        </w:rPr>
        <w:t>What is the effect of</w:t>
      </w:r>
      <w:r w:rsidR="00FE17AE" w:rsidRPr="00ED465D">
        <w:rPr>
          <w:rFonts w:ascii="Garamond" w:hAnsi="Garamond"/>
        </w:rPr>
        <w:t xml:space="preserve"> New Incentives’ program </w:t>
      </w:r>
      <w:r>
        <w:rPr>
          <w:rFonts w:ascii="Garamond" w:hAnsi="Garamond"/>
        </w:rPr>
        <w:t>on</w:t>
      </w:r>
      <w:r w:rsidRPr="00ED465D">
        <w:rPr>
          <w:rFonts w:ascii="Garamond" w:hAnsi="Garamond"/>
        </w:rPr>
        <w:t xml:space="preserve"> </w:t>
      </w:r>
      <w:r w:rsidR="00FE17AE" w:rsidRPr="00ED465D">
        <w:rPr>
          <w:rFonts w:ascii="Garamond" w:hAnsi="Garamond"/>
        </w:rPr>
        <w:t xml:space="preserve">the </w:t>
      </w:r>
      <w:r w:rsidR="003D39A3">
        <w:rPr>
          <w:rFonts w:ascii="Garamond" w:hAnsi="Garamond"/>
        </w:rPr>
        <w:t>probability</w:t>
      </w:r>
      <w:r w:rsidR="003D39A3" w:rsidRPr="00ED465D">
        <w:rPr>
          <w:rFonts w:ascii="Garamond" w:hAnsi="Garamond"/>
        </w:rPr>
        <w:t xml:space="preserve"> </w:t>
      </w:r>
      <w:r w:rsidR="00460830">
        <w:rPr>
          <w:rFonts w:ascii="Garamond" w:hAnsi="Garamond"/>
        </w:rPr>
        <w:t xml:space="preserve">that </w:t>
      </w:r>
      <w:r w:rsidR="00C57E77">
        <w:rPr>
          <w:rFonts w:ascii="Garamond" w:hAnsi="Garamond"/>
        </w:rPr>
        <w:t>a</w:t>
      </w:r>
      <w:r w:rsidR="00FE17AE" w:rsidRPr="00ED465D">
        <w:rPr>
          <w:rFonts w:ascii="Garamond" w:hAnsi="Garamond"/>
        </w:rPr>
        <w:t xml:space="preserve"> </w:t>
      </w:r>
      <w:r w:rsidR="00FE17AE">
        <w:rPr>
          <w:rFonts w:ascii="Garamond" w:hAnsi="Garamond"/>
        </w:rPr>
        <w:t xml:space="preserve">12 to </w:t>
      </w:r>
      <w:r w:rsidR="00E74DDE">
        <w:rPr>
          <w:rFonts w:ascii="Garamond" w:hAnsi="Garamond"/>
        </w:rPr>
        <w:t>16</w:t>
      </w:r>
      <w:r w:rsidR="00E74DDE">
        <w:rPr>
          <w:rFonts w:ascii="Garamond" w:hAnsi="Garamond"/>
        </w:rPr>
        <w:noBreakHyphen/>
        <w:t xml:space="preserve">month </w:t>
      </w:r>
      <w:r w:rsidR="00FE17AE">
        <w:rPr>
          <w:rFonts w:ascii="Garamond" w:hAnsi="Garamond"/>
        </w:rPr>
        <w:t>old</w:t>
      </w:r>
      <w:r w:rsidR="00FE17AE" w:rsidRPr="00ED465D">
        <w:rPr>
          <w:rFonts w:ascii="Garamond" w:hAnsi="Garamond"/>
        </w:rPr>
        <w:t xml:space="preserve"> </w:t>
      </w:r>
      <w:r w:rsidR="00460830" w:rsidRPr="00ED465D">
        <w:rPr>
          <w:rFonts w:ascii="Garamond" w:hAnsi="Garamond"/>
        </w:rPr>
        <w:t xml:space="preserve">in a community served by a </w:t>
      </w:r>
      <w:r w:rsidR="00642006">
        <w:rPr>
          <w:rFonts w:ascii="Garamond" w:hAnsi="Garamond"/>
        </w:rPr>
        <w:t>study</w:t>
      </w:r>
      <w:r w:rsidR="00642006" w:rsidRPr="00ED465D">
        <w:rPr>
          <w:rFonts w:ascii="Garamond" w:hAnsi="Garamond"/>
        </w:rPr>
        <w:t xml:space="preserve"> </w:t>
      </w:r>
      <w:r w:rsidR="00460830" w:rsidRPr="00ED465D">
        <w:rPr>
          <w:rFonts w:ascii="Garamond" w:hAnsi="Garamond"/>
        </w:rPr>
        <w:t>clinic</w:t>
      </w:r>
      <w:r w:rsidR="00460830" w:rsidRPr="00460830">
        <w:rPr>
          <w:rFonts w:ascii="Garamond" w:hAnsi="Garamond"/>
        </w:rPr>
        <w:t xml:space="preserve"> </w:t>
      </w:r>
      <w:r w:rsidR="00FE17AE">
        <w:rPr>
          <w:rFonts w:ascii="Garamond" w:hAnsi="Garamond"/>
        </w:rPr>
        <w:t xml:space="preserve">received </w:t>
      </w:r>
      <w:r w:rsidR="00FC0838">
        <w:rPr>
          <w:rFonts w:ascii="Garamond" w:hAnsi="Garamond"/>
        </w:rPr>
        <w:t>Measles</w:t>
      </w:r>
      <w:r w:rsidR="00FE17AE">
        <w:rPr>
          <w:rFonts w:ascii="Garamond" w:hAnsi="Garamond"/>
        </w:rPr>
        <w:t xml:space="preserve"> 1</w:t>
      </w:r>
      <w:r w:rsidR="00FE17AE" w:rsidRPr="00ED465D">
        <w:rPr>
          <w:rFonts w:ascii="Garamond" w:hAnsi="Garamond"/>
        </w:rPr>
        <w:t>?</w:t>
      </w:r>
    </w:p>
    <w:p w14:paraId="26C8CEB5" w14:textId="19DC6ADC" w:rsidR="00ED465D" w:rsidRDefault="00ED465D" w:rsidP="00812FFA">
      <w:pPr>
        <w:spacing w:after="160" w:line="259" w:lineRule="auto"/>
        <w:jc w:val="both"/>
        <w:rPr>
          <w:rFonts w:ascii="Garamond" w:hAnsi="Garamond"/>
        </w:rPr>
      </w:pPr>
      <w:r>
        <w:rPr>
          <w:rFonts w:ascii="Garamond" w:hAnsi="Garamond"/>
        </w:rPr>
        <w:t>Secondary research questions include:</w:t>
      </w:r>
    </w:p>
    <w:p w14:paraId="4C33EC82" w14:textId="0EFDEB89" w:rsidR="00727DC1" w:rsidRPr="00727DC1" w:rsidRDefault="006C42E0" w:rsidP="00727DC1">
      <w:pPr>
        <w:pStyle w:val="ListParagraph"/>
        <w:numPr>
          <w:ilvl w:val="0"/>
          <w:numId w:val="1"/>
        </w:numPr>
        <w:spacing w:after="160" w:line="259" w:lineRule="auto"/>
        <w:jc w:val="both"/>
        <w:rPr>
          <w:rFonts w:ascii="Garamond" w:hAnsi="Garamond"/>
        </w:rPr>
      </w:pPr>
      <w:r w:rsidRPr="00CE05E3">
        <w:rPr>
          <w:rFonts w:ascii="Garamond" w:hAnsi="Garamond"/>
        </w:rPr>
        <w:t xml:space="preserve">What is the effect of New Incentives’ program on the </w:t>
      </w:r>
      <w:r w:rsidR="003D39A3">
        <w:rPr>
          <w:rFonts w:ascii="Garamond" w:hAnsi="Garamond"/>
        </w:rPr>
        <w:t xml:space="preserve">probability </w:t>
      </w:r>
      <w:r w:rsidR="00460830">
        <w:rPr>
          <w:rFonts w:ascii="Garamond" w:hAnsi="Garamond"/>
        </w:rPr>
        <w:t>that</w:t>
      </w:r>
      <w:r w:rsidR="00C57E77">
        <w:rPr>
          <w:rFonts w:ascii="Garamond" w:hAnsi="Garamond"/>
        </w:rPr>
        <w:t xml:space="preserve"> a</w:t>
      </w:r>
      <w:r w:rsidR="00C57E77" w:rsidRPr="00CE05E3">
        <w:rPr>
          <w:rFonts w:ascii="Garamond" w:hAnsi="Garamond"/>
        </w:rPr>
        <w:t xml:space="preserve"> </w:t>
      </w:r>
      <w:r w:rsidR="00FE17AE">
        <w:rPr>
          <w:rFonts w:ascii="Garamond" w:hAnsi="Garamond"/>
        </w:rPr>
        <w:t xml:space="preserve">12 to </w:t>
      </w:r>
      <w:r w:rsidR="00E74DDE">
        <w:rPr>
          <w:rFonts w:ascii="Garamond" w:hAnsi="Garamond"/>
        </w:rPr>
        <w:t>16</w:t>
      </w:r>
      <w:r w:rsidR="00E74DDE">
        <w:rPr>
          <w:rFonts w:ascii="Garamond" w:hAnsi="Garamond"/>
        </w:rPr>
        <w:noBreakHyphen/>
        <w:t xml:space="preserve">month </w:t>
      </w:r>
      <w:r w:rsidR="00FE17AE">
        <w:rPr>
          <w:rFonts w:ascii="Garamond" w:hAnsi="Garamond"/>
        </w:rPr>
        <w:t>old</w:t>
      </w:r>
      <w:r w:rsidR="00460830">
        <w:rPr>
          <w:rFonts w:ascii="Garamond" w:hAnsi="Garamond"/>
        </w:rPr>
        <w:t xml:space="preserve"> in a community served by a </w:t>
      </w:r>
      <w:r w:rsidR="00642006">
        <w:rPr>
          <w:rFonts w:ascii="Garamond" w:hAnsi="Garamond"/>
        </w:rPr>
        <w:t xml:space="preserve">study </w:t>
      </w:r>
      <w:r w:rsidR="00460830">
        <w:rPr>
          <w:rFonts w:ascii="Garamond" w:hAnsi="Garamond"/>
        </w:rPr>
        <w:t>clinic</w:t>
      </w:r>
      <w:r w:rsidR="00C57E77">
        <w:rPr>
          <w:rFonts w:ascii="Garamond" w:hAnsi="Garamond"/>
        </w:rPr>
        <w:t xml:space="preserve"> is fully immunized</w:t>
      </w:r>
      <w:r w:rsidR="008D1FE6">
        <w:rPr>
          <w:rFonts w:ascii="Garamond" w:hAnsi="Garamond"/>
        </w:rPr>
        <w:t xml:space="preserve"> (loose and strict)</w:t>
      </w:r>
      <w:r w:rsidRPr="00CE05E3">
        <w:rPr>
          <w:rFonts w:ascii="Garamond" w:hAnsi="Garamond"/>
        </w:rPr>
        <w:t>?</w:t>
      </w:r>
      <w:r w:rsidR="00CB3B40">
        <w:rPr>
          <w:rStyle w:val="FootnoteReference"/>
          <w:rFonts w:ascii="Garamond" w:hAnsi="Garamond"/>
        </w:rPr>
        <w:footnoteReference w:id="19"/>
      </w:r>
    </w:p>
    <w:p w14:paraId="011A3729" w14:textId="5889C31F" w:rsidR="00107807" w:rsidRDefault="007D3683" w:rsidP="00727DC1">
      <w:pPr>
        <w:pStyle w:val="ListParagraph"/>
        <w:numPr>
          <w:ilvl w:val="0"/>
          <w:numId w:val="1"/>
        </w:numPr>
        <w:spacing w:after="160" w:line="259" w:lineRule="auto"/>
        <w:jc w:val="both"/>
        <w:rPr>
          <w:rFonts w:ascii="Garamond" w:hAnsi="Garamond"/>
        </w:rPr>
      </w:pPr>
      <w:r>
        <w:rPr>
          <w:rFonts w:ascii="Garamond" w:hAnsi="Garamond"/>
        </w:rPr>
        <w:t>What is the effect of</w:t>
      </w:r>
      <w:r w:rsidRPr="006C42E0">
        <w:rPr>
          <w:rFonts w:ascii="Garamond" w:hAnsi="Garamond"/>
        </w:rPr>
        <w:t xml:space="preserve"> </w:t>
      </w:r>
      <w:r w:rsidR="00DD0AD1" w:rsidRPr="006C42E0">
        <w:rPr>
          <w:rFonts w:ascii="Garamond" w:hAnsi="Garamond"/>
        </w:rPr>
        <w:t xml:space="preserve">New Incentives’ program </w:t>
      </w:r>
      <w:r>
        <w:rPr>
          <w:rFonts w:ascii="Garamond" w:hAnsi="Garamond"/>
        </w:rPr>
        <w:t>on</w:t>
      </w:r>
      <w:r w:rsidRPr="006C42E0">
        <w:rPr>
          <w:rFonts w:ascii="Garamond" w:hAnsi="Garamond"/>
        </w:rPr>
        <w:t xml:space="preserve"> </w:t>
      </w:r>
      <w:r w:rsidR="00DD0AD1" w:rsidRPr="006C42E0">
        <w:rPr>
          <w:rFonts w:ascii="Garamond" w:hAnsi="Garamond"/>
        </w:rPr>
        <w:t xml:space="preserve">the timeliness of </w:t>
      </w:r>
      <w:proofErr w:type="spellStart"/>
      <w:r w:rsidR="00DD0AD1" w:rsidRPr="006C42E0">
        <w:rPr>
          <w:rFonts w:ascii="Garamond" w:hAnsi="Garamond"/>
        </w:rPr>
        <w:t>vaccination</w:t>
      </w:r>
      <w:r w:rsidR="00FE17AE">
        <w:rPr>
          <w:rFonts w:ascii="Garamond" w:hAnsi="Garamond"/>
        </w:rPr>
        <w:t>among</w:t>
      </w:r>
      <w:proofErr w:type="spellEnd"/>
      <w:r w:rsidR="00FE17AE">
        <w:rPr>
          <w:rFonts w:ascii="Garamond" w:hAnsi="Garamond"/>
        </w:rPr>
        <w:t xml:space="preserve"> 12 to </w:t>
      </w:r>
      <w:r w:rsidR="00E74DDE">
        <w:rPr>
          <w:rFonts w:ascii="Garamond" w:hAnsi="Garamond"/>
        </w:rPr>
        <w:t>16</w:t>
      </w:r>
      <w:r w:rsidR="00E74DDE">
        <w:rPr>
          <w:rFonts w:ascii="Garamond" w:hAnsi="Garamond"/>
        </w:rPr>
        <w:noBreakHyphen/>
        <w:t xml:space="preserve">month </w:t>
      </w:r>
      <w:proofErr w:type="spellStart"/>
      <w:r w:rsidR="00FE17AE">
        <w:rPr>
          <w:rFonts w:ascii="Garamond" w:hAnsi="Garamond"/>
        </w:rPr>
        <w:t>olds</w:t>
      </w:r>
      <w:proofErr w:type="spellEnd"/>
      <w:r w:rsidR="00460830">
        <w:rPr>
          <w:rFonts w:ascii="Garamond" w:hAnsi="Garamond"/>
        </w:rPr>
        <w:t xml:space="preserve"> in communities served by a </w:t>
      </w:r>
      <w:r w:rsidR="00642006">
        <w:rPr>
          <w:rFonts w:ascii="Garamond" w:hAnsi="Garamond"/>
        </w:rPr>
        <w:t xml:space="preserve">study </w:t>
      </w:r>
      <w:r w:rsidR="00460830">
        <w:rPr>
          <w:rFonts w:ascii="Garamond" w:hAnsi="Garamond"/>
        </w:rPr>
        <w:t>clinic</w:t>
      </w:r>
      <w:r w:rsidR="00DD0AD1" w:rsidRPr="006C42E0">
        <w:rPr>
          <w:rFonts w:ascii="Garamond" w:hAnsi="Garamond"/>
        </w:rPr>
        <w:t>?</w:t>
      </w:r>
    </w:p>
    <w:p w14:paraId="4CF3B30B" w14:textId="4275D8A6" w:rsidR="00727DC1" w:rsidRDefault="00DD0AD1" w:rsidP="00727DC1">
      <w:pPr>
        <w:pStyle w:val="ListParagraph"/>
        <w:numPr>
          <w:ilvl w:val="0"/>
          <w:numId w:val="1"/>
        </w:numPr>
        <w:spacing w:after="160" w:line="259" w:lineRule="auto"/>
        <w:jc w:val="both"/>
        <w:rPr>
          <w:rFonts w:ascii="Garamond" w:hAnsi="Garamond"/>
        </w:rPr>
      </w:pPr>
      <w:r w:rsidRPr="00727DC1">
        <w:rPr>
          <w:rFonts w:ascii="Garamond" w:hAnsi="Garamond"/>
        </w:rPr>
        <w:t>What is the effect of New Incentives’ program on</w:t>
      </w:r>
      <w:r w:rsidR="00866BDF" w:rsidRPr="00727DC1">
        <w:rPr>
          <w:rFonts w:ascii="Garamond" w:hAnsi="Garamond"/>
        </w:rPr>
        <w:t xml:space="preserve"> </w:t>
      </w:r>
      <w:r w:rsidRPr="00727DC1">
        <w:rPr>
          <w:rFonts w:ascii="Garamond" w:hAnsi="Garamond"/>
        </w:rPr>
        <w:t>the average number of vaccines</w:t>
      </w:r>
      <w:r w:rsidR="00A078D1" w:rsidRPr="009A2B82">
        <w:rPr>
          <w:rStyle w:val="FootnoteReference"/>
          <w:rFonts w:ascii="Garamond" w:hAnsi="Garamond"/>
        </w:rPr>
        <w:footnoteReference w:id="20"/>
      </w:r>
      <w:r w:rsidRPr="009A2B82">
        <w:rPr>
          <w:rStyle w:val="FootnoteReference"/>
        </w:rPr>
        <w:t xml:space="preserve"> </w:t>
      </w:r>
      <w:r w:rsidRPr="00727DC1">
        <w:rPr>
          <w:rFonts w:ascii="Garamond" w:hAnsi="Garamond"/>
        </w:rPr>
        <w:t xml:space="preserve">received per </w:t>
      </w:r>
      <w:r w:rsidR="00FE17AE" w:rsidRPr="00727DC1">
        <w:rPr>
          <w:rFonts w:ascii="Garamond" w:hAnsi="Garamond"/>
        </w:rPr>
        <w:t xml:space="preserve">12 to </w:t>
      </w:r>
      <w:r w:rsidR="00E74DDE">
        <w:rPr>
          <w:rFonts w:ascii="Garamond" w:hAnsi="Garamond"/>
        </w:rPr>
        <w:t>16</w:t>
      </w:r>
      <w:r w:rsidR="00E74DDE">
        <w:rPr>
          <w:rFonts w:ascii="Garamond" w:hAnsi="Garamond"/>
        </w:rPr>
        <w:noBreakHyphen/>
        <w:t>month</w:t>
      </w:r>
      <w:r w:rsidR="00E74DDE">
        <w:rPr>
          <w:rFonts w:ascii="Garamond" w:hAnsi="Garamond"/>
        </w:rPr>
        <w:noBreakHyphen/>
      </w:r>
      <w:r w:rsidR="00FE17AE" w:rsidRPr="00727DC1">
        <w:rPr>
          <w:rFonts w:ascii="Garamond" w:hAnsi="Garamond"/>
        </w:rPr>
        <w:t>old child</w:t>
      </w:r>
      <w:r w:rsidR="00460830" w:rsidRPr="00727DC1">
        <w:rPr>
          <w:rFonts w:ascii="Garamond" w:hAnsi="Garamond"/>
        </w:rPr>
        <w:t xml:space="preserve"> in communities served by a </w:t>
      </w:r>
      <w:r w:rsidR="00642006">
        <w:rPr>
          <w:rFonts w:ascii="Garamond" w:hAnsi="Garamond"/>
        </w:rPr>
        <w:t>study</w:t>
      </w:r>
      <w:r w:rsidR="00642006" w:rsidRPr="00727DC1">
        <w:rPr>
          <w:rFonts w:ascii="Garamond" w:hAnsi="Garamond"/>
        </w:rPr>
        <w:t xml:space="preserve"> </w:t>
      </w:r>
      <w:r w:rsidR="00460830" w:rsidRPr="00727DC1">
        <w:rPr>
          <w:rFonts w:ascii="Garamond" w:hAnsi="Garamond"/>
        </w:rPr>
        <w:t>clinic</w:t>
      </w:r>
      <w:r w:rsidRPr="00727DC1">
        <w:rPr>
          <w:rFonts w:ascii="Garamond" w:hAnsi="Garamond"/>
        </w:rPr>
        <w:t>?</w:t>
      </w:r>
    </w:p>
    <w:p w14:paraId="71C21EEE" w14:textId="10013C24" w:rsidR="00BB32B5" w:rsidRDefault="00DD0AD1" w:rsidP="00727DC1">
      <w:pPr>
        <w:pStyle w:val="ListParagraph"/>
        <w:numPr>
          <w:ilvl w:val="0"/>
          <w:numId w:val="1"/>
        </w:numPr>
        <w:spacing w:after="160" w:line="259" w:lineRule="auto"/>
        <w:jc w:val="both"/>
        <w:rPr>
          <w:rFonts w:ascii="Garamond" w:hAnsi="Garamond"/>
        </w:rPr>
      </w:pPr>
      <w:r w:rsidRPr="00727DC1">
        <w:rPr>
          <w:rFonts w:ascii="Garamond" w:hAnsi="Garamond"/>
        </w:rPr>
        <w:t xml:space="preserve">What is the effect of New Incentives’ program on the percentage of </w:t>
      </w:r>
      <w:r w:rsidR="00FE17AE" w:rsidRPr="00727DC1">
        <w:rPr>
          <w:rFonts w:ascii="Garamond" w:hAnsi="Garamond"/>
        </w:rPr>
        <w:t xml:space="preserve">12 to </w:t>
      </w:r>
      <w:r w:rsidR="00E74DDE">
        <w:rPr>
          <w:rFonts w:ascii="Garamond" w:hAnsi="Garamond"/>
        </w:rPr>
        <w:t>16</w:t>
      </w:r>
      <w:r w:rsidR="00E74DDE">
        <w:rPr>
          <w:rFonts w:ascii="Garamond" w:hAnsi="Garamond"/>
        </w:rPr>
        <w:noBreakHyphen/>
        <w:t xml:space="preserve">month </w:t>
      </w:r>
      <w:proofErr w:type="spellStart"/>
      <w:r w:rsidR="00FE17AE" w:rsidRPr="00727DC1">
        <w:rPr>
          <w:rFonts w:ascii="Garamond" w:hAnsi="Garamond"/>
        </w:rPr>
        <w:t>olds</w:t>
      </w:r>
      <w:proofErr w:type="spellEnd"/>
      <w:r w:rsidRPr="00727DC1">
        <w:rPr>
          <w:rFonts w:ascii="Garamond" w:hAnsi="Garamond"/>
        </w:rPr>
        <w:t xml:space="preserve"> </w:t>
      </w:r>
      <w:r w:rsidR="00460830" w:rsidRPr="00727DC1">
        <w:rPr>
          <w:rFonts w:ascii="Garamond" w:hAnsi="Garamond"/>
        </w:rPr>
        <w:t xml:space="preserve">in communities served by a </w:t>
      </w:r>
      <w:r w:rsidR="003D39A3">
        <w:rPr>
          <w:rFonts w:ascii="Garamond" w:hAnsi="Garamond"/>
        </w:rPr>
        <w:t>study</w:t>
      </w:r>
      <w:r w:rsidR="003D39A3" w:rsidRPr="00727DC1">
        <w:rPr>
          <w:rFonts w:ascii="Garamond" w:hAnsi="Garamond"/>
        </w:rPr>
        <w:t xml:space="preserve"> </w:t>
      </w:r>
      <w:r w:rsidR="00460830" w:rsidRPr="00727DC1">
        <w:rPr>
          <w:rFonts w:ascii="Garamond" w:hAnsi="Garamond"/>
        </w:rPr>
        <w:t xml:space="preserve">clinic </w:t>
      </w:r>
      <w:r w:rsidRPr="00727DC1">
        <w:rPr>
          <w:rFonts w:ascii="Garamond" w:hAnsi="Garamond"/>
        </w:rPr>
        <w:t xml:space="preserve">that received at least one </w:t>
      </w:r>
      <w:r w:rsidR="00A078D1" w:rsidRPr="00727DC1">
        <w:rPr>
          <w:rFonts w:ascii="Garamond" w:hAnsi="Garamond"/>
        </w:rPr>
        <w:t xml:space="preserve">injectable </w:t>
      </w:r>
      <w:r w:rsidRPr="00727DC1">
        <w:rPr>
          <w:rFonts w:ascii="Garamond" w:hAnsi="Garamond"/>
        </w:rPr>
        <w:t>vaccine?</w:t>
      </w:r>
    </w:p>
    <w:p w14:paraId="1A6CE6BB" w14:textId="0F5416BA" w:rsidR="00E16424" w:rsidRDefault="00E16424" w:rsidP="00727DC1">
      <w:pPr>
        <w:pStyle w:val="ListParagraph"/>
        <w:numPr>
          <w:ilvl w:val="0"/>
          <w:numId w:val="1"/>
        </w:numPr>
        <w:spacing w:after="160" w:line="259" w:lineRule="auto"/>
        <w:jc w:val="both"/>
        <w:rPr>
          <w:rFonts w:ascii="Garamond" w:hAnsi="Garamond"/>
        </w:rPr>
      </w:pPr>
      <w:r w:rsidRPr="00E16424">
        <w:rPr>
          <w:rFonts w:ascii="Garamond" w:hAnsi="Garamond"/>
        </w:rPr>
        <w:t>What is the effect of New Incentives’ program on the probability that a 12 to 16</w:t>
      </w:r>
      <w:r w:rsidRPr="00E16424">
        <w:rPr>
          <w:rFonts w:ascii="Times New Roman" w:hAnsi="Times New Roman" w:cs="Times New Roman"/>
        </w:rPr>
        <w:t>‑</w:t>
      </w:r>
      <w:r w:rsidRPr="00E16424">
        <w:rPr>
          <w:rFonts w:ascii="Garamond" w:hAnsi="Garamond"/>
        </w:rPr>
        <w:t>month old in a community served by a study clinic received at least one dose of PCV?</w:t>
      </w:r>
    </w:p>
    <w:p w14:paraId="0AFDC7D9" w14:textId="1A5AAB0B" w:rsidR="00C466AC" w:rsidRPr="00982EAF" w:rsidRDefault="00C466AC" w:rsidP="00C466AC">
      <w:pPr>
        <w:pStyle w:val="ListParagraph"/>
        <w:numPr>
          <w:ilvl w:val="0"/>
          <w:numId w:val="1"/>
        </w:numPr>
        <w:spacing w:after="160" w:line="259" w:lineRule="auto"/>
        <w:rPr>
          <w:rFonts w:ascii="Garamond" w:hAnsi="Garamond"/>
        </w:rPr>
      </w:pPr>
      <w:r w:rsidRPr="00D32E87">
        <w:rPr>
          <w:rFonts w:ascii="Garamond" w:hAnsi="Garamond"/>
        </w:rPr>
        <w:lastRenderedPageBreak/>
        <w:t>What is the effect of New Incentives’ program on the change</w:t>
      </w:r>
      <w:r>
        <w:rPr>
          <w:rFonts w:ascii="Garamond" w:hAnsi="Garamond"/>
        </w:rPr>
        <w:t xml:space="preserve"> over time</w:t>
      </w:r>
      <w:r w:rsidRPr="00D32E87">
        <w:rPr>
          <w:rFonts w:ascii="Garamond" w:hAnsi="Garamond"/>
        </w:rPr>
        <w:t xml:space="preserve"> in the volume of BCG, Penta 1, Penta 2, Penta 3, and Measles vaccinations </w:t>
      </w:r>
      <w:r>
        <w:rPr>
          <w:rFonts w:ascii="Garamond" w:hAnsi="Garamond"/>
        </w:rPr>
        <w:t>recorded in clinic administrative records between treatment and control</w:t>
      </w:r>
      <w:r w:rsidRPr="00D32E87">
        <w:rPr>
          <w:rFonts w:ascii="Garamond" w:hAnsi="Garamond"/>
        </w:rPr>
        <w:t>?</w:t>
      </w:r>
      <w:r>
        <w:rPr>
          <w:rStyle w:val="FootnoteReference"/>
          <w:rFonts w:ascii="Garamond" w:hAnsi="Garamond"/>
        </w:rPr>
        <w:footnoteReference w:id="21"/>
      </w:r>
      <w:r>
        <w:rPr>
          <w:rFonts w:ascii="Garamond" w:hAnsi="Garamond"/>
        </w:rPr>
        <w:t xml:space="preserve"> </w:t>
      </w:r>
      <w:r>
        <w:rPr>
          <w:rStyle w:val="FootnoteReference"/>
          <w:rFonts w:ascii="Garamond" w:hAnsi="Garamond"/>
        </w:rPr>
        <w:footnoteReference w:id="22"/>
      </w:r>
    </w:p>
    <w:p w14:paraId="27F89685" w14:textId="77777777" w:rsidR="00D32E87" w:rsidRPr="00727DC1" w:rsidRDefault="00D32E87" w:rsidP="00982EAF">
      <w:pPr>
        <w:pStyle w:val="ListParagraph"/>
        <w:spacing w:after="160" w:line="259" w:lineRule="auto"/>
        <w:jc w:val="both"/>
        <w:rPr>
          <w:rFonts w:ascii="Garamond" w:hAnsi="Garamond"/>
        </w:rPr>
      </w:pPr>
    </w:p>
    <w:p w14:paraId="4BD21005" w14:textId="77777777" w:rsidR="004F507B" w:rsidRPr="004F507B" w:rsidRDefault="004F507B" w:rsidP="004F507B">
      <w:pPr>
        <w:jc w:val="both"/>
        <w:rPr>
          <w:rFonts w:ascii="Garamond" w:hAnsi="Garamond"/>
        </w:rPr>
      </w:pPr>
    </w:p>
    <w:p w14:paraId="6EB28BC3" w14:textId="77777777" w:rsidR="006E544E" w:rsidRDefault="006E544E" w:rsidP="006E544E">
      <w:pPr>
        <w:keepNext/>
        <w:spacing w:line="259" w:lineRule="auto"/>
        <w:rPr>
          <w:rFonts w:ascii="Garamond" w:hAnsi="Garamond"/>
          <w:b/>
          <w:i/>
        </w:rPr>
      </w:pPr>
      <w:r>
        <w:rPr>
          <w:rFonts w:ascii="Garamond" w:hAnsi="Garamond"/>
          <w:b/>
          <w:i/>
        </w:rPr>
        <w:t>Power</w:t>
      </w:r>
    </w:p>
    <w:p w14:paraId="1094D4A7" w14:textId="662E2076" w:rsidR="00E01F7A" w:rsidRDefault="00E01F7A" w:rsidP="001424A0">
      <w:pPr>
        <w:jc w:val="both"/>
        <w:rPr>
          <w:rFonts w:ascii="Garamond" w:hAnsi="Garamond"/>
        </w:rPr>
      </w:pPr>
      <w:r>
        <w:rPr>
          <w:rFonts w:ascii="Garamond" w:hAnsi="Garamond"/>
        </w:rPr>
        <w:t>T</w:t>
      </w:r>
      <w:r w:rsidR="006E544E">
        <w:rPr>
          <w:rFonts w:ascii="Garamond" w:hAnsi="Garamond"/>
        </w:rPr>
        <w:t xml:space="preserve">he study </w:t>
      </w:r>
      <w:r>
        <w:rPr>
          <w:rFonts w:ascii="Garamond" w:hAnsi="Garamond"/>
        </w:rPr>
        <w:t>has</w:t>
      </w:r>
      <w:r w:rsidR="006E544E">
        <w:rPr>
          <w:rFonts w:ascii="Garamond" w:hAnsi="Garamond"/>
        </w:rPr>
        <w:t xml:space="preserve"> an 80% chance (power) to detect a</w:t>
      </w:r>
      <w:r w:rsidR="00B53E6E">
        <w:rPr>
          <w:rFonts w:ascii="Garamond" w:hAnsi="Garamond"/>
        </w:rPr>
        <w:t xml:space="preserve"> roughly</w:t>
      </w:r>
      <w:r w:rsidR="006E544E">
        <w:rPr>
          <w:rFonts w:ascii="Garamond" w:hAnsi="Garamond"/>
        </w:rPr>
        <w:t xml:space="preserve"> </w:t>
      </w:r>
      <w:r w:rsidR="000E64E0">
        <w:rPr>
          <w:rFonts w:ascii="Garamond" w:hAnsi="Garamond"/>
        </w:rPr>
        <w:t>1</w:t>
      </w:r>
      <w:r w:rsidR="00B53E6E">
        <w:rPr>
          <w:rFonts w:ascii="Garamond" w:hAnsi="Garamond"/>
        </w:rPr>
        <w:t>1</w:t>
      </w:r>
      <w:r w:rsidR="006E544E">
        <w:rPr>
          <w:rFonts w:ascii="Garamond" w:hAnsi="Garamond"/>
        </w:rPr>
        <w:t>-percentage</w:t>
      </w:r>
      <w:r w:rsidR="00F32EDA">
        <w:rPr>
          <w:rFonts w:ascii="Garamond" w:hAnsi="Garamond"/>
        </w:rPr>
        <w:t>-</w:t>
      </w:r>
      <w:r w:rsidR="006E544E">
        <w:rPr>
          <w:rFonts w:ascii="Garamond" w:hAnsi="Garamond"/>
        </w:rPr>
        <w:t>point increase</w:t>
      </w:r>
      <w:r w:rsidR="00291DAC">
        <w:rPr>
          <w:rStyle w:val="FootnoteReference"/>
          <w:rFonts w:ascii="Garamond" w:hAnsi="Garamond"/>
        </w:rPr>
        <w:footnoteReference w:id="23"/>
      </w:r>
      <w:r w:rsidR="006E544E">
        <w:rPr>
          <w:rFonts w:ascii="Garamond" w:hAnsi="Garamond"/>
        </w:rPr>
        <w:t xml:space="preserve"> in measles coverage across 167 clusters</w:t>
      </w:r>
      <w:r>
        <w:rPr>
          <w:rFonts w:ascii="Garamond" w:hAnsi="Garamond"/>
        </w:rPr>
        <w:t xml:space="preserve"> using the following parameters:</w:t>
      </w:r>
    </w:p>
    <w:p w14:paraId="29A732B2" w14:textId="09072EDF" w:rsidR="00B53E6E" w:rsidRDefault="00B53E6E" w:rsidP="00E01F7A">
      <w:pPr>
        <w:pStyle w:val="ListParagraph"/>
        <w:numPr>
          <w:ilvl w:val="0"/>
          <w:numId w:val="58"/>
        </w:numPr>
        <w:jc w:val="both"/>
        <w:rPr>
          <w:rFonts w:ascii="Garamond" w:hAnsi="Garamond"/>
        </w:rPr>
      </w:pPr>
      <w:r>
        <w:rPr>
          <w:rFonts w:ascii="Garamond" w:hAnsi="Garamond"/>
        </w:rPr>
        <w:t>C</w:t>
      </w:r>
      <w:r w:rsidRPr="00B53E6E">
        <w:rPr>
          <w:rFonts w:ascii="Garamond" w:hAnsi="Garamond"/>
        </w:rPr>
        <w:t>onservative control group coverage rate of 40%.</w:t>
      </w:r>
    </w:p>
    <w:p w14:paraId="5BC42D86" w14:textId="1796EF74" w:rsidR="00E01F7A" w:rsidRDefault="00B53E6E" w:rsidP="00E01F7A">
      <w:pPr>
        <w:pStyle w:val="ListParagraph"/>
        <w:numPr>
          <w:ilvl w:val="0"/>
          <w:numId w:val="58"/>
        </w:numPr>
        <w:jc w:val="both"/>
        <w:rPr>
          <w:rFonts w:ascii="Garamond" w:hAnsi="Garamond"/>
        </w:rPr>
      </w:pPr>
      <w:r>
        <w:rPr>
          <w:rFonts w:ascii="Garamond" w:hAnsi="Garamond"/>
        </w:rPr>
        <w:t xml:space="preserve">Conservative </w:t>
      </w:r>
      <w:proofErr w:type="spellStart"/>
      <w:r>
        <w:rPr>
          <w:rFonts w:ascii="Garamond" w:hAnsi="Garamond"/>
        </w:rPr>
        <w:t>i</w:t>
      </w:r>
      <w:r w:rsidR="00E01F7A" w:rsidRPr="00E01F7A">
        <w:rPr>
          <w:rFonts w:ascii="Garamond" w:hAnsi="Garamond"/>
        </w:rPr>
        <w:t>ntracluster</w:t>
      </w:r>
      <w:proofErr w:type="spellEnd"/>
      <w:r w:rsidR="00E01F7A" w:rsidRPr="00E01F7A">
        <w:rPr>
          <w:rFonts w:ascii="Garamond" w:hAnsi="Garamond"/>
        </w:rPr>
        <w:t xml:space="preserve"> correlation coefficient </w:t>
      </w:r>
      <w:r w:rsidR="00E01F7A">
        <w:rPr>
          <w:rFonts w:ascii="Garamond" w:hAnsi="Garamond"/>
        </w:rPr>
        <w:t xml:space="preserve">of </w:t>
      </w:r>
      <w:r w:rsidR="00E01F7A" w:rsidRPr="00E01F7A">
        <w:rPr>
          <w:rFonts w:ascii="Garamond" w:hAnsi="Garamond"/>
        </w:rPr>
        <w:t>0.</w:t>
      </w:r>
      <w:r>
        <w:rPr>
          <w:rFonts w:ascii="Garamond" w:hAnsi="Garamond"/>
        </w:rPr>
        <w:t>2</w:t>
      </w:r>
      <w:r>
        <w:rPr>
          <w:rStyle w:val="FootnoteReference"/>
          <w:rFonts w:ascii="Garamond" w:hAnsi="Garamond"/>
        </w:rPr>
        <w:footnoteReference w:id="24"/>
      </w:r>
    </w:p>
    <w:p w14:paraId="68865178" w14:textId="0523CAAF" w:rsidR="00E01F7A" w:rsidRDefault="00E01F7A" w:rsidP="00E01F7A">
      <w:pPr>
        <w:pStyle w:val="ListParagraph"/>
        <w:numPr>
          <w:ilvl w:val="0"/>
          <w:numId w:val="58"/>
        </w:numPr>
        <w:jc w:val="both"/>
        <w:rPr>
          <w:rFonts w:ascii="Garamond" w:hAnsi="Garamond"/>
        </w:rPr>
      </w:pPr>
      <w:r>
        <w:rPr>
          <w:rFonts w:ascii="Garamond" w:hAnsi="Garamond"/>
        </w:rPr>
        <w:t>A</w:t>
      </w:r>
      <w:r w:rsidR="006E544E" w:rsidRPr="00E01F7A">
        <w:rPr>
          <w:rFonts w:ascii="Garamond" w:hAnsi="Garamond"/>
        </w:rPr>
        <w:t>n alpha</w:t>
      </w:r>
      <w:r>
        <w:rPr>
          <w:rFonts w:ascii="Garamond" w:hAnsi="Garamond"/>
        </w:rPr>
        <w:t xml:space="preserve"> (chance of false positive under a true null hypothesis)</w:t>
      </w:r>
      <w:r w:rsidR="006E544E" w:rsidRPr="00E01F7A">
        <w:rPr>
          <w:rFonts w:ascii="Garamond" w:hAnsi="Garamond"/>
        </w:rPr>
        <w:t xml:space="preserve"> of 5%</w:t>
      </w:r>
    </w:p>
    <w:p w14:paraId="29FA3B4B" w14:textId="2B2B50DF" w:rsidR="00E01F7A" w:rsidRDefault="00E01F7A" w:rsidP="00E01F7A">
      <w:pPr>
        <w:pStyle w:val="ListParagraph"/>
        <w:numPr>
          <w:ilvl w:val="0"/>
          <w:numId w:val="58"/>
        </w:numPr>
        <w:jc w:val="both"/>
        <w:rPr>
          <w:rFonts w:ascii="Garamond" w:hAnsi="Garamond"/>
        </w:rPr>
      </w:pPr>
      <w:r>
        <w:rPr>
          <w:rFonts w:ascii="Garamond" w:hAnsi="Garamond"/>
        </w:rPr>
        <w:t>S</w:t>
      </w:r>
      <w:r w:rsidR="00CD5CE5" w:rsidRPr="00E01F7A">
        <w:rPr>
          <w:rFonts w:ascii="Garamond" w:hAnsi="Garamond"/>
        </w:rPr>
        <w:t>ample size of just over 7,500 infants</w:t>
      </w:r>
      <w:r w:rsidR="00B53E6E">
        <w:rPr>
          <w:rFonts w:ascii="Garamond" w:hAnsi="Garamond"/>
        </w:rPr>
        <w:t xml:space="preserve"> or 4</w:t>
      </w:r>
      <w:r w:rsidR="0096030B">
        <w:rPr>
          <w:rFonts w:ascii="Garamond" w:hAnsi="Garamond"/>
        </w:rPr>
        <w:t>5 per catchment</w:t>
      </w:r>
      <w:r w:rsidR="00CD5CE5">
        <w:rPr>
          <w:rStyle w:val="FootnoteReference"/>
          <w:rFonts w:ascii="Garamond" w:hAnsi="Garamond"/>
        </w:rPr>
        <w:footnoteReference w:id="25"/>
      </w:r>
    </w:p>
    <w:p w14:paraId="6FD07403" w14:textId="146CFD00" w:rsidR="00E01F7A" w:rsidRPr="00B64244" w:rsidRDefault="00E01F7A" w:rsidP="00B64244">
      <w:pPr>
        <w:pStyle w:val="ListParagraph"/>
        <w:numPr>
          <w:ilvl w:val="0"/>
          <w:numId w:val="58"/>
        </w:numPr>
        <w:jc w:val="both"/>
        <w:rPr>
          <w:rFonts w:ascii="Garamond" w:hAnsi="Garamond"/>
        </w:rPr>
      </w:pPr>
      <w:r>
        <w:rPr>
          <w:rFonts w:ascii="Garamond" w:hAnsi="Garamond"/>
        </w:rPr>
        <w:t>The</w:t>
      </w:r>
      <w:r w:rsidRPr="00E01F7A">
        <w:rPr>
          <w:rFonts w:ascii="Garamond" w:hAnsi="Garamond"/>
        </w:rPr>
        <w:t xml:space="preserve"> </w:t>
      </w:r>
      <w:r w:rsidR="00642006">
        <w:rPr>
          <w:rFonts w:ascii="Garamond" w:hAnsi="Garamond"/>
        </w:rPr>
        <w:t>Free Step-Down Resampling (FSDR) method</w:t>
      </w:r>
      <w:r w:rsidRPr="00E01F7A">
        <w:rPr>
          <w:rFonts w:ascii="Garamond" w:hAnsi="Garamond"/>
        </w:rPr>
        <w:t xml:space="preserve"> for multiple hypotheses</w:t>
      </w:r>
      <w:r w:rsidR="00291DAC">
        <w:rPr>
          <w:rStyle w:val="FootnoteReference"/>
          <w:rFonts w:ascii="Garamond" w:hAnsi="Garamond"/>
        </w:rPr>
        <w:footnoteReference w:id="26"/>
      </w:r>
    </w:p>
    <w:p w14:paraId="38028BD2" w14:textId="54BAB960" w:rsidR="00497095" w:rsidRDefault="00497095" w:rsidP="00296C77">
      <w:pPr>
        <w:jc w:val="both"/>
        <w:rPr>
          <w:rFonts w:ascii="Garamond" w:hAnsi="Garamond"/>
        </w:rPr>
      </w:pPr>
    </w:p>
    <w:p w14:paraId="6855FD71" w14:textId="77777777" w:rsidR="00497095" w:rsidRPr="007B2642" w:rsidRDefault="00497095" w:rsidP="00497095">
      <w:pPr>
        <w:pStyle w:val="Heading4"/>
        <w:spacing w:before="0" w:line="259" w:lineRule="auto"/>
        <w:jc w:val="both"/>
        <w:rPr>
          <w:rFonts w:ascii="Garamond" w:hAnsi="Garamond"/>
          <w:b/>
          <w:color w:val="auto"/>
        </w:rPr>
      </w:pPr>
      <w:r>
        <w:rPr>
          <w:rFonts w:ascii="Garamond" w:hAnsi="Garamond"/>
          <w:b/>
          <w:color w:val="auto"/>
        </w:rPr>
        <w:t>Clinic Sample</w:t>
      </w:r>
    </w:p>
    <w:p w14:paraId="61759154" w14:textId="391AC0A9" w:rsidR="002F67C1" w:rsidRDefault="00CA63F5" w:rsidP="002F67C1">
      <w:pPr>
        <w:jc w:val="both"/>
        <w:rPr>
          <w:rFonts w:ascii="Garamond" w:hAnsi="Garamond"/>
        </w:rPr>
      </w:pPr>
      <w:r>
        <w:rPr>
          <w:rFonts w:ascii="Garamond" w:hAnsi="Garamond"/>
        </w:rPr>
        <w:t xml:space="preserve">New Incentives and </w:t>
      </w:r>
      <w:proofErr w:type="spellStart"/>
      <w:r>
        <w:rPr>
          <w:rFonts w:ascii="Garamond" w:hAnsi="Garamond"/>
        </w:rPr>
        <w:t>IDinsight</w:t>
      </w:r>
      <w:proofErr w:type="spellEnd"/>
      <w:r>
        <w:rPr>
          <w:rFonts w:ascii="Garamond" w:hAnsi="Garamond"/>
        </w:rPr>
        <w:t xml:space="preserve"> worked together to arrive at a representative sample of </w:t>
      </w:r>
      <w:r w:rsidRPr="00BC5954">
        <w:rPr>
          <w:rFonts w:ascii="Garamond" w:hAnsi="Garamond"/>
        </w:rPr>
        <w:t>operational</w:t>
      </w:r>
      <w:r>
        <w:rPr>
          <w:rFonts w:ascii="Garamond" w:hAnsi="Garamond"/>
        </w:rPr>
        <w:t xml:space="preserve"> </w:t>
      </w:r>
      <w:r w:rsidRPr="00BC5954">
        <w:rPr>
          <w:rFonts w:ascii="Garamond" w:hAnsi="Garamond"/>
        </w:rPr>
        <w:t>and secure clinic</w:t>
      </w:r>
      <w:r>
        <w:rPr>
          <w:rFonts w:ascii="Garamond" w:hAnsi="Garamond"/>
        </w:rPr>
        <w:t>s</w:t>
      </w:r>
      <w:r w:rsidRPr="00BC5954">
        <w:rPr>
          <w:rFonts w:ascii="Garamond" w:hAnsi="Garamond"/>
        </w:rPr>
        <w:t xml:space="preserve"> offering routine immunization services in Zamfara, Katsina</w:t>
      </w:r>
      <w:r>
        <w:rPr>
          <w:rFonts w:ascii="Garamond" w:hAnsi="Garamond"/>
        </w:rPr>
        <w:t>,</w:t>
      </w:r>
      <w:r w:rsidRPr="00BC5954">
        <w:rPr>
          <w:rFonts w:ascii="Garamond" w:hAnsi="Garamond"/>
        </w:rPr>
        <w:t xml:space="preserve"> and Jigawa</w:t>
      </w:r>
      <w:r>
        <w:rPr>
          <w:rFonts w:ascii="Garamond" w:hAnsi="Garamond"/>
        </w:rPr>
        <w:t xml:space="preserve"> (details on clinic selection are in Annex 1). Allowing New Incentives to drive study clinic selection for operational reasons makes study results a reasonable forecast of results at scale</w:t>
      </w:r>
      <w:r w:rsidRPr="00BC5954">
        <w:rPr>
          <w:rFonts w:ascii="Garamond" w:hAnsi="Garamond"/>
        </w:rPr>
        <w:t>.</w:t>
      </w:r>
      <w:r>
        <w:rPr>
          <w:rFonts w:ascii="Garamond" w:hAnsi="Garamond"/>
        </w:rPr>
        <w:t xml:space="preserve"> </w:t>
      </w:r>
      <w:r w:rsidR="00497095" w:rsidRPr="00BC5954">
        <w:rPr>
          <w:rFonts w:ascii="Garamond" w:hAnsi="Garamond"/>
        </w:rPr>
        <w:t xml:space="preserve">New Incentives </w:t>
      </w:r>
      <w:r w:rsidR="00497095">
        <w:rPr>
          <w:rFonts w:ascii="Garamond" w:hAnsi="Garamond"/>
        </w:rPr>
        <w:t>select</w:t>
      </w:r>
      <w:r>
        <w:rPr>
          <w:rFonts w:ascii="Garamond" w:hAnsi="Garamond"/>
        </w:rPr>
        <w:t>ed</w:t>
      </w:r>
      <w:r w:rsidR="00497095">
        <w:rPr>
          <w:rFonts w:ascii="Garamond" w:hAnsi="Garamond"/>
        </w:rPr>
        <w:t xml:space="preserve"> clinics</w:t>
      </w:r>
      <w:r>
        <w:rPr>
          <w:rFonts w:ascii="Garamond" w:hAnsi="Garamond"/>
        </w:rPr>
        <w:t xml:space="preserve"> to operate in</w:t>
      </w:r>
      <w:r w:rsidR="00497095">
        <w:rPr>
          <w:rFonts w:ascii="Garamond" w:hAnsi="Garamond"/>
        </w:rPr>
        <w:t xml:space="preserve"> based on</w:t>
      </w:r>
      <w:r w:rsidR="00497095" w:rsidRPr="00BC5954">
        <w:rPr>
          <w:rFonts w:ascii="Garamond" w:hAnsi="Garamond"/>
        </w:rPr>
        <w:t xml:space="preserve"> four criteria: security, availability of routine immunization (RI) services, remoteness</w:t>
      </w:r>
      <w:r w:rsidR="001C1600">
        <w:rPr>
          <w:rStyle w:val="FootnoteReference"/>
          <w:rFonts w:ascii="Garamond" w:hAnsi="Garamond"/>
        </w:rPr>
        <w:footnoteReference w:id="27"/>
      </w:r>
      <w:r w:rsidR="001C1600">
        <w:rPr>
          <w:rFonts w:ascii="Garamond" w:hAnsi="Garamond"/>
        </w:rPr>
        <w:t>,</w:t>
      </w:r>
      <w:r w:rsidR="00A8213E" w:rsidRPr="00A8213E">
        <w:rPr>
          <w:rStyle w:val="FootnoteReference"/>
          <w:rFonts w:ascii="Garamond" w:hAnsi="Garamond"/>
        </w:rPr>
        <w:t xml:space="preserve"> </w:t>
      </w:r>
      <w:r w:rsidR="00497095" w:rsidRPr="00BC5954">
        <w:rPr>
          <w:rFonts w:ascii="Garamond" w:hAnsi="Garamond"/>
        </w:rPr>
        <w:t xml:space="preserve">and staffing. </w:t>
      </w:r>
      <w:r w:rsidR="00497095">
        <w:rPr>
          <w:rFonts w:ascii="Garamond" w:hAnsi="Garamond"/>
        </w:rPr>
        <w:t>New Incentives excluded clinics where there were no routine immunization services or that did not meet minimum security criteria.</w:t>
      </w:r>
      <w:r w:rsidR="00497095">
        <w:rPr>
          <w:rStyle w:val="FootnoteReference"/>
          <w:rFonts w:ascii="Garamond" w:hAnsi="Garamond"/>
        </w:rPr>
        <w:footnoteReference w:id="28"/>
      </w:r>
      <w:r w:rsidR="00497095">
        <w:rPr>
          <w:rFonts w:ascii="Garamond" w:hAnsi="Garamond"/>
        </w:rPr>
        <w:t xml:space="preserve"> New Incentives still chose to include a few clinics in the study that were remote and </w:t>
      </w:r>
      <w:r w:rsidR="00167EE2">
        <w:rPr>
          <w:rFonts w:ascii="Garamond" w:hAnsi="Garamond"/>
        </w:rPr>
        <w:t>had few staff</w:t>
      </w:r>
      <w:r w:rsidR="00497095">
        <w:rPr>
          <w:rFonts w:ascii="Garamond" w:hAnsi="Garamond"/>
        </w:rPr>
        <w:t xml:space="preserve"> (more than 3 hours from an ATM and with</w:t>
      </w:r>
      <w:r w:rsidR="00965C47">
        <w:rPr>
          <w:rFonts w:ascii="Garamond" w:hAnsi="Garamond"/>
        </w:rPr>
        <w:t xml:space="preserve"> only</w:t>
      </w:r>
      <w:r w:rsidR="00497095">
        <w:rPr>
          <w:rFonts w:ascii="Garamond" w:hAnsi="Garamond"/>
        </w:rPr>
        <w:t xml:space="preserve"> one RI staff member) in order to test whether they are viable. </w:t>
      </w:r>
      <w:r w:rsidR="00497095" w:rsidRPr="00BC5954">
        <w:rPr>
          <w:rFonts w:ascii="Garamond" w:hAnsi="Garamond"/>
        </w:rPr>
        <w:t>Clinics with stockouts of vaccines or child he</w:t>
      </w:r>
      <w:r w:rsidR="00497095">
        <w:rPr>
          <w:rFonts w:ascii="Garamond" w:hAnsi="Garamond"/>
        </w:rPr>
        <w:t>alth cards, low</w:t>
      </w:r>
      <w:r>
        <w:rPr>
          <w:rFonts w:ascii="Garamond" w:hAnsi="Garamond"/>
        </w:rPr>
        <w:t xml:space="preserve"> patient </w:t>
      </w:r>
      <w:r w:rsidR="00497095">
        <w:rPr>
          <w:rFonts w:ascii="Garamond" w:hAnsi="Garamond"/>
        </w:rPr>
        <w:t>volume,</w:t>
      </w:r>
      <w:r w:rsidR="00497095" w:rsidRPr="00BC5954">
        <w:rPr>
          <w:rFonts w:ascii="Garamond" w:hAnsi="Garamond"/>
        </w:rPr>
        <w:t xml:space="preserve"> and clinics with designations such as Dispensaries or Health Posts were </w:t>
      </w:r>
      <w:r w:rsidR="00497095">
        <w:rPr>
          <w:rFonts w:ascii="Garamond" w:hAnsi="Garamond"/>
        </w:rPr>
        <w:t>still included</w:t>
      </w:r>
      <w:r w:rsidR="00497095" w:rsidRPr="00BC5954">
        <w:rPr>
          <w:rFonts w:ascii="Garamond" w:hAnsi="Garamond"/>
        </w:rPr>
        <w:t xml:space="preserve"> because these are clinics that New Incentives would include at </w:t>
      </w:r>
      <w:r w:rsidR="00497095" w:rsidRPr="00BC5954">
        <w:rPr>
          <w:rFonts w:ascii="Garamond" w:hAnsi="Garamond"/>
        </w:rPr>
        <w:lastRenderedPageBreak/>
        <w:t>sca</w:t>
      </w:r>
      <w:r w:rsidR="00497095">
        <w:rPr>
          <w:rFonts w:ascii="Garamond" w:hAnsi="Garamond"/>
        </w:rPr>
        <w:t>le.</w:t>
      </w:r>
      <w:r w:rsidR="002F67C1">
        <w:rPr>
          <w:rFonts w:ascii="Garamond" w:hAnsi="Garamond"/>
        </w:rPr>
        <w:t xml:space="preserve"> Lastly, we also sampled </w:t>
      </w:r>
      <w:proofErr w:type="gramStart"/>
      <w:r w:rsidR="002F67C1">
        <w:rPr>
          <w:rFonts w:ascii="Garamond" w:hAnsi="Garamond"/>
        </w:rPr>
        <w:t>so as</w:t>
      </w:r>
      <w:r w:rsidR="002F67C1" w:rsidRPr="00BC5954">
        <w:rPr>
          <w:rFonts w:ascii="Garamond" w:hAnsi="Garamond"/>
        </w:rPr>
        <w:t xml:space="preserve"> to</w:t>
      </w:r>
      <w:proofErr w:type="gramEnd"/>
      <w:r w:rsidR="002F67C1" w:rsidRPr="00BC5954">
        <w:rPr>
          <w:rFonts w:ascii="Garamond" w:hAnsi="Garamond"/>
        </w:rPr>
        <w:t xml:space="preserve"> maximize distance between selected clinics and thus minimize potential contamination between treatment and control clinics.</w:t>
      </w:r>
      <w:r w:rsidR="002F67C1">
        <w:rPr>
          <w:rStyle w:val="FootnoteReference"/>
          <w:rFonts w:ascii="Garamond" w:hAnsi="Garamond"/>
        </w:rPr>
        <w:footnoteReference w:id="29"/>
      </w:r>
    </w:p>
    <w:p w14:paraId="456F5381" w14:textId="77777777" w:rsidR="00497095" w:rsidRPr="00BC5954" w:rsidRDefault="00497095" w:rsidP="00497095">
      <w:pPr>
        <w:jc w:val="both"/>
        <w:rPr>
          <w:rFonts w:ascii="Garamond" w:hAnsi="Garamond"/>
        </w:rPr>
      </w:pPr>
    </w:p>
    <w:p w14:paraId="1A6679A9" w14:textId="0D237992" w:rsidR="00497095" w:rsidRPr="005E0934" w:rsidRDefault="00497095" w:rsidP="002F67C1">
      <w:pPr>
        <w:jc w:val="both"/>
        <w:rPr>
          <w:rFonts w:ascii="Garamond" w:hAnsi="Garamond"/>
        </w:rPr>
      </w:pPr>
      <w:r w:rsidRPr="00BC5954">
        <w:rPr>
          <w:rFonts w:ascii="Garamond" w:hAnsi="Garamond"/>
        </w:rPr>
        <w:t>Clinic selection occurred in roughly three phases. First,</w:t>
      </w:r>
      <w:r>
        <w:rPr>
          <w:rFonts w:ascii="Garamond" w:hAnsi="Garamond"/>
        </w:rPr>
        <w:t xml:space="preserve"> New Incentives selected 130</w:t>
      </w:r>
      <w:r w:rsidRPr="00BC5954">
        <w:rPr>
          <w:rFonts w:ascii="Garamond" w:hAnsi="Garamond"/>
        </w:rPr>
        <w:t xml:space="preserve"> clinics in Katsina and Zamfara in preparation for the baseline. After the end of</w:t>
      </w:r>
      <w:r>
        <w:rPr>
          <w:rFonts w:ascii="Garamond" w:hAnsi="Garamond"/>
        </w:rPr>
        <w:t xml:space="preserve"> baseline</w:t>
      </w:r>
      <w:r w:rsidRPr="00BC5954">
        <w:rPr>
          <w:rFonts w:ascii="Garamond" w:hAnsi="Garamond"/>
        </w:rPr>
        <w:t xml:space="preserve"> data collection</w:t>
      </w:r>
      <w:r>
        <w:rPr>
          <w:rFonts w:ascii="Garamond" w:hAnsi="Garamond"/>
        </w:rPr>
        <w:t xml:space="preserve"> (but prior to random assignment)</w:t>
      </w:r>
      <w:r w:rsidRPr="00BC5954">
        <w:rPr>
          <w:rFonts w:ascii="Garamond" w:hAnsi="Garamond"/>
        </w:rPr>
        <w:t xml:space="preserve">, </w:t>
      </w:r>
      <w:r>
        <w:rPr>
          <w:rFonts w:ascii="Garamond" w:hAnsi="Garamond"/>
        </w:rPr>
        <w:t>New Incentives reduced the</w:t>
      </w:r>
      <w:r w:rsidRPr="00BC5954">
        <w:rPr>
          <w:rFonts w:ascii="Garamond" w:hAnsi="Garamond"/>
        </w:rPr>
        <w:t xml:space="preserve"> Katsina and Zamfara clinic list </w:t>
      </w:r>
      <w:r>
        <w:rPr>
          <w:rFonts w:ascii="Garamond" w:hAnsi="Garamond"/>
        </w:rPr>
        <w:t>based on</w:t>
      </w:r>
      <w:r w:rsidRPr="00BC5954">
        <w:rPr>
          <w:rFonts w:ascii="Garamond" w:hAnsi="Garamond"/>
        </w:rPr>
        <w:t xml:space="preserve"> security.</w:t>
      </w:r>
      <w:r>
        <w:rPr>
          <w:rStyle w:val="FootnoteReference"/>
          <w:rFonts w:ascii="Garamond" w:hAnsi="Garamond"/>
        </w:rPr>
        <w:footnoteReference w:id="30"/>
      </w:r>
      <w:r>
        <w:rPr>
          <w:rFonts w:ascii="Garamond" w:hAnsi="Garamond"/>
        </w:rPr>
        <w:t xml:space="preserve"> </w:t>
      </w:r>
      <w:r w:rsidRPr="00BC5954">
        <w:rPr>
          <w:rFonts w:ascii="Garamond" w:hAnsi="Garamond"/>
        </w:rPr>
        <w:t>Finally, the</w:t>
      </w:r>
      <w:r>
        <w:rPr>
          <w:rFonts w:ascii="Garamond" w:hAnsi="Garamond"/>
        </w:rPr>
        <w:t xml:space="preserve"> study added clinics in Jigawa State</w:t>
      </w:r>
      <w:r w:rsidRPr="00BC5954">
        <w:rPr>
          <w:rFonts w:ascii="Garamond" w:hAnsi="Garamond"/>
        </w:rPr>
        <w:t xml:space="preserve"> to compensate for the reductions in the Katsina and Zamfara lists.</w:t>
      </w:r>
      <w:r w:rsidR="002F67C1">
        <w:rPr>
          <w:rFonts w:ascii="Garamond" w:hAnsi="Garamond"/>
        </w:rPr>
        <w:t xml:space="preserve"> The resulting sample comprises 167 clinics, primarily rural</w:t>
      </w:r>
      <w:r w:rsidR="002F67C1" w:rsidRPr="007E79B3">
        <w:rPr>
          <w:rFonts w:ascii="Garamond" w:hAnsi="Garamond"/>
        </w:rPr>
        <w:t>, basic Primary Health Care (PHC) facilities</w:t>
      </w:r>
      <w:r w:rsidR="002F67C1">
        <w:rPr>
          <w:rFonts w:ascii="Garamond" w:hAnsi="Garamond"/>
        </w:rPr>
        <w:t>, which predominate throughout the region.</w:t>
      </w:r>
    </w:p>
    <w:p w14:paraId="2C39604C" w14:textId="77777777" w:rsidR="006E544E" w:rsidRDefault="006E544E" w:rsidP="006E544E">
      <w:pPr>
        <w:rPr>
          <w:rFonts w:ascii="Garamond" w:hAnsi="Garamond"/>
        </w:rPr>
      </w:pPr>
    </w:p>
    <w:p w14:paraId="30301A61" w14:textId="77777777" w:rsidR="006E544E" w:rsidRPr="000B07CB" w:rsidRDefault="006E544E" w:rsidP="006E544E">
      <w:pPr>
        <w:keepNext/>
        <w:spacing w:line="259" w:lineRule="auto"/>
        <w:rPr>
          <w:rFonts w:ascii="Garamond" w:hAnsi="Garamond"/>
          <w:b/>
          <w:i/>
        </w:rPr>
      </w:pPr>
      <w:r w:rsidRPr="000B07CB">
        <w:rPr>
          <w:rFonts w:ascii="Garamond" w:hAnsi="Garamond"/>
          <w:b/>
          <w:i/>
        </w:rPr>
        <w:t>Randomization Procedure</w:t>
      </w:r>
    </w:p>
    <w:p w14:paraId="5BCFA9A5" w14:textId="263B6443" w:rsidR="00896C62" w:rsidRDefault="006E544E" w:rsidP="006E544E">
      <w:pPr>
        <w:jc w:val="both"/>
        <w:rPr>
          <w:rFonts w:ascii="Garamond" w:hAnsi="Garamond"/>
        </w:rPr>
      </w:pPr>
      <w:r w:rsidRPr="0000469C">
        <w:rPr>
          <w:rFonts w:ascii="Garamond" w:hAnsi="Garamond"/>
        </w:rPr>
        <w:t xml:space="preserve">The primary use of the baseline data </w:t>
      </w:r>
      <w:r>
        <w:rPr>
          <w:rFonts w:ascii="Garamond" w:hAnsi="Garamond"/>
        </w:rPr>
        <w:t>was</w:t>
      </w:r>
      <w:r w:rsidRPr="0000469C">
        <w:rPr>
          <w:rFonts w:ascii="Garamond" w:hAnsi="Garamond"/>
        </w:rPr>
        <w:t xml:space="preserve"> to facilitate randomizing clinics into balanced treatment and control groups. </w:t>
      </w:r>
      <w:proofErr w:type="spellStart"/>
      <w:r>
        <w:rPr>
          <w:rFonts w:ascii="Garamond" w:hAnsi="Garamond"/>
        </w:rPr>
        <w:t>IDinsight</w:t>
      </w:r>
      <w:proofErr w:type="spellEnd"/>
      <w:r>
        <w:rPr>
          <w:rFonts w:ascii="Garamond" w:hAnsi="Garamond"/>
        </w:rPr>
        <w:t xml:space="preserve"> grouped clinics based on coverage</w:t>
      </w:r>
      <w:r w:rsidR="004C3E1D">
        <w:rPr>
          <w:rStyle w:val="FootnoteReference"/>
          <w:rFonts w:ascii="Garamond" w:hAnsi="Garamond"/>
        </w:rPr>
        <w:footnoteReference w:id="31"/>
      </w:r>
      <w:r>
        <w:rPr>
          <w:rFonts w:ascii="Garamond" w:hAnsi="Garamond"/>
        </w:rPr>
        <w:t>, security status, remoteness/</w:t>
      </w:r>
      <w:r w:rsidR="0012392C">
        <w:rPr>
          <w:rFonts w:ascii="Garamond" w:hAnsi="Garamond"/>
        </w:rPr>
        <w:t>staffing</w:t>
      </w:r>
      <w:r w:rsidR="00841C88">
        <w:rPr>
          <w:rStyle w:val="FootnoteReference"/>
          <w:rFonts w:ascii="Garamond" w:hAnsi="Garamond"/>
        </w:rPr>
        <w:footnoteReference w:id="32"/>
      </w:r>
      <w:r>
        <w:rPr>
          <w:rFonts w:ascii="Garamond" w:hAnsi="Garamond"/>
        </w:rPr>
        <w:t xml:space="preserve">, and state, and then randomly allocated half of the clinics from each group, or stratum, to the treatment arm. To accommodate uncertainty around the security </w:t>
      </w:r>
      <w:r w:rsidR="00E96135">
        <w:rPr>
          <w:rFonts w:ascii="Garamond" w:hAnsi="Garamond"/>
        </w:rPr>
        <w:t>assessment</w:t>
      </w:r>
      <w:r>
        <w:rPr>
          <w:rFonts w:ascii="Garamond" w:hAnsi="Garamond"/>
        </w:rPr>
        <w:t xml:space="preserve"> for some clinics, </w:t>
      </w:r>
      <w:proofErr w:type="spellStart"/>
      <w:r>
        <w:rPr>
          <w:rFonts w:ascii="Garamond" w:hAnsi="Garamond"/>
        </w:rPr>
        <w:t>IDinsight</w:t>
      </w:r>
      <w:proofErr w:type="spellEnd"/>
      <w:r>
        <w:rPr>
          <w:rFonts w:ascii="Garamond" w:hAnsi="Garamond"/>
        </w:rPr>
        <w:t xml:space="preserve"> randomized the security-compromised stratum later than the secure clinics to allow more time for New Incentives to </w:t>
      </w:r>
      <w:r w:rsidR="00E96135">
        <w:rPr>
          <w:rFonts w:ascii="Garamond" w:hAnsi="Garamond"/>
        </w:rPr>
        <w:t>evaluate</w:t>
      </w:r>
      <w:r>
        <w:rPr>
          <w:rFonts w:ascii="Garamond" w:hAnsi="Garamond"/>
        </w:rPr>
        <w:t xml:space="preserve"> the situation. </w:t>
      </w:r>
    </w:p>
    <w:p w14:paraId="55C9C2F4" w14:textId="77777777" w:rsidR="00251D1C" w:rsidRDefault="00251D1C" w:rsidP="006E544E">
      <w:pPr>
        <w:jc w:val="both"/>
        <w:rPr>
          <w:rFonts w:ascii="Garamond" w:hAnsi="Garamond"/>
        </w:rPr>
      </w:pPr>
    </w:p>
    <w:p w14:paraId="4070BBC0" w14:textId="019B2A42" w:rsidR="006E544E" w:rsidRDefault="006E544E" w:rsidP="006E544E">
      <w:pPr>
        <w:jc w:val="both"/>
        <w:rPr>
          <w:rFonts w:ascii="Garamond" w:hAnsi="Garamond"/>
        </w:rPr>
      </w:pPr>
      <w:r>
        <w:rPr>
          <w:rFonts w:ascii="Garamond" w:hAnsi="Garamond"/>
        </w:rPr>
        <w:t>There are three different security categories used for stratification:</w:t>
      </w:r>
    </w:p>
    <w:p w14:paraId="3FDF9DA6" w14:textId="77777777" w:rsidR="006E544E" w:rsidRPr="00632F94" w:rsidRDefault="006E544E" w:rsidP="006E544E">
      <w:pPr>
        <w:shd w:val="clear" w:color="auto" w:fill="FFFFFF"/>
        <w:ind w:left="360"/>
        <w:rPr>
          <w:rFonts w:ascii="Garamond" w:eastAsia="Times New Roman" w:hAnsi="Garamond" w:cs="Arial"/>
          <w:color w:val="222222"/>
          <w:lang w:eastAsia="zh-CN"/>
        </w:rPr>
      </w:pPr>
      <w:r w:rsidRPr="00632F94">
        <w:rPr>
          <w:rFonts w:ascii="Arial" w:eastAsia="Times New Roman" w:hAnsi="Arial" w:cs="Arial"/>
          <w:b/>
          <w:bCs/>
          <w:color w:val="222222"/>
          <w:sz w:val="19"/>
          <w:szCs w:val="19"/>
          <w:lang w:eastAsia="zh-CN"/>
        </w:rPr>
        <w:br/>
      </w:r>
      <w:r w:rsidRPr="00632F94">
        <w:rPr>
          <w:rFonts w:ascii="Garamond" w:eastAsia="Times New Roman" w:hAnsi="Garamond" w:cs="Arial"/>
          <w:b/>
          <w:bCs/>
          <w:color w:val="222222"/>
          <w:lang w:eastAsia="zh-CN"/>
        </w:rPr>
        <w:t>Moderate</w:t>
      </w:r>
    </w:p>
    <w:p w14:paraId="00AFCE89" w14:textId="77777777" w:rsidR="006E544E" w:rsidRPr="004E1673" w:rsidRDefault="006E544E" w:rsidP="006E544E">
      <w:pPr>
        <w:pStyle w:val="ListParagraph"/>
        <w:numPr>
          <w:ilvl w:val="0"/>
          <w:numId w:val="3"/>
        </w:numPr>
        <w:shd w:val="clear" w:color="auto" w:fill="FFFFFF"/>
        <w:ind w:left="1080"/>
        <w:rPr>
          <w:rFonts w:ascii="Garamond" w:eastAsia="Times New Roman" w:hAnsi="Garamond" w:cs="Arial"/>
          <w:color w:val="222222"/>
          <w:lang w:eastAsia="zh-CN"/>
        </w:rPr>
      </w:pPr>
      <w:r w:rsidRPr="004E1673">
        <w:rPr>
          <w:rFonts w:ascii="Garamond" w:eastAsia="Times New Roman" w:hAnsi="Garamond" w:cs="Arial"/>
          <w:color w:val="222222"/>
          <w:lang w:eastAsia="zh-CN"/>
        </w:rPr>
        <w:t>Clinics that have reported robberies without deaths once over multiple data points</w:t>
      </w:r>
      <w:r>
        <w:rPr>
          <w:rFonts w:ascii="Garamond" w:eastAsia="Times New Roman" w:hAnsi="Garamond" w:cs="Arial"/>
          <w:color w:val="222222"/>
          <w:lang w:eastAsia="zh-CN"/>
        </w:rPr>
        <w:t>.</w:t>
      </w:r>
      <w:r>
        <w:rPr>
          <w:rStyle w:val="FootnoteReference"/>
          <w:rFonts w:ascii="Garamond" w:eastAsia="Times New Roman" w:hAnsi="Garamond" w:cs="Arial"/>
          <w:color w:val="222222"/>
          <w:lang w:eastAsia="zh-CN"/>
        </w:rPr>
        <w:footnoteReference w:id="33"/>
      </w:r>
    </w:p>
    <w:p w14:paraId="73932074" w14:textId="77777777" w:rsidR="006E544E" w:rsidRPr="00632F94" w:rsidRDefault="006E544E" w:rsidP="006E544E">
      <w:pPr>
        <w:shd w:val="clear" w:color="auto" w:fill="FFFFFF"/>
        <w:ind w:left="360"/>
        <w:rPr>
          <w:rFonts w:ascii="Garamond" w:eastAsia="Times New Roman" w:hAnsi="Garamond" w:cs="Arial"/>
          <w:color w:val="222222"/>
          <w:lang w:eastAsia="zh-CN"/>
        </w:rPr>
      </w:pPr>
    </w:p>
    <w:p w14:paraId="6E50F54E" w14:textId="77777777" w:rsidR="006E544E" w:rsidRPr="00632F94" w:rsidRDefault="006E544E" w:rsidP="006E544E">
      <w:pPr>
        <w:shd w:val="clear" w:color="auto" w:fill="FFFFFF"/>
        <w:ind w:left="360"/>
        <w:rPr>
          <w:rFonts w:ascii="Garamond" w:eastAsia="Times New Roman" w:hAnsi="Garamond" w:cs="Arial"/>
          <w:color w:val="222222"/>
          <w:lang w:eastAsia="zh-CN"/>
        </w:rPr>
      </w:pPr>
      <w:r w:rsidRPr="00632F94">
        <w:rPr>
          <w:rFonts w:ascii="Garamond" w:eastAsia="Times New Roman" w:hAnsi="Garamond" w:cs="Arial"/>
          <w:b/>
          <w:bCs/>
          <w:color w:val="222222"/>
          <w:lang w:eastAsia="zh-CN"/>
        </w:rPr>
        <w:t>High</w:t>
      </w:r>
    </w:p>
    <w:p w14:paraId="32DF9DC2" w14:textId="3BD7CA3D" w:rsidR="006E544E" w:rsidRPr="004E1673" w:rsidRDefault="006E544E" w:rsidP="006E544E">
      <w:pPr>
        <w:pStyle w:val="ListParagraph"/>
        <w:numPr>
          <w:ilvl w:val="0"/>
          <w:numId w:val="3"/>
        </w:numPr>
        <w:shd w:val="clear" w:color="auto" w:fill="FFFFFF"/>
        <w:ind w:left="1080"/>
        <w:rPr>
          <w:rFonts w:ascii="Garamond" w:eastAsia="Times New Roman" w:hAnsi="Garamond" w:cs="Arial"/>
          <w:color w:val="222222"/>
          <w:lang w:eastAsia="zh-CN"/>
        </w:rPr>
      </w:pPr>
      <w:r w:rsidRPr="004E1673">
        <w:rPr>
          <w:rFonts w:ascii="Garamond" w:eastAsia="Times New Roman" w:hAnsi="Garamond" w:cs="Arial"/>
          <w:color w:val="222222"/>
          <w:lang w:eastAsia="zh-CN"/>
        </w:rPr>
        <w:t xml:space="preserve">Clinics that have reported robberies without deaths once over multiple data points but are situated in high-risk </w:t>
      </w:r>
      <w:r>
        <w:rPr>
          <w:rFonts w:ascii="Garamond" w:eastAsia="Times New Roman" w:hAnsi="Garamond" w:cs="Arial"/>
          <w:color w:val="222222"/>
          <w:lang w:eastAsia="zh-CN"/>
        </w:rPr>
        <w:t>Local Government Areas</w:t>
      </w:r>
      <w:r w:rsidR="00251D1C">
        <w:rPr>
          <w:rFonts w:ascii="Garamond" w:eastAsia="Times New Roman" w:hAnsi="Garamond" w:cs="Arial"/>
          <w:color w:val="222222"/>
          <w:lang w:eastAsia="zh-CN"/>
        </w:rPr>
        <w:t xml:space="preserve"> (LGAs)</w:t>
      </w:r>
      <w:r>
        <w:rPr>
          <w:rFonts w:ascii="Garamond" w:eastAsia="Times New Roman" w:hAnsi="Garamond" w:cs="Arial"/>
          <w:color w:val="222222"/>
          <w:lang w:eastAsia="zh-CN"/>
        </w:rPr>
        <w:t xml:space="preserve">. </w:t>
      </w:r>
      <w:r w:rsidRPr="004E1673">
        <w:rPr>
          <w:rFonts w:ascii="Garamond" w:eastAsia="Times New Roman" w:hAnsi="Garamond" w:cs="Arial"/>
          <w:color w:val="222222"/>
          <w:lang w:eastAsia="zh-CN"/>
        </w:rPr>
        <w:t>High-risk LGAs are defined as having clinics where armed killings occur regularly and during daytime.</w:t>
      </w:r>
      <w:r>
        <w:rPr>
          <w:rStyle w:val="FootnoteReference"/>
          <w:rFonts w:ascii="Garamond" w:eastAsia="Times New Roman" w:hAnsi="Garamond" w:cs="Arial"/>
          <w:color w:val="222222"/>
          <w:lang w:eastAsia="zh-CN"/>
        </w:rPr>
        <w:footnoteReference w:id="34"/>
      </w:r>
    </w:p>
    <w:p w14:paraId="47B3EF05" w14:textId="77777777" w:rsidR="006E544E" w:rsidRPr="00632F94" w:rsidRDefault="006E544E" w:rsidP="006E544E">
      <w:pPr>
        <w:shd w:val="clear" w:color="auto" w:fill="FFFFFF"/>
        <w:ind w:left="360"/>
        <w:rPr>
          <w:rFonts w:ascii="Garamond" w:eastAsia="Times New Roman" w:hAnsi="Garamond" w:cs="Arial"/>
          <w:color w:val="222222"/>
          <w:lang w:eastAsia="zh-CN"/>
        </w:rPr>
      </w:pPr>
    </w:p>
    <w:p w14:paraId="5CE580F6" w14:textId="77777777" w:rsidR="006E544E" w:rsidRPr="00632F94" w:rsidRDefault="006E544E" w:rsidP="006E544E">
      <w:pPr>
        <w:keepNext/>
        <w:shd w:val="clear" w:color="auto" w:fill="FFFFFF"/>
        <w:ind w:left="360"/>
        <w:rPr>
          <w:rFonts w:ascii="Garamond" w:eastAsia="Times New Roman" w:hAnsi="Garamond" w:cs="Arial"/>
          <w:color w:val="222222"/>
          <w:lang w:eastAsia="zh-CN"/>
        </w:rPr>
      </w:pPr>
      <w:r w:rsidRPr="00632F94">
        <w:rPr>
          <w:rFonts w:ascii="Garamond" w:eastAsia="Times New Roman" w:hAnsi="Garamond" w:cs="Arial"/>
          <w:b/>
          <w:bCs/>
          <w:color w:val="222222"/>
          <w:lang w:eastAsia="zh-CN"/>
        </w:rPr>
        <w:t>Very High</w:t>
      </w:r>
    </w:p>
    <w:p w14:paraId="6B9137A7" w14:textId="77777777" w:rsidR="006E544E" w:rsidRPr="004E1673" w:rsidRDefault="006E544E" w:rsidP="006E544E">
      <w:pPr>
        <w:pStyle w:val="ListParagraph"/>
        <w:numPr>
          <w:ilvl w:val="0"/>
          <w:numId w:val="7"/>
        </w:numPr>
        <w:shd w:val="clear" w:color="auto" w:fill="FFFFFF"/>
        <w:ind w:left="1080"/>
        <w:rPr>
          <w:rFonts w:ascii="Garamond" w:eastAsia="Times New Roman" w:hAnsi="Garamond" w:cs="Arial"/>
          <w:color w:val="222222"/>
          <w:lang w:eastAsia="zh-CN"/>
        </w:rPr>
      </w:pPr>
      <w:r w:rsidRPr="004E1673">
        <w:rPr>
          <w:rFonts w:ascii="Garamond" w:eastAsia="Times New Roman" w:hAnsi="Garamond" w:cs="Arial"/>
          <w:color w:val="222222"/>
          <w:lang w:eastAsia="zh-CN"/>
        </w:rPr>
        <w:t>Clinics that have reported robberies without deaths repeatedly over multiple data points</w:t>
      </w:r>
      <w:r>
        <w:rPr>
          <w:rFonts w:ascii="Garamond" w:eastAsia="Times New Roman" w:hAnsi="Garamond" w:cs="Arial"/>
          <w:color w:val="222222"/>
          <w:lang w:eastAsia="zh-CN"/>
        </w:rPr>
        <w:t>, or</w:t>
      </w:r>
    </w:p>
    <w:p w14:paraId="3D10FD26" w14:textId="77777777" w:rsidR="006E544E" w:rsidRPr="004E1673" w:rsidRDefault="006E544E" w:rsidP="006E544E">
      <w:pPr>
        <w:pStyle w:val="ListParagraph"/>
        <w:numPr>
          <w:ilvl w:val="0"/>
          <w:numId w:val="7"/>
        </w:numPr>
        <w:shd w:val="clear" w:color="auto" w:fill="FFFFFF"/>
        <w:ind w:left="1080"/>
        <w:rPr>
          <w:rFonts w:ascii="Garamond" w:eastAsia="Times New Roman" w:hAnsi="Garamond" w:cs="Arial"/>
          <w:color w:val="222222"/>
          <w:lang w:eastAsia="zh-CN"/>
        </w:rPr>
      </w:pPr>
      <w:r w:rsidRPr="004E1673">
        <w:rPr>
          <w:rFonts w:ascii="Garamond" w:eastAsia="Times New Roman" w:hAnsi="Garamond" w:cs="Arial"/>
          <w:color w:val="222222"/>
          <w:lang w:eastAsia="zh-CN"/>
        </w:rPr>
        <w:t>Clinics that have reported robberies with deaths</w:t>
      </w:r>
      <w:r>
        <w:rPr>
          <w:rFonts w:ascii="Garamond" w:eastAsia="Times New Roman" w:hAnsi="Garamond" w:cs="Arial"/>
          <w:color w:val="222222"/>
          <w:lang w:eastAsia="zh-CN"/>
        </w:rPr>
        <w:t>.</w:t>
      </w:r>
    </w:p>
    <w:p w14:paraId="4FCC81D5" w14:textId="77777777" w:rsidR="006E544E" w:rsidRDefault="006E544E" w:rsidP="006E544E">
      <w:pPr>
        <w:rPr>
          <w:rFonts w:ascii="Garamond" w:hAnsi="Garamond"/>
        </w:rPr>
      </w:pPr>
    </w:p>
    <w:p w14:paraId="739D98D9" w14:textId="0C2FC99F" w:rsidR="006E544E" w:rsidRDefault="00896C62" w:rsidP="00240716">
      <w:pPr>
        <w:jc w:val="both"/>
        <w:rPr>
          <w:rFonts w:ascii="Garamond" w:hAnsi="Garamond"/>
        </w:rPr>
      </w:pPr>
      <w:proofErr w:type="spellStart"/>
      <w:r>
        <w:rPr>
          <w:rFonts w:ascii="Garamond" w:hAnsi="Garamond"/>
        </w:rPr>
        <w:t>IDinsight</w:t>
      </w:r>
      <w:proofErr w:type="spellEnd"/>
      <w:r>
        <w:rPr>
          <w:rFonts w:ascii="Garamond" w:hAnsi="Garamond"/>
        </w:rPr>
        <w:t xml:space="preserve"> then randomly assigned 167</w:t>
      </w:r>
      <w:r w:rsidR="006B33A5">
        <w:rPr>
          <w:rFonts w:ascii="Garamond" w:hAnsi="Garamond"/>
        </w:rPr>
        <w:t xml:space="preserve"> clinics</w:t>
      </w:r>
      <w:r>
        <w:rPr>
          <w:rFonts w:ascii="Garamond" w:hAnsi="Garamond"/>
        </w:rPr>
        <w:t xml:space="preserve"> across Katsina, Zamfara, and Jigawa to treatment and control groups. </w:t>
      </w:r>
      <w:r w:rsidR="006E544E">
        <w:rPr>
          <w:rFonts w:ascii="Garamond" w:hAnsi="Garamond"/>
        </w:rPr>
        <w:t>More details on the randomization process are in Annex 2.</w:t>
      </w:r>
    </w:p>
    <w:p w14:paraId="6E091D36" w14:textId="77777777" w:rsidR="006E544E" w:rsidRDefault="006E544E" w:rsidP="007D3943">
      <w:pPr>
        <w:pStyle w:val="Heading2"/>
        <w:keepLines w:val="0"/>
        <w:rPr>
          <w:rFonts w:ascii="Garamond" w:hAnsi="Garamond"/>
          <w:sz w:val="28"/>
          <w:szCs w:val="28"/>
        </w:rPr>
      </w:pPr>
    </w:p>
    <w:p w14:paraId="1307EA75" w14:textId="68C87A4F" w:rsidR="00126259" w:rsidRDefault="00080444" w:rsidP="007D3943">
      <w:pPr>
        <w:pStyle w:val="Heading2"/>
        <w:keepLines w:val="0"/>
      </w:pPr>
      <w:r>
        <w:rPr>
          <w:rFonts w:ascii="Garamond" w:hAnsi="Garamond"/>
          <w:sz w:val="28"/>
          <w:szCs w:val="28"/>
        </w:rPr>
        <w:t>Data Collection</w:t>
      </w:r>
    </w:p>
    <w:p w14:paraId="5169F209" w14:textId="2E157800" w:rsidR="00126259" w:rsidRDefault="00126259" w:rsidP="007D3943">
      <w:pPr>
        <w:pStyle w:val="NoSpacing"/>
        <w:jc w:val="both"/>
        <w:rPr>
          <w:rFonts w:ascii="Garamond" w:hAnsi="Garamond"/>
        </w:rPr>
      </w:pPr>
      <w:proofErr w:type="spellStart"/>
      <w:r>
        <w:rPr>
          <w:rFonts w:ascii="Garamond" w:hAnsi="Garamond"/>
        </w:rPr>
        <w:t>IDinsight</w:t>
      </w:r>
      <w:proofErr w:type="spellEnd"/>
      <w:r>
        <w:rPr>
          <w:rFonts w:ascii="Garamond" w:hAnsi="Garamond"/>
        </w:rPr>
        <w:t xml:space="preserve"> will collect </w:t>
      </w:r>
      <w:proofErr w:type="gramStart"/>
      <w:r>
        <w:rPr>
          <w:rFonts w:ascii="Garamond" w:hAnsi="Garamond"/>
        </w:rPr>
        <w:t>the majority of</w:t>
      </w:r>
      <w:proofErr w:type="gramEnd"/>
      <w:r>
        <w:rPr>
          <w:rFonts w:ascii="Garamond" w:hAnsi="Garamond"/>
        </w:rPr>
        <w:t xml:space="preserve"> data that will be used at </w:t>
      </w:r>
      <w:proofErr w:type="spellStart"/>
      <w:r>
        <w:rPr>
          <w:rFonts w:ascii="Garamond" w:hAnsi="Garamond"/>
        </w:rPr>
        <w:t>endline</w:t>
      </w:r>
      <w:proofErr w:type="spellEnd"/>
      <w:r>
        <w:rPr>
          <w:rFonts w:ascii="Garamond" w:hAnsi="Garamond"/>
        </w:rPr>
        <w:t xml:space="preserve">. Some data collected by New Incentives during their standard clinic screening process will be used as clinic-level covariates and </w:t>
      </w:r>
      <w:r w:rsidR="006E544E">
        <w:rPr>
          <w:rFonts w:ascii="Garamond" w:hAnsi="Garamond"/>
        </w:rPr>
        <w:t xml:space="preserve">as a robustness check on </w:t>
      </w:r>
      <w:r>
        <w:rPr>
          <w:rFonts w:ascii="Garamond" w:hAnsi="Garamond"/>
        </w:rPr>
        <w:t xml:space="preserve">self-reported outcomes in treatment clinics. </w:t>
      </w:r>
    </w:p>
    <w:p w14:paraId="5C734BA8" w14:textId="77777777" w:rsidR="00126259" w:rsidRPr="007D3943" w:rsidRDefault="00126259" w:rsidP="007D3943">
      <w:pPr>
        <w:pStyle w:val="NoSpacing"/>
        <w:rPr>
          <w:rFonts w:ascii="Garamond" w:hAnsi="Garamond"/>
        </w:rPr>
      </w:pPr>
    </w:p>
    <w:p w14:paraId="1D177B32" w14:textId="2FE2083A" w:rsidR="001A6A41" w:rsidRPr="004F507B" w:rsidRDefault="0066724F" w:rsidP="00E50C52">
      <w:pPr>
        <w:keepNext/>
        <w:spacing w:before="40" w:line="259" w:lineRule="auto"/>
        <w:rPr>
          <w:rFonts w:ascii="Garamond" w:hAnsi="Garamond"/>
          <w:b/>
          <w:i/>
        </w:rPr>
      </w:pPr>
      <w:r w:rsidRPr="004F507B">
        <w:rPr>
          <w:rFonts w:ascii="Garamond" w:hAnsi="Garamond"/>
          <w:b/>
          <w:i/>
        </w:rPr>
        <w:t>New Incentives Data Collection</w:t>
      </w:r>
    </w:p>
    <w:p w14:paraId="0D62741D" w14:textId="1FB9FA9C" w:rsidR="0066724F" w:rsidRDefault="0066724F" w:rsidP="00FA4025">
      <w:pPr>
        <w:jc w:val="both"/>
        <w:rPr>
          <w:rFonts w:ascii="Garamond" w:hAnsi="Garamond"/>
        </w:rPr>
      </w:pPr>
      <w:r>
        <w:rPr>
          <w:rFonts w:ascii="Garamond" w:hAnsi="Garamond"/>
        </w:rPr>
        <w:t xml:space="preserve">New Incentives collected data </w:t>
      </w:r>
      <w:r w:rsidR="00397755">
        <w:rPr>
          <w:rFonts w:ascii="Garamond" w:hAnsi="Garamond"/>
        </w:rPr>
        <w:t xml:space="preserve">during their </w:t>
      </w:r>
      <w:r w:rsidR="002038FA">
        <w:rPr>
          <w:rFonts w:ascii="Garamond" w:hAnsi="Garamond"/>
        </w:rPr>
        <w:t>clinic screening</w:t>
      </w:r>
      <w:r w:rsidR="00A5251B">
        <w:rPr>
          <w:rFonts w:ascii="Garamond" w:hAnsi="Garamond"/>
        </w:rPr>
        <w:t>,</w:t>
      </w:r>
      <w:r w:rsidR="009C70D9">
        <w:rPr>
          <w:rStyle w:val="FootnoteReference"/>
          <w:rFonts w:ascii="Garamond" w:hAnsi="Garamond"/>
        </w:rPr>
        <w:footnoteReference w:id="35"/>
      </w:r>
      <w:r w:rsidR="002038FA">
        <w:rPr>
          <w:rFonts w:ascii="Garamond" w:hAnsi="Garamond"/>
        </w:rPr>
        <w:t xml:space="preserve"> </w:t>
      </w:r>
      <w:r w:rsidR="00397755">
        <w:rPr>
          <w:rFonts w:ascii="Garamond" w:hAnsi="Garamond"/>
        </w:rPr>
        <w:t xml:space="preserve">which took place </w:t>
      </w:r>
      <w:r w:rsidR="002038FA">
        <w:rPr>
          <w:rFonts w:ascii="Garamond" w:hAnsi="Garamond"/>
        </w:rPr>
        <w:t xml:space="preserve">prior to randomization. This data included security status, number of staff members, and </w:t>
      </w:r>
      <w:r w:rsidR="00FA4025">
        <w:rPr>
          <w:rFonts w:ascii="Garamond" w:hAnsi="Garamond"/>
        </w:rPr>
        <w:t>travel time to hub towns</w:t>
      </w:r>
      <w:r w:rsidR="002038FA">
        <w:rPr>
          <w:rFonts w:ascii="Garamond" w:hAnsi="Garamond"/>
        </w:rPr>
        <w:t xml:space="preserve">. </w:t>
      </w:r>
      <w:r w:rsidR="00F62810">
        <w:rPr>
          <w:rFonts w:ascii="Garamond" w:hAnsi="Garamond"/>
        </w:rPr>
        <w:t xml:space="preserve">All data referencing clinic screening data was collected by New Incentives. </w:t>
      </w:r>
      <w:r w:rsidR="002038FA">
        <w:rPr>
          <w:rFonts w:ascii="Garamond" w:hAnsi="Garamond"/>
        </w:rPr>
        <w:t xml:space="preserve">During the </w:t>
      </w:r>
      <w:r w:rsidR="008962FD">
        <w:rPr>
          <w:rFonts w:ascii="Garamond" w:hAnsi="Garamond"/>
        </w:rPr>
        <w:t>study</w:t>
      </w:r>
      <w:r w:rsidR="000A7A5A">
        <w:rPr>
          <w:rFonts w:ascii="Garamond" w:hAnsi="Garamond"/>
        </w:rPr>
        <w:t>,</w:t>
      </w:r>
      <w:r w:rsidR="002038FA">
        <w:rPr>
          <w:rFonts w:ascii="Garamond" w:hAnsi="Garamond"/>
        </w:rPr>
        <w:t xml:space="preserve"> New Incentives will track each vaccine</w:t>
      </w:r>
      <w:r w:rsidR="00C62BFE">
        <w:rPr>
          <w:rFonts w:ascii="Garamond" w:hAnsi="Garamond"/>
        </w:rPr>
        <w:t xml:space="preserve"> and incentive</w:t>
      </w:r>
      <w:r w:rsidR="002038FA">
        <w:rPr>
          <w:rFonts w:ascii="Garamond" w:hAnsi="Garamond"/>
        </w:rPr>
        <w:t xml:space="preserve"> </w:t>
      </w:r>
      <w:r w:rsidR="00460830">
        <w:rPr>
          <w:rFonts w:ascii="Garamond" w:hAnsi="Garamond"/>
        </w:rPr>
        <w:t xml:space="preserve">that </w:t>
      </w:r>
      <w:r w:rsidR="002038FA">
        <w:rPr>
          <w:rFonts w:ascii="Garamond" w:hAnsi="Garamond"/>
        </w:rPr>
        <w:t>program participants receive</w:t>
      </w:r>
      <w:r w:rsidR="00C62BFE">
        <w:rPr>
          <w:rFonts w:ascii="Garamond" w:hAnsi="Garamond"/>
        </w:rPr>
        <w:t xml:space="preserve"> on </w:t>
      </w:r>
      <w:r w:rsidR="00D2137E">
        <w:rPr>
          <w:rFonts w:ascii="Garamond" w:hAnsi="Garamond"/>
        </w:rPr>
        <w:t xml:space="preserve">each treatment site’s vaccination day </w:t>
      </w:r>
      <w:r w:rsidR="000A7A5A">
        <w:rPr>
          <w:rFonts w:ascii="Garamond" w:hAnsi="Garamond"/>
        </w:rPr>
        <w:t>as part of their standard operations.</w:t>
      </w:r>
      <w:r w:rsidR="007D3683">
        <w:rPr>
          <w:rFonts w:ascii="Garamond" w:hAnsi="Garamond"/>
        </w:rPr>
        <w:t xml:space="preserve"> </w:t>
      </w:r>
    </w:p>
    <w:p w14:paraId="3C6DDFB8" w14:textId="5E2C67D0" w:rsidR="005E0934" w:rsidRDefault="005E0934" w:rsidP="00E528DF">
      <w:pPr>
        <w:rPr>
          <w:rFonts w:ascii="Garamond" w:hAnsi="Garamond"/>
        </w:rPr>
      </w:pPr>
    </w:p>
    <w:p w14:paraId="6F4FBA88" w14:textId="77777777" w:rsidR="005E0934" w:rsidRPr="004F507B" w:rsidRDefault="005E0934" w:rsidP="00963A8F">
      <w:pPr>
        <w:keepNext/>
        <w:spacing w:line="259" w:lineRule="auto"/>
        <w:jc w:val="both"/>
        <w:rPr>
          <w:rFonts w:ascii="Garamond" w:hAnsi="Garamond"/>
          <w:b/>
          <w:i/>
        </w:rPr>
      </w:pPr>
      <w:proofErr w:type="spellStart"/>
      <w:r w:rsidRPr="004F507B">
        <w:rPr>
          <w:rFonts w:ascii="Garamond" w:hAnsi="Garamond"/>
          <w:b/>
          <w:i/>
        </w:rPr>
        <w:t>IDinsight</w:t>
      </w:r>
      <w:proofErr w:type="spellEnd"/>
      <w:r w:rsidRPr="004F507B">
        <w:rPr>
          <w:rFonts w:ascii="Garamond" w:hAnsi="Garamond"/>
          <w:b/>
          <w:i/>
        </w:rPr>
        <w:t xml:space="preserve"> Data Collection</w:t>
      </w:r>
    </w:p>
    <w:p w14:paraId="48EEDB1D" w14:textId="3432A3E5" w:rsidR="00A252E5" w:rsidRDefault="005E0934" w:rsidP="00C57E77">
      <w:pPr>
        <w:jc w:val="both"/>
        <w:rPr>
          <w:rFonts w:ascii="Garamond" w:hAnsi="Garamond"/>
        </w:rPr>
      </w:pPr>
      <w:r>
        <w:rPr>
          <w:rFonts w:ascii="Garamond" w:hAnsi="Garamond"/>
        </w:rPr>
        <w:t xml:space="preserve">Baseline and </w:t>
      </w:r>
      <w:proofErr w:type="spellStart"/>
      <w:r>
        <w:rPr>
          <w:rFonts w:ascii="Garamond" w:hAnsi="Garamond"/>
        </w:rPr>
        <w:t>endline</w:t>
      </w:r>
      <w:proofErr w:type="spellEnd"/>
      <w:r>
        <w:rPr>
          <w:rFonts w:ascii="Garamond" w:hAnsi="Garamond"/>
        </w:rPr>
        <w:t xml:space="preserve"> data collection </w:t>
      </w:r>
      <w:r w:rsidR="00F94D79">
        <w:rPr>
          <w:rFonts w:ascii="Garamond" w:hAnsi="Garamond"/>
        </w:rPr>
        <w:t>consist</w:t>
      </w:r>
      <w:r>
        <w:rPr>
          <w:rFonts w:ascii="Garamond" w:hAnsi="Garamond"/>
        </w:rPr>
        <w:t xml:space="preserve"> of three components: </w:t>
      </w:r>
    </w:p>
    <w:p w14:paraId="7ED9C7B7" w14:textId="77777777" w:rsidR="00A252E5" w:rsidRDefault="00A252E5" w:rsidP="00C57E77">
      <w:pPr>
        <w:jc w:val="both"/>
        <w:rPr>
          <w:rFonts w:ascii="Garamond" w:hAnsi="Garamond"/>
        </w:rPr>
      </w:pPr>
    </w:p>
    <w:p w14:paraId="3AE9D0C9" w14:textId="247CE02B" w:rsidR="00A252E5" w:rsidRDefault="00A252E5" w:rsidP="00E50C52">
      <w:pPr>
        <w:pStyle w:val="ListParagraph"/>
        <w:numPr>
          <w:ilvl w:val="0"/>
          <w:numId w:val="45"/>
        </w:numPr>
        <w:jc w:val="both"/>
        <w:rPr>
          <w:rFonts w:ascii="Garamond" w:hAnsi="Garamond"/>
        </w:rPr>
      </w:pPr>
      <w:r w:rsidRPr="00E50C52">
        <w:rPr>
          <w:rFonts w:ascii="Garamond" w:hAnsi="Garamond"/>
          <w:b/>
        </w:rPr>
        <w:t>H</w:t>
      </w:r>
      <w:r w:rsidR="005E0934" w:rsidRPr="00E50C52">
        <w:rPr>
          <w:rFonts w:ascii="Garamond" w:hAnsi="Garamond"/>
          <w:b/>
        </w:rPr>
        <w:t>ousehold census</w:t>
      </w:r>
      <w:r>
        <w:rPr>
          <w:rFonts w:ascii="Garamond" w:hAnsi="Garamond"/>
        </w:rPr>
        <w:t xml:space="preserve"> - I</w:t>
      </w:r>
      <w:r w:rsidRPr="00855683">
        <w:rPr>
          <w:rFonts w:ascii="Garamond" w:hAnsi="Garamond"/>
        </w:rPr>
        <w:t>dentifies the population of eligible infants</w:t>
      </w:r>
    </w:p>
    <w:p w14:paraId="70D0685E" w14:textId="5E9CF703" w:rsidR="00A252E5" w:rsidRDefault="00A252E5" w:rsidP="00E50C52">
      <w:pPr>
        <w:pStyle w:val="ListParagraph"/>
        <w:numPr>
          <w:ilvl w:val="0"/>
          <w:numId w:val="45"/>
        </w:numPr>
        <w:jc w:val="both"/>
        <w:rPr>
          <w:rFonts w:ascii="Garamond" w:hAnsi="Garamond"/>
        </w:rPr>
      </w:pPr>
      <w:r w:rsidRPr="00E50C52">
        <w:rPr>
          <w:rFonts w:ascii="Garamond" w:hAnsi="Garamond"/>
          <w:b/>
        </w:rPr>
        <w:t>R</w:t>
      </w:r>
      <w:r w:rsidR="007B18A8" w:rsidRPr="00E50C52">
        <w:rPr>
          <w:rFonts w:ascii="Garamond" w:hAnsi="Garamond"/>
          <w:b/>
        </w:rPr>
        <w:t xml:space="preserve">outine immunization </w:t>
      </w:r>
      <w:r w:rsidR="005E0934" w:rsidRPr="00E50C52">
        <w:rPr>
          <w:rFonts w:ascii="Garamond" w:hAnsi="Garamond"/>
          <w:b/>
        </w:rPr>
        <w:t>survey of eligible infants</w:t>
      </w:r>
      <w:r>
        <w:rPr>
          <w:rFonts w:ascii="Garamond" w:hAnsi="Garamond"/>
        </w:rPr>
        <w:t xml:space="preserve"> – Collects information on immunization history of our sample and is t</w:t>
      </w:r>
      <w:r w:rsidRPr="001925B7">
        <w:rPr>
          <w:rFonts w:ascii="Garamond" w:hAnsi="Garamond"/>
        </w:rPr>
        <w:t xml:space="preserve">he primary data source for </w:t>
      </w:r>
      <w:r w:rsidRPr="00E50C52">
        <w:rPr>
          <w:rFonts w:ascii="Garamond" w:hAnsi="Garamond"/>
        </w:rPr>
        <w:t>analysis</w:t>
      </w:r>
    </w:p>
    <w:p w14:paraId="2BFE6F54" w14:textId="2F9B298F" w:rsidR="0098411D" w:rsidRPr="00E50C52" w:rsidRDefault="0096030B" w:rsidP="00E50C52">
      <w:pPr>
        <w:pStyle w:val="ListParagraph"/>
        <w:numPr>
          <w:ilvl w:val="0"/>
          <w:numId w:val="45"/>
        </w:numPr>
        <w:jc w:val="both"/>
        <w:rPr>
          <w:rFonts w:ascii="Garamond" w:hAnsi="Garamond"/>
        </w:rPr>
      </w:pPr>
      <w:r>
        <w:rPr>
          <w:rFonts w:ascii="Garamond" w:hAnsi="Garamond"/>
          <w:b/>
        </w:rPr>
        <w:t>Administrative</w:t>
      </w:r>
      <w:r w:rsidRPr="00E50C52">
        <w:rPr>
          <w:rFonts w:ascii="Garamond" w:hAnsi="Garamond"/>
          <w:b/>
        </w:rPr>
        <w:t xml:space="preserve"> </w:t>
      </w:r>
      <w:r w:rsidR="005E0934" w:rsidRPr="00E50C52">
        <w:rPr>
          <w:rFonts w:ascii="Garamond" w:hAnsi="Garamond"/>
          <w:b/>
        </w:rPr>
        <w:t>record</w:t>
      </w:r>
      <w:r>
        <w:rPr>
          <w:rStyle w:val="FootnoteReference"/>
          <w:rFonts w:ascii="Garamond" w:hAnsi="Garamond"/>
          <w:b/>
        </w:rPr>
        <w:footnoteReference w:id="36"/>
      </w:r>
      <w:r w:rsidR="005E0934" w:rsidRPr="00E50C52">
        <w:rPr>
          <w:rFonts w:ascii="Garamond" w:hAnsi="Garamond"/>
          <w:b/>
        </w:rPr>
        <w:t xml:space="preserve"> </w:t>
      </w:r>
      <w:r>
        <w:rPr>
          <w:rFonts w:ascii="Garamond" w:hAnsi="Garamond"/>
          <w:b/>
        </w:rPr>
        <w:t>collection</w:t>
      </w:r>
      <w:r w:rsidRPr="00E50C52">
        <w:rPr>
          <w:rFonts w:ascii="Garamond" w:hAnsi="Garamond"/>
          <w:b/>
        </w:rPr>
        <w:t xml:space="preserve"> </w:t>
      </w:r>
      <w:r w:rsidR="00B70F10">
        <w:rPr>
          <w:rFonts w:ascii="Garamond" w:hAnsi="Garamond"/>
        </w:rPr>
        <w:t>-</w:t>
      </w:r>
      <w:r w:rsidR="005E0934" w:rsidRPr="00E50C52">
        <w:rPr>
          <w:rFonts w:ascii="Garamond" w:hAnsi="Garamond"/>
        </w:rPr>
        <w:t xml:space="preserve"> </w:t>
      </w:r>
      <w:r w:rsidR="00A252E5">
        <w:rPr>
          <w:rFonts w:ascii="Garamond" w:hAnsi="Garamond"/>
        </w:rPr>
        <w:t>P</w:t>
      </w:r>
      <w:r w:rsidR="005E0934" w:rsidRPr="00E50C52">
        <w:rPr>
          <w:rFonts w:ascii="Garamond" w:hAnsi="Garamond"/>
        </w:rPr>
        <w:t>rovides an additional data source on vaccinations received</w:t>
      </w:r>
      <w:r w:rsidR="001427D7">
        <w:rPr>
          <w:rFonts w:ascii="Garamond" w:hAnsi="Garamond"/>
        </w:rPr>
        <w:t xml:space="preserve"> to use for robustness checks</w:t>
      </w:r>
      <w:r w:rsidR="005E0934" w:rsidRPr="00E50C52">
        <w:rPr>
          <w:rFonts w:ascii="Garamond" w:hAnsi="Garamond"/>
        </w:rPr>
        <w:t xml:space="preserve"> </w:t>
      </w:r>
      <w:r>
        <w:rPr>
          <w:rFonts w:ascii="Garamond" w:hAnsi="Garamond"/>
        </w:rPr>
        <w:t>and estimates of the accuracy of self reports</w:t>
      </w:r>
    </w:p>
    <w:p w14:paraId="6E17C712" w14:textId="77777777" w:rsidR="0098411D" w:rsidRDefault="0098411D" w:rsidP="00C57E77">
      <w:pPr>
        <w:jc w:val="both"/>
        <w:rPr>
          <w:rFonts w:ascii="Garamond" w:hAnsi="Garamond"/>
        </w:rPr>
      </w:pPr>
    </w:p>
    <w:p w14:paraId="3C916BC1" w14:textId="47AE6ADF" w:rsidR="0098411D" w:rsidRDefault="00A252E5" w:rsidP="00C57E77">
      <w:pPr>
        <w:jc w:val="both"/>
        <w:rPr>
          <w:rFonts w:ascii="Garamond" w:hAnsi="Garamond"/>
        </w:rPr>
      </w:pPr>
      <w:r>
        <w:rPr>
          <w:rFonts w:ascii="Garamond" w:hAnsi="Garamond"/>
        </w:rPr>
        <w:t>W</w:t>
      </w:r>
      <w:r w:rsidR="00435087">
        <w:rPr>
          <w:rFonts w:ascii="Garamond" w:hAnsi="Garamond"/>
        </w:rPr>
        <w:t xml:space="preserve">hile </w:t>
      </w:r>
      <w:proofErr w:type="spellStart"/>
      <w:r w:rsidR="00435087">
        <w:rPr>
          <w:rFonts w:ascii="Garamond" w:hAnsi="Garamond"/>
        </w:rPr>
        <w:t>IDinsight</w:t>
      </w:r>
      <w:proofErr w:type="spellEnd"/>
      <w:r w:rsidR="00435087">
        <w:rPr>
          <w:rFonts w:ascii="Garamond" w:hAnsi="Garamond"/>
        </w:rPr>
        <w:t xml:space="preserve"> will collect</w:t>
      </w:r>
      <w:r>
        <w:rPr>
          <w:rFonts w:ascii="Garamond" w:hAnsi="Garamond"/>
        </w:rPr>
        <w:t xml:space="preserve"> data on</w:t>
      </w:r>
      <w:r w:rsidR="00435087">
        <w:rPr>
          <w:rFonts w:ascii="Garamond" w:hAnsi="Garamond"/>
        </w:rPr>
        <w:t xml:space="preserve"> </w:t>
      </w:r>
      <w:r>
        <w:rPr>
          <w:rFonts w:ascii="Garamond" w:hAnsi="Garamond"/>
        </w:rPr>
        <w:t>vaccination coverage</w:t>
      </w:r>
      <w:r w:rsidDel="0098411D">
        <w:rPr>
          <w:rFonts w:ascii="Garamond" w:hAnsi="Garamond"/>
        </w:rPr>
        <w:t xml:space="preserve"> </w:t>
      </w:r>
      <w:r>
        <w:rPr>
          <w:rFonts w:ascii="Garamond" w:hAnsi="Garamond"/>
        </w:rPr>
        <w:t>from multiple</w:t>
      </w:r>
      <w:r w:rsidR="00435087">
        <w:rPr>
          <w:rFonts w:ascii="Garamond" w:hAnsi="Garamond"/>
        </w:rPr>
        <w:t xml:space="preserve"> sources, the primary research </w:t>
      </w:r>
      <w:r>
        <w:rPr>
          <w:rFonts w:ascii="Garamond" w:hAnsi="Garamond"/>
        </w:rPr>
        <w:t>outcomes</w:t>
      </w:r>
      <w:r w:rsidR="00435087">
        <w:rPr>
          <w:rFonts w:ascii="Garamond" w:hAnsi="Garamond"/>
        </w:rPr>
        <w:t xml:space="preserve"> will be defined by self-reported vaccination.</w:t>
      </w:r>
      <w:r w:rsidR="00206B36">
        <w:rPr>
          <w:rStyle w:val="FootnoteReference"/>
          <w:rFonts w:ascii="Garamond" w:hAnsi="Garamond"/>
        </w:rPr>
        <w:footnoteReference w:id="37"/>
      </w:r>
      <w:r w:rsidR="005F4A4C">
        <w:rPr>
          <w:rFonts w:ascii="Garamond" w:hAnsi="Garamond"/>
        </w:rPr>
        <w:t xml:space="preserve"> </w:t>
      </w:r>
    </w:p>
    <w:p w14:paraId="68F676C5" w14:textId="77777777" w:rsidR="0098411D" w:rsidRDefault="0098411D" w:rsidP="00C57E77">
      <w:pPr>
        <w:jc w:val="both"/>
        <w:rPr>
          <w:rFonts w:ascii="Garamond" w:hAnsi="Garamond"/>
        </w:rPr>
      </w:pPr>
    </w:p>
    <w:p w14:paraId="46621F1F" w14:textId="6E962957" w:rsidR="00692637" w:rsidRDefault="0096030B" w:rsidP="00C57E77">
      <w:pPr>
        <w:jc w:val="both"/>
        <w:rPr>
          <w:rFonts w:ascii="Garamond" w:hAnsi="Garamond"/>
        </w:rPr>
      </w:pPr>
      <w:r>
        <w:rPr>
          <w:rFonts w:ascii="Garamond" w:hAnsi="Garamond"/>
        </w:rPr>
        <w:t>Approximately 10%</w:t>
      </w:r>
      <w:r w:rsidR="00435087">
        <w:rPr>
          <w:rFonts w:ascii="Garamond" w:hAnsi="Garamond"/>
        </w:rPr>
        <w:t xml:space="preserve"> of interviews from e</w:t>
      </w:r>
      <w:r w:rsidR="005E0934">
        <w:rPr>
          <w:rFonts w:ascii="Garamond" w:hAnsi="Garamond"/>
        </w:rPr>
        <w:t xml:space="preserve">ach round of data collection </w:t>
      </w:r>
      <w:r w:rsidR="00435087">
        <w:rPr>
          <w:rFonts w:ascii="Garamond" w:hAnsi="Garamond"/>
        </w:rPr>
        <w:t xml:space="preserve">are </w:t>
      </w:r>
      <w:proofErr w:type="gramStart"/>
      <w:r w:rsidR="005E0934">
        <w:rPr>
          <w:rFonts w:ascii="Garamond" w:hAnsi="Garamond"/>
        </w:rPr>
        <w:t>back-checked</w:t>
      </w:r>
      <w:proofErr w:type="gramEnd"/>
      <w:r w:rsidR="00397755">
        <w:rPr>
          <w:rFonts w:ascii="Garamond" w:hAnsi="Garamond"/>
        </w:rPr>
        <w:t xml:space="preserve"> to ensure data quality</w:t>
      </w:r>
      <w:r w:rsidR="00BB32B5">
        <w:rPr>
          <w:rFonts w:ascii="Garamond" w:hAnsi="Garamond"/>
        </w:rPr>
        <w:t>.</w:t>
      </w:r>
      <w:r>
        <w:rPr>
          <w:rStyle w:val="FootnoteReference"/>
          <w:rFonts w:ascii="Garamond" w:hAnsi="Garamond"/>
        </w:rPr>
        <w:footnoteReference w:id="38"/>
      </w:r>
    </w:p>
    <w:p w14:paraId="1C42DAFC" w14:textId="77777777" w:rsidR="00F97460" w:rsidRDefault="00F97460" w:rsidP="00C57E77">
      <w:pPr>
        <w:jc w:val="both"/>
        <w:rPr>
          <w:rFonts w:ascii="Garamond" w:hAnsi="Garamond"/>
        </w:rPr>
      </w:pPr>
    </w:p>
    <w:p w14:paraId="3272F669" w14:textId="32331B01" w:rsidR="00692637" w:rsidRPr="00BB32B5" w:rsidRDefault="00AA4367" w:rsidP="00692637">
      <w:pPr>
        <w:keepNext/>
        <w:rPr>
          <w:rFonts w:ascii="Garamond" w:hAnsi="Garamond"/>
          <w:i/>
        </w:rPr>
      </w:pPr>
      <w:r>
        <w:rPr>
          <w:rFonts w:ascii="Garamond" w:hAnsi="Garamond"/>
          <w:noProof/>
        </w:rPr>
        <w:lastRenderedPageBreak/>
        <mc:AlternateContent>
          <mc:Choice Requires="wpg">
            <w:drawing>
              <wp:anchor distT="0" distB="0" distL="114300" distR="114300" simplePos="0" relativeHeight="251659264" behindDoc="1" locked="0" layoutInCell="1" allowOverlap="1" wp14:anchorId="6FC11A02" wp14:editId="7A34C60B">
                <wp:simplePos x="0" y="0"/>
                <wp:positionH relativeFrom="column">
                  <wp:posOffset>-68580</wp:posOffset>
                </wp:positionH>
                <wp:positionV relativeFrom="paragraph">
                  <wp:posOffset>313055</wp:posOffset>
                </wp:positionV>
                <wp:extent cx="5788025" cy="2838450"/>
                <wp:effectExtent l="0" t="0" r="15875" b="6350"/>
                <wp:wrapTopAndBottom/>
                <wp:docPr id="5" name="Group 5"/>
                <wp:cNvGraphicFramePr/>
                <a:graphic xmlns:a="http://schemas.openxmlformats.org/drawingml/2006/main">
                  <a:graphicData uri="http://schemas.microsoft.com/office/word/2010/wordprocessingGroup">
                    <wpg:wgp>
                      <wpg:cNvGrpSpPr/>
                      <wpg:grpSpPr>
                        <a:xfrm>
                          <a:off x="0" y="0"/>
                          <a:ext cx="5788025" cy="2838450"/>
                          <a:chOff x="0" y="0"/>
                          <a:chExt cx="5788025" cy="2838450"/>
                        </a:xfrm>
                      </wpg:grpSpPr>
                      <wpg:grpSp>
                        <wpg:cNvPr id="1" name="Group 1"/>
                        <wpg:cNvGrpSpPr/>
                        <wpg:grpSpPr>
                          <a:xfrm>
                            <a:off x="0" y="0"/>
                            <a:ext cx="5788025" cy="2838450"/>
                            <a:chOff x="0" y="0"/>
                            <a:chExt cx="5788025" cy="2838450"/>
                          </a:xfrm>
                        </wpg:grpSpPr>
                        <wps:wsp>
                          <wps:cNvPr id="12" name="Text Box 12"/>
                          <wps:cNvSpPr txBox="1"/>
                          <wps:spPr>
                            <a:xfrm>
                              <a:off x="0" y="0"/>
                              <a:ext cx="1568450" cy="469900"/>
                            </a:xfrm>
                            <a:prstGeom prst="rect">
                              <a:avLst/>
                            </a:prstGeom>
                            <a:solidFill>
                              <a:schemeClr val="lt1"/>
                            </a:solidFill>
                            <a:ln w="6350">
                              <a:noFill/>
                            </a:ln>
                          </wps:spPr>
                          <wps:txbx>
                            <w:txbxContent>
                              <w:p w14:paraId="18DC01C2" w14:textId="77777777" w:rsidR="00BC1F44" w:rsidRPr="008A20C8" w:rsidRDefault="00BC1F44" w:rsidP="008A20C8">
                                <w:pPr>
                                  <w:pStyle w:val="Heading2"/>
                                  <w:rPr>
                                    <w:rFonts w:ascii="Garamond" w:hAnsi="Garamond"/>
                                    <w:sz w:val="28"/>
                                    <w:szCs w:val="28"/>
                                  </w:rPr>
                                </w:pPr>
                                <w:r w:rsidRPr="008A20C8">
                                  <w:rPr>
                                    <w:rFonts w:ascii="Garamond" w:hAnsi="Garamond"/>
                                    <w:sz w:val="28"/>
                                    <w:szCs w:val="28"/>
                                  </w:rPr>
                                  <w:t>Census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0" y="1009650"/>
                              <a:ext cx="1930400" cy="565150"/>
                            </a:xfrm>
                            <a:prstGeom prst="rect">
                              <a:avLst/>
                            </a:prstGeom>
                            <a:solidFill>
                              <a:schemeClr val="lt1"/>
                            </a:solidFill>
                            <a:ln w="6350">
                              <a:noFill/>
                            </a:ln>
                          </wps:spPr>
                          <wps:txbx>
                            <w:txbxContent>
                              <w:p w14:paraId="4B3C3CBA" w14:textId="77777777" w:rsidR="00BC1F44" w:rsidRPr="008A20C8" w:rsidRDefault="00BC1F44" w:rsidP="008A20C8">
                                <w:pPr>
                                  <w:pStyle w:val="Heading2"/>
                                  <w:rPr>
                                    <w:rFonts w:ascii="Garamond" w:hAnsi="Garamond"/>
                                    <w:sz w:val="28"/>
                                    <w:szCs w:val="28"/>
                                  </w:rPr>
                                </w:pPr>
                                <w:r w:rsidRPr="008A20C8">
                                  <w:rPr>
                                    <w:rFonts w:ascii="Garamond" w:hAnsi="Garamond"/>
                                    <w:sz w:val="28"/>
                                    <w:szCs w:val="28"/>
                                  </w:rPr>
                                  <w:t>Routine Immunization Survey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31750" y="2171700"/>
                              <a:ext cx="1168400" cy="501650"/>
                            </a:xfrm>
                            <a:prstGeom prst="rect">
                              <a:avLst/>
                            </a:prstGeom>
                            <a:solidFill>
                              <a:schemeClr val="lt1"/>
                            </a:solidFill>
                            <a:ln w="6350">
                              <a:noFill/>
                            </a:ln>
                          </wps:spPr>
                          <wps:txbx>
                            <w:txbxContent>
                              <w:p w14:paraId="60F28FD3" w14:textId="77777777" w:rsidR="00BC1F44" w:rsidRPr="008A20C8" w:rsidRDefault="00BC1F44" w:rsidP="008A20C8">
                                <w:pPr>
                                  <w:pStyle w:val="Heading2"/>
                                  <w:rPr>
                                    <w:rFonts w:ascii="Garamond" w:hAnsi="Garamond"/>
                                    <w:sz w:val="28"/>
                                    <w:szCs w:val="28"/>
                                  </w:rPr>
                                </w:pPr>
                                <w:r w:rsidRPr="008A20C8">
                                  <w:rPr>
                                    <w:rFonts w:ascii="Garamond" w:hAnsi="Garamond"/>
                                    <w:sz w:val="28"/>
                                    <w:szCs w:val="28"/>
                                  </w:rPr>
                                  <w:t>Clinic Records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5" name="Group 35"/>
                          <wpg:cNvGrpSpPr/>
                          <wpg:grpSpPr>
                            <a:xfrm>
                              <a:off x="1854714" y="6350"/>
                              <a:ext cx="3933311" cy="2832100"/>
                              <a:chOff x="-126486" y="0"/>
                              <a:chExt cx="3933311" cy="2832669"/>
                            </a:xfrm>
                          </wpg:grpSpPr>
                          <wpg:grpSp>
                            <wpg:cNvPr id="4" name="Group 3"/>
                            <wpg:cNvGrpSpPr/>
                            <wpg:grpSpPr>
                              <a:xfrm>
                                <a:off x="-118693" y="0"/>
                                <a:ext cx="3925518" cy="457200"/>
                                <a:chOff x="-131415" y="0"/>
                                <a:chExt cx="3926172" cy="365168"/>
                              </a:xfrm>
                            </wpg:grpSpPr>
                            <wps:wsp>
                              <wps:cNvPr id="2" name="Rounded Rectangle 19"/>
                              <wps:cNvSpPr/>
                              <wps:spPr>
                                <a:xfrm>
                                  <a:off x="0" y="0"/>
                                  <a:ext cx="3794757" cy="365168"/>
                                </a:xfrm>
                                <a:prstGeom prst="flowChartProcess">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3" name="Rounded Rectangle 4"/>
                              <wps:cNvSpPr txBox="1"/>
                              <wps:spPr>
                                <a:xfrm>
                                  <a:off x="-131415" y="10695"/>
                                  <a:ext cx="3912304" cy="343778"/>
                                </a:xfrm>
                                <a:prstGeom prst="flowChartProcess">
                                  <a:avLst/>
                                </a:prstGeom>
                                <a:solidFill>
                                  <a:schemeClr val="accent1">
                                    <a:lumMod val="50000"/>
                                  </a:schemeClr>
                                </a:solidFill>
                              </wps:spPr>
                              <wps:style>
                                <a:lnRef idx="0">
                                  <a:scrgbClr r="0" g="0" b="0"/>
                                </a:lnRef>
                                <a:fillRef idx="0">
                                  <a:scrgbClr r="0" g="0" b="0"/>
                                </a:fillRef>
                                <a:effectRef idx="0">
                                  <a:scrgbClr r="0" g="0" b="0"/>
                                </a:effectRef>
                                <a:fontRef idx="minor">
                                  <a:schemeClr val="lt1"/>
                                </a:fontRef>
                              </wps:style>
                              <wps:txbx>
                                <w:txbxContent>
                                  <w:p w14:paraId="54846CD7" w14:textId="366DE6C1"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 xml:space="preserve">Survey a fixed proportion of households from each settlement in a catchment (25%). </w:t>
                                    </w:r>
                                  </w:p>
                                </w:txbxContent>
                              </wps:txbx>
                              <wps:bodyPr spcFirstLastPara="0" vert="horz" wrap="square" lIns="41910" tIns="41910" rIns="41910" bIns="41910" numCol="1" spcCol="1270" anchor="ctr" anchorCtr="0">
                                <a:noAutofit/>
                              </wps:bodyPr>
                            </wps:wsp>
                          </wpg:grpSp>
                          <wpg:grpSp>
                            <wpg:cNvPr id="23" name="Group 7"/>
                            <wpg:cNvGrpSpPr/>
                            <wpg:grpSpPr>
                              <a:xfrm>
                                <a:off x="-118694" y="2171700"/>
                                <a:ext cx="3919169" cy="457200"/>
                                <a:chOff x="-125065" y="1871440"/>
                                <a:chExt cx="3919822" cy="365168"/>
                              </a:xfrm>
                            </wpg:grpSpPr>
                            <wps:wsp>
                              <wps:cNvPr id="24" name="Rounded Rectangle 11"/>
                              <wps:cNvSpPr/>
                              <wps:spPr>
                                <a:xfrm>
                                  <a:off x="0" y="1871440"/>
                                  <a:ext cx="3794757" cy="365168"/>
                                </a:xfrm>
                                <a:prstGeom prst="flowChartProcess">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25" name="Rounded Rectangle 12"/>
                              <wps:cNvSpPr txBox="1"/>
                              <wps:spPr>
                                <a:xfrm>
                                  <a:off x="-125065" y="1871441"/>
                                  <a:ext cx="3912305" cy="357516"/>
                                </a:xfrm>
                                <a:prstGeom prst="flowChartProcess">
                                  <a:avLst/>
                                </a:prstGeom>
                                <a:solidFill>
                                  <a:schemeClr val="accent1">
                                    <a:lumMod val="50000"/>
                                  </a:schemeClr>
                                </a:solidFill>
                              </wps:spPr>
                              <wps:style>
                                <a:lnRef idx="0">
                                  <a:scrgbClr r="0" g="0" b="0"/>
                                </a:lnRef>
                                <a:fillRef idx="0">
                                  <a:scrgbClr r="0" g="0" b="0"/>
                                </a:fillRef>
                                <a:effectRef idx="0">
                                  <a:scrgbClr r="0" g="0" b="0"/>
                                </a:effectRef>
                                <a:fontRef idx="minor">
                                  <a:schemeClr val="lt1"/>
                                </a:fontRef>
                              </wps:style>
                              <wps:txbx>
                                <w:txbxContent>
                                  <w:p w14:paraId="5DC1C713" w14:textId="62896F20"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 xml:space="preserve">For all infants that received an </w:t>
                                    </w:r>
                                    <w:r w:rsidRPr="00FA4025">
                                      <w:rPr>
                                        <w:rFonts w:ascii="Garamond" w:hAnsi="Garamond" w:cstheme="minorBidi"/>
                                        <w:b/>
                                        <w:bCs/>
                                        <w:color w:val="FFFFFF" w:themeColor="light1"/>
                                        <w:kern w:val="24"/>
                                        <w:sz w:val="22"/>
                                        <w:szCs w:val="22"/>
                                        <w:u w:val="single"/>
                                      </w:rPr>
                                      <w:t>injectable vaccination</w:t>
                                    </w:r>
                                    <w:r>
                                      <w:rPr>
                                        <w:rFonts w:ascii="Garamond" w:hAnsi="Garamond" w:cstheme="minorBidi"/>
                                        <w:color w:val="FFFFFF" w:themeColor="light1"/>
                                        <w:kern w:val="24"/>
                                        <w:sz w:val="22"/>
                                        <w:szCs w:val="22"/>
                                      </w:rPr>
                                      <w:t>, cross-reference in records of nearby clinics</w:t>
                                    </w:r>
                                  </w:p>
                                </w:txbxContent>
                              </wps:txbx>
                              <wps:bodyPr spcFirstLastPara="0" vert="horz" wrap="square" lIns="41910" tIns="41910" rIns="41910" bIns="41910" numCol="1" spcCol="1270" anchor="ctr" anchorCtr="0">
                                <a:noAutofit/>
                              </wps:bodyPr>
                            </wps:wsp>
                          </wpg:grpSp>
                          <wps:wsp>
                            <wps:cNvPr id="7" name="Rounded Rectangle 6"/>
                            <wps:cNvSpPr txBox="1"/>
                            <wps:spPr>
                              <a:xfrm>
                                <a:off x="-119204" y="444500"/>
                                <a:ext cx="3926029" cy="228599"/>
                              </a:xfrm>
                              <a:prstGeom prst="flowChartProcess">
                                <a:avLst/>
                              </a:prstGeom>
                              <a:solidFill>
                                <a:schemeClr val="bg1">
                                  <a:lumMod val="65000"/>
                                </a:schemeClr>
                              </a:solidFill>
                            </wps:spPr>
                            <wps:style>
                              <a:lnRef idx="0">
                                <a:scrgbClr r="0" g="0" b="0"/>
                              </a:lnRef>
                              <a:fillRef idx="0">
                                <a:scrgbClr r="0" g="0" b="0"/>
                              </a:fillRef>
                              <a:effectRef idx="0">
                                <a:scrgbClr r="0" g="0" b="0"/>
                              </a:effectRef>
                              <a:fontRef idx="minor">
                                <a:schemeClr val="lt1"/>
                              </a:fontRef>
                            </wps:style>
                            <wps:txbx>
                              <w:txbxContent>
                                <w:p w14:paraId="7750501D" w14:textId="23E79E02" w:rsidR="00BC1F44" w:rsidRPr="008075DF" w:rsidRDefault="00BC1F44" w:rsidP="005E0934">
                                  <w:pPr>
                                    <w:pStyle w:val="NormalWeb"/>
                                    <w:spacing w:before="0" w:beforeAutospacing="0" w:after="92" w:afterAutospacing="0" w:line="216" w:lineRule="auto"/>
                                    <w:jc w:val="center"/>
                                    <w:rPr>
                                      <w:rFonts w:ascii="Garamond" w:hAnsi="Garamond"/>
                                    </w:rPr>
                                  </w:pPr>
                                  <w:r w:rsidRPr="008075DF">
                                    <w:rPr>
                                      <w:rFonts w:ascii="Garamond" w:hAnsi="Garamond" w:cstheme="minorBidi"/>
                                      <w:color w:val="FFFFFF" w:themeColor="light1"/>
                                      <w:kern w:val="24"/>
                                      <w:sz w:val="22"/>
                                      <w:szCs w:val="22"/>
                                    </w:rPr>
                                    <w:t xml:space="preserve">Back check </w:t>
                                  </w:r>
                                  <w:r w:rsidRPr="00B12E4A">
                                    <w:rPr>
                                      <w:rFonts w:ascii="Garamond" w:hAnsi="Garamond" w:cstheme="minorBidi"/>
                                      <w:color w:val="FFFFFF" w:themeColor="light1"/>
                                      <w:kern w:val="24"/>
                                      <w:sz w:val="22"/>
                                      <w:szCs w:val="22"/>
                                    </w:rPr>
                                    <w:t>a fixed proportion of interviews</w:t>
                                  </w:r>
                                </w:p>
                              </w:txbxContent>
                            </wps:txbx>
                            <wps:bodyPr spcFirstLastPara="0" vert="horz" wrap="square" lIns="41910" tIns="41910" rIns="41910" bIns="41910" numCol="1" spcCol="1270" anchor="ctr" anchorCtr="0">
                              <a:noAutofit/>
                            </wps:bodyPr>
                          </wps:wsp>
                          <wps:wsp>
                            <wps:cNvPr id="22" name="Rounded Rectangle 10"/>
                            <wps:cNvSpPr txBox="1"/>
                            <wps:spPr>
                              <a:xfrm>
                                <a:off x="-123217" y="1501738"/>
                                <a:ext cx="3916072" cy="238163"/>
                              </a:xfrm>
                              <a:prstGeom prst="flowChartProcess">
                                <a:avLst/>
                              </a:prstGeom>
                              <a:solidFill>
                                <a:schemeClr val="bg1">
                                  <a:lumMod val="65000"/>
                                </a:schemeClr>
                              </a:solidFill>
                            </wps:spPr>
                            <wps:style>
                              <a:lnRef idx="0">
                                <a:scrgbClr r="0" g="0" b="0"/>
                              </a:lnRef>
                              <a:fillRef idx="0">
                                <a:scrgbClr r="0" g="0" b="0"/>
                              </a:fillRef>
                              <a:effectRef idx="0">
                                <a:scrgbClr r="0" g="0" b="0"/>
                              </a:effectRef>
                              <a:fontRef idx="minor">
                                <a:schemeClr val="lt1"/>
                              </a:fontRef>
                            </wps:style>
                            <wps:txbx>
                              <w:txbxContent>
                                <w:p w14:paraId="2CF568CA" w14:textId="7CB369DC"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Back-check</w:t>
                                  </w:r>
                                  <w:r w:rsidRPr="00EE1608">
                                    <w:rPr>
                                      <w:rFonts w:ascii="Garamond" w:hAnsi="Garamond" w:cstheme="minorBidi"/>
                                      <w:color w:val="FFFFFF" w:themeColor="light1"/>
                                      <w:kern w:val="24"/>
                                      <w:sz w:val="22"/>
                                      <w:szCs w:val="22"/>
                                    </w:rPr>
                                    <w:t xml:space="preserve"> </w:t>
                                  </w:r>
                                  <w:r w:rsidRPr="00B12E4A">
                                    <w:rPr>
                                      <w:rFonts w:ascii="Garamond" w:hAnsi="Garamond" w:cstheme="minorBidi"/>
                                      <w:bCs/>
                                      <w:color w:val="FFFFFF" w:themeColor="light1"/>
                                      <w:kern w:val="24"/>
                                      <w:sz w:val="22"/>
                                      <w:szCs w:val="22"/>
                                    </w:rPr>
                                    <w:t>a fixed proportion of interviews</w:t>
                                  </w:r>
                                </w:p>
                              </w:txbxContent>
                            </wps:txbx>
                            <wps:bodyPr spcFirstLastPara="0" vert="horz" wrap="square" lIns="41910" tIns="41910" rIns="41910" bIns="41910" numCol="1" spcCol="1270" anchor="ctr" anchorCtr="0">
                              <a:noAutofit/>
                            </wps:bodyPr>
                          </wps:wsp>
                          <wps:wsp>
                            <wps:cNvPr id="19" name="Rounded Rectangle 8"/>
                            <wps:cNvSpPr txBox="1"/>
                            <wps:spPr>
                              <a:xfrm>
                                <a:off x="-123216" y="1102825"/>
                                <a:ext cx="3916072" cy="418636"/>
                              </a:xfrm>
                              <a:prstGeom prst="flowChartProcess">
                                <a:avLst/>
                              </a:prstGeom>
                              <a:solidFill>
                                <a:schemeClr val="accent1">
                                  <a:lumMod val="50000"/>
                                </a:schemeClr>
                              </a:solidFill>
                            </wps:spPr>
                            <wps:style>
                              <a:lnRef idx="0">
                                <a:scrgbClr r="0" g="0" b="0"/>
                              </a:lnRef>
                              <a:fillRef idx="0">
                                <a:scrgbClr r="0" g="0" b="0"/>
                              </a:fillRef>
                              <a:effectRef idx="0">
                                <a:scrgbClr r="0" g="0" b="0"/>
                              </a:effectRef>
                              <a:fontRef idx="minor">
                                <a:schemeClr val="lt1"/>
                              </a:fontRef>
                            </wps:style>
                            <wps:txbx>
                              <w:txbxContent>
                                <w:p w14:paraId="5F1E6AD5" w14:textId="42D4E5C2" w:rsidR="00BC1F44" w:rsidRPr="00357ADC" w:rsidRDefault="00BC1F44" w:rsidP="005E0934">
                                  <w:pPr>
                                    <w:pStyle w:val="NormalWeb"/>
                                    <w:spacing w:before="0" w:beforeAutospacing="0" w:after="92" w:afterAutospacing="0" w:line="216" w:lineRule="auto"/>
                                    <w:jc w:val="center"/>
                                    <w:rPr>
                                      <w:color w:val="FFFFFF" w:themeColor="background1"/>
                                      <w:vertAlign w:val="superscript"/>
                                    </w:rPr>
                                  </w:pPr>
                                  <w:r>
                                    <w:rPr>
                                      <w:rFonts w:ascii="Garamond" w:hAnsi="Garamond" w:cstheme="minorBidi"/>
                                      <w:color w:val="FFFFFF" w:themeColor="background1"/>
                                      <w:kern w:val="24"/>
                                      <w:sz w:val="22"/>
                                      <w:szCs w:val="22"/>
                                    </w:rPr>
                                    <w:t xml:space="preserve">Survey </w:t>
                                  </w:r>
                                  <w:r>
                                    <w:rPr>
                                      <w:rFonts w:ascii="Garamond" w:hAnsi="Garamond" w:cstheme="minorBidi"/>
                                      <w:b/>
                                      <w:color w:val="FFFFFF" w:themeColor="background1"/>
                                      <w:kern w:val="24"/>
                                      <w:sz w:val="22"/>
                                      <w:szCs w:val="22"/>
                                      <w:u w:val="single"/>
                                    </w:rPr>
                                    <w:t>all eligible infants identified from the census in each</w:t>
                                  </w:r>
                                  <w:r w:rsidRPr="00357ADC">
                                    <w:rPr>
                                      <w:rFonts w:ascii="Garamond" w:hAnsi="Garamond" w:cstheme="minorBidi"/>
                                      <w:b/>
                                      <w:bCs/>
                                      <w:color w:val="FFFFFF" w:themeColor="background1"/>
                                      <w:kern w:val="24"/>
                                      <w:sz w:val="22"/>
                                      <w:szCs w:val="22"/>
                                      <w:u w:val="single"/>
                                    </w:rPr>
                                    <w:t xml:space="preserve"> catchment area</w:t>
                                  </w:r>
                                </w:p>
                              </w:txbxContent>
                            </wps:txbx>
                            <wps:bodyPr spcFirstLastPara="0" vert="horz" wrap="square" lIns="41910" tIns="41910" rIns="41910" bIns="41910" numCol="1" spcCol="1270" anchor="ctr" anchorCtr="0">
                              <a:noAutofit/>
                            </wps:bodyPr>
                          </wps:wsp>
                          <wps:wsp>
                            <wps:cNvPr id="28" name="Text Box 28"/>
                            <wps:cNvSpPr txBox="1"/>
                            <wps:spPr>
                              <a:xfrm>
                                <a:off x="-126486" y="2619319"/>
                                <a:ext cx="3919341" cy="213350"/>
                              </a:xfrm>
                              <a:prstGeom prst="flowChartProcess">
                                <a:avLst/>
                              </a:prstGeom>
                              <a:solidFill>
                                <a:schemeClr val="bg1">
                                  <a:lumMod val="65000"/>
                                </a:schemeClr>
                              </a:solidFill>
                            </wps:spPr>
                            <wps:style>
                              <a:lnRef idx="0">
                                <a:scrgbClr r="0" g="0" b="0"/>
                              </a:lnRef>
                              <a:fillRef idx="0">
                                <a:scrgbClr r="0" g="0" b="0"/>
                              </a:fillRef>
                              <a:effectRef idx="0">
                                <a:scrgbClr r="0" g="0" b="0"/>
                              </a:effectRef>
                              <a:fontRef idx="minor">
                                <a:schemeClr val="lt1"/>
                              </a:fontRef>
                            </wps:style>
                            <wps:txbx>
                              <w:txbxContent>
                                <w:p w14:paraId="6DFF1EDB" w14:textId="09F10CF1"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Back-check individual records for a fixed proportion of</w:t>
                                  </w:r>
                                  <w:r w:rsidRPr="00EE1608">
                                    <w:rPr>
                                      <w:rFonts w:ascii="Garamond" w:hAnsi="Garamond" w:cstheme="minorBidi"/>
                                      <w:b/>
                                      <w:color w:val="FFFFFF" w:themeColor="light1"/>
                                      <w:kern w:val="24"/>
                                      <w:sz w:val="22"/>
                                      <w:szCs w:val="22"/>
                                    </w:rPr>
                                    <w:t xml:space="preserve"> </w:t>
                                  </w:r>
                                  <w:r w:rsidRPr="00041DC4">
                                    <w:rPr>
                                      <w:rFonts w:ascii="Garamond" w:hAnsi="Garamond" w:cstheme="minorBidi"/>
                                      <w:b/>
                                      <w:color w:val="FFFFFF" w:themeColor="light1"/>
                                      <w:kern w:val="24"/>
                                      <w:sz w:val="22"/>
                                      <w:szCs w:val="22"/>
                                    </w:rPr>
                                    <w:t>clinics</w:t>
                                  </w:r>
                                </w:p>
                              </w:txbxContent>
                            </wps:txbx>
                            <wps:bodyPr spcFirstLastPara="0" vert="horz" wrap="square" lIns="41910" tIns="41910" rIns="41910" bIns="41910" numCol="1" spcCol="1270" anchor="ctr" anchorCtr="0">
                              <a:noAutofit/>
                            </wps:bodyPr>
                          </wps:wsp>
                        </wpg:grpSp>
                      </wpg:grpSp>
                      <wps:wsp>
                        <wps:cNvPr id="39" name="Down Arrow 39"/>
                        <wps:cNvSpPr/>
                        <wps:spPr>
                          <a:xfrm>
                            <a:off x="3822700" y="1816100"/>
                            <a:ext cx="379730" cy="284270"/>
                          </a:xfrm>
                          <a:prstGeom prst="downArrow">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Down Arrow 55"/>
                        <wps:cNvSpPr/>
                        <wps:spPr>
                          <a:xfrm>
                            <a:off x="3822700" y="749300"/>
                            <a:ext cx="379730" cy="284270"/>
                          </a:xfrm>
                          <a:prstGeom prst="downArrow">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FC11A02" id="Group 5" o:spid="_x0000_s1026" style="position:absolute;margin-left:-5.4pt;margin-top:24.65pt;width:455.75pt;height:223.5pt;z-index:-251657216;mso-width-relative:margin" coordsize="57880,28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">
                <v:group id="Group 1" o:spid="_x0000_s1027" style="position:absolute;width:57880;height:28384" coordsize="57880,2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Text Box 12" o:spid="_x0000_s1028" type="#_x0000_t202" style="position:absolute;width:15684;height:4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" fillcolor="white [3201]" stroked="f" strokeweight=".5pt">
                    <v:textbox>
                      <w:txbxContent>
                        <w:p w14:paraId="18DC01C2" w14:textId="77777777" w:rsidR="00BC1F44" w:rsidRPr="008A20C8" w:rsidRDefault="00BC1F44" w:rsidP="008A20C8">
                          <w:pPr>
                            <w:pStyle w:val="Heading2"/>
                            <w:rPr>
                              <w:rFonts w:ascii="Garamond" w:hAnsi="Garamond"/>
                              <w:sz w:val="28"/>
                              <w:szCs w:val="28"/>
                            </w:rPr>
                          </w:pPr>
                          <w:r w:rsidRPr="008A20C8">
                            <w:rPr>
                              <w:rFonts w:ascii="Garamond" w:hAnsi="Garamond"/>
                              <w:sz w:val="28"/>
                              <w:szCs w:val="28"/>
                            </w:rPr>
                            <w:t>Census</w:t>
                          </w:r>
                        </w:p>
                      </w:txbxContent>
                    </v:textbox>
                  </v:shape>
                  <v:shape id="Text Box 13" o:spid="_x0000_s1029" type="#_x0000_t202" style="position:absolute;top:10096;width:19304;height:5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14:paraId="4B3C3CBA" w14:textId="77777777" w:rsidR="00BC1F44" w:rsidRPr="008A20C8" w:rsidRDefault="00BC1F44" w:rsidP="008A20C8">
                          <w:pPr>
                            <w:pStyle w:val="Heading2"/>
                            <w:rPr>
                              <w:rFonts w:ascii="Garamond" w:hAnsi="Garamond"/>
                              <w:sz w:val="28"/>
                              <w:szCs w:val="28"/>
                            </w:rPr>
                          </w:pPr>
                          <w:r w:rsidRPr="008A20C8">
                            <w:rPr>
                              <w:rFonts w:ascii="Garamond" w:hAnsi="Garamond"/>
                              <w:sz w:val="28"/>
                              <w:szCs w:val="28"/>
                            </w:rPr>
                            <w:t>Routine Immunization Survey</w:t>
                          </w:r>
                        </w:p>
                      </w:txbxContent>
                    </v:textbox>
                  </v:shape>
                  <v:shape id="Text Box 11" o:spid="_x0000_s1030" type="#_x0000_t202" style="position:absolute;left:317;top:21717;width:11684;height:5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14:paraId="60F28FD3" w14:textId="77777777" w:rsidR="00BC1F44" w:rsidRPr="008A20C8" w:rsidRDefault="00BC1F44" w:rsidP="008A20C8">
                          <w:pPr>
                            <w:pStyle w:val="Heading2"/>
                            <w:rPr>
                              <w:rFonts w:ascii="Garamond" w:hAnsi="Garamond"/>
                              <w:sz w:val="28"/>
                              <w:szCs w:val="28"/>
                            </w:rPr>
                          </w:pPr>
                          <w:r w:rsidRPr="008A20C8">
                            <w:rPr>
                              <w:rFonts w:ascii="Garamond" w:hAnsi="Garamond"/>
                              <w:sz w:val="28"/>
                              <w:szCs w:val="28"/>
                            </w:rPr>
                            <w:t>Clinic Records</w:t>
                          </w:r>
                        </w:p>
                      </w:txbxContent>
                    </v:textbox>
                  </v:shape>
                  <v:group id="Group 35" o:spid="_x0000_s1031" style="position:absolute;left:18547;top:63;width:39333;height:28321" coordorigin="-1264" coordsize="39333,28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 o:spid="_x0000_s1032" style="position:absolute;left:-1186;width:39254;height:4572" coordorigin="-1314" coordsize="39261,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109" coordsize="21600,21600" o:spt="109" path="m,l,21600r21600,l21600,xe">
                        <v:stroke joinstyle="miter"/>
                        <v:path gradientshapeok="t" o:connecttype="rect"/>
                      </v:shapetype>
                      <v:shape id="Rounded Rectangle 19" o:spid="_x0000_s1033" type="#_x0000_t109" style="position:absolute;width:37947;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" fillcolor="#5b9bd5 [3204]" strokecolor="white [3201]" strokeweight="1pt"/>
                      <v:shape id="Rounded Rectangle 4" o:spid="_x0000_s1034" type="#_x0000_t109" style="position:absolute;left:-1314;top:106;width:39122;height:3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" fillcolor="#1f4d78 [1604]" stroked="f">
                        <v:textbox inset="3.3pt,3.3pt,3.3pt,3.3pt">
                          <w:txbxContent>
                            <w:p w14:paraId="54846CD7" w14:textId="366DE6C1"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 xml:space="preserve">Survey a fixed proportion of households from each settlement in a catchment (25%). </w:t>
                              </w:r>
                            </w:p>
                          </w:txbxContent>
                        </v:textbox>
                      </v:shape>
                    </v:group>
                    <v:group id="Group 7" o:spid="_x0000_s1035" style="position:absolute;left:-1186;top:21717;width:39190;height:4572" coordorigin="-1250,18714" coordsize="39198,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Rounded Rectangle 11" o:spid="_x0000_s1036" type="#_x0000_t109" style="position:absolute;top:18714;width:37947;height:3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" fillcolor="#5b9bd5 [3204]" strokecolor="white [3201]" strokeweight="1pt"/>
                      <v:shape id="Rounded Rectangle 12" o:spid="_x0000_s1037" type="#_x0000_t109" style="position:absolute;left:-1250;top:18714;width:39122;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" fillcolor="#1f4d78 [1604]" stroked="f">
                        <v:textbox inset="3.3pt,3.3pt,3.3pt,3.3pt">
                          <w:txbxContent>
                            <w:p w14:paraId="5DC1C713" w14:textId="62896F20"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 xml:space="preserve">For all infants that received an </w:t>
                              </w:r>
                              <w:r w:rsidRPr="00FA4025">
                                <w:rPr>
                                  <w:rFonts w:ascii="Garamond" w:hAnsi="Garamond" w:cstheme="minorBidi"/>
                                  <w:b/>
                                  <w:bCs/>
                                  <w:color w:val="FFFFFF" w:themeColor="light1"/>
                                  <w:kern w:val="24"/>
                                  <w:sz w:val="22"/>
                                  <w:szCs w:val="22"/>
                                  <w:u w:val="single"/>
                                </w:rPr>
                                <w:t>injectable vaccination</w:t>
                              </w:r>
                              <w:r>
                                <w:rPr>
                                  <w:rFonts w:ascii="Garamond" w:hAnsi="Garamond" w:cstheme="minorBidi"/>
                                  <w:color w:val="FFFFFF" w:themeColor="light1"/>
                                  <w:kern w:val="24"/>
                                  <w:sz w:val="22"/>
                                  <w:szCs w:val="22"/>
                                </w:rPr>
                                <w:t>, cross-reference in records of nearby clinics</w:t>
                              </w:r>
                            </w:p>
                          </w:txbxContent>
                        </v:textbox>
                      </v:shape>
                    </v:group>
                    <v:shape id="Rounded Rectangle 6" o:spid="_x0000_s1038" type="#_x0000_t109" style="position:absolute;left:-1192;top:4445;width:39260;height:2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" fillcolor="#a5a5a5 [2092]" stroked="f">
                      <v:textbox inset="3.3pt,3.3pt,3.3pt,3.3pt">
                        <w:txbxContent>
                          <w:p w14:paraId="7750501D" w14:textId="23E79E02" w:rsidR="00BC1F44" w:rsidRPr="008075DF" w:rsidRDefault="00BC1F44" w:rsidP="005E0934">
                            <w:pPr>
                              <w:pStyle w:val="NormalWeb"/>
                              <w:spacing w:before="0" w:beforeAutospacing="0" w:after="92" w:afterAutospacing="0" w:line="216" w:lineRule="auto"/>
                              <w:jc w:val="center"/>
                              <w:rPr>
                                <w:rFonts w:ascii="Garamond" w:hAnsi="Garamond"/>
                              </w:rPr>
                            </w:pPr>
                            <w:r w:rsidRPr="008075DF">
                              <w:rPr>
                                <w:rFonts w:ascii="Garamond" w:hAnsi="Garamond" w:cstheme="minorBidi"/>
                                <w:color w:val="FFFFFF" w:themeColor="light1"/>
                                <w:kern w:val="24"/>
                                <w:sz w:val="22"/>
                                <w:szCs w:val="22"/>
                              </w:rPr>
                              <w:t xml:space="preserve">Back check </w:t>
                            </w:r>
                            <w:r w:rsidRPr="00B12E4A">
                              <w:rPr>
                                <w:rFonts w:ascii="Garamond" w:hAnsi="Garamond" w:cstheme="minorBidi"/>
                                <w:color w:val="FFFFFF" w:themeColor="light1"/>
                                <w:kern w:val="24"/>
                                <w:sz w:val="22"/>
                                <w:szCs w:val="22"/>
                              </w:rPr>
                              <w:t>a fixed proportion of interviews</w:t>
                            </w:r>
                          </w:p>
                        </w:txbxContent>
                      </v:textbox>
                    </v:shape>
                    <v:shape id="Rounded Rectangle 10" o:spid="_x0000_s1039" type="#_x0000_t109" style="position:absolute;left:-1232;top:15017;width:39160;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" fillcolor="#a5a5a5 [2092]" stroked="f">
                      <v:textbox inset="3.3pt,3.3pt,3.3pt,3.3pt">
                        <w:txbxContent>
                          <w:p w14:paraId="2CF568CA" w14:textId="7CB369DC"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Back-check</w:t>
                            </w:r>
                            <w:r w:rsidRPr="00EE1608">
                              <w:rPr>
                                <w:rFonts w:ascii="Garamond" w:hAnsi="Garamond" w:cstheme="minorBidi"/>
                                <w:color w:val="FFFFFF" w:themeColor="light1"/>
                                <w:kern w:val="24"/>
                                <w:sz w:val="22"/>
                                <w:szCs w:val="22"/>
                              </w:rPr>
                              <w:t xml:space="preserve"> </w:t>
                            </w:r>
                            <w:r w:rsidRPr="00B12E4A">
                              <w:rPr>
                                <w:rFonts w:ascii="Garamond" w:hAnsi="Garamond" w:cstheme="minorBidi"/>
                                <w:bCs/>
                                <w:color w:val="FFFFFF" w:themeColor="light1"/>
                                <w:kern w:val="24"/>
                                <w:sz w:val="22"/>
                                <w:szCs w:val="22"/>
                              </w:rPr>
                              <w:t>a fixed proportion of interviews</w:t>
                            </w:r>
                          </w:p>
                        </w:txbxContent>
                      </v:textbox>
                    </v:shape>
                    <v:shape id="Rounded Rectangle 8" o:spid="_x0000_s1040" type="#_x0000_t109" style="position:absolute;left:-1232;top:11028;width:39160;height:41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" fillcolor="#1f4d78 [1604]" stroked="f">
                      <v:textbox inset="3.3pt,3.3pt,3.3pt,3.3pt">
                        <w:txbxContent>
                          <w:p w14:paraId="5F1E6AD5" w14:textId="42D4E5C2" w:rsidR="00BC1F44" w:rsidRPr="00357ADC" w:rsidRDefault="00BC1F44" w:rsidP="005E0934">
                            <w:pPr>
                              <w:pStyle w:val="NormalWeb"/>
                              <w:spacing w:before="0" w:beforeAutospacing="0" w:after="92" w:afterAutospacing="0" w:line="216" w:lineRule="auto"/>
                              <w:jc w:val="center"/>
                              <w:rPr>
                                <w:color w:val="FFFFFF" w:themeColor="background1"/>
                                <w:vertAlign w:val="superscript"/>
                              </w:rPr>
                            </w:pPr>
                            <w:r>
                              <w:rPr>
                                <w:rFonts w:ascii="Garamond" w:hAnsi="Garamond" w:cstheme="minorBidi"/>
                                <w:color w:val="FFFFFF" w:themeColor="background1"/>
                                <w:kern w:val="24"/>
                                <w:sz w:val="22"/>
                                <w:szCs w:val="22"/>
                              </w:rPr>
                              <w:t xml:space="preserve">Survey </w:t>
                            </w:r>
                            <w:r>
                              <w:rPr>
                                <w:rFonts w:ascii="Garamond" w:hAnsi="Garamond" w:cstheme="minorBidi"/>
                                <w:b/>
                                <w:color w:val="FFFFFF" w:themeColor="background1"/>
                                <w:kern w:val="24"/>
                                <w:sz w:val="22"/>
                                <w:szCs w:val="22"/>
                                <w:u w:val="single"/>
                              </w:rPr>
                              <w:t>all eligible infants identified from the census in each</w:t>
                            </w:r>
                            <w:r w:rsidRPr="00357ADC">
                              <w:rPr>
                                <w:rFonts w:ascii="Garamond" w:hAnsi="Garamond" w:cstheme="minorBidi"/>
                                <w:b/>
                                <w:bCs/>
                                <w:color w:val="FFFFFF" w:themeColor="background1"/>
                                <w:kern w:val="24"/>
                                <w:sz w:val="22"/>
                                <w:szCs w:val="22"/>
                                <w:u w:val="single"/>
                              </w:rPr>
                              <w:t xml:space="preserve"> catchment area</w:t>
                            </w:r>
                          </w:p>
                        </w:txbxContent>
                      </v:textbox>
                    </v:shape>
                    <v:shape id="Text Box 28" o:spid="_x0000_s1041" type="#_x0000_t109" style="position:absolute;left:-1264;top:26193;width:39192;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" fillcolor="#a5a5a5 [2092]" stroked="f">
                      <v:textbox inset="3.3pt,3.3pt,3.3pt,3.3pt">
                        <w:txbxContent>
                          <w:p w14:paraId="6DFF1EDB" w14:textId="09F10CF1" w:rsidR="00BC1F44" w:rsidRDefault="00BC1F44" w:rsidP="005E0934">
                            <w:pPr>
                              <w:pStyle w:val="NormalWeb"/>
                              <w:spacing w:before="0" w:beforeAutospacing="0" w:after="92" w:afterAutospacing="0" w:line="216" w:lineRule="auto"/>
                              <w:jc w:val="center"/>
                            </w:pPr>
                            <w:r>
                              <w:rPr>
                                <w:rFonts w:ascii="Garamond" w:hAnsi="Garamond" w:cstheme="minorBidi"/>
                                <w:color w:val="FFFFFF" w:themeColor="light1"/>
                                <w:kern w:val="24"/>
                                <w:sz w:val="22"/>
                                <w:szCs w:val="22"/>
                              </w:rPr>
                              <w:t>Back-check individual records for a fixed proportion of</w:t>
                            </w:r>
                            <w:r w:rsidRPr="00EE1608">
                              <w:rPr>
                                <w:rFonts w:ascii="Garamond" w:hAnsi="Garamond" w:cstheme="minorBidi"/>
                                <w:b/>
                                <w:color w:val="FFFFFF" w:themeColor="light1"/>
                                <w:kern w:val="24"/>
                                <w:sz w:val="22"/>
                                <w:szCs w:val="22"/>
                              </w:rPr>
                              <w:t xml:space="preserve"> </w:t>
                            </w:r>
                            <w:r w:rsidRPr="00041DC4">
                              <w:rPr>
                                <w:rFonts w:ascii="Garamond" w:hAnsi="Garamond" w:cstheme="minorBidi"/>
                                <w:b/>
                                <w:color w:val="FFFFFF" w:themeColor="light1"/>
                                <w:kern w:val="24"/>
                                <w:sz w:val="22"/>
                                <w:szCs w:val="22"/>
                              </w:rPr>
                              <w:t>clinics</w:t>
                            </w:r>
                          </w:p>
                        </w:txbxContent>
                      </v:textbox>
                    </v:shape>
                  </v:group>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9" o:spid="_x0000_s1042" type="#_x0000_t67" style="position:absolute;left:38227;top:18161;width:3797;height:2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" adj="10800" fillcolor="#1f4d78 [1604]" strokecolor="#1f4d78 [1604]" strokeweight="1pt"/>
                <v:shape id="Down Arrow 55" o:spid="_x0000_s1043" type="#_x0000_t67" style="position:absolute;left:38227;top:7493;width:3797;height:2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" adj="10800" fillcolor="#1f4d78 [1604]" strokecolor="#1f4d78 [1604]" strokeweight="1pt"/>
                <w10:wrap type="topAndBottom"/>
              </v:group>
            </w:pict>
          </mc:Fallback>
        </mc:AlternateContent>
      </w:r>
      <w:r w:rsidR="00692637">
        <w:rPr>
          <w:rFonts w:ascii="Garamond" w:hAnsi="Garamond"/>
          <w:i/>
        </w:rPr>
        <w:t>Figure 2</w:t>
      </w:r>
      <w:r w:rsidR="00692637" w:rsidRPr="005077A6">
        <w:rPr>
          <w:rFonts w:ascii="Garamond" w:hAnsi="Garamond"/>
          <w:i/>
        </w:rPr>
        <w:t xml:space="preserve">: </w:t>
      </w:r>
      <w:r w:rsidR="00EC36A7">
        <w:rPr>
          <w:rFonts w:ascii="Garamond" w:hAnsi="Garamond"/>
          <w:i/>
        </w:rPr>
        <w:t>Data Collection Flow</w:t>
      </w:r>
      <w:r w:rsidR="0096030B">
        <w:rPr>
          <w:rStyle w:val="FootnoteReference"/>
          <w:rFonts w:ascii="Garamond" w:hAnsi="Garamond"/>
          <w:i/>
        </w:rPr>
        <w:footnoteReference w:id="39"/>
      </w:r>
    </w:p>
    <w:p w14:paraId="61D93851" w14:textId="77777777" w:rsidR="00474A48" w:rsidRDefault="00474A48" w:rsidP="00963A8F">
      <w:pPr>
        <w:spacing w:line="259" w:lineRule="auto"/>
        <w:rPr>
          <w:rFonts w:ascii="Garamond" w:hAnsi="Garamond"/>
          <w:vertAlign w:val="superscript"/>
        </w:rPr>
      </w:pPr>
    </w:p>
    <w:p w14:paraId="3C2CB69D" w14:textId="77777777" w:rsidR="00474A48" w:rsidRDefault="00474A48" w:rsidP="00963A8F">
      <w:pPr>
        <w:spacing w:line="259" w:lineRule="auto"/>
        <w:rPr>
          <w:rFonts w:ascii="Garamond" w:hAnsi="Garamond"/>
          <w:b/>
          <w:i/>
        </w:rPr>
      </w:pPr>
    </w:p>
    <w:p w14:paraId="7CFC1315" w14:textId="09F0C605" w:rsidR="002A1B7F" w:rsidRPr="001E3BD8" w:rsidRDefault="002A1B7F" w:rsidP="00474A48">
      <w:pPr>
        <w:keepNext/>
        <w:spacing w:line="259" w:lineRule="auto"/>
        <w:rPr>
          <w:rFonts w:ascii="Garamond" w:hAnsi="Garamond"/>
        </w:rPr>
      </w:pPr>
      <w:r>
        <w:rPr>
          <w:rFonts w:ascii="Garamond" w:hAnsi="Garamond"/>
          <w:b/>
          <w:i/>
        </w:rPr>
        <w:t>Measurement Steps</w:t>
      </w:r>
    </w:p>
    <w:p w14:paraId="32EB2D66" w14:textId="124D72A4" w:rsidR="0087409F" w:rsidRDefault="00206B36" w:rsidP="00896C62">
      <w:pPr>
        <w:jc w:val="both"/>
        <w:rPr>
          <w:rFonts w:ascii="Garamond" w:hAnsi="Garamond"/>
        </w:rPr>
      </w:pPr>
      <w:r>
        <w:rPr>
          <w:rFonts w:ascii="Garamond" w:hAnsi="Garamond"/>
        </w:rPr>
        <w:t>The study includes</w:t>
      </w:r>
      <w:r w:rsidRPr="002A3949">
        <w:rPr>
          <w:rFonts w:ascii="Garamond" w:hAnsi="Garamond"/>
        </w:rPr>
        <w:t xml:space="preserve"> </w:t>
      </w:r>
      <w:r w:rsidR="002A1B7F" w:rsidRPr="002A3949">
        <w:rPr>
          <w:rFonts w:ascii="Garamond" w:hAnsi="Garamond"/>
        </w:rPr>
        <w:t>baseline</w:t>
      </w:r>
      <w:r w:rsidR="008B7F8A">
        <w:rPr>
          <w:rFonts w:ascii="Garamond" w:hAnsi="Garamond"/>
        </w:rPr>
        <w:t>,</w:t>
      </w:r>
      <w:r w:rsidR="00106886">
        <w:rPr>
          <w:rStyle w:val="FootnoteReference"/>
          <w:rFonts w:ascii="Garamond" w:hAnsi="Garamond"/>
        </w:rPr>
        <w:footnoteReference w:id="40"/>
      </w:r>
      <w:r w:rsidR="008B7F8A">
        <w:rPr>
          <w:rFonts w:ascii="Garamond" w:hAnsi="Garamond"/>
        </w:rPr>
        <w:t xml:space="preserve"> midline,</w:t>
      </w:r>
      <w:r w:rsidR="002A1B7F" w:rsidRPr="002A3949">
        <w:rPr>
          <w:rFonts w:ascii="Garamond" w:hAnsi="Garamond"/>
        </w:rPr>
        <w:t xml:space="preserve"> </w:t>
      </w:r>
      <w:r w:rsidR="007D3943">
        <w:rPr>
          <w:rFonts w:ascii="Garamond" w:hAnsi="Garamond"/>
        </w:rPr>
        <w:t>and</w:t>
      </w:r>
      <w:r w:rsidR="002A1B7F" w:rsidRPr="002A3949">
        <w:rPr>
          <w:rFonts w:ascii="Garamond" w:hAnsi="Garamond"/>
        </w:rPr>
        <w:t xml:space="preserve"> </w:t>
      </w:r>
      <w:proofErr w:type="spellStart"/>
      <w:r w:rsidR="002A1B7F" w:rsidRPr="002A3949">
        <w:rPr>
          <w:rFonts w:ascii="Garamond" w:hAnsi="Garamond"/>
        </w:rPr>
        <w:t>endline</w:t>
      </w:r>
      <w:proofErr w:type="spellEnd"/>
      <w:r w:rsidR="002A1B7F" w:rsidRPr="002A3949">
        <w:rPr>
          <w:rFonts w:ascii="Garamond" w:hAnsi="Garamond"/>
        </w:rPr>
        <w:t xml:space="preserve"> measurement rounds.</w:t>
      </w:r>
      <w:r w:rsidR="00180A8A">
        <w:rPr>
          <w:rStyle w:val="FootnoteReference"/>
          <w:rFonts w:ascii="Garamond" w:hAnsi="Garamond"/>
        </w:rPr>
        <w:footnoteReference w:id="41"/>
      </w:r>
      <w:r w:rsidR="002A1B7F" w:rsidRPr="002A3949">
        <w:rPr>
          <w:rFonts w:ascii="Garamond" w:hAnsi="Garamond"/>
        </w:rPr>
        <w:t xml:space="preserve"> The baseline and </w:t>
      </w:r>
      <w:proofErr w:type="spellStart"/>
      <w:r w:rsidR="002A1B7F" w:rsidRPr="002A3949">
        <w:rPr>
          <w:rFonts w:ascii="Garamond" w:hAnsi="Garamond"/>
        </w:rPr>
        <w:t>endline</w:t>
      </w:r>
      <w:proofErr w:type="spellEnd"/>
      <w:r w:rsidR="002A1B7F" w:rsidRPr="002A3949">
        <w:rPr>
          <w:rFonts w:ascii="Garamond" w:hAnsi="Garamond"/>
        </w:rPr>
        <w:t xml:space="preserve"> use a coverage survey and </w:t>
      </w:r>
      <w:r w:rsidR="00106886">
        <w:rPr>
          <w:rFonts w:ascii="Garamond" w:hAnsi="Garamond"/>
        </w:rPr>
        <w:t xml:space="preserve">collect </w:t>
      </w:r>
      <w:r w:rsidR="002A1B7F" w:rsidRPr="002A3949">
        <w:rPr>
          <w:rFonts w:ascii="Garamond" w:hAnsi="Garamond"/>
        </w:rPr>
        <w:t>administrative data</w:t>
      </w:r>
      <w:r w:rsidR="00180A8A">
        <w:rPr>
          <w:rFonts w:ascii="Garamond" w:hAnsi="Garamond"/>
        </w:rPr>
        <w:t>.</w:t>
      </w:r>
      <w:r w:rsidR="002A1B7F" w:rsidRPr="002A3949">
        <w:rPr>
          <w:rFonts w:ascii="Garamond" w:hAnsi="Garamond"/>
        </w:rPr>
        <w:t xml:space="preserve"> </w:t>
      </w:r>
      <w:r w:rsidR="00180A8A">
        <w:rPr>
          <w:rFonts w:ascii="Garamond" w:hAnsi="Garamond"/>
        </w:rPr>
        <w:t>M</w:t>
      </w:r>
      <w:r w:rsidR="002A1B7F" w:rsidRPr="002A3949">
        <w:rPr>
          <w:rFonts w:ascii="Garamond" w:hAnsi="Garamond"/>
        </w:rPr>
        <w:t>idline use</w:t>
      </w:r>
      <w:r w:rsidR="00496F70">
        <w:rPr>
          <w:rFonts w:ascii="Garamond" w:hAnsi="Garamond"/>
        </w:rPr>
        <w:t>d</w:t>
      </w:r>
      <w:r w:rsidR="002A1B7F" w:rsidRPr="002A3949">
        <w:rPr>
          <w:rFonts w:ascii="Garamond" w:hAnsi="Garamond"/>
        </w:rPr>
        <w:t xml:space="preserve"> only administrative data</w:t>
      </w:r>
      <w:r w:rsidR="00E44ACD">
        <w:rPr>
          <w:rFonts w:ascii="Garamond" w:hAnsi="Garamond"/>
        </w:rPr>
        <w:t xml:space="preserve"> and </w:t>
      </w:r>
      <w:r w:rsidR="00496F70">
        <w:rPr>
          <w:rFonts w:ascii="Garamond" w:hAnsi="Garamond"/>
        </w:rPr>
        <w:t>was</w:t>
      </w:r>
      <w:r w:rsidR="00E44ACD">
        <w:rPr>
          <w:rFonts w:ascii="Garamond" w:hAnsi="Garamond"/>
        </w:rPr>
        <w:t xml:space="preserve"> designed primarily</w:t>
      </w:r>
      <w:r w:rsidR="00180A8A">
        <w:rPr>
          <w:rFonts w:ascii="Garamond" w:hAnsi="Garamond"/>
        </w:rPr>
        <w:t xml:space="preserve"> as an in-stride monitoring activity</w:t>
      </w:r>
      <w:r w:rsidR="00E44ACD">
        <w:rPr>
          <w:rFonts w:ascii="Garamond" w:hAnsi="Garamond"/>
        </w:rPr>
        <w:t xml:space="preserve"> to inform New Incentives and </w:t>
      </w:r>
      <w:proofErr w:type="spellStart"/>
      <w:r w:rsidR="00E44ACD">
        <w:rPr>
          <w:rFonts w:ascii="Garamond" w:hAnsi="Garamond"/>
        </w:rPr>
        <w:t>IDinsight</w:t>
      </w:r>
      <w:proofErr w:type="spellEnd"/>
      <w:r w:rsidR="00180A8A">
        <w:rPr>
          <w:rFonts w:ascii="Garamond" w:hAnsi="Garamond"/>
        </w:rPr>
        <w:t xml:space="preserve"> rather than</w:t>
      </w:r>
      <w:r w:rsidR="00E44ACD">
        <w:rPr>
          <w:rFonts w:ascii="Garamond" w:hAnsi="Garamond"/>
        </w:rPr>
        <w:t xml:space="preserve"> </w:t>
      </w:r>
      <w:r w:rsidR="00180A8A">
        <w:rPr>
          <w:rFonts w:ascii="Garamond" w:hAnsi="Garamond"/>
        </w:rPr>
        <w:t>an</w:t>
      </w:r>
      <w:r w:rsidR="00E44ACD">
        <w:rPr>
          <w:rFonts w:ascii="Garamond" w:hAnsi="Garamond"/>
        </w:rPr>
        <w:t xml:space="preserve"> impact</w:t>
      </w:r>
      <w:r w:rsidR="00180A8A">
        <w:rPr>
          <w:rFonts w:ascii="Garamond" w:hAnsi="Garamond"/>
        </w:rPr>
        <w:t xml:space="preserve"> estimate</w:t>
      </w:r>
      <w:r w:rsidR="00E44ACD">
        <w:rPr>
          <w:rFonts w:ascii="Garamond" w:hAnsi="Garamond"/>
        </w:rPr>
        <w:t xml:space="preserve"> </w:t>
      </w:r>
      <w:r w:rsidR="00180A8A">
        <w:rPr>
          <w:rFonts w:ascii="Garamond" w:hAnsi="Garamond"/>
        </w:rPr>
        <w:t>to inform</w:t>
      </w:r>
      <w:r w:rsidR="00E44ACD">
        <w:rPr>
          <w:rFonts w:ascii="Garamond" w:hAnsi="Garamond"/>
        </w:rPr>
        <w:t xml:space="preserve"> </w:t>
      </w:r>
      <w:proofErr w:type="spellStart"/>
      <w:r w:rsidR="00E44ACD">
        <w:rPr>
          <w:rFonts w:ascii="Garamond" w:hAnsi="Garamond"/>
        </w:rPr>
        <w:t>GiveWell</w:t>
      </w:r>
      <w:proofErr w:type="spellEnd"/>
      <w:r w:rsidR="00E44ACD">
        <w:rPr>
          <w:rFonts w:ascii="Garamond" w:hAnsi="Garamond"/>
        </w:rPr>
        <w:t xml:space="preserve"> funding decisions</w:t>
      </w:r>
      <w:r w:rsidR="002A1B7F" w:rsidRPr="002A3949">
        <w:rPr>
          <w:rFonts w:ascii="Garamond" w:hAnsi="Garamond"/>
        </w:rPr>
        <w:t xml:space="preserve">. </w:t>
      </w:r>
      <w:bookmarkStart w:id="0" w:name="_Hlk510770837"/>
      <w:proofErr w:type="spellStart"/>
      <w:r w:rsidR="00180A8A">
        <w:rPr>
          <w:rFonts w:ascii="Garamond" w:hAnsi="Garamond"/>
        </w:rPr>
        <w:t>E</w:t>
      </w:r>
      <w:r w:rsidR="002A1B7F" w:rsidRPr="002A3949">
        <w:rPr>
          <w:rFonts w:ascii="Garamond" w:hAnsi="Garamond"/>
        </w:rPr>
        <w:t>ndline</w:t>
      </w:r>
      <w:proofErr w:type="spellEnd"/>
      <w:r w:rsidR="002A1B7F" w:rsidRPr="002A3949">
        <w:rPr>
          <w:rFonts w:ascii="Garamond" w:hAnsi="Garamond"/>
        </w:rPr>
        <w:t xml:space="preserve"> will take place approximately </w:t>
      </w:r>
      <w:r w:rsidR="00FC2238" w:rsidRPr="002A3949">
        <w:rPr>
          <w:rFonts w:ascii="Garamond" w:hAnsi="Garamond"/>
        </w:rPr>
        <w:t>2</w:t>
      </w:r>
      <w:r w:rsidR="005C0DAB">
        <w:rPr>
          <w:rFonts w:ascii="Garamond" w:hAnsi="Garamond"/>
        </w:rPr>
        <w:t>2</w:t>
      </w:r>
      <w:r w:rsidR="00FC2238" w:rsidRPr="002A3949">
        <w:rPr>
          <w:rFonts w:ascii="Garamond" w:hAnsi="Garamond"/>
        </w:rPr>
        <w:t xml:space="preserve"> </w:t>
      </w:r>
      <w:r w:rsidR="002A1B7F" w:rsidRPr="002A3949">
        <w:rPr>
          <w:rFonts w:ascii="Garamond" w:hAnsi="Garamond"/>
        </w:rPr>
        <w:t xml:space="preserve">months after baseline. </w:t>
      </w:r>
      <w:bookmarkEnd w:id="0"/>
      <w:r w:rsidR="002A1B7F">
        <w:rPr>
          <w:rFonts w:ascii="Garamond" w:hAnsi="Garamond"/>
        </w:rPr>
        <w:t xml:space="preserve">The timeline is </w:t>
      </w:r>
      <w:r w:rsidR="008B7F8A">
        <w:rPr>
          <w:rFonts w:ascii="Garamond" w:hAnsi="Garamond"/>
        </w:rPr>
        <w:t>meant to</w:t>
      </w:r>
      <w:r w:rsidR="002A1B7F">
        <w:rPr>
          <w:rFonts w:ascii="Garamond" w:hAnsi="Garamond"/>
        </w:rPr>
        <w:t xml:space="preserve"> ensur</w:t>
      </w:r>
      <w:r w:rsidR="008B7F8A">
        <w:rPr>
          <w:rFonts w:ascii="Garamond" w:hAnsi="Garamond"/>
        </w:rPr>
        <w:t>e</w:t>
      </w:r>
      <w:r w:rsidR="002A1B7F">
        <w:rPr>
          <w:rFonts w:ascii="Garamond" w:hAnsi="Garamond"/>
        </w:rPr>
        <w:t xml:space="preserve"> the </w:t>
      </w:r>
      <w:r w:rsidR="008962FD">
        <w:rPr>
          <w:rFonts w:ascii="Garamond" w:hAnsi="Garamond"/>
        </w:rPr>
        <w:t>study</w:t>
      </w:r>
      <w:r w:rsidR="002A1B7F">
        <w:rPr>
          <w:rFonts w:ascii="Garamond" w:hAnsi="Garamond"/>
        </w:rPr>
        <w:t xml:space="preserve"> cohort of 12 to 16</w:t>
      </w:r>
      <w:r w:rsidR="002E3874">
        <w:rPr>
          <w:rFonts w:ascii="Garamond" w:hAnsi="Garamond"/>
        </w:rPr>
        <w:t>-</w:t>
      </w:r>
      <w:r w:rsidR="002A1B7F">
        <w:rPr>
          <w:rFonts w:ascii="Garamond" w:hAnsi="Garamond"/>
        </w:rPr>
        <w:t>month</w:t>
      </w:r>
      <w:r w:rsidR="00987E12">
        <w:rPr>
          <w:rFonts w:ascii="Garamond" w:hAnsi="Garamond"/>
        </w:rPr>
        <w:t xml:space="preserve"> </w:t>
      </w:r>
      <w:proofErr w:type="spellStart"/>
      <w:r w:rsidR="002A1B7F">
        <w:rPr>
          <w:rFonts w:ascii="Garamond" w:hAnsi="Garamond"/>
        </w:rPr>
        <w:t>olds</w:t>
      </w:r>
      <w:proofErr w:type="spellEnd"/>
      <w:r w:rsidR="002A1B7F">
        <w:rPr>
          <w:rFonts w:ascii="Garamond" w:hAnsi="Garamond"/>
        </w:rPr>
        <w:t xml:space="preserve"> at </w:t>
      </w:r>
      <w:proofErr w:type="spellStart"/>
      <w:r w:rsidR="002A1B7F">
        <w:rPr>
          <w:rFonts w:ascii="Garamond" w:hAnsi="Garamond"/>
        </w:rPr>
        <w:t>endline</w:t>
      </w:r>
      <w:proofErr w:type="spellEnd"/>
      <w:r w:rsidR="002A1B7F">
        <w:rPr>
          <w:rFonts w:ascii="Garamond" w:hAnsi="Garamond"/>
        </w:rPr>
        <w:t xml:space="preserve"> will have had the opportunity to fully complete the first </w:t>
      </w:r>
      <w:r w:rsidR="002E3874">
        <w:rPr>
          <w:rFonts w:ascii="Garamond" w:hAnsi="Garamond"/>
        </w:rPr>
        <w:t xml:space="preserve">four </w:t>
      </w:r>
      <w:r w:rsidR="002A1B7F">
        <w:rPr>
          <w:rFonts w:ascii="Garamond" w:hAnsi="Garamond"/>
        </w:rPr>
        <w:t>visits of the 9</w:t>
      </w:r>
      <w:r w:rsidR="002E3874">
        <w:rPr>
          <w:rFonts w:ascii="Garamond" w:hAnsi="Garamond"/>
        </w:rPr>
        <w:t>-</w:t>
      </w:r>
      <w:r w:rsidR="002A1B7F">
        <w:rPr>
          <w:rFonts w:ascii="Garamond" w:hAnsi="Garamond"/>
        </w:rPr>
        <w:t xml:space="preserve">month immunization schedule by midline and all five visits by </w:t>
      </w:r>
      <w:proofErr w:type="spellStart"/>
      <w:r w:rsidR="002A1B7F">
        <w:rPr>
          <w:rFonts w:ascii="Garamond" w:hAnsi="Garamond"/>
        </w:rPr>
        <w:t>endline</w:t>
      </w:r>
      <w:proofErr w:type="spellEnd"/>
      <w:r w:rsidR="002A1B7F">
        <w:rPr>
          <w:rFonts w:ascii="Garamond" w:hAnsi="Garamond"/>
        </w:rPr>
        <w:t xml:space="preserve">. </w:t>
      </w:r>
      <w:r w:rsidR="00DE0EF8">
        <w:rPr>
          <w:rFonts w:ascii="Garamond" w:hAnsi="Garamond"/>
        </w:rPr>
        <w:t xml:space="preserve">There is a three-month buffer at the start and end of the schedule </w:t>
      </w:r>
      <w:r w:rsidR="00987E12">
        <w:rPr>
          <w:rFonts w:ascii="Garamond" w:hAnsi="Garamond"/>
        </w:rPr>
        <w:t xml:space="preserve">to account for infants who are vaccinated late and for errors in age measurement as well as to allow </w:t>
      </w:r>
      <w:r w:rsidR="00DE0EF8">
        <w:rPr>
          <w:rFonts w:ascii="Garamond" w:hAnsi="Garamond"/>
        </w:rPr>
        <w:t xml:space="preserve">New Incentives time to </w:t>
      </w:r>
      <w:r w:rsidR="00C14074">
        <w:rPr>
          <w:rFonts w:ascii="Garamond" w:hAnsi="Garamond"/>
        </w:rPr>
        <w:t xml:space="preserve">ramp up clinic operations </w:t>
      </w:r>
      <w:r w:rsidR="00DE0EF8">
        <w:rPr>
          <w:rFonts w:ascii="Garamond" w:hAnsi="Garamond"/>
        </w:rPr>
        <w:t xml:space="preserve">before the </w:t>
      </w:r>
      <w:r w:rsidR="008962FD">
        <w:rPr>
          <w:rFonts w:ascii="Garamond" w:hAnsi="Garamond"/>
        </w:rPr>
        <w:t>study</w:t>
      </w:r>
      <w:r w:rsidR="00DE0EF8">
        <w:rPr>
          <w:rFonts w:ascii="Garamond" w:hAnsi="Garamond"/>
        </w:rPr>
        <w:t xml:space="preserve"> cohort </w:t>
      </w:r>
      <w:r w:rsidR="00496F70">
        <w:rPr>
          <w:rFonts w:ascii="Garamond" w:hAnsi="Garamond"/>
        </w:rPr>
        <w:t>wa</w:t>
      </w:r>
      <w:r w:rsidR="00DE0EF8">
        <w:rPr>
          <w:rFonts w:ascii="Garamond" w:hAnsi="Garamond"/>
        </w:rPr>
        <w:t xml:space="preserve">s born. </w:t>
      </w:r>
    </w:p>
    <w:p w14:paraId="7D8ACFC4" w14:textId="66AA766A" w:rsidR="0078373F" w:rsidRDefault="0078373F" w:rsidP="008A20C8">
      <w:pPr>
        <w:jc w:val="both"/>
        <w:rPr>
          <w:rFonts w:ascii="Garamond" w:hAnsi="Garamond"/>
        </w:rPr>
      </w:pPr>
    </w:p>
    <w:p w14:paraId="6F9177C1" w14:textId="2F317EB4" w:rsidR="0078373F" w:rsidRPr="001058DF" w:rsidRDefault="007F430A" w:rsidP="0078373F">
      <w:pPr>
        <w:outlineLvl w:val="0"/>
        <w:rPr>
          <w:rFonts w:ascii="Garamond" w:hAnsi="Garamond"/>
          <w:b/>
          <w:sz w:val="24"/>
        </w:rPr>
      </w:pPr>
      <w:r>
        <w:rPr>
          <w:rFonts w:ascii="Garamond" w:hAnsi="Garamond"/>
          <w:b/>
          <w:i/>
        </w:rPr>
        <w:t>Sampling within Clinic</w:t>
      </w:r>
      <w:r w:rsidR="0085569B">
        <w:rPr>
          <w:rFonts w:ascii="Garamond" w:hAnsi="Garamond"/>
          <w:b/>
          <w:i/>
        </w:rPr>
        <w:t xml:space="preserve"> Catchments</w:t>
      </w:r>
    </w:p>
    <w:p w14:paraId="484DB2B6" w14:textId="77777777" w:rsidR="00B850CF" w:rsidRPr="007D3943" w:rsidRDefault="00B850CF" w:rsidP="00B850CF">
      <w:pPr>
        <w:rPr>
          <w:rFonts w:ascii="Garamond" w:hAnsi="Garamond"/>
        </w:rPr>
      </w:pPr>
      <w:r w:rsidRPr="007D3943">
        <w:rPr>
          <w:rFonts w:ascii="Garamond" w:hAnsi="Garamond"/>
        </w:rPr>
        <w:t>The key geographical definitions used in the sampling approach are:</w:t>
      </w:r>
    </w:p>
    <w:p w14:paraId="6E658935" w14:textId="0D233A02" w:rsidR="00B850CF" w:rsidRPr="00B850CF" w:rsidRDefault="00B850CF" w:rsidP="00B850CF">
      <w:pPr>
        <w:numPr>
          <w:ilvl w:val="0"/>
          <w:numId w:val="47"/>
        </w:numPr>
        <w:jc w:val="both"/>
        <w:rPr>
          <w:rFonts w:ascii="Garamond" w:hAnsi="Garamond"/>
        </w:rPr>
      </w:pPr>
      <w:r w:rsidRPr="007D3943">
        <w:rPr>
          <w:rFonts w:ascii="Garamond" w:hAnsi="Garamond"/>
          <w:b/>
        </w:rPr>
        <w:t xml:space="preserve">Catchment </w:t>
      </w:r>
      <w:r w:rsidRPr="007D3943">
        <w:rPr>
          <w:rFonts w:ascii="Garamond" w:hAnsi="Garamond"/>
        </w:rPr>
        <w:t xml:space="preserve">– Each health clinic in Nigeria has a ‘catchment’ area which contains the population that the clinic is officially designated to serve. </w:t>
      </w:r>
    </w:p>
    <w:p w14:paraId="1B75070A" w14:textId="06431D84" w:rsidR="00B850CF" w:rsidRDefault="00B45855" w:rsidP="00B850CF">
      <w:pPr>
        <w:numPr>
          <w:ilvl w:val="1"/>
          <w:numId w:val="47"/>
        </w:numPr>
        <w:jc w:val="both"/>
        <w:rPr>
          <w:rFonts w:ascii="Garamond" w:hAnsi="Garamond"/>
        </w:rPr>
      </w:pPr>
      <w:r w:rsidRPr="007D3943">
        <w:rPr>
          <w:rFonts w:ascii="Garamond" w:hAnsi="Garamond"/>
        </w:rPr>
        <w:t>Estimated catchment population sizes in the study area vary from fewer than 2</w:t>
      </w:r>
      <w:r w:rsidR="00496F70">
        <w:rPr>
          <w:rFonts w:ascii="Garamond" w:hAnsi="Garamond"/>
        </w:rPr>
        <w:t>200</w:t>
      </w:r>
      <w:r w:rsidRPr="007D3943">
        <w:rPr>
          <w:rFonts w:ascii="Garamond" w:hAnsi="Garamond"/>
        </w:rPr>
        <w:t xml:space="preserve"> people to </w:t>
      </w:r>
      <w:r w:rsidR="00496F70">
        <w:rPr>
          <w:rFonts w:ascii="Garamond" w:hAnsi="Garamond"/>
        </w:rPr>
        <w:t>over 40,000</w:t>
      </w:r>
      <w:r w:rsidRPr="007D3943">
        <w:rPr>
          <w:rFonts w:ascii="Garamond" w:hAnsi="Garamond"/>
        </w:rPr>
        <w:t xml:space="preserve"> people.</w:t>
      </w:r>
    </w:p>
    <w:p w14:paraId="6C0E0216" w14:textId="57D014C3" w:rsidR="00B45855" w:rsidRPr="00A57E69" w:rsidRDefault="00B45855" w:rsidP="00355102">
      <w:pPr>
        <w:numPr>
          <w:ilvl w:val="0"/>
          <w:numId w:val="47"/>
        </w:numPr>
        <w:jc w:val="both"/>
        <w:rPr>
          <w:rFonts w:ascii="Garamond" w:hAnsi="Garamond"/>
        </w:rPr>
      </w:pPr>
      <w:r w:rsidRPr="00A57E69">
        <w:rPr>
          <w:rFonts w:ascii="Garamond" w:hAnsi="Garamond"/>
          <w:b/>
        </w:rPr>
        <w:t>Settlement</w:t>
      </w:r>
      <w:r w:rsidRPr="00A57E69">
        <w:rPr>
          <w:rFonts w:ascii="Garamond" w:hAnsi="Garamond"/>
        </w:rPr>
        <w:t xml:space="preserve"> – Within each catchment area, there </w:t>
      </w:r>
      <w:r w:rsidR="00355102">
        <w:rPr>
          <w:rFonts w:ascii="Garamond" w:hAnsi="Garamond"/>
        </w:rPr>
        <w:t>are</w:t>
      </w:r>
      <w:r w:rsidRPr="00A57E69">
        <w:rPr>
          <w:rFonts w:ascii="Garamond" w:hAnsi="Garamond"/>
        </w:rPr>
        <w:t xml:space="preserve"> one or more ‘settlement</w:t>
      </w:r>
      <w:r w:rsidR="00D37D35">
        <w:rPr>
          <w:rFonts w:ascii="Garamond" w:hAnsi="Garamond"/>
        </w:rPr>
        <w:t>s.’</w:t>
      </w:r>
      <w:r w:rsidR="007F0B4E" w:rsidRPr="007F0B4E">
        <w:rPr>
          <w:rFonts w:ascii="Garamond" w:hAnsi="Garamond"/>
        </w:rPr>
        <w:t xml:space="preserve"> </w:t>
      </w:r>
      <w:r w:rsidR="007F0B4E" w:rsidRPr="0096695A">
        <w:rPr>
          <w:rFonts w:ascii="Garamond" w:hAnsi="Garamond"/>
        </w:rPr>
        <w:t>In many cases</w:t>
      </w:r>
      <w:r w:rsidR="007F0B4E">
        <w:rPr>
          <w:rFonts w:ascii="Garamond" w:hAnsi="Garamond"/>
        </w:rPr>
        <w:t>,</w:t>
      </w:r>
      <w:r w:rsidR="007F0B4E" w:rsidRPr="0096695A">
        <w:rPr>
          <w:rFonts w:ascii="Garamond" w:hAnsi="Garamond"/>
        </w:rPr>
        <w:t xml:space="preserve"> settlements are defined through the local political process, typically corresponding to a natural community or geographical boundary. </w:t>
      </w:r>
      <w:r w:rsidR="00355102">
        <w:rPr>
          <w:rFonts w:ascii="Garamond" w:hAnsi="Garamond"/>
        </w:rPr>
        <w:t>Baseline field work revealed that these boundaries are sometimes difficult to determine on the ground</w:t>
      </w:r>
      <w:r w:rsidR="00B12E4A">
        <w:rPr>
          <w:rFonts w:ascii="Garamond" w:hAnsi="Garamond"/>
        </w:rPr>
        <w:t>.</w:t>
      </w:r>
      <w:r w:rsidR="00355102">
        <w:rPr>
          <w:rFonts w:ascii="Garamond" w:hAnsi="Garamond"/>
        </w:rPr>
        <w:t xml:space="preserve"> </w:t>
      </w:r>
      <w:proofErr w:type="spellStart"/>
      <w:r w:rsidR="00355102">
        <w:rPr>
          <w:rFonts w:ascii="Garamond" w:hAnsi="Garamond"/>
        </w:rPr>
        <w:t>IDinsight</w:t>
      </w:r>
      <w:proofErr w:type="spellEnd"/>
      <w:r w:rsidR="00355102">
        <w:rPr>
          <w:rFonts w:ascii="Garamond" w:hAnsi="Garamond"/>
        </w:rPr>
        <w:t xml:space="preserve"> conduct</w:t>
      </w:r>
      <w:r w:rsidR="00496F70">
        <w:rPr>
          <w:rFonts w:ascii="Garamond" w:hAnsi="Garamond"/>
        </w:rPr>
        <w:t>ed</w:t>
      </w:r>
      <w:r w:rsidR="00355102">
        <w:rPr>
          <w:rFonts w:ascii="Garamond" w:hAnsi="Garamond"/>
        </w:rPr>
        <w:t xml:space="preserve"> field work prior to the </w:t>
      </w:r>
      <w:proofErr w:type="spellStart"/>
      <w:r w:rsidR="00355102">
        <w:rPr>
          <w:rFonts w:ascii="Garamond" w:hAnsi="Garamond"/>
        </w:rPr>
        <w:t>endline</w:t>
      </w:r>
      <w:proofErr w:type="spellEnd"/>
      <w:r w:rsidR="00355102">
        <w:rPr>
          <w:rFonts w:ascii="Garamond" w:hAnsi="Garamond"/>
        </w:rPr>
        <w:t xml:space="preserve"> survey</w:t>
      </w:r>
      <w:r w:rsidR="00B12E4A">
        <w:rPr>
          <w:rFonts w:ascii="Garamond" w:hAnsi="Garamond"/>
        </w:rPr>
        <w:t xml:space="preserve"> to verify settlement boundaries.</w:t>
      </w:r>
    </w:p>
    <w:p w14:paraId="7072EBBE" w14:textId="64B96570" w:rsidR="00B45855" w:rsidRPr="00A57E69" w:rsidRDefault="00B45855" w:rsidP="00B45855">
      <w:pPr>
        <w:numPr>
          <w:ilvl w:val="1"/>
          <w:numId w:val="47"/>
        </w:numPr>
        <w:jc w:val="both"/>
        <w:rPr>
          <w:rFonts w:ascii="Garamond" w:hAnsi="Garamond"/>
        </w:rPr>
      </w:pPr>
      <w:r w:rsidRPr="00A57E69">
        <w:rPr>
          <w:rFonts w:ascii="Garamond" w:hAnsi="Garamond"/>
        </w:rPr>
        <w:lastRenderedPageBreak/>
        <w:t>There is an average of</w:t>
      </w:r>
      <w:r w:rsidR="00F4364B">
        <w:rPr>
          <w:rFonts w:ascii="Garamond" w:hAnsi="Garamond"/>
        </w:rPr>
        <w:t xml:space="preserve"> roughly</w:t>
      </w:r>
      <w:r w:rsidRPr="00A57E69">
        <w:rPr>
          <w:rFonts w:ascii="Garamond" w:hAnsi="Garamond"/>
        </w:rPr>
        <w:t xml:space="preserve"> </w:t>
      </w:r>
      <w:r w:rsidR="00F4364B">
        <w:rPr>
          <w:rFonts w:ascii="Garamond" w:hAnsi="Garamond"/>
        </w:rPr>
        <w:t>10</w:t>
      </w:r>
      <w:r w:rsidRPr="00A57E69">
        <w:rPr>
          <w:rFonts w:ascii="Garamond" w:hAnsi="Garamond"/>
        </w:rPr>
        <w:t xml:space="preserve"> settlements per catchment (in the study area)</w:t>
      </w:r>
      <w:r w:rsidR="00496F70">
        <w:rPr>
          <w:rFonts w:ascii="Garamond" w:hAnsi="Garamond"/>
        </w:rPr>
        <w:t>, with substantial variance across clinics</w:t>
      </w:r>
      <w:r w:rsidRPr="00A57E69">
        <w:rPr>
          <w:rFonts w:ascii="Garamond" w:hAnsi="Garamond"/>
        </w:rPr>
        <w:t>.</w:t>
      </w:r>
    </w:p>
    <w:p w14:paraId="15F3108C" w14:textId="77777777" w:rsidR="00B45855" w:rsidRPr="00A57E69" w:rsidRDefault="00B45855" w:rsidP="00B45855">
      <w:pPr>
        <w:numPr>
          <w:ilvl w:val="1"/>
          <w:numId w:val="47"/>
        </w:numPr>
        <w:jc w:val="both"/>
        <w:rPr>
          <w:rFonts w:ascii="Garamond" w:hAnsi="Garamond"/>
        </w:rPr>
      </w:pPr>
      <w:r w:rsidRPr="00A57E69">
        <w:rPr>
          <w:rFonts w:ascii="Garamond" w:hAnsi="Garamond"/>
        </w:rPr>
        <w:t>Settlements vary by population size and area.</w:t>
      </w:r>
    </w:p>
    <w:p w14:paraId="28CE86A7" w14:textId="21C6FC3D" w:rsidR="00B45855" w:rsidRPr="00A57E69" w:rsidRDefault="00B45855" w:rsidP="00B45855">
      <w:pPr>
        <w:numPr>
          <w:ilvl w:val="0"/>
          <w:numId w:val="47"/>
        </w:numPr>
        <w:jc w:val="both"/>
        <w:rPr>
          <w:rFonts w:ascii="Garamond" w:hAnsi="Garamond"/>
        </w:rPr>
      </w:pPr>
      <w:r w:rsidRPr="00A57E69">
        <w:rPr>
          <w:rFonts w:ascii="Garamond" w:hAnsi="Garamond"/>
          <w:b/>
        </w:rPr>
        <w:t>Segment</w:t>
      </w:r>
      <w:r w:rsidRPr="00A57E69">
        <w:rPr>
          <w:rFonts w:ascii="Garamond" w:hAnsi="Garamond"/>
        </w:rPr>
        <w:t xml:space="preserve"> – For the purposes of data collection and sam</w:t>
      </w:r>
      <w:r w:rsidR="007208A4">
        <w:rPr>
          <w:rFonts w:ascii="Garamond" w:hAnsi="Garamond"/>
        </w:rPr>
        <w:t>pling for this study, we divide</w:t>
      </w:r>
      <w:r w:rsidRPr="00A57E69">
        <w:rPr>
          <w:rFonts w:ascii="Garamond" w:hAnsi="Garamond"/>
        </w:rPr>
        <w:t xml:space="preserve"> each settlem</w:t>
      </w:r>
      <w:r w:rsidR="00CC11D6">
        <w:rPr>
          <w:rFonts w:ascii="Garamond" w:hAnsi="Garamond"/>
        </w:rPr>
        <w:t>ent, into equal area ‘segments.’</w:t>
      </w:r>
      <w:r w:rsidRPr="00A57E69">
        <w:rPr>
          <w:rFonts w:ascii="Garamond" w:hAnsi="Garamond"/>
        </w:rPr>
        <w:t xml:space="preserve"> </w:t>
      </w:r>
    </w:p>
    <w:p w14:paraId="16108C90" w14:textId="43FE61D1" w:rsidR="00B45855" w:rsidRPr="00A57E69" w:rsidRDefault="00B45855" w:rsidP="00B45855">
      <w:pPr>
        <w:numPr>
          <w:ilvl w:val="1"/>
          <w:numId w:val="47"/>
        </w:numPr>
        <w:jc w:val="both"/>
        <w:rPr>
          <w:rFonts w:ascii="Garamond" w:hAnsi="Garamond"/>
        </w:rPr>
      </w:pPr>
      <w:r w:rsidRPr="00A57E69">
        <w:rPr>
          <w:rFonts w:ascii="Garamond" w:hAnsi="Garamond"/>
        </w:rPr>
        <w:t>The process for determining</w:t>
      </w:r>
      <w:r w:rsidR="00E44ACD">
        <w:rPr>
          <w:rFonts w:ascii="Garamond" w:hAnsi="Garamond"/>
        </w:rPr>
        <w:t xml:space="preserve"> segment size and number</w:t>
      </w:r>
      <w:r w:rsidRPr="00A57E69">
        <w:rPr>
          <w:rFonts w:ascii="Garamond" w:hAnsi="Garamond"/>
        </w:rPr>
        <w:t xml:space="preserve"> is set out </w:t>
      </w:r>
      <w:r w:rsidR="00681EEF">
        <w:rPr>
          <w:rFonts w:ascii="Garamond" w:hAnsi="Garamond"/>
        </w:rPr>
        <w:t>in the sampling process</w:t>
      </w:r>
      <w:r w:rsidR="003F26EC">
        <w:rPr>
          <w:rFonts w:ascii="Garamond" w:hAnsi="Garamond"/>
        </w:rPr>
        <w:t xml:space="preserve"> section</w:t>
      </w:r>
      <w:r w:rsidR="00681EEF">
        <w:rPr>
          <w:rFonts w:ascii="Garamond" w:hAnsi="Garamond"/>
        </w:rPr>
        <w:t xml:space="preserve"> below.</w:t>
      </w:r>
    </w:p>
    <w:p w14:paraId="32F545DD" w14:textId="5DB9397E" w:rsidR="007208A4" w:rsidRDefault="00B45855" w:rsidP="007208A4">
      <w:pPr>
        <w:numPr>
          <w:ilvl w:val="1"/>
          <w:numId w:val="47"/>
        </w:numPr>
        <w:jc w:val="both"/>
        <w:rPr>
          <w:rFonts w:ascii="Garamond" w:hAnsi="Garamond"/>
        </w:rPr>
      </w:pPr>
      <w:r w:rsidRPr="00A57E69">
        <w:rPr>
          <w:rFonts w:ascii="Garamond" w:hAnsi="Garamond"/>
        </w:rPr>
        <w:t xml:space="preserve">Segment boundaries corresponded to physical infrastructure such as roads (to the extent possible) to </w:t>
      </w:r>
      <w:r w:rsidR="00E44ACD">
        <w:rPr>
          <w:rFonts w:ascii="Garamond" w:hAnsi="Garamond"/>
        </w:rPr>
        <w:t>make it easier for</w:t>
      </w:r>
      <w:r w:rsidR="00E44ACD" w:rsidRPr="00A57E69">
        <w:rPr>
          <w:rFonts w:ascii="Garamond" w:hAnsi="Garamond"/>
        </w:rPr>
        <w:t xml:space="preserve"> </w:t>
      </w:r>
      <w:r w:rsidRPr="00A57E69">
        <w:rPr>
          <w:rFonts w:ascii="Garamond" w:hAnsi="Garamond"/>
        </w:rPr>
        <w:t>enum</w:t>
      </w:r>
      <w:r w:rsidR="007208A4">
        <w:rPr>
          <w:rFonts w:ascii="Garamond" w:hAnsi="Garamond"/>
        </w:rPr>
        <w:t>erator</w:t>
      </w:r>
      <w:r w:rsidR="00E44ACD">
        <w:rPr>
          <w:rFonts w:ascii="Garamond" w:hAnsi="Garamond"/>
        </w:rPr>
        <w:t>s to follow them and supervisors to verify enumerators have surveyed the correct areas.</w:t>
      </w:r>
    </w:p>
    <w:p w14:paraId="0BE1A9CA" w14:textId="00680DB5" w:rsidR="00B45855" w:rsidRPr="007208A4" w:rsidRDefault="00B45855" w:rsidP="007208A4">
      <w:pPr>
        <w:ind w:left="1440"/>
        <w:jc w:val="both"/>
        <w:rPr>
          <w:rFonts w:ascii="Garamond" w:hAnsi="Garamond"/>
        </w:rPr>
      </w:pPr>
    </w:p>
    <w:p w14:paraId="559429A9" w14:textId="6ABBB0F2" w:rsidR="00660125" w:rsidRPr="00A57E69" w:rsidRDefault="00660125" w:rsidP="00B54BCF">
      <w:pPr>
        <w:rPr>
          <w:rFonts w:ascii="Garamond" w:hAnsi="Garamond"/>
          <w:b/>
          <w:i/>
        </w:rPr>
      </w:pPr>
      <w:r>
        <w:rPr>
          <w:rFonts w:ascii="Garamond" w:hAnsi="Garamond"/>
          <w:b/>
          <w:i/>
        </w:rPr>
        <w:t xml:space="preserve">Background to the </w:t>
      </w:r>
      <w:r w:rsidR="00E1724A">
        <w:rPr>
          <w:rFonts w:ascii="Garamond" w:hAnsi="Garamond"/>
          <w:b/>
          <w:i/>
        </w:rPr>
        <w:t>C</w:t>
      </w:r>
      <w:r>
        <w:rPr>
          <w:rFonts w:ascii="Garamond" w:hAnsi="Garamond"/>
          <w:b/>
          <w:i/>
        </w:rPr>
        <w:t xml:space="preserve">ompact </w:t>
      </w:r>
      <w:r w:rsidR="00E1724A">
        <w:rPr>
          <w:rFonts w:ascii="Garamond" w:hAnsi="Garamond"/>
          <w:b/>
          <w:i/>
        </w:rPr>
        <w:t>S</w:t>
      </w:r>
      <w:r>
        <w:rPr>
          <w:rFonts w:ascii="Garamond" w:hAnsi="Garamond"/>
          <w:b/>
          <w:i/>
        </w:rPr>
        <w:t xml:space="preserve">egment </w:t>
      </w:r>
      <w:r w:rsidR="00E1724A">
        <w:rPr>
          <w:rFonts w:ascii="Garamond" w:hAnsi="Garamond"/>
          <w:b/>
          <w:i/>
        </w:rPr>
        <w:t>S</w:t>
      </w:r>
      <w:r>
        <w:rPr>
          <w:rFonts w:ascii="Garamond" w:hAnsi="Garamond"/>
          <w:b/>
          <w:i/>
        </w:rPr>
        <w:t xml:space="preserve">ampling </w:t>
      </w:r>
      <w:r w:rsidR="00E1724A">
        <w:rPr>
          <w:rFonts w:ascii="Garamond" w:hAnsi="Garamond"/>
          <w:b/>
          <w:i/>
        </w:rPr>
        <w:t>A</w:t>
      </w:r>
      <w:r>
        <w:rPr>
          <w:rFonts w:ascii="Garamond" w:hAnsi="Garamond"/>
          <w:b/>
          <w:i/>
        </w:rPr>
        <w:t>pproach</w:t>
      </w:r>
    </w:p>
    <w:p w14:paraId="76E42668" w14:textId="078E78AA" w:rsidR="00642006" w:rsidRDefault="00D76867" w:rsidP="00041DC4">
      <w:pPr>
        <w:jc w:val="both"/>
        <w:rPr>
          <w:rFonts w:ascii="Garamond" w:hAnsi="Garamond"/>
        </w:rPr>
      </w:pPr>
      <w:r>
        <w:rPr>
          <w:rFonts w:ascii="Garamond" w:hAnsi="Garamond"/>
        </w:rPr>
        <w:t xml:space="preserve">Our </w:t>
      </w:r>
      <w:r w:rsidR="000903FF" w:rsidRPr="000903FF">
        <w:rPr>
          <w:rFonts w:ascii="Garamond" w:hAnsi="Garamond"/>
        </w:rPr>
        <w:t xml:space="preserve">key sampling challenge </w:t>
      </w:r>
      <w:r w:rsidR="00C0389C">
        <w:rPr>
          <w:rFonts w:ascii="Garamond" w:hAnsi="Garamond"/>
        </w:rPr>
        <w:t>is</w:t>
      </w:r>
      <w:r w:rsidR="00180A8A">
        <w:rPr>
          <w:rFonts w:ascii="Garamond" w:hAnsi="Garamond"/>
        </w:rPr>
        <w:t xml:space="preserve"> that</w:t>
      </w:r>
      <w:r w:rsidR="000903FF" w:rsidRPr="000903FF">
        <w:rPr>
          <w:rFonts w:ascii="Garamond" w:hAnsi="Garamond"/>
        </w:rPr>
        <w:t xml:space="preserve"> there </w:t>
      </w:r>
      <w:r w:rsidR="00C0389C">
        <w:rPr>
          <w:rFonts w:ascii="Garamond" w:hAnsi="Garamond"/>
        </w:rPr>
        <w:t>are</w:t>
      </w:r>
      <w:r w:rsidR="000903FF" w:rsidRPr="000903FF">
        <w:rPr>
          <w:rFonts w:ascii="Garamond" w:hAnsi="Garamond"/>
        </w:rPr>
        <w:t xml:space="preserve"> no reliable population registers (including for the target population) for clinic catchment area</w:t>
      </w:r>
      <w:r w:rsidR="00180A8A">
        <w:rPr>
          <w:rFonts w:ascii="Garamond" w:hAnsi="Garamond"/>
        </w:rPr>
        <w:t>s</w:t>
      </w:r>
      <w:r w:rsidR="000903FF" w:rsidRPr="000903FF">
        <w:rPr>
          <w:rFonts w:ascii="Garamond" w:hAnsi="Garamond"/>
        </w:rPr>
        <w:t xml:space="preserve">. A reliable population register would allow us to undertake simple random sampling, whereby each infant in each catchment would have been randomly selected from all infants in the catchment area (to be given the routine immunization survey). As a reliable population register </w:t>
      </w:r>
      <w:r w:rsidR="00F92CC9">
        <w:rPr>
          <w:rFonts w:ascii="Garamond" w:hAnsi="Garamond"/>
        </w:rPr>
        <w:t>is</w:t>
      </w:r>
      <w:r w:rsidR="000903FF" w:rsidRPr="000903FF">
        <w:rPr>
          <w:rFonts w:ascii="Garamond" w:hAnsi="Garamond"/>
        </w:rPr>
        <w:t xml:space="preserve"> not available, and it </w:t>
      </w:r>
      <w:r w:rsidR="00F92CC9">
        <w:rPr>
          <w:rFonts w:ascii="Garamond" w:hAnsi="Garamond"/>
        </w:rPr>
        <w:t>is</w:t>
      </w:r>
      <w:r w:rsidR="000903FF" w:rsidRPr="000903FF">
        <w:rPr>
          <w:rFonts w:ascii="Garamond" w:hAnsi="Garamond"/>
        </w:rPr>
        <w:t xml:space="preserve"> not financially feasible to create one</w:t>
      </w:r>
      <w:r w:rsidR="00180A8A">
        <w:rPr>
          <w:rFonts w:ascii="Garamond" w:hAnsi="Garamond"/>
        </w:rPr>
        <w:t xml:space="preserve"> (by conducting our own full census)</w:t>
      </w:r>
      <w:r w:rsidR="000903FF" w:rsidRPr="000903FF">
        <w:rPr>
          <w:rFonts w:ascii="Garamond" w:hAnsi="Garamond"/>
        </w:rPr>
        <w:t xml:space="preserve">, we use compact segment sampling (CSS), which emerged as the method best supported by the literature to address this sampling challenge. CSS </w:t>
      </w:r>
      <w:r w:rsidR="00642006">
        <w:rPr>
          <w:rFonts w:ascii="Garamond" w:hAnsi="Garamond"/>
        </w:rPr>
        <w:t>uses</w:t>
      </w:r>
      <w:r w:rsidR="000903FF" w:rsidRPr="000903FF">
        <w:rPr>
          <w:rFonts w:ascii="Garamond" w:hAnsi="Garamond"/>
        </w:rPr>
        <w:t xml:space="preserve"> geographic area as a primary sampling unit: </w:t>
      </w:r>
      <w:r w:rsidR="001B7221" w:rsidRPr="001B7221">
        <w:rPr>
          <w:rFonts w:ascii="Garamond" w:hAnsi="Garamond"/>
        </w:rPr>
        <w:t xml:space="preserve">if we intend to randomly sample </w:t>
      </w:r>
      <w:r w:rsidR="00642006">
        <w:rPr>
          <w:rFonts w:ascii="Garamond" w:hAnsi="Garamond"/>
        </w:rPr>
        <w:t>25</w:t>
      </w:r>
      <w:r w:rsidR="001B7221" w:rsidRPr="001B7221">
        <w:rPr>
          <w:rFonts w:ascii="Garamond" w:hAnsi="Garamond"/>
        </w:rPr>
        <w:t xml:space="preserve">% of a settlement’s population, we randomly sample </w:t>
      </w:r>
      <w:r w:rsidR="00642006">
        <w:rPr>
          <w:rFonts w:ascii="Garamond" w:hAnsi="Garamond"/>
        </w:rPr>
        <w:t>25</w:t>
      </w:r>
      <w:r w:rsidR="001B7221" w:rsidRPr="001B7221">
        <w:rPr>
          <w:rFonts w:ascii="Garamond" w:hAnsi="Garamond"/>
        </w:rPr>
        <w:t>% of its geographic area and survey the eligible population therein</w:t>
      </w:r>
      <w:r w:rsidR="00124E5B">
        <w:rPr>
          <w:rFonts w:ascii="Garamond" w:hAnsi="Garamond"/>
        </w:rPr>
        <w:t>. Random sampling means that, in expectation, sampled geographic area</w:t>
      </w:r>
      <w:r w:rsidR="00180A8A">
        <w:rPr>
          <w:rFonts w:ascii="Garamond" w:hAnsi="Garamond"/>
        </w:rPr>
        <w:t>s</w:t>
      </w:r>
      <w:r w:rsidR="00124E5B">
        <w:rPr>
          <w:rFonts w:ascii="Garamond" w:hAnsi="Garamond"/>
        </w:rPr>
        <w:t xml:space="preserve"> will be </w:t>
      </w:r>
      <w:r w:rsidR="009261C4">
        <w:rPr>
          <w:rFonts w:ascii="Garamond" w:hAnsi="Garamond"/>
        </w:rPr>
        <w:t xml:space="preserve">representative of </w:t>
      </w:r>
      <w:r w:rsidR="003B4FB3">
        <w:rPr>
          <w:rFonts w:ascii="Garamond" w:hAnsi="Garamond"/>
        </w:rPr>
        <w:t xml:space="preserve">associated </w:t>
      </w:r>
      <w:r w:rsidR="009261C4">
        <w:rPr>
          <w:rFonts w:ascii="Garamond" w:hAnsi="Garamond"/>
        </w:rPr>
        <w:t>settlement</w:t>
      </w:r>
      <w:r w:rsidR="00870AE0">
        <w:rPr>
          <w:rFonts w:ascii="Garamond" w:hAnsi="Garamond"/>
        </w:rPr>
        <w:t>s</w:t>
      </w:r>
      <w:r w:rsidR="00124E5B">
        <w:rPr>
          <w:rFonts w:ascii="Garamond" w:hAnsi="Garamond"/>
        </w:rPr>
        <w:t xml:space="preserve"> in population density and all demographics</w:t>
      </w:r>
      <w:r w:rsidR="000903FF" w:rsidRPr="000903FF">
        <w:rPr>
          <w:rFonts w:ascii="Garamond" w:hAnsi="Garamond"/>
        </w:rPr>
        <w:t xml:space="preserve">. </w:t>
      </w:r>
      <w:r w:rsidR="00180A8A">
        <w:rPr>
          <w:rFonts w:ascii="Garamond" w:hAnsi="Garamond"/>
        </w:rPr>
        <w:t>Though any single segment may not be representative of its settlement (e.g. it may have greater population density</w:t>
      </w:r>
      <w:r w:rsidR="00142359">
        <w:rPr>
          <w:rFonts w:ascii="Garamond" w:hAnsi="Garamond"/>
        </w:rPr>
        <w:t xml:space="preserve"> than the settlement overall</w:t>
      </w:r>
      <w:r w:rsidR="00180A8A">
        <w:rPr>
          <w:rFonts w:ascii="Garamond" w:hAnsi="Garamond"/>
        </w:rPr>
        <w:t>), it will tend to be offset by another segment (e.g. that has lower population density</w:t>
      </w:r>
      <w:r w:rsidR="00142359">
        <w:rPr>
          <w:rFonts w:ascii="Garamond" w:hAnsi="Garamond"/>
        </w:rPr>
        <w:t xml:space="preserve"> than its settlement overall</w:t>
      </w:r>
      <w:r w:rsidR="00180A8A">
        <w:rPr>
          <w:rFonts w:ascii="Garamond" w:hAnsi="Garamond"/>
        </w:rPr>
        <w:t>)</w:t>
      </w:r>
      <w:r w:rsidR="00142359">
        <w:rPr>
          <w:rFonts w:ascii="Garamond" w:hAnsi="Garamond"/>
        </w:rPr>
        <w:t xml:space="preserve"> such that our study-wide estimates will be unbiased</w:t>
      </w:r>
      <w:r w:rsidR="00642006">
        <w:rPr>
          <w:rFonts w:ascii="Garamond" w:hAnsi="Garamond"/>
        </w:rPr>
        <w:t>.</w:t>
      </w:r>
    </w:p>
    <w:p w14:paraId="53E8A30E" w14:textId="77777777" w:rsidR="00642006" w:rsidRDefault="00642006" w:rsidP="00041DC4">
      <w:pPr>
        <w:jc w:val="both"/>
        <w:rPr>
          <w:rFonts w:ascii="Garamond" w:hAnsi="Garamond"/>
        </w:rPr>
      </w:pPr>
    </w:p>
    <w:p w14:paraId="4ED1DFB8" w14:textId="1BB7EE1B" w:rsidR="000903FF" w:rsidRPr="000903FF" w:rsidRDefault="00642006" w:rsidP="00E0586F">
      <w:pPr>
        <w:jc w:val="both"/>
        <w:rPr>
          <w:rFonts w:ascii="Garamond" w:hAnsi="Garamond"/>
        </w:rPr>
      </w:pPr>
      <w:r>
        <w:rPr>
          <w:rFonts w:ascii="Garamond" w:hAnsi="Garamond"/>
        </w:rPr>
        <w:t>CSS using fixed land-area percentages across all settlements</w:t>
      </w:r>
      <w:r w:rsidR="00F9005A">
        <w:rPr>
          <w:rFonts w:ascii="Garamond" w:hAnsi="Garamond"/>
        </w:rPr>
        <w:t xml:space="preserve"> also results in a self-weighting sample: all eligible infants in the population have equal probability of being sampled regardless of how large or small their settlement is. The result is a sample representative of the average individual in our study area, which we and </w:t>
      </w:r>
      <w:proofErr w:type="spellStart"/>
      <w:r w:rsidR="00F9005A">
        <w:rPr>
          <w:rFonts w:ascii="Garamond" w:hAnsi="Garamond"/>
        </w:rPr>
        <w:t>GiveWell</w:t>
      </w:r>
      <w:proofErr w:type="spellEnd"/>
      <w:r w:rsidR="00F9005A">
        <w:rPr>
          <w:rFonts w:ascii="Garamond" w:hAnsi="Garamond"/>
        </w:rPr>
        <w:t xml:space="preserve"> determined to be the most </w:t>
      </w:r>
      <w:proofErr w:type="gramStart"/>
      <w:r w:rsidR="00F9005A">
        <w:rPr>
          <w:rFonts w:ascii="Garamond" w:hAnsi="Garamond"/>
        </w:rPr>
        <w:t>decision-relevant</w:t>
      </w:r>
      <w:proofErr w:type="gramEnd"/>
      <w:r w:rsidR="00F9005A">
        <w:rPr>
          <w:rFonts w:ascii="Garamond" w:hAnsi="Garamond"/>
        </w:rPr>
        <w:t>. We will, however, also use population weights in our analysis to generate estimates of program effect on the average cluster (clinic catchment). The robustness checks section discusses this in more detail.</w:t>
      </w:r>
    </w:p>
    <w:p w14:paraId="64806AE3" w14:textId="77777777" w:rsidR="000903FF" w:rsidRPr="000903FF" w:rsidRDefault="000903FF" w:rsidP="000903FF">
      <w:pPr>
        <w:rPr>
          <w:rFonts w:ascii="Garamond" w:hAnsi="Garamond"/>
        </w:rPr>
      </w:pPr>
    </w:p>
    <w:p w14:paraId="67490DF3" w14:textId="71735640" w:rsidR="000903FF" w:rsidRPr="000903FF" w:rsidRDefault="000903FF" w:rsidP="003B4FB3">
      <w:pPr>
        <w:keepNext/>
        <w:rPr>
          <w:rFonts w:ascii="Garamond" w:hAnsi="Garamond"/>
        </w:rPr>
      </w:pPr>
      <w:bookmarkStart w:id="1" w:name="_Ref511152926"/>
      <w:bookmarkStart w:id="2" w:name="_Toc512872288"/>
      <w:r w:rsidRPr="00572C95">
        <w:rPr>
          <w:rFonts w:ascii="Garamond" w:hAnsi="Garamond"/>
          <w:b/>
          <w:i/>
        </w:rPr>
        <w:t>Steps in the compact segment sampling approach</w:t>
      </w:r>
      <w:bookmarkEnd w:id="1"/>
      <w:bookmarkEnd w:id="2"/>
      <w:r w:rsidRPr="000903FF">
        <w:rPr>
          <w:rFonts w:ascii="Garamond" w:hAnsi="Garamond"/>
          <w:vertAlign w:val="superscript"/>
        </w:rPr>
        <w:footnoteReference w:id="42"/>
      </w:r>
    </w:p>
    <w:p w14:paraId="7BB12CD6" w14:textId="618318C1" w:rsidR="00A2298C" w:rsidRDefault="00A2298C" w:rsidP="00B83EAE">
      <w:pPr>
        <w:numPr>
          <w:ilvl w:val="0"/>
          <w:numId w:val="46"/>
        </w:numPr>
        <w:rPr>
          <w:rFonts w:ascii="Garamond" w:hAnsi="Garamond"/>
        </w:rPr>
      </w:pPr>
      <w:r>
        <w:rPr>
          <w:rFonts w:ascii="Garamond" w:hAnsi="Garamond"/>
        </w:rPr>
        <w:t xml:space="preserve">In February/March 2018 and July/August 2019, </w:t>
      </w:r>
      <w:proofErr w:type="spellStart"/>
      <w:r>
        <w:rPr>
          <w:rFonts w:ascii="Garamond" w:hAnsi="Garamond"/>
        </w:rPr>
        <w:t>IDinsight</w:t>
      </w:r>
      <w:proofErr w:type="spellEnd"/>
      <w:r>
        <w:rPr>
          <w:rFonts w:ascii="Garamond" w:hAnsi="Garamond"/>
        </w:rPr>
        <w:t xml:space="preserve"> conducted “map verification” across the study area. This activity provided us with the following information:</w:t>
      </w:r>
    </w:p>
    <w:p w14:paraId="62FB3855" w14:textId="472B9DC3" w:rsidR="00A2298C" w:rsidRDefault="00A2298C" w:rsidP="00F42B80">
      <w:pPr>
        <w:keepNext/>
        <w:numPr>
          <w:ilvl w:val="1"/>
          <w:numId w:val="46"/>
        </w:numPr>
        <w:rPr>
          <w:rFonts w:ascii="Garamond" w:hAnsi="Garamond"/>
        </w:rPr>
      </w:pPr>
      <w:r w:rsidRPr="00A2298C">
        <w:rPr>
          <w:rFonts w:ascii="Garamond" w:hAnsi="Garamond"/>
        </w:rPr>
        <w:t xml:space="preserve">Updated lists of settlements included in all clinic catchment areas according to clinic </w:t>
      </w:r>
      <w:proofErr w:type="spellStart"/>
      <w:r w:rsidRPr="00A2298C">
        <w:rPr>
          <w:rFonts w:ascii="Garamond" w:hAnsi="Garamond"/>
        </w:rPr>
        <w:t>Microplans</w:t>
      </w:r>
      <w:proofErr w:type="spellEnd"/>
      <w:r w:rsidRPr="00A2298C">
        <w:rPr>
          <w:rFonts w:ascii="Garamond" w:hAnsi="Garamond"/>
        </w:rPr>
        <w:t>.</w:t>
      </w:r>
      <w:r>
        <w:rPr>
          <w:rStyle w:val="FootnoteReference"/>
          <w:rFonts w:ascii="Garamond" w:hAnsi="Garamond"/>
        </w:rPr>
        <w:footnoteReference w:id="43"/>
      </w:r>
      <w:r w:rsidRPr="00A2298C">
        <w:rPr>
          <w:rFonts w:ascii="Garamond" w:hAnsi="Garamond"/>
        </w:rPr>
        <w:t xml:space="preserve"> </w:t>
      </w:r>
      <w:r w:rsidR="00BC1F44">
        <w:rPr>
          <w:rFonts w:ascii="Garamond" w:hAnsi="Garamond"/>
        </w:rPr>
        <w:t xml:space="preserve">New Incentives </w:t>
      </w:r>
      <w:r w:rsidRPr="00A2298C">
        <w:rPr>
          <w:rFonts w:ascii="Garamond" w:hAnsi="Garamond"/>
        </w:rPr>
        <w:t xml:space="preserve">collected this list at </w:t>
      </w:r>
      <w:r w:rsidR="00BC1F44">
        <w:rPr>
          <w:rFonts w:ascii="Garamond" w:hAnsi="Garamond"/>
        </w:rPr>
        <w:t xml:space="preserve">prior to baseline </w:t>
      </w:r>
      <w:r>
        <w:rPr>
          <w:rFonts w:ascii="Garamond" w:hAnsi="Garamond"/>
        </w:rPr>
        <w:t>(Fall 2017)</w:t>
      </w:r>
      <w:r w:rsidRPr="00A2298C">
        <w:rPr>
          <w:rFonts w:ascii="Garamond" w:hAnsi="Garamond"/>
        </w:rPr>
        <w:t xml:space="preserve"> and</w:t>
      </w:r>
      <w:r w:rsidR="00BC1F44">
        <w:rPr>
          <w:rFonts w:ascii="Garamond" w:hAnsi="Garamond"/>
        </w:rPr>
        <w:t xml:space="preserve"> </w:t>
      </w:r>
      <w:proofErr w:type="spellStart"/>
      <w:r w:rsidR="00BC1F44">
        <w:rPr>
          <w:rFonts w:ascii="Garamond" w:hAnsi="Garamond"/>
        </w:rPr>
        <w:t>IDinsight</w:t>
      </w:r>
      <w:proofErr w:type="spellEnd"/>
      <w:r w:rsidR="00BC1F44">
        <w:rPr>
          <w:rFonts w:ascii="Garamond" w:hAnsi="Garamond"/>
        </w:rPr>
        <w:t xml:space="preserve"> collected it at</w:t>
      </w:r>
      <w:r w:rsidRPr="00A2298C">
        <w:rPr>
          <w:rFonts w:ascii="Garamond" w:hAnsi="Garamond"/>
        </w:rPr>
        <w:t xml:space="preserve"> midline</w:t>
      </w:r>
      <w:r>
        <w:rPr>
          <w:rFonts w:ascii="Garamond" w:hAnsi="Garamond"/>
        </w:rPr>
        <w:t xml:space="preserve"> (March/April 2019)</w:t>
      </w:r>
      <w:r w:rsidRPr="00A2298C">
        <w:rPr>
          <w:rFonts w:ascii="Garamond" w:hAnsi="Garamond"/>
        </w:rPr>
        <w:t>.</w:t>
      </w:r>
      <w:r>
        <w:rPr>
          <w:rFonts w:ascii="Garamond" w:hAnsi="Garamond"/>
        </w:rPr>
        <w:t xml:space="preserve"> </w:t>
      </w:r>
      <w:r w:rsidRPr="00A2298C">
        <w:rPr>
          <w:rFonts w:ascii="Garamond" w:hAnsi="Garamond"/>
        </w:rPr>
        <w:t xml:space="preserve">To account for changes in this list over time, we </w:t>
      </w:r>
      <w:r>
        <w:rPr>
          <w:rFonts w:ascii="Garamond" w:hAnsi="Garamond"/>
        </w:rPr>
        <w:t xml:space="preserve">compared the summer 2019 lists to </w:t>
      </w:r>
      <w:r w:rsidRPr="00496F70">
        <w:rPr>
          <w:rFonts w:ascii="Garamond" w:hAnsi="Garamond"/>
        </w:rPr>
        <w:t>the past lists</w:t>
      </w:r>
      <w:r w:rsidR="00496F70">
        <w:rPr>
          <w:rFonts w:ascii="Garamond" w:hAnsi="Garamond"/>
        </w:rPr>
        <w:t xml:space="preserve"> and attempted to determine when changes in the lists occurred. However, change records were not available in most clinics, making precise time-based list adjustment impossible. In conversations with </w:t>
      </w:r>
      <w:proofErr w:type="spellStart"/>
      <w:r w:rsidR="00496F70">
        <w:rPr>
          <w:rFonts w:ascii="Garamond" w:hAnsi="Garamond"/>
        </w:rPr>
        <w:t>GiveWell</w:t>
      </w:r>
      <w:proofErr w:type="spellEnd"/>
      <w:r w:rsidR="00496F70">
        <w:rPr>
          <w:rFonts w:ascii="Garamond" w:hAnsi="Garamond"/>
        </w:rPr>
        <w:t xml:space="preserve"> and New Incentives, we determined that </w:t>
      </w:r>
      <w:r w:rsidR="00F42B80">
        <w:rPr>
          <w:rFonts w:ascii="Garamond" w:hAnsi="Garamond"/>
        </w:rPr>
        <w:t xml:space="preserve">the lists collected in August 2019 </w:t>
      </w:r>
      <w:r w:rsidR="00123247">
        <w:rPr>
          <w:rFonts w:ascii="Garamond" w:hAnsi="Garamond"/>
        </w:rPr>
        <w:t>would be the most suitable for this study</w:t>
      </w:r>
      <w:r w:rsidR="00F42B80">
        <w:rPr>
          <w:rFonts w:ascii="Garamond" w:hAnsi="Garamond"/>
        </w:rPr>
        <w:t xml:space="preserve">. This is because of three primary factors: 1. Most discrepancies between pre-baseline and August lists involved “new” settlements appearing on the July/August lists but </w:t>
      </w:r>
      <w:r w:rsidR="00F42B80">
        <w:rPr>
          <w:rFonts w:ascii="Garamond" w:hAnsi="Garamond"/>
        </w:rPr>
        <w:lastRenderedPageBreak/>
        <w:t>not past lists, 2. New Incentives has been operating in the majority of these “new” settlements for the majority of the RCT window</w:t>
      </w:r>
      <w:r w:rsidR="00BC1F44">
        <w:rPr>
          <w:rFonts w:ascii="Garamond" w:hAnsi="Garamond"/>
        </w:rPr>
        <w:t xml:space="preserve"> </w:t>
      </w:r>
      <w:r w:rsidR="00BC1F44" w:rsidRPr="00BC1F44">
        <w:rPr>
          <w:rFonts w:ascii="Garamond" w:hAnsi="Garamond"/>
        </w:rPr>
        <w:t>so including the "new" settlements is likely to be more representative of New Incentives' average impact</w:t>
      </w:r>
      <w:r w:rsidR="00BC1F44">
        <w:rPr>
          <w:rFonts w:ascii="Garamond" w:hAnsi="Garamond"/>
        </w:rPr>
        <w:t>,</w:t>
      </w:r>
      <w:r w:rsidR="00F42B80">
        <w:rPr>
          <w:rFonts w:ascii="Garamond" w:hAnsi="Garamond"/>
        </w:rPr>
        <w:t>3. Map analysis showed that many of the “new” settlements actually correspond to land area that was considered part of the catchment during baseline – suggesting that</w:t>
      </w:r>
      <w:r w:rsidR="00A844A8">
        <w:rPr>
          <w:rFonts w:ascii="Garamond" w:hAnsi="Garamond"/>
        </w:rPr>
        <w:t xml:space="preserve"> many</w:t>
      </w:r>
      <w:r w:rsidR="00F42B80">
        <w:rPr>
          <w:rFonts w:ascii="Garamond" w:hAnsi="Garamond"/>
        </w:rPr>
        <w:t xml:space="preserve"> differences are more in naming or levels of aggregation than in the included population</w:t>
      </w:r>
      <w:r w:rsidR="00A844A8">
        <w:rPr>
          <w:rFonts w:ascii="Garamond" w:hAnsi="Garamond"/>
        </w:rPr>
        <w:t xml:space="preserve">. </w:t>
      </w:r>
      <w:r w:rsidR="00A844A8" w:rsidRPr="00A844A8">
        <w:rPr>
          <w:rFonts w:ascii="Garamond" w:hAnsi="Garamond"/>
        </w:rPr>
        <w:t>However, it appears that some settlements may have been added around the geographic edges of catchment areas over time</w:t>
      </w:r>
      <w:r w:rsidR="00F42B80">
        <w:rPr>
          <w:rFonts w:ascii="Garamond" w:hAnsi="Garamond"/>
        </w:rPr>
        <w:t xml:space="preserve">.  </w:t>
      </w:r>
    </w:p>
    <w:p w14:paraId="262EFE0A" w14:textId="085D752E" w:rsidR="00A2298C" w:rsidRDefault="00A2298C" w:rsidP="00A2298C">
      <w:pPr>
        <w:keepNext/>
        <w:numPr>
          <w:ilvl w:val="1"/>
          <w:numId w:val="46"/>
        </w:numPr>
        <w:rPr>
          <w:rFonts w:ascii="Garamond" w:hAnsi="Garamond"/>
        </w:rPr>
      </w:pPr>
      <w:r>
        <w:rPr>
          <w:rFonts w:ascii="Garamond" w:hAnsi="Garamond"/>
        </w:rPr>
        <w:t xml:space="preserve">Global positioning system (GPS) coordinates for all study settlements. This helps us locate the settlements on maps and satellite imagery and ensure that enumerators return to the correct settlements at </w:t>
      </w:r>
      <w:proofErr w:type="spellStart"/>
      <w:r>
        <w:rPr>
          <w:rFonts w:ascii="Garamond" w:hAnsi="Garamond"/>
        </w:rPr>
        <w:t>endline</w:t>
      </w:r>
      <w:proofErr w:type="spellEnd"/>
      <w:r>
        <w:rPr>
          <w:rFonts w:ascii="Garamond" w:hAnsi="Garamond"/>
        </w:rPr>
        <w:t>.</w:t>
      </w:r>
    </w:p>
    <w:p w14:paraId="031353D2" w14:textId="724AE792" w:rsidR="00A2298C" w:rsidRPr="00A2298C" w:rsidRDefault="00A2298C" w:rsidP="00224C77">
      <w:pPr>
        <w:keepNext/>
        <w:numPr>
          <w:ilvl w:val="1"/>
          <w:numId w:val="46"/>
        </w:numPr>
        <w:rPr>
          <w:rFonts w:ascii="Garamond" w:hAnsi="Garamond"/>
        </w:rPr>
      </w:pPr>
      <w:r>
        <w:rPr>
          <w:rFonts w:ascii="Garamond" w:hAnsi="Garamond"/>
        </w:rPr>
        <w:t xml:space="preserve">GPS coordinates for settlement boundaries in select cases. Some settlements are immediately adjacent to one another such that determining where one </w:t>
      </w:r>
      <w:proofErr w:type="gramStart"/>
      <w:r>
        <w:rPr>
          <w:rFonts w:ascii="Garamond" w:hAnsi="Garamond"/>
        </w:rPr>
        <w:t>ends</w:t>
      </w:r>
      <w:proofErr w:type="gramEnd"/>
      <w:r>
        <w:rPr>
          <w:rFonts w:ascii="Garamond" w:hAnsi="Garamond"/>
        </w:rPr>
        <w:t xml:space="preserve"> and another begins on overhead imagery is difficult. In such cases, we had enumerators visit the settlement, ask locals to identify the boundary, and record coordinates to the boundary and to nearby landmarks to make the boundary easier to identify on imagery.</w:t>
      </w:r>
    </w:p>
    <w:p w14:paraId="7976EE9C" w14:textId="3B3533DC" w:rsidR="00F9005A" w:rsidRDefault="00F9005A" w:rsidP="00F9005A">
      <w:pPr>
        <w:numPr>
          <w:ilvl w:val="0"/>
          <w:numId w:val="46"/>
        </w:numPr>
        <w:rPr>
          <w:rFonts w:ascii="Garamond" w:hAnsi="Garamond"/>
        </w:rPr>
      </w:pPr>
      <w:r>
        <w:rPr>
          <w:rFonts w:ascii="Garamond" w:hAnsi="Garamond"/>
        </w:rPr>
        <w:t xml:space="preserve">Estimate the total target population in the study area. </w:t>
      </w:r>
    </w:p>
    <w:p w14:paraId="3665C7A7" w14:textId="0C08EA4F" w:rsidR="00F9005A" w:rsidRDefault="00F9005A" w:rsidP="00F9005A">
      <w:pPr>
        <w:numPr>
          <w:ilvl w:val="1"/>
          <w:numId w:val="46"/>
        </w:numPr>
        <w:rPr>
          <w:rFonts w:ascii="Garamond" w:hAnsi="Garamond"/>
        </w:rPr>
      </w:pPr>
      <w:r>
        <w:rPr>
          <w:rFonts w:ascii="Garamond" w:hAnsi="Garamond"/>
        </w:rPr>
        <w:t>Start with data from the Bill and Melinda Gates Foundation’s (BMGF) Vaccine Tracking System (VTS), which uses satellite imagery and micro-census validation data to estimate population.</w:t>
      </w:r>
      <w:r>
        <w:rPr>
          <w:rStyle w:val="FootnoteReference"/>
          <w:rFonts w:ascii="Garamond" w:hAnsi="Garamond"/>
        </w:rPr>
        <w:footnoteReference w:id="44"/>
      </w:r>
      <w:r>
        <w:rPr>
          <w:rFonts w:ascii="Garamond" w:hAnsi="Garamond"/>
        </w:rPr>
        <w:t xml:space="preserve"> This data provides a ‘layer’ that we apply in the open source Geographic Information System (GIS) program QGIS</w:t>
      </w:r>
      <w:r>
        <w:rPr>
          <w:rStyle w:val="FootnoteReference"/>
          <w:rFonts w:ascii="Garamond" w:hAnsi="Garamond"/>
        </w:rPr>
        <w:footnoteReference w:id="45"/>
      </w:r>
      <w:r>
        <w:rPr>
          <w:rFonts w:ascii="Garamond" w:hAnsi="Garamond"/>
        </w:rPr>
        <w:t xml:space="preserve"> to generate population estimates for </w:t>
      </w:r>
      <w:r w:rsidR="00B83EAE">
        <w:rPr>
          <w:rFonts w:ascii="Garamond" w:hAnsi="Garamond"/>
        </w:rPr>
        <w:t>a user-selected geographic area</w:t>
      </w:r>
      <w:r>
        <w:rPr>
          <w:rFonts w:ascii="Garamond" w:hAnsi="Garamond"/>
        </w:rPr>
        <w:t>.</w:t>
      </w:r>
      <w:r w:rsidR="00B83EAE">
        <w:rPr>
          <w:rFonts w:ascii="Garamond" w:hAnsi="Garamond"/>
        </w:rPr>
        <w:t xml:space="preserve"> We use settlement names and the GPS coordinates collected at map verification to ensure we have selected the correct settlements and correctly defined their boundaries.</w:t>
      </w:r>
    </w:p>
    <w:p w14:paraId="1BC7A09B" w14:textId="24C32090" w:rsidR="00F9005A" w:rsidRDefault="00F9005A" w:rsidP="00F9005A">
      <w:pPr>
        <w:numPr>
          <w:ilvl w:val="1"/>
          <w:numId w:val="46"/>
        </w:numPr>
        <w:rPr>
          <w:rFonts w:ascii="Garamond" w:hAnsi="Garamond"/>
        </w:rPr>
      </w:pPr>
      <w:r>
        <w:rPr>
          <w:rFonts w:ascii="Garamond" w:hAnsi="Garamond"/>
        </w:rPr>
        <w:t>For each study-area settlement,</w:t>
      </w:r>
      <w:r w:rsidR="00B83EAE">
        <w:rPr>
          <w:rFonts w:ascii="Garamond" w:hAnsi="Garamond"/>
        </w:rPr>
        <w:t xml:space="preserve"> we</w:t>
      </w:r>
      <w:r>
        <w:rPr>
          <w:rFonts w:ascii="Garamond" w:hAnsi="Garamond"/>
        </w:rPr>
        <w:t xml:space="preserve"> multiply the estimated population by the percentage of the population that falls between 12 and 16 months of age, as estimated at baseline. This gives us an estimate for the population of 12 to </w:t>
      </w:r>
      <w:proofErr w:type="gramStart"/>
      <w:r>
        <w:rPr>
          <w:rFonts w:ascii="Garamond" w:hAnsi="Garamond"/>
        </w:rPr>
        <w:t>16 month-olds</w:t>
      </w:r>
      <w:proofErr w:type="gramEnd"/>
      <w:r>
        <w:rPr>
          <w:rFonts w:ascii="Garamond" w:hAnsi="Garamond"/>
        </w:rPr>
        <w:t xml:space="preserve"> in the settlements.</w:t>
      </w:r>
    </w:p>
    <w:p w14:paraId="0DF91DFF" w14:textId="5D5E52E4" w:rsidR="00B83EAE" w:rsidRDefault="00B83EAE" w:rsidP="00B83EAE">
      <w:pPr>
        <w:numPr>
          <w:ilvl w:val="1"/>
          <w:numId w:val="46"/>
        </w:numPr>
        <w:rPr>
          <w:rFonts w:ascii="Garamond" w:hAnsi="Garamond"/>
        </w:rPr>
      </w:pPr>
      <w:r w:rsidRPr="00B83EAE">
        <w:rPr>
          <w:rFonts w:ascii="Garamond" w:hAnsi="Garamond"/>
        </w:rPr>
        <w:t>We s</w:t>
      </w:r>
      <w:r w:rsidR="00F9005A" w:rsidRPr="00B83EAE">
        <w:rPr>
          <w:rFonts w:ascii="Garamond" w:hAnsi="Garamond"/>
        </w:rPr>
        <w:t xml:space="preserve">um settlement-level estimates to </w:t>
      </w:r>
      <w:r w:rsidRPr="00B83EAE">
        <w:rPr>
          <w:rFonts w:ascii="Garamond" w:hAnsi="Garamond"/>
        </w:rPr>
        <w:t>estimate the</w:t>
      </w:r>
      <w:r w:rsidR="00F9005A" w:rsidRPr="00B83EAE">
        <w:rPr>
          <w:rFonts w:ascii="Garamond" w:hAnsi="Garamond"/>
        </w:rPr>
        <w:t xml:space="preserve"> target population for the entire study area.</w:t>
      </w:r>
    </w:p>
    <w:p w14:paraId="789C82B0" w14:textId="185C2F88" w:rsidR="00B83EAE" w:rsidRDefault="00B83EAE" w:rsidP="00224C77">
      <w:pPr>
        <w:numPr>
          <w:ilvl w:val="0"/>
          <w:numId w:val="46"/>
        </w:numPr>
        <w:rPr>
          <w:rFonts w:ascii="Garamond" w:hAnsi="Garamond"/>
        </w:rPr>
      </w:pPr>
      <w:r w:rsidRPr="00B83EAE">
        <w:rPr>
          <w:rFonts w:ascii="Garamond" w:hAnsi="Garamond"/>
        </w:rPr>
        <w:t>Next, we use</w:t>
      </w:r>
      <w:r>
        <w:rPr>
          <w:rFonts w:ascii="Garamond" w:hAnsi="Garamond"/>
        </w:rPr>
        <w:t>d</w:t>
      </w:r>
      <w:r w:rsidRPr="00B83EAE">
        <w:rPr>
          <w:rFonts w:ascii="Garamond" w:hAnsi="Garamond"/>
        </w:rPr>
        <w:t xml:space="preserve"> the total target population estimate and the results of the power calculations described above to determine what proportion of land area we need to sample.</w:t>
      </w:r>
      <w:r w:rsidRPr="000903FF">
        <w:rPr>
          <w:rFonts w:ascii="Garamond" w:hAnsi="Garamond"/>
          <w:vertAlign w:val="superscript"/>
        </w:rPr>
        <w:footnoteReference w:id="46"/>
      </w:r>
      <w:r w:rsidRPr="00B83EAE">
        <w:rPr>
          <w:rFonts w:ascii="Garamond" w:hAnsi="Garamond"/>
        </w:rPr>
        <w:t xml:space="preserve"> </w:t>
      </w:r>
      <w:r>
        <w:rPr>
          <w:rFonts w:ascii="Garamond" w:hAnsi="Garamond"/>
        </w:rPr>
        <w:t>This resulted in</w:t>
      </w:r>
      <w:r w:rsidRPr="00B83EAE">
        <w:rPr>
          <w:rFonts w:ascii="Garamond" w:hAnsi="Garamond"/>
        </w:rPr>
        <w:t xml:space="preserve"> in approximately </w:t>
      </w:r>
      <w:r>
        <w:rPr>
          <w:rFonts w:ascii="Garamond" w:hAnsi="Garamond"/>
        </w:rPr>
        <w:t>25</w:t>
      </w:r>
      <w:r w:rsidRPr="00B83EAE">
        <w:rPr>
          <w:rFonts w:ascii="Garamond" w:hAnsi="Garamond"/>
        </w:rPr>
        <w:t xml:space="preserve">% of eligible infants in the study area, meaning that we will also randomly survey </w:t>
      </w:r>
      <w:r>
        <w:rPr>
          <w:rFonts w:ascii="Garamond" w:hAnsi="Garamond"/>
        </w:rPr>
        <w:t>25</w:t>
      </w:r>
      <w:r w:rsidRPr="00B83EAE">
        <w:rPr>
          <w:rFonts w:ascii="Garamond" w:hAnsi="Garamond"/>
        </w:rPr>
        <w:t>% of land area.</w:t>
      </w:r>
      <w:r w:rsidRPr="00B83EAE" w:rsidDel="00B96195">
        <w:rPr>
          <w:rStyle w:val="FootnoteReference"/>
          <w:rFonts w:ascii="Garamond" w:hAnsi="Garamond"/>
        </w:rPr>
        <w:t xml:space="preserve"> </w:t>
      </w:r>
    </w:p>
    <w:p w14:paraId="0D43969F" w14:textId="77777777" w:rsidR="00A2298C" w:rsidRPr="00A2298C" w:rsidRDefault="00A2298C" w:rsidP="00224C77">
      <w:pPr>
        <w:rPr>
          <w:rFonts w:ascii="Garamond" w:hAnsi="Garamond"/>
        </w:rPr>
      </w:pPr>
    </w:p>
    <w:p w14:paraId="013D1098" w14:textId="1100E237" w:rsidR="000903FF" w:rsidRDefault="00B83EAE" w:rsidP="000903FF">
      <w:pPr>
        <w:numPr>
          <w:ilvl w:val="0"/>
          <w:numId w:val="46"/>
        </w:numPr>
        <w:rPr>
          <w:rFonts w:ascii="Garamond" w:hAnsi="Garamond"/>
        </w:rPr>
      </w:pPr>
      <w:r>
        <w:rPr>
          <w:rFonts w:ascii="Garamond" w:hAnsi="Garamond"/>
        </w:rPr>
        <w:t>We d</w:t>
      </w:r>
      <w:r w:rsidR="000903FF" w:rsidRPr="000903FF">
        <w:rPr>
          <w:rFonts w:ascii="Garamond" w:hAnsi="Garamond"/>
        </w:rPr>
        <w:t>ivide each settlement into</w:t>
      </w:r>
      <w:r w:rsidR="00B23F13">
        <w:rPr>
          <w:rFonts w:ascii="Garamond" w:hAnsi="Garamond"/>
        </w:rPr>
        <w:t xml:space="preserve"> an even number </w:t>
      </w:r>
      <w:r w:rsidR="00F42B80">
        <w:rPr>
          <w:rFonts w:ascii="Garamond" w:hAnsi="Garamond"/>
        </w:rPr>
        <w:t xml:space="preserve">of </w:t>
      </w:r>
      <w:r w:rsidR="000903FF" w:rsidRPr="000903FF">
        <w:rPr>
          <w:rFonts w:ascii="Garamond" w:hAnsi="Garamond"/>
        </w:rPr>
        <w:t>segments of equal area</w:t>
      </w:r>
      <w:r>
        <w:rPr>
          <w:rFonts w:ascii="Garamond" w:hAnsi="Garamond"/>
        </w:rPr>
        <w:t>.</w:t>
      </w:r>
      <w:r w:rsidR="00F42B80">
        <w:rPr>
          <w:rStyle w:val="FootnoteReference"/>
          <w:rFonts w:ascii="Garamond" w:hAnsi="Garamond"/>
        </w:rPr>
        <w:footnoteReference w:id="47"/>
      </w:r>
      <w:r>
        <w:rPr>
          <w:rFonts w:ascii="Garamond" w:hAnsi="Garamond"/>
        </w:rPr>
        <w:t xml:space="preserve"> To do so, we hired Upwork freelancers to draw polygons on </w:t>
      </w:r>
      <w:proofErr w:type="spellStart"/>
      <w:r>
        <w:rPr>
          <w:rFonts w:ascii="Garamond" w:hAnsi="Garamond"/>
        </w:rPr>
        <w:t>GoogleMaps</w:t>
      </w:r>
      <w:proofErr w:type="spellEnd"/>
      <w:r>
        <w:rPr>
          <w:rFonts w:ascii="Garamond" w:hAnsi="Garamond"/>
        </w:rPr>
        <w:t xml:space="preserve"> images of the study settlements, identified using names and GPS coordinates. </w:t>
      </w:r>
      <w:proofErr w:type="spellStart"/>
      <w:r>
        <w:rPr>
          <w:rFonts w:ascii="Garamond" w:hAnsi="Garamond"/>
        </w:rPr>
        <w:t>Upworkers</w:t>
      </w:r>
      <w:proofErr w:type="spellEnd"/>
      <w:r>
        <w:rPr>
          <w:rFonts w:ascii="Garamond" w:hAnsi="Garamond"/>
        </w:rPr>
        <w:t xml:space="preserve"> were instructed to ensure segments each consisted of roughly</w:t>
      </w:r>
      <w:r w:rsidR="00F42B80">
        <w:rPr>
          <w:rFonts w:ascii="Garamond" w:hAnsi="Garamond"/>
        </w:rPr>
        <w:t xml:space="preserve"> the same </w:t>
      </w:r>
      <w:proofErr w:type="spellStart"/>
      <w:r w:rsidR="00F42B80">
        <w:rPr>
          <w:rFonts w:ascii="Garamond" w:hAnsi="Garamond"/>
        </w:rPr>
        <w:t>propotion</w:t>
      </w:r>
      <w:proofErr w:type="spellEnd"/>
      <w:r w:rsidR="00F42B80">
        <w:rPr>
          <w:rFonts w:ascii="Garamond" w:hAnsi="Garamond"/>
        </w:rPr>
        <w:t xml:space="preserve"> (usually</w:t>
      </w:r>
      <w:r>
        <w:rPr>
          <w:rFonts w:ascii="Garamond" w:hAnsi="Garamond"/>
        </w:rPr>
        <w:t xml:space="preserve"> 1/8</w:t>
      </w:r>
      <w:r w:rsidR="00F42B80">
        <w:rPr>
          <w:rFonts w:ascii="Garamond" w:hAnsi="Garamond"/>
        </w:rPr>
        <w:t>)</w:t>
      </w:r>
      <w:r>
        <w:rPr>
          <w:rFonts w:ascii="Garamond" w:hAnsi="Garamond"/>
        </w:rPr>
        <w:t xml:space="preserve"> of the total area comprising the settlement and </w:t>
      </w:r>
      <w:proofErr w:type="spellStart"/>
      <w:r>
        <w:rPr>
          <w:rFonts w:ascii="Garamond" w:hAnsi="Garamond"/>
        </w:rPr>
        <w:t>IDinsight</w:t>
      </w:r>
      <w:proofErr w:type="spellEnd"/>
      <w:r>
        <w:rPr>
          <w:rFonts w:ascii="Garamond" w:hAnsi="Garamond"/>
        </w:rPr>
        <w:t xml:space="preserve"> reviewed their work to ensure this occurred.</w:t>
      </w:r>
    </w:p>
    <w:p w14:paraId="59DC037B" w14:textId="69F31D36" w:rsidR="001F7A55" w:rsidRPr="000903FF" w:rsidRDefault="001F7A55" w:rsidP="000903FF">
      <w:pPr>
        <w:numPr>
          <w:ilvl w:val="0"/>
          <w:numId w:val="46"/>
        </w:numPr>
        <w:rPr>
          <w:rFonts w:ascii="Garamond" w:hAnsi="Garamond"/>
        </w:rPr>
      </w:pPr>
      <w:r>
        <w:rPr>
          <w:rFonts w:ascii="Garamond" w:hAnsi="Garamond"/>
        </w:rPr>
        <w:t xml:space="preserve">Randomly select </w:t>
      </w:r>
      <w:r w:rsidR="00E0586F">
        <w:rPr>
          <w:rFonts w:ascii="Garamond" w:hAnsi="Garamond"/>
        </w:rPr>
        <w:t>25</w:t>
      </w:r>
      <w:r w:rsidR="0029792D">
        <w:rPr>
          <w:rFonts w:ascii="Garamond" w:hAnsi="Garamond"/>
        </w:rPr>
        <w:t>%</w:t>
      </w:r>
      <w:r>
        <w:rPr>
          <w:rFonts w:ascii="Garamond" w:hAnsi="Garamond"/>
        </w:rPr>
        <w:t xml:space="preserve"> of the segments in each settlement and conduct a full</w:t>
      </w:r>
      <w:r w:rsidR="00142359">
        <w:rPr>
          <w:rFonts w:ascii="Garamond" w:hAnsi="Garamond"/>
        </w:rPr>
        <w:t xml:space="preserve"> household</w:t>
      </w:r>
      <w:r>
        <w:rPr>
          <w:rFonts w:ascii="Garamond" w:hAnsi="Garamond"/>
        </w:rPr>
        <w:t xml:space="preserve"> </w:t>
      </w:r>
      <w:r w:rsidR="00142359">
        <w:rPr>
          <w:rFonts w:ascii="Garamond" w:hAnsi="Garamond"/>
        </w:rPr>
        <w:t>c</w:t>
      </w:r>
      <w:r>
        <w:rPr>
          <w:rFonts w:ascii="Garamond" w:hAnsi="Garamond"/>
        </w:rPr>
        <w:t>ensu</w:t>
      </w:r>
      <w:r w:rsidR="00FE4973">
        <w:rPr>
          <w:rFonts w:ascii="Garamond" w:hAnsi="Garamond"/>
        </w:rPr>
        <w:t>s</w:t>
      </w:r>
      <w:r w:rsidR="00142359">
        <w:rPr>
          <w:rFonts w:ascii="Garamond" w:hAnsi="Garamond"/>
        </w:rPr>
        <w:t xml:space="preserve"> (HH)</w:t>
      </w:r>
      <w:r>
        <w:rPr>
          <w:rFonts w:ascii="Garamond" w:hAnsi="Garamond"/>
        </w:rPr>
        <w:t xml:space="preserve"> in those segments. </w:t>
      </w:r>
      <w:r w:rsidR="00FE4973">
        <w:rPr>
          <w:rFonts w:ascii="Garamond" w:hAnsi="Garamond"/>
        </w:rPr>
        <w:t xml:space="preserve">At those households where we find eligible infants, we will also conduct a </w:t>
      </w:r>
      <w:r w:rsidR="00142359">
        <w:rPr>
          <w:rFonts w:ascii="Garamond" w:hAnsi="Garamond"/>
        </w:rPr>
        <w:t>r</w:t>
      </w:r>
      <w:r w:rsidR="00FE4973">
        <w:rPr>
          <w:rFonts w:ascii="Garamond" w:hAnsi="Garamond"/>
        </w:rPr>
        <w:t xml:space="preserve">outine </w:t>
      </w:r>
      <w:r w:rsidR="00142359">
        <w:rPr>
          <w:rFonts w:ascii="Garamond" w:hAnsi="Garamond"/>
        </w:rPr>
        <w:t>i</w:t>
      </w:r>
      <w:r w:rsidR="00FE4973">
        <w:rPr>
          <w:rFonts w:ascii="Garamond" w:hAnsi="Garamond"/>
        </w:rPr>
        <w:t>mmunization survey</w:t>
      </w:r>
      <w:r w:rsidR="00142359">
        <w:rPr>
          <w:rFonts w:ascii="Garamond" w:hAnsi="Garamond"/>
        </w:rPr>
        <w:t xml:space="preserve"> (RI)</w:t>
      </w:r>
      <w:r w:rsidR="00FE4973">
        <w:rPr>
          <w:rFonts w:ascii="Garamond" w:hAnsi="Garamond"/>
        </w:rPr>
        <w:t xml:space="preserve"> to measure study outcomes.</w:t>
      </w:r>
      <w:r w:rsidR="00142359">
        <w:rPr>
          <w:rFonts w:ascii="Garamond" w:hAnsi="Garamond"/>
        </w:rPr>
        <w:t xml:space="preserve"> Wherever possible, these two surveys will take place during a single visit to the household in order to economize on travel time and reduce the likelihood of missing data (from not finding infants identified by the HH at the time of conducting the RI)</w:t>
      </w:r>
      <w:r w:rsidR="0029792D">
        <w:rPr>
          <w:rFonts w:ascii="Garamond" w:hAnsi="Garamond"/>
        </w:rPr>
        <w:t>.</w:t>
      </w:r>
    </w:p>
    <w:p w14:paraId="3098290B" w14:textId="77777777" w:rsidR="004F507B" w:rsidRPr="004F507B" w:rsidRDefault="004F507B" w:rsidP="00632F94">
      <w:pPr>
        <w:rPr>
          <w:rFonts w:ascii="Garamond" w:hAnsi="Garamond"/>
        </w:rPr>
      </w:pPr>
    </w:p>
    <w:p w14:paraId="5CAB49E1" w14:textId="3DF072C4" w:rsidR="001611CE" w:rsidRPr="001611CE" w:rsidRDefault="002941CD" w:rsidP="004F507B">
      <w:pPr>
        <w:pStyle w:val="Heading2"/>
        <w:rPr>
          <w:rFonts w:ascii="Garamond" w:hAnsi="Garamond"/>
          <w:sz w:val="28"/>
          <w:szCs w:val="28"/>
        </w:rPr>
      </w:pPr>
      <w:r>
        <w:rPr>
          <w:rFonts w:ascii="Garamond" w:hAnsi="Garamond"/>
          <w:sz w:val="28"/>
          <w:szCs w:val="28"/>
        </w:rPr>
        <w:lastRenderedPageBreak/>
        <w:t>Data</w:t>
      </w:r>
      <w:r w:rsidR="001611CE" w:rsidRPr="000A34B0">
        <w:rPr>
          <w:rFonts w:ascii="Garamond" w:hAnsi="Garamond"/>
          <w:sz w:val="28"/>
          <w:szCs w:val="28"/>
        </w:rPr>
        <w:t xml:space="preserve"> Analysis</w:t>
      </w:r>
    </w:p>
    <w:p w14:paraId="32AFBE33" w14:textId="77777777" w:rsidR="001611CE" w:rsidRPr="00905F01" w:rsidRDefault="001611CE" w:rsidP="002C53B3">
      <w:pPr>
        <w:keepNext/>
        <w:spacing w:before="40" w:line="259" w:lineRule="auto"/>
        <w:rPr>
          <w:rFonts w:ascii="Garamond" w:hAnsi="Garamond"/>
          <w:b/>
          <w:i/>
        </w:rPr>
      </w:pPr>
      <w:r>
        <w:rPr>
          <w:rFonts w:ascii="Garamond" w:hAnsi="Garamond"/>
          <w:b/>
          <w:i/>
        </w:rPr>
        <w:t>Unit of Analysis</w:t>
      </w:r>
    </w:p>
    <w:p w14:paraId="1B20874B" w14:textId="77777777" w:rsidR="001611CE" w:rsidRPr="00905F01" w:rsidRDefault="001611CE" w:rsidP="001611CE">
      <w:pPr>
        <w:rPr>
          <w:rFonts w:ascii="Garamond" w:hAnsi="Garamond"/>
        </w:rPr>
      </w:pPr>
      <w:r w:rsidRPr="00905F01">
        <w:rPr>
          <w:rFonts w:ascii="Garamond" w:hAnsi="Garamond"/>
        </w:rPr>
        <w:t>The unit of analysis is the individual 12</w:t>
      </w:r>
      <w:r>
        <w:rPr>
          <w:rFonts w:ascii="Garamond" w:hAnsi="Garamond"/>
        </w:rPr>
        <w:t xml:space="preserve"> to </w:t>
      </w:r>
      <w:r w:rsidRPr="00905F01">
        <w:rPr>
          <w:rFonts w:ascii="Garamond" w:hAnsi="Garamond"/>
        </w:rPr>
        <w:t>16</w:t>
      </w:r>
      <w:r>
        <w:rPr>
          <w:rFonts w:ascii="Garamond" w:hAnsi="Garamond"/>
        </w:rPr>
        <w:t>-</w:t>
      </w:r>
      <w:r w:rsidRPr="00905F01">
        <w:rPr>
          <w:rFonts w:ascii="Garamond" w:hAnsi="Garamond"/>
        </w:rPr>
        <w:t>month</w:t>
      </w:r>
      <w:r>
        <w:rPr>
          <w:rFonts w:ascii="Garamond" w:hAnsi="Garamond"/>
        </w:rPr>
        <w:t>-</w:t>
      </w:r>
      <w:r w:rsidRPr="00905F01">
        <w:rPr>
          <w:rFonts w:ascii="Garamond" w:hAnsi="Garamond"/>
        </w:rPr>
        <w:t xml:space="preserve">old infant. </w:t>
      </w:r>
    </w:p>
    <w:p w14:paraId="49F2F6C7" w14:textId="77777777" w:rsidR="001611CE" w:rsidRDefault="001611CE" w:rsidP="001611CE">
      <w:pPr>
        <w:rPr>
          <w:rFonts w:ascii="Garamond" w:hAnsi="Garamond"/>
        </w:rPr>
      </w:pPr>
    </w:p>
    <w:p w14:paraId="08F2026B" w14:textId="77777777" w:rsidR="001611CE" w:rsidRPr="00905F01" w:rsidRDefault="001611CE" w:rsidP="002C53B3">
      <w:pPr>
        <w:keepNext/>
        <w:spacing w:line="259" w:lineRule="auto"/>
        <w:rPr>
          <w:rFonts w:ascii="Garamond" w:hAnsi="Garamond"/>
          <w:b/>
          <w:i/>
        </w:rPr>
      </w:pPr>
      <w:r w:rsidRPr="002C53B3">
        <w:rPr>
          <w:rFonts w:ascii="Garamond" w:hAnsi="Garamond"/>
          <w:b/>
          <w:i/>
        </w:rPr>
        <w:t>Sample Analyzed</w:t>
      </w:r>
    </w:p>
    <w:p w14:paraId="2385E46D" w14:textId="01621301" w:rsidR="001611CE" w:rsidRDefault="001611CE" w:rsidP="001611CE">
      <w:pPr>
        <w:jc w:val="both"/>
        <w:rPr>
          <w:rFonts w:ascii="Garamond" w:hAnsi="Garamond"/>
        </w:rPr>
      </w:pPr>
    </w:p>
    <w:p w14:paraId="2A7FAB69" w14:textId="541AF0CC" w:rsidR="004C52EA" w:rsidRDefault="004C52EA" w:rsidP="001611CE">
      <w:pPr>
        <w:jc w:val="both"/>
        <w:rPr>
          <w:rFonts w:ascii="Garamond" w:hAnsi="Garamond"/>
        </w:rPr>
      </w:pPr>
      <w:r>
        <w:rPr>
          <w:rFonts w:ascii="Garamond" w:hAnsi="Garamond"/>
        </w:rPr>
        <w:t>Primary sample:</w:t>
      </w:r>
    </w:p>
    <w:p w14:paraId="0D47B446" w14:textId="77777777" w:rsidR="004C52EA" w:rsidRDefault="004C52EA" w:rsidP="004C52EA">
      <w:pPr>
        <w:pStyle w:val="ListParagraph"/>
        <w:numPr>
          <w:ilvl w:val="0"/>
          <w:numId w:val="61"/>
        </w:numPr>
        <w:jc w:val="both"/>
        <w:rPr>
          <w:rFonts w:ascii="Garamond" w:hAnsi="Garamond"/>
        </w:rPr>
      </w:pPr>
      <w:r>
        <w:rPr>
          <w:rFonts w:ascii="Garamond" w:hAnsi="Garamond"/>
        </w:rPr>
        <w:t>Intention-to-treat (ITT) estimate for all clinics randomized. This is the study’s primary analysis sample.</w:t>
      </w:r>
    </w:p>
    <w:p w14:paraId="39F18402" w14:textId="77777777" w:rsidR="004C52EA" w:rsidRDefault="004C52EA" w:rsidP="001611CE">
      <w:pPr>
        <w:jc w:val="both"/>
        <w:rPr>
          <w:rFonts w:ascii="Garamond" w:hAnsi="Garamond"/>
        </w:rPr>
      </w:pPr>
    </w:p>
    <w:p w14:paraId="3889BEFD" w14:textId="0F732F0A" w:rsidR="001611CE" w:rsidRPr="001611CE" w:rsidRDefault="001611CE" w:rsidP="00DC0775">
      <w:pPr>
        <w:keepNext/>
        <w:jc w:val="both"/>
        <w:rPr>
          <w:rFonts w:ascii="Garamond" w:hAnsi="Garamond"/>
        </w:rPr>
      </w:pPr>
      <w:r w:rsidRPr="001611CE">
        <w:rPr>
          <w:rFonts w:ascii="Garamond" w:hAnsi="Garamond"/>
        </w:rPr>
        <w:t>Alternative samples</w:t>
      </w:r>
      <w:r w:rsidR="004F507B">
        <w:rPr>
          <w:rFonts w:ascii="Garamond" w:hAnsi="Garamond"/>
        </w:rPr>
        <w:t>:</w:t>
      </w:r>
    </w:p>
    <w:p w14:paraId="25CA9AF2" w14:textId="05AF58ED" w:rsidR="00117C75" w:rsidRDefault="006A6A9A" w:rsidP="00117C75">
      <w:pPr>
        <w:pStyle w:val="ListParagraph"/>
        <w:numPr>
          <w:ilvl w:val="0"/>
          <w:numId w:val="5"/>
        </w:numPr>
        <w:jc w:val="both"/>
        <w:rPr>
          <w:rFonts w:ascii="Garamond" w:hAnsi="Garamond"/>
        </w:rPr>
      </w:pPr>
      <w:bookmarkStart w:id="3" w:name="_Hlk25276281"/>
      <w:r w:rsidRPr="00117C75">
        <w:rPr>
          <w:rFonts w:ascii="Garamond" w:hAnsi="Garamond"/>
        </w:rPr>
        <w:t>Treatment on the Treated (</w:t>
      </w:r>
      <w:r w:rsidR="001611CE" w:rsidRPr="00117C75">
        <w:rPr>
          <w:rFonts w:ascii="Garamond" w:hAnsi="Garamond"/>
        </w:rPr>
        <w:t>TOT</w:t>
      </w:r>
      <w:r w:rsidRPr="00117C75">
        <w:rPr>
          <w:rFonts w:ascii="Garamond" w:hAnsi="Garamond"/>
        </w:rPr>
        <w:t>)</w:t>
      </w:r>
      <w:r w:rsidR="001611CE" w:rsidRPr="00117C75">
        <w:rPr>
          <w:rFonts w:ascii="Garamond" w:hAnsi="Garamond"/>
        </w:rPr>
        <w:t xml:space="preserve"> estimate for all clinics where New Incentives operates for more than </w:t>
      </w:r>
      <w:r w:rsidR="000678B1" w:rsidRPr="00117C75">
        <w:rPr>
          <w:rFonts w:ascii="Garamond" w:hAnsi="Garamond"/>
        </w:rPr>
        <w:t xml:space="preserve">six </w:t>
      </w:r>
      <w:r w:rsidR="001611CE" w:rsidRPr="00117C75">
        <w:rPr>
          <w:rFonts w:ascii="Garamond" w:hAnsi="Garamond"/>
        </w:rPr>
        <w:t xml:space="preserve">months. This will only </w:t>
      </w:r>
      <w:bookmarkEnd w:id="3"/>
      <w:r w:rsidR="001611CE" w:rsidRPr="00117C75">
        <w:rPr>
          <w:rFonts w:ascii="Garamond" w:hAnsi="Garamond"/>
        </w:rPr>
        <w:t>be estimated if many clinics suspend operations due to security reasons outside the security strata. This estimate would only be valid for vaccinations that could not have been received during the operational period as the TOT estimator requires no correlation between treatment assignment and the outcome of interest aside from being truly treated.</w:t>
      </w:r>
    </w:p>
    <w:p w14:paraId="682D69BC" w14:textId="38013D58" w:rsidR="00117C75" w:rsidRPr="00982EAF" w:rsidRDefault="00117C75" w:rsidP="00117C75">
      <w:pPr>
        <w:pStyle w:val="ListParagraph"/>
        <w:numPr>
          <w:ilvl w:val="0"/>
          <w:numId w:val="5"/>
        </w:numPr>
        <w:jc w:val="both"/>
        <w:rPr>
          <w:rFonts w:ascii="Garamond" w:hAnsi="Garamond"/>
        </w:rPr>
      </w:pPr>
      <w:r w:rsidRPr="00982EAF">
        <w:rPr>
          <w:rFonts w:ascii="Garamond" w:hAnsi="Garamond"/>
        </w:rPr>
        <w:t>Refined scaleup sample:</w:t>
      </w:r>
      <w:r w:rsidRPr="00117C75">
        <w:rPr>
          <w:rFonts w:ascii="Garamond" w:hAnsi="Garamond"/>
        </w:rPr>
        <w:t xml:space="preserve"> </w:t>
      </w:r>
      <w:r w:rsidRPr="00117C75">
        <w:rPr>
          <w:rFonts w:ascii="Garamond" w:hAnsi="Garamond"/>
        </w:rPr>
        <w:tab/>
        <w:t xml:space="preserve">This sample is intended to represent those clinics at which New Incentives will operate at scale, applying lessons-learned since </w:t>
      </w:r>
      <w:r w:rsidR="00C86E15" w:rsidRPr="00117C75">
        <w:rPr>
          <w:rFonts w:ascii="Garamond" w:hAnsi="Garamond"/>
        </w:rPr>
        <w:t>randomization</w:t>
      </w:r>
      <w:r w:rsidRPr="00117C75">
        <w:rPr>
          <w:rFonts w:ascii="Garamond" w:hAnsi="Garamond"/>
        </w:rPr>
        <w:t xml:space="preserve">. Clinics with questionable operational viability due to lack of a nearby ATM, lack of staffing, or security risk were randomized as separate strata but still included in the RCT.  Based on New Incentives’ operational experience and, if necessary, raw coverage rates, </w:t>
      </w:r>
      <w:proofErr w:type="spellStart"/>
      <w:r w:rsidRPr="00117C75">
        <w:rPr>
          <w:rFonts w:ascii="Garamond" w:hAnsi="Garamond"/>
        </w:rPr>
        <w:t>GiveWell</w:t>
      </w:r>
      <w:proofErr w:type="spellEnd"/>
      <w:r w:rsidRPr="00117C75">
        <w:rPr>
          <w:rFonts w:ascii="Garamond" w:hAnsi="Garamond"/>
        </w:rPr>
        <w:t xml:space="preserve"> and New Incentives, with the advice of </w:t>
      </w:r>
      <w:proofErr w:type="spellStart"/>
      <w:r w:rsidRPr="00117C75">
        <w:rPr>
          <w:rFonts w:ascii="Garamond" w:hAnsi="Garamond"/>
        </w:rPr>
        <w:t>IDinsight</w:t>
      </w:r>
      <w:proofErr w:type="spellEnd"/>
      <w:r w:rsidRPr="00117C75">
        <w:rPr>
          <w:rFonts w:ascii="Garamond" w:hAnsi="Garamond"/>
        </w:rPr>
        <w:t>, will decide on the refined screening criteria to be used at scale-up. We will then drop the strata that correspond to clinic types that would be screened out at scale.</w:t>
      </w:r>
      <w:r>
        <w:rPr>
          <w:rFonts w:ascii="Garamond" w:hAnsi="Garamond"/>
        </w:rPr>
        <w:t xml:space="preserve"> </w:t>
      </w:r>
      <w:r w:rsidRPr="00117C75">
        <w:rPr>
          <w:rFonts w:ascii="Garamond" w:hAnsi="Garamond"/>
        </w:rPr>
        <w:t xml:space="preserve">To ensure logical consistency, if a less severe security strata is dropped, </w:t>
      </w:r>
      <w:proofErr w:type="gramStart"/>
      <w:r w:rsidRPr="00117C75">
        <w:rPr>
          <w:rFonts w:ascii="Garamond" w:hAnsi="Garamond"/>
        </w:rPr>
        <w:t>all of</w:t>
      </w:r>
      <w:proofErr w:type="gramEnd"/>
      <w:r w:rsidRPr="00117C75">
        <w:rPr>
          <w:rFonts w:ascii="Garamond" w:hAnsi="Garamond"/>
        </w:rPr>
        <w:t xml:space="preserve"> the pre-identified higher risk categories will need to be dropped, as well. For example, if moderate risk clinics are dropped, high and very-high-risk clinics will also be dropped from the analysis even if they happen to experience no issues during the study. This is because the criteria used to define the strata included in the final analysis will need to correspond with the screening criteria New Incentives would use at scale, before deciding where to operate.   </w:t>
      </w:r>
    </w:p>
    <w:p w14:paraId="1B234235" w14:textId="77777777" w:rsidR="001611CE" w:rsidRPr="00632F94" w:rsidRDefault="001611CE" w:rsidP="00632F94">
      <w:pPr>
        <w:rPr>
          <w:rFonts w:ascii="Garamond" w:hAnsi="Garamond"/>
        </w:rPr>
      </w:pPr>
    </w:p>
    <w:p w14:paraId="4AF523C5" w14:textId="77777777" w:rsidR="00784C83" w:rsidRPr="00381BB7" w:rsidRDefault="00784C83" w:rsidP="00784C83">
      <w:pPr>
        <w:pStyle w:val="Heading2"/>
        <w:rPr>
          <w:rFonts w:ascii="Garamond" w:hAnsi="Garamond"/>
          <w:sz w:val="28"/>
          <w:szCs w:val="28"/>
        </w:rPr>
      </w:pPr>
      <w:bookmarkStart w:id="4" w:name="_Research_Question_X"/>
      <w:bookmarkStart w:id="5" w:name="_Toc481450652"/>
      <w:bookmarkEnd w:id="4"/>
      <w:r>
        <w:rPr>
          <w:rFonts w:ascii="Garamond" w:hAnsi="Garamond"/>
          <w:sz w:val="28"/>
          <w:szCs w:val="28"/>
        </w:rPr>
        <w:t>Data Analysis for Primary Research Questions</w:t>
      </w:r>
    </w:p>
    <w:p w14:paraId="396A0D44" w14:textId="77777777" w:rsidR="00784C83" w:rsidRDefault="00784C83" w:rsidP="00784C83">
      <w:pPr>
        <w:spacing w:before="40" w:after="160" w:line="259" w:lineRule="auto"/>
        <w:jc w:val="both"/>
        <w:rPr>
          <w:rFonts w:ascii="Garamond" w:hAnsi="Garamond"/>
          <w:b/>
        </w:rPr>
      </w:pPr>
      <w:r>
        <w:rPr>
          <w:rFonts w:ascii="Garamond" w:hAnsi="Garamond"/>
          <w:b/>
        </w:rPr>
        <w:t xml:space="preserve">What is the effect of </w:t>
      </w:r>
      <w:r w:rsidRPr="00C526FC">
        <w:rPr>
          <w:rFonts w:ascii="Garamond" w:hAnsi="Garamond"/>
          <w:b/>
        </w:rPr>
        <w:t xml:space="preserve">New Incentives’ program </w:t>
      </w:r>
      <w:r>
        <w:rPr>
          <w:rFonts w:ascii="Garamond" w:hAnsi="Garamond"/>
          <w:b/>
        </w:rPr>
        <w:t xml:space="preserve">on </w:t>
      </w:r>
      <w:r w:rsidRPr="00C526FC">
        <w:rPr>
          <w:rFonts w:ascii="Garamond" w:hAnsi="Garamond"/>
          <w:b/>
        </w:rPr>
        <w:t xml:space="preserve">the </w:t>
      </w:r>
      <w:r>
        <w:rPr>
          <w:rFonts w:ascii="Garamond" w:hAnsi="Garamond"/>
          <w:b/>
        </w:rPr>
        <w:t>probability that</w:t>
      </w:r>
      <w:r w:rsidRPr="00C526FC">
        <w:rPr>
          <w:rFonts w:ascii="Garamond" w:hAnsi="Garamond"/>
          <w:b/>
        </w:rPr>
        <w:t xml:space="preserve"> </w:t>
      </w:r>
      <w:r>
        <w:rPr>
          <w:rFonts w:ascii="Garamond" w:hAnsi="Garamond"/>
          <w:b/>
        </w:rPr>
        <w:t>12 to 16-month-old children</w:t>
      </w:r>
      <w:r w:rsidRPr="00C526FC">
        <w:rPr>
          <w:rFonts w:ascii="Garamond" w:hAnsi="Garamond"/>
          <w:b/>
        </w:rPr>
        <w:t xml:space="preserve"> </w:t>
      </w:r>
      <w:proofErr w:type="gramStart"/>
      <w:r>
        <w:rPr>
          <w:rFonts w:ascii="Garamond" w:hAnsi="Garamond"/>
          <w:b/>
        </w:rPr>
        <w:t>receive:</w:t>
      </w:r>
      <w:proofErr w:type="gramEnd"/>
    </w:p>
    <w:p w14:paraId="348BB53B" w14:textId="77777777" w:rsidR="00784C83" w:rsidRDefault="00784C83" w:rsidP="00784C83">
      <w:pPr>
        <w:spacing w:after="160" w:line="259" w:lineRule="auto"/>
        <w:ind w:firstLine="720"/>
        <w:jc w:val="both"/>
        <w:rPr>
          <w:rFonts w:ascii="Garamond" w:hAnsi="Garamond"/>
          <w:b/>
        </w:rPr>
      </w:pPr>
      <w:r>
        <w:rPr>
          <w:rFonts w:ascii="Garamond" w:hAnsi="Garamond"/>
          <w:b/>
        </w:rPr>
        <w:t>1. BCG</w:t>
      </w:r>
    </w:p>
    <w:p w14:paraId="6EB475DE" w14:textId="77777777" w:rsidR="00784C83" w:rsidRDefault="00784C83" w:rsidP="00784C83">
      <w:pPr>
        <w:spacing w:after="160" w:line="259" w:lineRule="auto"/>
        <w:ind w:firstLine="720"/>
        <w:jc w:val="both"/>
        <w:rPr>
          <w:rFonts w:ascii="Garamond" w:hAnsi="Garamond"/>
          <w:b/>
        </w:rPr>
      </w:pPr>
      <w:r>
        <w:rPr>
          <w:rFonts w:ascii="Garamond" w:hAnsi="Garamond"/>
          <w:b/>
        </w:rPr>
        <w:t>2. any PENTA</w:t>
      </w:r>
    </w:p>
    <w:p w14:paraId="1C1AB2E5" w14:textId="77777777" w:rsidR="00784C83" w:rsidRDefault="00784C83" w:rsidP="00784C83">
      <w:pPr>
        <w:spacing w:after="160" w:line="259" w:lineRule="auto"/>
        <w:ind w:firstLine="720"/>
        <w:jc w:val="both"/>
        <w:rPr>
          <w:rFonts w:ascii="Garamond" w:hAnsi="Garamond"/>
          <w:b/>
        </w:rPr>
      </w:pPr>
      <w:r>
        <w:rPr>
          <w:rFonts w:ascii="Garamond" w:hAnsi="Garamond"/>
          <w:b/>
        </w:rPr>
        <w:t>3. Measles 1</w:t>
      </w:r>
    </w:p>
    <w:p w14:paraId="474DCEBD" w14:textId="77777777" w:rsidR="00784C83" w:rsidRPr="00905F01" w:rsidRDefault="00784C83" w:rsidP="00784C83">
      <w:pPr>
        <w:keepNext/>
        <w:spacing w:line="259" w:lineRule="auto"/>
        <w:rPr>
          <w:rFonts w:ascii="Garamond" w:hAnsi="Garamond"/>
          <w:b/>
          <w:i/>
        </w:rPr>
      </w:pPr>
      <w:r>
        <w:rPr>
          <w:rFonts w:ascii="Garamond" w:hAnsi="Garamond"/>
          <w:b/>
          <w:i/>
        </w:rPr>
        <w:t>Hypothesis</w:t>
      </w:r>
    </w:p>
    <w:p w14:paraId="0F00F072" w14:textId="71047EF2" w:rsidR="00784C83" w:rsidRPr="00905F01" w:rsidRDefault="00784C83" w:rsidP="00784C83">
      <w:pPr>
        <w:jc w:val="both"/>
        <w:rPr>
          <w:rFonts w:ascii="Garamond" w:hAnsi="Garamond"/>
        </w:rPr>
      </w:pPr>
      <w:r w:rsidRPr="00905F01">
        <w:rPr>
          <w:rFonts w:ascii="Garamond" w:hAnsi="Garamond"/>
        </w:rPr>
        <w:t xml:space="preserve">New Incentives’ program </w:t>
      </w:r>
      <w:r w:rsidR="00FF7CBA">
        <w:rPr>
          <w:rFonts w:ascii="Garamond" w:hAnsi="Garamond"/>
        </w:rPr>
        <w:t>has meaningfully</w:t>
      </w:r>
      <w:r w:rsidRPr="00905F01">
        <w:rPr>
          <w:rFonts w:ascii="Garamond" w:hAnsi="Garamond"/>
        </w:rPr>
        <w:t xml:space="preserve"> increase</w:t>
      </w:r>
      <w:r w:rsidR="00FF7CBA">
        <w:rPr>
          <w:rFonts w:ascii="Garamond" w:hAnsi="Garamond"/>
        </w:rPr>
        <w:t>d</w:t>
      </w:r>
      <w:r w:rsidRPr="00905F01">
        <w:rPr>
          <w:rFonts w:ascii="Garamond" w:hAnsi="Garamond"/>
        </w:rPr>
        <w:t xml:space="preserve"> the percentage of </w:t>
      </w:r>
      <w:r>
        <w:rPr>
          <w:rFonts w:ascii="Garamond" w:hAnsi="Garamond"/>
        </w:rPr>
        <w:t xml:space="preserve">children immunized with BCG, any PENTA, or Measles 1 across all </w:t>
      </w:r>
      <w:r w:rsidRPr="00905F01">
        <w:rPr>
          <w:rFonts w:ascii="Garamond" w:hAnsi="Garamond"/>
        </w:rPr>
        <w:t xml:space="preserve">program </w:t>
      </w:r>
      <w:proofErr w:type="gramStart"/>
      <w:r w:rsidRPr="00905F01">
        <w:rPr>
          <w:rFonts w:ascii="Garamond" w:hAnsi="Garamond"/>
        </w:rPr>
        <w:t>clinics</w:t>
      </w:r>
      <w:r w:rsidR="00FF7CBA">
        <w:rPr>
          <w:rFonts w:ascii="Garamond" w:hAnsi="Garamond"/>
        </w:rPr>
        <w:t>.</w:t>
      </w:r>
      <w:r w:rsidRPr="00905F01">
        <w:rPr>
          <w:rFonts w:ascii="Garamond" w:hAnsi="Garamond"/>
        </w:rPr>
        <w:t>.</w:t>
      </w:r>
      <w:proofErr w:type="gramEnd"/>
    </w:p>
    <w:p w14:paraId="3214F957" w14:textId="77777777" w:rsidR="00784C83" w:rsidRPr="0027776E" w:rsidRDefault="00784C83" w:rsidP="00784C83">
      <w:pPr>
        <w:rPr>
          <w:rFonts w:ascii="Garamond" w:hAnsi="Garamond"/>
        </w:rPr>
      </w:pPr>
    </w:p>
    <w:p w14:paraId="69AE53B9" w14:textId="77777777" w:rsidR="00784C83" w:rsidRPr="002318C1" w:rsidRDefault="00784C83" w:rsidP="00784C83">
      <w:pPr>
        <w:keepNext/>
        <w:spacing w:line="259" w:lineRule="auto"/>
        <w:jc w:val="both"/>
        <w:rPr>
          <w:rFonts w:ascii="Garamond" w:hAnsi="Garamond"/>
        </w:rPr>
      </w:pPr>
      <w:r>
        <w:rPr>
          <w:rFonts w:ascii="Garamond" w:hAnsi="Garamond"/>
          <w:b/>
          <w:i/>
        </w:rPr>
        <w:t>Construction of Outcome Indicator</w:t>
      </w:r>
    </w:p>
    <w:p w14:paraId="5FCEC73B" w14:textId="77777777" w:rsidR="00784C83" w:rsidRPr="00905F01" w:rsidRDefault="00784C83" w:rsidP="00784C83">
      <w:pPr>
        <w:jc w:val="both"/>
        <w:rPr>
          <w:rFonts w:ascii="Garamond" w:hAnsi="Garamond"/>
        </w:rPr>
      </w:pPr>
      <w:r w:rsidRPr="00905F01">
        <w:rPr>
          <w:rFonts w:ascii="Garamond" w:hAnsi="Garamond"/>
        </w:rPr>
        <w:t xml:space="preserve">The </w:t>
      </w:r>
      <w:r>
        <w:rPr>
          <w:rFonts w:ascii="Garamond" w:hAnsi="Garamond"/>
        </w:rPr>
        <w:t>data source</w:t>
      </w:r>
      <w:r w:rsidRPr="00905F01">
        <w:rPr>
          <w:rFonts w:ascii="Garamond" w:hAnsi="Garamond"/>
        </w:rPr>
        <w:t xml:space="preserve"> we will use </w:t>
      </w:r>
      <w:r>
        <w:rPr>
          <w:rFonts w:ascii="Garamond" w:hAnsi="Garamond"/>
        </w:rPr>
        <w:t>for each of the three primary vaccines</w:t>
      </w:r>
      <w:r w:rsidRPr="00905F01">
        <w:rPr>
          <w:rFonts w:ascii="Garamond" w:hAnsi="Garamond"/>
        </w:rPr>
        <w:t xml:space="preserve"> is self-reported immunization. This means the caregiver must report the child has received </w:t>
      </w:r>
      <w:r>
        <w:rPr>
          <w:rFonts w:ascii="Garamond" w:hAnsi="Garamond"/>
        </w:rPr>
        <w:t xml:space="preserve">a) </w:t>
      </w:r>
      <w:r w:rsidRPr="00905F01">
        <w:rPr>
          <w:rFonts w:ascii="Garamond" w:hAnsi="Garamond"/>
        </w:rPr>
        <w:t>BCG</w:t>
      </w:r>
      <w:r>
        <w:rPr>
          <w:rFonts w:ascii="Garamond" w:hAnsi="Garamond"/>
        </w:rPr>
        <w:t xml:space="preserve">, b) </w:t>
      </w:r>
      <w:r w:rsidRPr="00905F01">
        <w:rPr>
          <w:rFonts w:ascii="Garamond" w:hAnsi="Garamond"/>
        </w:rPr>
        <w:t>at least one do</w:t>
      </w:r>
      <w:r>
        <w:rPr>
          <w:rFonts w:ascii="Garamond" w:hAnsi="Garamond"/>
        </w:rPr>
        <w:t>se</w:t>
      </w:r>
      <w:r w:rsidRPr="00905F01">
        <w:rPr>
          <w:rFonts w:ascii="Garamond" w:hAnsi="Garamond"/>
        </w:rPr>
        <w:t xml:space="preserve"> of PENTA</w:t>
      </w:r>
      <w:r>
        <w:rPr>
          <w:rFonts w:ascii="Garamond" w:hAnsi="Garamond"/>
        </w:rPr>
        <w:t xml:space="preserve">, or c) </w:t>
      </w:r>
      <w:r w:rsidRPr="00905F01">
        <w:rPr>
          <w:rFonts w:ascii="Garamond" w:hAnsi="Garamond"/>
        </w:rPr>
        <w:t xml:space="preserve">at least one </w:t>
      </w:r>
      <w:r>
        <w:rPr>
          <w:rFonts w:ascii="Garamond" w:hAnsi="Garamond"/>
        </w:rPr>
        <w:t>dose</w:t>
      </w:r>
      <w:r w:rsidRPr="00905F01">
        <w:rPr>
          <w:rFonts w:ascii="Garamond" w:hAnsi="Garamond"/>
        </w:rPr>
        <w:t xml:space="preserve"> of </w:t>
      </w:r>
      <w:r>
        <w:rPr>
          <w:rFonts w:ascii="Garamond" w:hAnsi="Garamond"/>
        </w:rPr>
        <w:t>measles</w:t>
      </w:r>
      <w:r w:rsidRPr="00905F01">
        <w:rPr>
          <w:rFonts w:ascii="Garamond" w:hAnsi="Garamond"/>
        </w:rPr>
        <w:t xml:space="preserve">. </w:t>
      </w:r>
    </w:p>
    <w:p w14:paraId="1ABE1946" w14:textId="77777777" w:rsidR="00784C83" w:rsidRPr="00C526FC" w:rsidRDefault="00784C83" w:rsidP="00784C83">
      <w:pPr>
        <w:pStyle w:val="ListParagraph"/>
        <w:ind w:left="1440"/>
        <w:jc w:val="both"/>
        <w:rPr>
          <w:rFonts w:ascii="Garamond" w:hAnsi="Garamond"/>
        </w:rPr>
      </w:pPr>
    </w:p>
    <w:p w14:paraId="09DC490E" w14:textId="77777777" w:rsidR="00784C83" w:rsidRDefault="00784C83" w:rsidP="00784C83">
      <w:pPr>
        <w:jc w:val="both"/>
        <w:rPr>
          <w:rFonts w:ascii="Garamond" w:hAnsi="Garamond"/>
        </w:rPr>
      </w:pPr>
      <w:r w:rsidRPr="00905F01">
        <w:rPr>
          <w:rFonts w:ascii="Garamond" w:hAnsi="Garamond"/>
        </w:rPr>
        <w:t xml:space="preserve">The source of the data is a survey </w:t>
      </w:r>
      <w:r w:rsidRPr="00366508">
        <w:rPr>
          <w:rFonts w:ascii="Garamond" w:hAnsi="Garamond"/>
        </w:rPr>
        <w:t xml:space="preserve">questionnaire that asks caregivers to self-report if their infant has received injectable vaccinations. It identifies vaccinations primarily by location on the body, </w:t>
      </w:r>
      <w:r>
        <w:rPr>
          <w:rFonts w:ascii="Garamond" w:hAnsi="Garamond"/>
        </w:rPr>
        <w:t>but also includes</w:t>
      </w:r>
      <w:r w:rsidRPr="00366508">
        <w:rPr>
          <w:rFonts w:ascii="Garamond" w:hAnsi="Garamond"/>
        </w:rPr>
        <w:t xml:space="preserve"> </w:t>
      </w:r>
      <w:r w:rsidRPr="00905F01">
        <w:rPr>
          <w:rFonts w:ascii="Garamond" w:hAnsi="Garamond"/>
        </w:rPr>
        <w:t>information on the name of the vaccine and disease it prevents</w:t>
      </w:r>
      <w:r>
        <w:rPr>
          <w:rFonts w:ascii="Garamond" w:hAnsi="Garamond"/>
        </w:rPr>
        <w:t>.</w:t>
      </w:r>
      <w:r w:rsidRPr="00905F01">
        <w:rPr>
          <w:rFonts w:ascii="Garamond" w:hAnsi="Garamond"/>
        </w:rPr>
        <w:t xml:space="preserve"> </w:t>
      </w:r>
      <w:r w:rsidRPr="003B5441">
        <w:rPr>
          <w:rFonts w:ascii="Garamond" w:hAnsi="Garamond"/>
        </w:rPr>
        <w:t xml:space="preserve">There is also a </w:t>
      </w:r>
      <w:r w:rsidRPr="002C53B3">
        <w:rPr>
          <w:rFonts w:ascii="Garamond" w:hAnsi="Garamond"/>
          <w:i/>
        </w:rPr>
        <w:t>don’t know</w:t>
      </w:r>
      <w:r w:rsidRPr="003B5441">
        <w:rPr>
          <w:rFonts w:ascii="Garamond" w:hAnsi="Garamond"/>
        </w:rPr>
        <w:t xml:space="preserve"> option which we will </w:t>
      </w:r>
      <w:r w:rsidRPr="003B5441">
        <w:rPr>
          <w:rFonts w:ascii="Garamond" w:hAnsi="Garamond"/>
        </w:rPr>
        <w:lastRenderedPageBreak/>
        <w:t xml:space="preserve">code as having not received a vaccine. </w:t>
      </w:r>
      <w:r w:rsidRPr="00905F01">
        <w:rPr>
          <w:rFonts w:ascii="Garamond" w:hAnsi="Garamond"/>
        </w:rPr>
        <w:t xml:space="preserve">In </w:t>
      </w:r>
      <w:r>
        <w:rPr>
          <w:rFonts w:ascii="Garamond" w:hAnsi="Garamond"/>
        </w:rPr>
        <w:t>the</w:t>
      </w:r>
      <w:r w:rsidRPr="00905F01">
        <w:rPr>
          <w:rFonts w:ascii="Garamond" w:hAnsi="Garamond"/>
        </w:rPr>
        <w:t xml:space="preserve"> baseline, </w:t>
      </w:r>
      <w:r>
        <w:rPr>
          <w:rFonts w:ascii="Garamond" w:hAnsi="Garamond"/>
        </w:rPr>
        <w:t>these</w:t>
      </w:r>
      <w:r w:rsidRPr="00905F01">
        <w:rPr>
          <w:rFonts w:ascii="Garamond" w:hAnsi="Garamond"/>
        </w:rPr>
        <w:t xml:space="preserve"> data sources proved to be reasonably reliable for the vaccines New Incentives incentivizes, </w:t>
      </w:r>
      <w:proofErr w:type="gramStart"/>
      <w:r w:rsidRPr="00905F01">
        <w:rPr>
          <w:rFonts w:ascii="Garamond" w:hAnsi="Garamond"/>
        </w:rPr>
        <w:t>with the exception of</w:t>
      </w:r>
      <w:proofErr w:type="gramEnd"/>
      <w:r w:rsidRPr="00905F01">
        <w:rPr>
          <w:rFonts w:ascii="Garamond" w:hAnsi="Garamond"/>
        </w:rPr>
        <w:t xml:space="preserve"> differentiating doses of PENTA and reporting PCV</w:t>
      </w:r>
      <w:r>
        <w:rPr>
          <w:rFonts w:ascii="Garamond" w:hAnsi="Garamond"/>
        </w:rPr>
        <w:t>.</w:t>
      </w:r>
      <w:r>
        <w:rPr>
          <w:rStyle w:val="FootnoteReference"/>
          <w:rFonts w:ascii="Garamond" w:hAnsi="Garamond"/>
        </w:rPr>
        <w:footnoteReference w:id="48"/>
      </w:r>
      <w:r w:rsidRPr="00905F01">
        <w:rPr>
          <w:rFonts w:ascii="Garamond" w:hAnsi="Garamond"/>
        </w:rPr>
        <w:t xml:space="preserve"> Consequently, PCV and the exact number of doses of PENTA received are not included as primary outcomes. There is a high degree of inaccuracy in caregivers’ </w:t>
      </w:r>
      <w:r>
        <w:rPr>
          <w:rFonts w:ascii="Garamond" w:hAnsi="Garamond"/>
        </w:rPr>
        <w:t>recall of the number of doses their infant received.</w:t>
      </w:r>
      <w:r>
        <w:rPr>
          <w:rStyle w:val="FootnoteReference"/>
          <w:rFonts w:ascii="Garamond" w:hAnsi="Garamond"/>
        </w:rPr>
        <w:footnoteReference w:id="49"/>
      </w:r>
      <w:r w:rsidRPr="00905F01">
        <w:rPr>
          <w:rFonts w:ascii="Garamond" w:hAnsi="Garamond"/>
        </w:rPr>
        <w:t xml:space="preserve"> PCV is difficult to measure based on self-report since it is given in the same location as IPV.</w:t>
      </w:r>
      <w:r>
        <w:rPr>
          <w:rStyle w:val="FootnoteReference"/>
          <w:rFonts w:ascii="Garamond" w:hAnsi="Garamond"/>
        </w:rPr>
        <w:footnoteReference w:id="50"/>
      </w:r>
    </w:p>
    <w:p w14:paraId="62EB6185" w14:textId="77777777" w:rsidR="00784C83" w:rsidRPr="00C526FC" w:rsidRDefault="00784C83" w:rsidP="00784C83">
      <w:pPr>
        <w:jc w:val="both"/>
        <w:rPr>
          <w:rFonts w:ascii="Garamond" w:hAnsi="Garamond"/>
        </w:rPr>
      </w:pPr>
      <w:r w:rsidRPr="00905F01">
        <w:rPr>
          <w:rFonts w:ascii="Garamond" w:hAnsi="Garamond"/>
        </w:rPr>
        <w:t xml:space="preserve"> </w:t>
      </w:r>
    </w:p>
    <w:p w14:paraId="7B09176F" w14:textId="77777777" w:rsidR="00784C83" w:rsidRPr="00905F01" w:rsidRDefault="00784C83" w:rsidP="00784C83">
      <w:pPr>
        <w:jc w:val="both"/>
        <w:rPr>
          <w:rFonts w:ascii="Garamond" w:hAnsi="Garamond"/>
        </w:rPr>
      </w:pPr>
      <w:r w:rsidRPr="00905F01">
        <w:rPr>
          <w:rFonts w:ascii="Garamond" w:hAnsi="Garamond"/>
        </w:rPr>
        <w:t>Details on the accuracy of self-repo</w:t>
      </w:r>
      <w:r>
        <w:rPr>
          <w:rFonts w:ascii="Garamond" w:hAnsi="Garamond"/>
        </w:rPr>
        <w:t>rted immunization are in Annex 3</w:t>
      </w:r>
      <w:r w:rsidRPr="00905F01">
        <w:rPr>
          <w:rFonts w:ascii="Garamond" w:hAnsi="Garamond"/>
        </w:rPr>
        <w:t xml:space="preserve">. We do not expect </w:t>
      </w:r>
      <w:r>
        <w:rPr>
          <w:rFonts w:ascii="Garamond" w:hAnsi="Garamond"/>
        </w:rPr>
        <w:t>meaningful</w:t>
      </w:r>
      <w:r w:rsidRPr="00905F01">
        <w:rPr>
          <w:rFonts w:ascii="Garamond" w:hAnsi="Garamond"/>
        </w:rPr>
        <w:t xml:space="preserve"> differences in the accuracy of self-reported data between treatment and control groups. This is not true, however, for the accuracy of immunization reported by child health cards and in child immunization registers. As New Incentives’ program </w:t>
      </w:r>
      <w:r>
        <w:rPr>
          <w:rFonts w:ascii="Garamond" w:hAnsi="Garamond"/>
        </w:rPr>
        <w:t>checks</w:t>
      </w:r>
      <w:r w:rsidRPr="00905F01">
        <w:rPr>
          <w:rFonts w:ascii="Garamond" w:hAnsi="Garamond"/>
        </w:rPr>
        <w:t xml:space="preserve"> child health cards and child immunization registers</w:t>
      </w:r>
      <w:r>
        <w:rPr>
          <w:rFonts w:ascii="Garamond" w:hAnsi="Garamond"/>
        </w:rPr>
        <w:t xml:space="preserve"> and encourages officials to supply them</w:t>
      </w:r>
      <w:r w:rsidRPr="00905F01">
        <w:rPr>
          <w:rFonts w:ascii="Garamond" w:hAnsi="Garamond"/>
        </w:rPr>
        <w:t xml:space="preserve">, we expect the program will </w:t>
      </w:r>
      <w:r>
        <w:rPr>
          <w:rFonts w:ascii="Garamond" w:hAnsi="Garamond"/>
        </w:rPr>
        <w:t>improve the degree to which clinic staff record</w:t>
      </w:r>
      <w:r w:rsidRPr="00905F01">
        <w:rPr>
          <w:rFonts w:ascii="Garamond" w:hAnsi="Garamond"/>
        </w:rPr>
        <w:t xml:space="preserve"> vaccinations on the </w:t>
      </w:r>
      <w:r>
        <w:rPr>
          <w:rFonts w:ascii="Garamond" w:hAnsi="Garamond"/>
        </w:rPr>
        <w:t xml:space="preserve">cards and on the </w:t>
      </w:r>
      <w:r w:rsidRPr="00905F01">
        <w:rPr>
          <w:rFonts w:ascii="Garamond" w:hAnsi="Garamond"/>
        </w:rPr>
        <w:t>register</w:t>
      </w:r>
      <w:r>
        <w:rPr>
          <w:rFonts w:ascii="Garamond" w:hAnsi="Garamond"/>
        </w:rPr>
        <w:t>, as well as the degree to which caregivers retain child health cards</w:t>
      </w:r>
      <w:r w:rsidRPr="00905F01">
        <w:rPr>
          <w:rFonts w:ascii="Garamond" w:hAnsi="Garamond"/>
        </w:rPr>
        <w:t>.</w:t>
      </w:r>
    </w:p>
    <w:p w14:paraId="26D501A6" w14:textId="77777777" w:rsidR="00784C83" w:rsidRDefault="00784C83" w:rsidP="00784C83">
      <w:pPr>
        <w:jc w:val="both"/>
        <w:rPr>
          <w:rFonts w:ascii="Garamond" w:hAnsi="Garamond"/>
        </w:rPr>
      </w:pPr>
      <w:r w:rsidRPr="00C526FC">
        <w:rPr>
          <w:rFonts w:ascii="Garamond" w:hAnsi="Garamond"/>
        </w:rPr>
        <w:tab/>
      </w:r>
    </w:p>
    <w:p w14:paraId="54AD0EC0" w14:textId="77777777" w:rsidR="00784C83" w:rsidRPr="00905F01" w:rsidRDefault="00784C83" w:rsidP="00784C83">
      <w:pPr>
        <w:pStyle w:val="Heading4"/>
        <w:spacing w:line="259" w:lineRule="auto"/>
        <w:jc w:val="both"/>
        <w:rPr>
          <w:b/>
          <w:color w:val="auto"/>
        </w:rPr>
      </w:pPr>
      <w:r w:rsidRPr="00905F01">
        <w:rPr>
          <w:rFonts w:ascii="Garamond" w:hAnsi="Garamond"/>
          <w:b/>
          <w:color w:val="auto"/>
        </w:rPr>
        <w:t>S</w:t>
      </w:r>
      <w:r w:rsidRPr="00905F01">
        <w:rPr>
          <w:rFonts w:ascii="Garamond" w:eastAsiaTheme="minorHAnsi" w:hAnsi="Garamond" w:cstheme="minorBidi"/>
          <w:b/>
          <w:iCs w:val="0"/>
          <w:color w:val="auto"/>
        </w:rPr>
        <w:t>pecification</w:t>
      </w:r>
    </w:p>
    <w:p w14:paraId="0E1BC69A" w14:textId="77777777" w:rsidR="00784C83" w:rsidRPr="00905F01" w:rsidRDefault="00784C83" w:rsidP="00784C83">
      <w:pPr>
        <w:jc w:val="both"/>
        <w:rPr>
          <w:rFonts w:ascii="Garamond" w:hAnsi="Garamond"/>
        </w:rPr>
      </w:pPr>
      <w:r w:rsidRPr="00905F01">
        <w:rPr>
          <w:rFonts w:ascii="Garamond" w:hAnsi="Garamond"/>
        </w:rPr>
        <w:t>We will estimate the following regression specification:</w:t>
      </w:r>
    </w:p>
    <w:p w14:paraId="5A9EB62B" w14:textId="77777777" w:rsidR="00784C83" w:rsidRPr="00921A7E" w:rsidRDefault="00784C83" w:rsidP="00784C83">
      <w:pPr>
        <w:pStyle w:val="ListParagraph"/>
        <w:ind w:left="0"/>
        <w:jc w:val="both"/>
      </w:pPr>
    </w:p>
    <w:p w14:paraId="15BF809E" w14:textId="3771829E" w:rsidR="00784C83" w:rsidRPr="00905F01" w:rsidRDefault="00D61143" w:rsidP="00784C83">
      <w:pPr>
        <w:jc w:val="both"/>
        <w:rPr>
          <w:rFonts w:ascii="Garamond" w:eastAsiaTheme="minorEastAsia" w:hAnsi="Garamond"/>
        </w:rPr>
      </w:pPr>
      <m:oMathPara>
        <m:oMath>
          <m:sSub>
            <m:sSubPr>
              <m:ctrlPr>
                <w:rPr>
                  <w:rFonts w:ascii="Cambria Math" w:hAnsi="Cambria Math"/>
                  <w:b/>
                  <w:i/>
                </w:rPr>
              </m:ctrlPr>
            </m:sSubPr>
            <m:e>
              <m:r>
                <m:rPr>
                  <m:sty m:val="bi"/>
                </m:rPr>
                <w:rPr>
                  <w:rFonts w:ascii="Cambria Math" w:hAnsi="Cambria Math"/>
                </w:rPr>
                <m:t>Y</m:t>
              </m:r>
            </m:e>
            <m:sub>
              <m:r>
                <m:rPr>
                  <m:sty m:val="bi"/>
                </m:rP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 β</m:t>
              </m:r>
            </m:e>
            <m:sub>
              <m:r>
                <w:rPr>
                  <w:rFonts w:ascii="Cambria Math" w:hAnsi="Cambria Math"/>
                </w:rPr>
                <m:t>0</m:t>
              </m:r>
            </m:sub>
          </m:sSub>
          <m:r>
            <w:rPr>
              <w:rFonts w:ascii="Cambria Math" w:hAnsi="Cambria Math"/>
            </w:rPr>
            <m:t xml:space="preserve">+ </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hAnsi="Cambria Math"/>
            </w:rPr>
            <m:t xml:space="preserve">+ </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j</m:t>
              </m:r>
            </m:sub>
          </m:sSub>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β</m:t>
              </m:r>
            </m:e>
            <m:sup>
              <m:r>
                <w:rPr>
                  <w:rFonts w:ascii="Cambria Math" w:eastAsiaTheme="minorEastAsia" w:hAnsi="Cambria Math"/>
                </w:rPr>
                <m:t>'</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ij</m:t>
              </m:r>
            </m:sub>
          </m:sSub>
          <m:r>
            <w:rPr>
              <w:rFonts w:ascii="Cambria Math" w:hAnsi="Cambria Math"/>
            </w:rPr>
            <m:t xml:space="preserve">+ </m:t>
          </m:r>
          <m:sSup>
            <m:sSupPr>
              <m:ctrlPr>
                <w:rPr>
                  <w:rFonts w:ascii="Cambria Math" w:eastAsiaTheme="minorEastAsia" w:hAnsi="Cambria Math"/>
                  <w:i/>
                </w:rPr>
              </m:ctrlPr>
            </m:sSupPr>
            <m:e>
              <m:r>
                <w:rPr>
                  <w:rFonts w:ascii="Cambria Math" w:eastAsiaTheme="minorEastAsia" w:hAnsi="Cambria Math"/>
                </w:rPr>
                <m:t>β</m:t>
              </m:r>
            </m:e>
            <m:sup>
              <m:r>
                <w:rPr>
                  <w:rFonts w:ascii="Cambria Math" w:eastAsiaTheme="minorEastAsia" w:hAnsi="Cambria Math"/>
                </w:rPr>
                <m:t>'</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j</m:t>
              </m:r>
            </m:sub>
          </m:sSub>
          <m:sSub>
            <m:sSubPr>
              <m:ctrlPr>
                <w:rPr>
                  <w:rFonts w:ascii="Cambria Math" w:eastAsiaTheme="minorEastAsia" w:hAnsi="Cambria Math"/>
                  <w:i/>
                </w:rPr>
              </m:ctrlPr>
            </m:sSubPr>
            <m:e>
              <m:r>
                <w:rPr>
                  <w:rFonts w:ascii="Cambria Math" w:eastAsiaTheme="minorEastAsia" w:hAnsi="Cambria Math"/>
                </w:rPr>
                <m:t>+ ε</m:t>
              </m:r>
            </m:e>
            <m:sub>
              <m:r>
                <w:rPr>
                  <w:rFonts w:ascii="Cambria Math" w:eastAsiaTheme="minorEastAsia" w:hAnsi="Cambria Math"/>
                </w:rPr>
                <m:t>ij</m:t>
              </m:r>
            </m:sub>
          </m:sSub>
        </m:oMath>
      </m:oMathPara>
    </w:p>
    <w:p w14:paraId="6EB5DD93" w14:textId="1423358A" w:rsidR="00784C83" w:rsidRDefault="00784C83" w:rsidP="00784C83">
      <w:pPr>
        <w:jc w:val="both"/>
        <w:rPr>
          <w:rFonts w:eastAsiaTheme="minorEastAsia"/>
        </w:rPr>
      </w:pPr>
    </w:p>
    <w:p w14:paraId="43089100" w14:textId="77777777" w:rsidR="00224C77" w:rsidRPr="00905F01" w:rsidRDefault="00D61143" w:rsidP="00224C77">
      <w:pPr>
        <w:pStyle w:val="ListParagraph"/>
        <w:numPr>
          <w:ilvl w:val="0"/>
          <w:numId w:val="3"/>
        </w:numPr>
        <w:jc w:val="both"/>
        <w:rPr>
          <w:rFonts w:ascii="Garamond" w:eastAsiaTheme="minorEastAsia" w:hAnsi="Garamond"/>
        </w:rPr>
      </w:pPr>
      <m:oMath>
        <m:sSub>
          <m:sSubPr>
            <m:ctrlPr>
              <w:rPr>
                <w:rFonts w:ascii="Cambria Math" w:hAnsi="Cambria Math"/>
                <w:i/>
              </w:rPr>
            </m:ctrlPr>
          </m:sSubPr>
          <m:e>
            <m:r>
              <w:rPr>
                <w:rFonts w:ascii="Cambria Math" w:hAnsi="Cambria Math"/>
              </w:rPr>
              <m:t>Y</m:t>
            </m:r>
          </m:e>
          <m:sub>
            <m:r>
              <w:rPr>
                <w:rFonts w:ascii="Cambria Math" w:hAnsi="Cambria Math"/>
              </w:rPr>
              <m:t>ij</m:t>
            </m:r>
          </m:sub>
        </m:sSub>
      </m:oMath>
      <w:r w:rsidR="00224C77" w:rsidRPr="00905F01">
        <w:rPr>
          <w:rFonts w:eastAsiaTheme="minorEastAsia"/>
          <w:b/>
        </w:rPr>
        <w:t xml:space="preserve"> </w:t>
      </w:r>
      <w:r w:rsidR="00224C77" w:rsidRPr="00905F01">
        <w:rPr>
          <w:rFonts w:ascii="Garamond" w:eastAsiaTheme="minorEastAsia" w:hAnsi="Garamond"/>
        </w:rPr>
        <w:t xml:space="preserve">is the </w:t>
      </w:r>
      <w:proofErr w:type="spellStart"/>
      <w:r w:rsidR="00224C77" w:rsidRPr="00905F01">
        <w:rPr>
          <w:rFonts w:ascii="Garamond" w:eastAsiaTheme="minorEastAsia" w:hAnsi="Garamond"/>
        </w:rPr>
        <w:t>endline</w:t>
      </w:r>
      <w:proofErr w:type="spellEnd"/>
      <w:r w:rsidR="00224C77" w:rsidRPr="00905F01">
        <w:rPr>
          <w:rFonts w:ascii="Garamond" w:eastAsiaTheme="minorEastAsia" w:hAnsi="Garamond"/>
        </w:rPr>
        <w:t xml:space="preserve"> vaccination status</w:t>
      </w:r>
      <w:r w:rsidR="00224C77">
        <w:rPr>
          <w:rFonts w:ascii="Garamond" w:eastAsiaTheme="minorEastAsia" w:hAnsi="Garamond"/>
        </w:rPr>
        <w:t xml:space="preserve"> </w:t>
      </w:r>
      <w:r w:rsidR="00224C77" w:rsidRPr="00905F01">
        <w:rPr>
          <w:rFonts w:ascii="Garamond" w:eastAsiaTheme="minorEastAsia" w:hAnsi="Garamond"/>
        </w:rPr>
        <w:t xml:space="preserve">of eligible infant </w:t>
      </w:r>
      <w:proofErr w:type="spellStart"/>
      <w:r w:rsidR="00224C77" w:rsidRPr="002318C1">
        <w:rPr>
          <w:rFonts w:ascii="Garamond" w:eastAsiaTheme="minorEastAsia" w:hAnsi="Garamond"/>
          <w:i/>
        </w:rPr>
        <w:t>i</w:t>
      </w:r>
      <w:proofErr w:type="spellEnd"/>
      <w:r w:rsidR="00224C77" w:rsidRPr="002318C1">
        <w:rPr>
          <w:rFonts w:ascii="Garamond" w:eastAsiaTheme="minorEastAsia" w:hAnsi="Garamond"/>
          <w:i/>
        </w:rPr>
        <w:t xml:space="preserve"> </w:t>
      </w:r>
      <w:r w:rsidR="00224C77" w:rsidRPr="00905F01">
        <w:rPr>
          <w:rFonts w:ascii="Garamond" w:eastAsiaTheme="minorEastAsia" w:hAnsi="Garamond"/>
        </w:rPr>
        <w:t>in clinic cluster</w:t>
      </w:r>
      <w:r w:rsidR="00224C77">
        <w:rPr>
          <w:rFonts w:ascii="Garamond" w:eastAsiaTheme="minorEastAsia" w:hAnsi="Garamond"/>
        </w:rPr>
        <w:t xml:space="preserve"> </w:t>
      </w:r>
      <w:r w:rsidR="00224C77" w:rsidRPr="002318C1">
        <w:rPr>
          <w:rFonts w:ascii="Garamond" w:eastAsiaTheme="minorEastAsia" w:hAnsi="Garamond"/>
          <w:i/>
        </w:rPr>
        <w:t xml:space="preserve">j </w:t>
      </w:r>
      <w:r w:rsidR="00224C77">
        <w:rPr>
          <w:rFonts w:ascii="Garamond" w:eastAsiaTheme="minorEastAsia" w:hAnsi="Garamond"/>
        </w:rPr>
        <w:t xml:space="preserve">based on caregivers' report. This is a binary for whether a child has received the vaccine associated with each primary outcome.  </w:t>
      </w:r>
    </w:p>
    <w:p w14:paraId="3AAF814C" w14:textId="77777777" w:rsidR="00224C77" w:rsidRPr="002318C1" w:rsidRDefault="00D61143" w:rsidP="00224C77">
      <w:pPr>
        <w:pStyle w:val="ListParagraph"/>
        <w:numPr>
          <w:ilvl w:val="0"/>
          <w:numId w:val="3"/>
        </w:numPr>
        <w:jc w:val="both"/>
        <w:rPr>
          <w:rFonts w:ascii="Garamond" w:eastAsiaTheme="minorEastAsia" w:hAnsi="Garamond"/>
          <w:i/>
        </w:rPr>
      </w:p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oMath>
      <w:r w:rsidR="00224C77" w:rsidRPr="00905F01">
        <w:rPr>
          <w:rFonts w:ascii="Garamond" w:eastAsiaTheme="minorEastAsia" w:hAnsi="Garamond"/>
        </w:rPr>
        <w:t xml:space="preserve"> is the treatment status of clinic cluster j which includes infant </w:t>
      </w:r>
      <w:proofErr w:type="spellStart"/>
      <w:r w:rsidR="00224C77" w:rsidRPr="002318C1">
        <w:rPr>
          <w:rFonts w:ascii="Garamond" w:eastAsiaTheme="minorEastAsia" w:hAnsi="Garamond"/>
          <w:i/>
        </w:rPr>
        <w:t>i</w:t>
      </w:r>
      <w:proofErr w:type="spellEnd"/>
      <w:r w:rsidR="00224C77">
        <w:rPr>
          <w:rFonts w:ascii="Garamond" w:eastAsiaTheme="minorEastAsia" w:hAnsi="Garamond"/>
          <w:i/>
        </w:rPr>
        <w:t>.</w:t>
      </w:r>
    </w:p>
    <w:p w14:paraId="7A000158" w14:textId="77777777" w:rsidR="00224C77" w:rsidRPr="00905F01" w:rsidRDefault="00D61143" w:rsidP="00224C77">
      <w:pPr>
        <w:pStyle w:val="ListParagraph"/>
        <w:numPr>
          <w:ilvl w:val="0"/>
          <w:numId w:val="3"/>
        </w:numPr>
        <w:jc w:val="both"/>
        <w:rPr>
          <w:rFonts w:ascii="Garamond" w:eastAsiaTheme="minorEastAsia" w:hAnsi="Garamond"/>
        </w:rPr>
      </w:pP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j</m:t>
            </m:r>
          </m:sub>
        </m:sSub>
      </m:oMath>
      <w:r w:rsidR="00224C77" w:rsidRPr="00905F01">
        <w:rPr>
          <w:rFonts w:ascii="Garamond" w:eastAsiaTheme="minorEastAsia" w:hAnsi="Garamond"/>
        </w:rPr>
        <w:t xml:space="preserve"> is the baseline coverage rate </w:t>
      </w:r>
      <w:r w:rsidR="00224C77">
        <w:rPr>
          <w:rFonts w:ascii="Garamond" w:eastAsiaTheme="minorEastAsia" w:hAnsi="Garamond"/>
        </w:rPr>
        <w:t xml:space="preserve">defined as the self-reported coverage among 12 to 16-month </w:t>
      </w:r>
      <w:proofErr w:type="spellStart"/>
      <w:r w:rsidR="00224C77">
        <w:rPr>
          <w:rFonts w:ascii="Garamond" w:eastAsiaTheme="minorEastAsia" w:hAnsi="Garamond"/>
        </w:rPr>
        <w:t>olds</w:t>
      </w:r>
      <w:proofErr w:type="spellEnd"/>
      <w:r w:rsidR="00224C77">
        <w:rPr>
          <w:rFonts w:ascii="Garamond" w:eastAsiaTheme="minorEastAsia" w:hAnsi="Garamond"/>
        </w:rPr>
        <w:t xml:space="preserve"> </w:t>
      </w:r>
      <w:r w:rsidR="00224C77" w:rsidRPr="00905F01">
        <w:rPr>
          <w:rFonts w:ascii="Garamond" w:eastAsiaTheme="minorEastAsia" w:hAnsi="Garamond"/>
        </w:rPr>
        <w:t xml:space="preserve">for clinic cluster </w:t>
      </w:r>
      <w:r w:rsidR="00224C77" w:rsidRPr="002318C1">
        <w:rPr>
          <w:rFonts w:ascii="Garamond" w:eastAsiaTheme="minorEastAsia" w:hAnsi="Garamond"/>
          <w:i/>
        </w:rPr>
        <w:t>j</w:t>
      </w:r>
      <w:r w:rsidR="00224C77">
        <w:rPr>
          <w:rFonts w:ascii="Garamond" w:eastAsiaTheme="minorEastAsia" w:hAnsi="Garamond"/>
          <w:i/>
        </w:rPr>
        <w:t>.</w:t>
      </w:r>
      <w:r w:rsidR="00224C77" w:rsidRPr="00905F01">
        <w:rPr>
          <w:rStyle w:val="FootnoteReference"/>
          <w:rFonts w:ascii="Garamond" w:eastAsiaTheme="minorEastAsia" w:hAnsi="Garamond"/>
        </w:rPr>
        <w:footnoteReference w:id="51"/>
      </w:r>
      <w:r w:rsidR="00224C77" w:rsidRPr="00905F01">
        <w:rPr>
          <w:rFonts w:ascii="Garamond" w:eastAsiaTheme="minorEastAsia" w:hAnsi="Garamond"/>
        </w:rPr>
        <w:t xml:space="preserve"> </w:t>
      </w:r>
      <w:r w:rsidR="00224C77">
        <w:rPr>
          <w:rFonts w:ascii="Garamond" w:eastAsiaTheme="minorEastAsia" w:hAnsi="Garamond"/>
        </w:rPr>
        <w:t>For Jigawa, this variable will take the value of 0 with the variation taken by the state dummy.</w:t>
      </w:r>
      <w:r w:rsidR="00224C77">
        <w:rPr>
          <w:rStyle w:val="FootnoteReference"/>
          <w:rFonts w:ascii="Garamond" w:eastAsiaTheme="minorEastAsia" w:hAnsi="Garamond"/>
        </w:rPr>
        <w:footnoteReference w:id="52"/>
      </w:r>
      <w:r w:rsidR="00224C77">
        <w:rPr>
          <w:rFonts w:ascii="Garamond" w:eastAsiaTheme="minorEastAsia" w:hAnsi="Garamond"/>
        </w:rPr>
        <w:t xml:space="preserve"> </w:t>
      </w:r>
    </w:p>
    <w:p w14:paraId="6D408AC5" w14:textId="016A07AD" w:rsidR="00224C77" w:rsidRPr="00905F01" w:rsidRDefault="00D61143" w:rsidP="00224C77">
      <w:pPr>
        <w:pStyle w:val="ListParagraph"/>
        <w:numPr>
          <w:ilvl w:val="0"/>
          <w:numId w:val="3"/>
        </w:numPr>
        <w:jc w:val="both"/>
        <w:rPr>
          <w:rFonts w:ascii="Garamond" w:eastAsiaTheme="minorEastAsia" w:hAnsi="Garamond"/>
        </w:rPr>
      </w:pP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ij</m:t>
            </m:r>
          </m:sub>
        </m:sSub>
      </m:oMath>
      <w:r w:rsidR="00224C77" w:rsidRPr="00905F01">
        <w:rPr>
          <w:rFonts w:ascii="Garamond" w:eastAsiaTheme="minorEastAsia" w:hAnsi="Garamond"/>
        </w:rPr>
        <w:t xml:space="preserve"> is a vector of individual and clinic level covariates.</w:t>
      </w:r>
      <w:r w:rsidR="005E4EA8">
        <w:rPr>
          <w:rStyle w:val="FootnoteReference"/>
          <w:rFonts w:ascii="Garamond" w:eastAsiaTheme="minorEastAsia" w:hAnsi="Garamond"/>
        </w:rPr>
        <w:footnoteReference w:id="53"/>
      </w:r>
      <w:r w:rsidR="00224C77" w:rsidRPr="00905F01">
        <w:rPr>
          <w:rFonts w:ascii="Garamond" w:eastAsiaTheme="minorEastAsia" w:hAnsi="Garamond"/>
        </w:rPr>
        <w:t xml:space="preserve"> These </w:t>
      </w:r>
      <w:proofErr w:type="gramStart"/>
      <w:r w:rsidR="00224C77" w:rsidRPr="00905F01">
        <w:rPr>
          <w:rFonts w:ascii="Garamond" w:eastAsiaTheme="minorEastAsia" w:hAnsi="Garamond"/>
        </w:rPr>
        <w:t>include:</w:t>
      </w:r>
      <w:proofErr w:type="gramEnd"/>
      <w:r w:rsidR="00224C77" w:rsidRPr="00905F01">
        <w:rPr>
          <w:rFonts w:ascii="Garamond" w:eastAsiaTheme="minorEastAsia" w:hAnsi="Garamond"/>
        </w:rPr>
        <w:t xml:space="preserve"> </w:t>
      </w:r>
    </w:p>
    <w:p w14:paraId="6018A6DE" w14:textId="77777777" w:rsidR="00224C77"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t>Infant</w:t>
      </w:r>
      <w:r>
        <w:rPr>
          <w:rFonts w:ascii="Garamond" w:eastAsiaTheme="minorEastAsia" w:hAnsi="Garamond"/>
        </w:rPr>
        <w:t>’s</w:t>
      </w:r>
      <w:r w:rsidRPr="00905F01">
        <w:rPr>
          <w:rFonts w:ascii="Garamond" w:eastAsiaTheme="minorEastAsia" w:hAnsi="Garamond"/>
        </w:rPr>
        <w:t xml:space="preserve"> </w:t>
      </w:r>
      <w:r>
        <w:rPr>
          <w:rFonts w:ascii="Garamond" w:eastAsiaTheme="minorEastAsia" w:hAnsi="Garamond"/>
        </w:rPr>
        <w:t>g</w:t>
      </w:r>
      <w:r w:rsidRPr="00905F01">
        <w:rPr>
          <w:rFonts w:ascii="Garamond" w:eastAsiaTheme="minorEastAsia" w:hAnsi="Garamond"/>
        </w:rPr>
        <w:t>ender</w:t>
      </w:r>
    </w:p>
    <w:p w14:paraId="2CC683DE" w14:textId="77777777" w:rsidR="00224C77" w:rsidRPr="00905F01" w:rsidRDefault="00224C77" w:rsidP="00224C77">
      <w:pPr>
        <w:pStyle w:val="ListParagraph"/>
        <w:numPr>
          <w:ilvl w:val="1"/>
          <w:numId w:val="3"/>
        </w:numPr>
        <w:jc w:val="both"/>
        <w:rPr>
          <w:rFonts w:ascii="Garamond" w:eastAsiaTheme="minorEastAsia" w:hAnsi="Garamond"/>
        </w:rPr>
      </w:pPr>
      <w:r>
        <w:rPr>
          <w:rFonts w:ascii="Garamond" w:eastAsiaTheme="minorEastAsia" w:hAnsi="Garamond"/>
        </w:rPr>
        <w:t>Whether the caregiver attended Islamic school</w:t>
      </w:r>
    </w:p>
    <w:p w14:paraId="56BDA0BB" w14:textId="77777777" w:rsidR="00224C77" w:rsidRPr="00905F01"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t>Caregiver</w:t>
      </w:r>
      <w:r>
        <w:rPr>
          <w:rFonts w:ascii="Garamond" w:eastAsiaTheme="minorEastAsia" w:hAnsi="Garamond"/>
        </w:rPr>
        <w:t>’s</w:t>
      </w:r>
      <w:r w:rsidRPr="00905F01">
        <w:rPr>
          <w:rFonts w:ascii="Garamond" w:eastAsiaTheme="minorEastAsia" w:hAnsi="Garamond"/>
        </w:rPr>
        <w:t xml:space="preserve"> </w:t>
      </w:r>
      <w:r>
        <w:rPr>
          <w:rFonts w:ascii="Garamond" w:eastAsiaTheme="minorEastAsia" w:hAnsi="Garamond"/>
        </w:rPr>
        <w:t>formal e</w:t>
      </w:r>
      <w:r w:rsidRPr="00905F01">
        <w:rPr>
          <w:rFonts w:ascii="Garamond" w:eastAsiaTheme="minorEastAsia" w:hAnsi="Garamond"/>
        </w:rPr>
        <w:t>ducation</w:t>
      </w:r>
      <w:r>
        <w:rPr>
          <w:rFonts w:ascii="Garamond" w:eastAsiaTheme="minorEastAsia" w:hAnsi="Garamond"/>
        </w:rPr>
        <w:t xml:space="preserve"> (some primary, some secondary, some post-secondary)</w:t>
      </w:r>
    </w:p>
    <w:p w14:paraId="43CC11E8" w14:textId="77777777" w:rsidR="00224C77" w:rsidRPr="00905F01"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t>Caregiver</w:t>
      </w:r>
      <w:r>
        <w:rPr>
          <w:rFonts w:ascii="Garamond" w:eastAsiaTheme="minorEastAsia" w:hAnsi="Garamond"/>
        </w:rPr>
        <w:t>’s a</w:t>
      </w:r>
      <w:r w:rsidRPr="00905F01">
        <w:rPr>
          <w:rFonts w:ascii="Garamond" w:eastAsiaTheme="minorEastAsia" w:hAnsi="Garamond"/>
        </w:rPr>
        <w:t>ge</w:t>
      </w:r>
    </w:p>
    <w:p w14:paraId="06D7C14F" w14:textId="3A48D632" w:rsidR="00224C77"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t>Household Size</w:t>
      </w:r>
      <w:r>
        <w:rPr>
          <w:rFonts w:ascii="Garamond" w:eastAsiaTheme="minorEastAsia" w:hAnsi="Garamond"/>
        </w:rPr>
        <w:t xml:space="preserve"> (number of people who eat from the same pot</w:t>
      </w:r>
      <w:r w:rsidR="00BD3B4D">
        <w:rPr>
          <w:rFonts w:ascii="Garamond" w:eastAsiaTheme="minorEastAsia" w:hAnsi="Garamond"/>
        </w:rPr>
        <w:t xml:space="preserve"> or report the same household head</w:t>
      </w:r>
      <w:r>
        <w:rPr>
          <w:rFonts w:ascii="Garamond" w:eastAsiaTheme="minorEastAsia" w:hAnsi="Garamond"/>
        </w:rPr>
        <w:t>)</w:t>
      </w:r>
    </w:p>
    <w:p w14:paraId="3F51BB8A" w14:textId="77777777" w:rsidR="00224C77" w:rsidRPr="00905F01"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t>Subjective Wealth (7-step ladder)</w:t>
      </w:r>
    </w:p>
    <w:p w14:paraId="3D9460A5" w14:textId="77777777" w:rsidR="00224C77" w:rsidRPr="00905F01"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t>Objective Wealth (Latest Nigeria PPI index)</w:t>
      </w:r>
    </w:p>
    <w:p w14:paraId="004C66AC" w14:textId="77777777" w:rsidR="00224C77" w:rsidRPr="00905F01" w:rsidRDefault="00224C77" w:rsidP="00224C77">
      <w:pPr>
        <w:pStyle w:val="ListParagraph"/>
        <w:numPr>
          <w:ilvl w:val="1"/>
          <w:numId w:val="3"/>
        </w:numPr>
        <w:jc w:val="both"/>
        <w:rPr>
          <w:rFonts w:ascii="Garamond" w:eastAsiaTheme="minorEastAsia" w:hAnsi="Garamond"/>
        </w:rPr>
      </w:pPr>
      <w:r w:rsidRPr="00905F01">
        <w:rPr>
          <w:rFonts w:ascii="Garamond" w:eastAsiaTheme="minorEastAsia" w:hAnsi="Garamond"/>
        </w:rPr>
        <w:lastRenderedPageBreak/>
        <w:t>Whether the child was born at a clinic</w:t>
      </w:r>
    </w:p>
    <w:p w14:paraId="6B6BBA0A" w14:textId="77777777" w:rsidR="00224C77" w:rsidRPr="00905F01" w:rsidRDefault="00224C77" w:rsidP="00224C77">
      <w:pPr>
        <w:pStyle w:val="ListParagraph"/>
        <w:numPr>
          <w:ilvl w:val="1"/>
          <w:numId w:val="3"/>
        </w:numPr>
        <w:jc w:val="both"/>
        <w:rPr>
          <w:rFonts w:ascii="Garamond" w:eastAsiaTheme="minorEastAsia" w:hAnsi="Garamond"/>
        </w:rPr>
      </w:pPr>
      <w:r>
        <w:rPr>
          <w:rFonts w:ascii="Garamond" w:eastAsiaTheme="minorEastAsia" w:hAnsi="Garamond"/>
        </w:rPr>
        <w:t>The catchment area in square kilometers</w:t>
      </w:r>
    </w:p>
    <w:p w14:paraId="1ECCF964" w14:textId="77777777" w:rsidR="00224C77" w:rsidRDefault="00224C77" w:rsidP="00224C77">
      <w:pPr>
        <w:pStyle w:val="ListParagraph"/>
        <w:numPr>
          <w:ilvl w:val="1"/>
          <w:numId w:val="3"/>
        </w:numPr>
        <w:jc w:val="both"/>
        <w:rPr>
          <w:rFonts w:ascii="Garamond" w:eastAsiaTheme="minorEastAsia" w:hAnsi="Garamond"/>
        </w:rPr>
      </w:pPr>
      <w:r>
        <w:rPr>
          <w:rFonts w:ascii="Garamond" w:eastAsiaTheme="minorEastAsia" w:hAnsi="Garamond"/>
        </w:rPr>
        <w:t>Whether the UNICEF VCM</w:t>
      </w:r>
      <w:r>
        <w:rPr>
          <w:rStyle w:val="FootnoteReference"/>
          <w:rFonts w:ascii="Garamond" w:eastAsiaTheme="minorEastAsia" w:hAnsi="Garamond"/>
        </w:rPr>
        <w:footnoteReference w:id="54"/>
      </w:r>
      <w:r>
        <w:rPr>
          <w:rFonts w:ascii="Garamond" w:eastAsiaTheme="minorEastAsia" w:hAnsi="Garamond"/>
        </w:rPr>
        <w:t xml:space="preserve"> program was operating in the clinic at baseline  </w:t>
      </w:r>
    </w:p>
    <w:p w14:paraId="388842A0" w14:textId="77777777" w:rsidR="00224C77" w:rsidRDefault="00224C77" w:rsidP="00224C77">
      <w:pPr>
        <w:pStyle w:val="ListParagraph"/>
        <w:numPr>
          <w:ilvl w:val="1"/>
          <w:numId w:val="3"/>
        </w:numPr>
        <w:jc w:val="both"/>
        <w:rPr>
          <w:rFonts w:ascii="Garamond" w:eastAsiaTheme="minorEastAsia" w:hAnsi="Garamond"/>
        </w:rPr>
      </w:pPr>
      <w:r>
        <w:rPr>
          <w:rFonts w:ascii="Garamond" w:eastAsiaTheme="minorEastAsia" w:hAnsi="Garamond"/>
        </w:rPr>
        <w:t xml:space="preserve">Whether the UNICEF VCM program was operating at the clinic at </w:t>
      </w:r>
      <w:proofErr w:type="spellStart"/>
      <w:r>
        <w:rPr>
          <w:rFonts w:ascii="Garamond" w:eastAsiaTheme="minorEastAsia" w:hAnsi="Garamond"/>
        </w:rPr>
        <w:t>endline</w:t>
      </w:r>
      <w:proofErr w:type="spellEnd"/>
      <w:r>
        <w:rPr>
          <w:rFonts w:ascii="Garamond" w:eastAsiaTheme="minorEastAsia" w:hAnsi="Garamond"/>
        </w:rPr>
        <w:t xml:space="preserve"> </w:t>
      </w:r>
    </w:p>
    <w:p w14:paraId="5E70D109" w14:textId="77777777" w:rsidR="00224C77" w:rsidRDefault="00224C77" w:rsidP="00224C77">
      <w:pPr>
        <w:pStyle w:val="ListParagraph"/>
        <w:numPr>
          <w:ilvl w:val="1"/>
          <w:numId w:val="3"/>
        </w:numPr>
        <w:jc w:val="both"/>
        <w:rPr>
          <w:rFonts w:ascii="Garamond" w:eastAsiaTheme="minorEastAsia" w:hAnsi="Garamond"/>
        </w:rPr>
      </w:pPr>
      <w:r>
        <w:rPr>
          <w:rFonts w:ascii="Garamond" w:eastAsiaTheme="minorEastAsia" w:hAnsi="Garamond"/>
        </w:rPr>
        <w:t>Whether any other immunization programs were operating in the clinic catchment area during the study period</w:t>
      </w:r>
    </w:p>
    <w:p w14:paraId="6C059452" w14:textId="77777777" w:rsidR="00224C77" w:rsidRDefault="00224C77" w:rsidP="00224C77">
      <w:pPr>
        <w:pStyle w:val="ListParagraph"/>
        <w:ind w:left="1440"/>
        <w:jc w:val="both"/>
        <w:rPr>
          <w:rFonts w:ascii="Garamond" w:eastAsiaTheme="minorEastAsia" w:hAnsi="Garamond"/>
        </w:rPr>
      </w:pPr>
    </w:p>
    <w:p w14:paraId="2D1811BD" w14:textId="77777777" w:rsidR="00224C77" w:rsidRPr="002318C1" w:rsidRDefault="00D61143" w:rsidP="00224C77">
      <w:pPr>
        <w:pStyle w:val="ListParagraph"/>
        <w:numPr>
          <w:ilvl w:val="0"/>
          <w:numId w:val="3"/>
        </w:numPr>
        <w:jc w:val="both"/>
        <w:rPr>
          <w:rFonts w:ascii="Garamond" w:eastAsiaTheme="minorEastAsia" w:hAnsi="Garamond"/>
        </w:rPr>
      </w:pP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j</m:t>
            </m:r>
          </m:sub>
        </m:sSub>
      </m:oMath>
      <w:r w:rsidR="00224C77" w:rsidRPr="00905F01">
        <w:rPr>
          <w:rFonts w:eastAsiaTheme="minorEastAsia"/>
        </w:rPr>
        <w:t xml:space="preserve">  </w:t>
      </w:r>
      <w:r w:rsidR="00224C77" w:rsidRPr="002318C1">
        <w:rPr>
          <w:rFonts w:ascii="Garamond" w:eastAsiaTheme="minorEastAsia" w:hAnsi="Garamond"/>
        </w:rPr>
        <w:t xml:space="preserve">is a vector of dummies corresponding with randomization </w:t>
      </w:r>
      <w:proofErr w:type="gramStart"/>
      <w:r w:rsidR="00224C77" w:rsidRPr="002318C1">
        <w:rPr>
          <w:rFonts w:ascii="Garamond" w:eastAsiaTheme="minorEastAsia" w:hAnsi="Garamond"/>
        </w:rPr>
        <w:t>strata.</w:t>
      </w:r>
      <w:proofErr w:type="gramEnd"/>
      <w:r w:rsidR="00224C77" w:rsidRPr="002318C1">
        <w:rPr>
          <w:rFonts w:ascii="Garamond" w:eastAsiaTheme="minorEastAsia" w:hAnsi="Garamond"/>
        </w:rPr>
        <w:t xml:space="preserve"> These include:</w:t>
      </w:r>
    </w:p>
    <w:p w14:paraId="0F6D548F" w14:textId="77777777" w:rsidR="00224C77" w:rsidRDefault="00224C77" w:rsidP="00224C77">
      <w:pPr>
        <w:pStyle w:val="ListParagraph"/>
        <w:numPr>
          <w:ilvl w:val="1"/>
          <w:numId w:val="3"/>
        </w:numPr>
        <w:jc w:val="both"/>
        <w:rPr>
          <w:rFonts w:ascii="Garamond" w:hAnsi="Garamond"/>
        </w:rPr>
      </w:pPr>
      <w:r>
        <w:rPr>
          <w:rFonts w:ascii="Garamond" w:hAnsi="Garamond"/>
        </w:rPr>
        <w:t>State</w:t>
      </w:r>
    </w:p>
    <w:p w14:paraId="70519DB4" w14:textId="77777777" w:rsidR="00224C77" w:rsidRDefault="00224C77" w:rsidP="00224C77">
      <w:pPr>
        <w:pStyle w:val="ListParagraph"/>
        <w:numPr>
          <w:ilvl w:val="1"/>
          <w:numId w:val="3"/>
        </w:numPr>
        <w:jc w:val="both"/>
        <w:rPr>
          <w:rFonts w:ascii="Garamond" w:hAnsi="Garamond"/>
        </w:rPr>
      </w:pPr>
      <w:r>
        <w:rPr>
          <w:rFonts w:ascii="Garamond" w:hAnsi="Garamond"/>
        </w:rPr>
        <w:t>Baseline coverage rate group</w:t>
      </w:r>
      <w:r>
        <w:rPr>
          <w:rStyle w:val="FootnoteReference"/>
          <w:rFonts w:ascii="Garamond" w:hAnsi="Garamond"/>
        </w:rPr>
        <w:footnoteReference w:id="55"/>
      </w:r>
    </w:p>
    <w:p w14:paraId="061C0598" w14:textId="77777777" w:rsidR="00224C77" w:rsidRPr="00B40C0B" w:rsidRDefault="00224C77" w:rsidP="00224C77">
      <w:pPr>
        <w:pStyle w:val="ListParagraph"/>
        <w:numPr>
          <w:ilvl w:val="1"/>
          <w:numId w:val="3"/>
        </w:numPr>
        <w:jc w:val="both"/>
        <w:rPr>
          <w:rFonts w:ascii="Garamond" w:hAnsi="Garamond"/>
        </w:rPr>
      </w:pPr>
      <w:r>
        <w:rPr>
          <w:rFonts w:ascii="Garamond" w:hAnsi="Garamond"/>
        </w:rPr>
        <w:t>Remoteness and limited staffing (as defined by New Incentives during clinic screening)</w:t>
      </w:r>
    </w:p>
    <w:p w14:paraId="7C0F4DCA" w14:textId="77777777" w:rsidR="00224C77" w:rsidRDefault="00224C77" w:rsidP="00224C77">
      <w:pPr>
        <w:pStyle w:val="ListParagraph"/>
        <w:numPr>
          <w:ilvl w:val="1"/>
          <w:numId w:val="3"/>
        </w:numPr>
        <w:jc w:val="both"/>
        <w:rPr>
          <w:rFonts w:ascii="Garamond" w:hAnsi="Garamond"/>
        </w:rPr>
      </w:pPr>
      <w:r>
        <w:rPr>
          <w:rFonts w:ascii="Garamond" w:hAnsi="Garamond"/>
        </w:rPr>
        <w:t>Baseline security category</w:t>
      </w:r>
    </w:p>
    <w:p w14:paraId="722839B6" w14:textId="77777777" w:rsidR="00224C77" w:rsidRPr="002318C1" w:rsidRDefault="00D61143" w:rsidP="00224C77">
      <w:pPr>
        <w:pStyle w:val="ListParagraph"/>
        <w:numPr>
          <w:ilvl w:val="0"/>
          <w:numId w:val="3"/>
        </w:numPr>
        <w:jc w:val="both"/>
        <w:rPr>
          <w:rFonts w:ascii="Garamond" w:eastAsiaTheme="minorEastAsia" w:hAnsi="Garamond"/>
        </w:rPr>
      </w:pPr>
      <m:oMath>
        <m:sSub>
          <m:sSubPr>
            <m:ctrlPr>
              <w:rPr>
                <w:rFonts w:ascii="Cambria Math" w:eastAsiaTheme="minorEastAsia" w:hAnsi="Cambria Math"/>
                <w:i/>
              </w:rPr>
            </m:ctrlPr>
          </m:sSubPr>
          <m:e>
            <m:r>
              <w:rPr>
                <w:rFonts w:ascii="Cambria Math" w:eastAsiaTheme="minorEastAsia" w:hAnsi="Cambria Math"/>
              </w:rPr>
              <m:t>ε</m:t>
            </m:r>
          </m:e>
          <m:sub>
            <m:r>
              <w:rPr>
                <w:rFonts w:ascii="Cambria Math" w:eastAsiaTheme="minorEastAsia" w:hAnsi="Cambria Math"/>
              </w:rPr>
              <m:t>ij</m:t>
            </m:r>
          </m:sub>
        </m:sSub>
      </m:oMath>
      <w:r w:rsidR="00224C77" w:rsidRPr="00905F01">
        <w:rPr>
          <w:rFonts w:eastAsiaTheme="minorEastAsia"/>
        </w:rPr>
        <w:t xml:space="preserve">  </w:t>
      </w:r>
      <w:r w:rsidR="00224C77" w:rsidRPr="002318C1">
        <w:rPr>
          <w:rFonts w:ascii="Garamond" w:eastAsiaTheme="minorEastAsia" w:hAnsi="Garamond"/>
        </w:rPr>
        <w:t xml:space="preserve">is the error term for infant </w:t>
      </w:r>
      <w:proofErr w:type="spellStart"/>
      <w:r w:rsidR="00224C77" w:rsidRPr="002318C1">
        <w:rPr>
          <w:rFonts w:ascii="Garamond" w:eastAsiaTheme="minorEastAsia" w:hAnsi="Garamond"/>
          <w:i/>
        </w:rPr>
        <w:t>i</w:t>
      </w:r>
      <w:proofErr w:type="spellEnd"/>
      <w:r w:rsidR="00224C77" w:rsidRPr="002318C1">
        <w:rPr>
          <w:rFonts w:ascii="Garamond" w:eastAsiaTheme="minorEastAsia" w:hAnsi="Garamond"/>
          <w:i/>
        </w:rPr>
        <w:t xml:space="preserve"> </w:t>
      </w:r>
      <w:r w:rsidR="00224C77" w:rsidRPr="002318C1">
        <w:rPr>
          <w:rFonts w:ascii="Garamond" w:eastAsiaTheme="minorEastAsia" w:hAnsi="Garamond"/>
        </w:rPr>
        <w:t xml:space="preserve">in catchment </w:t>
      </w:r>
      <w:r w:rsidR="00224C77" w:rsidRPr="002318C1">
        <w:rPr>
          <w:rFonts w:ascii="Garamond" w:eastAsiaTheme="minorEastAsia" w:hAnsi="Garamond"/>
          <w:i/>
        </w:rPr>
        <w:t xml:space="preserve">j </w:t>
      </w:r>
      <w:r w:rsidR="00224C77" w:rsidRPr="002318C1">
        <w:rPr>
          <w:rFonts w:ascii="Garamond" w:eastAsiaTheme="minorEastAsia" w:hAnsi="Garamond"/>
        </w:rPr>
        <w:t>clustered at the clinic cluster-</w:t>
      </w:r>
      <w:proofErr w:type="gramStart"/>
      <w:r w:rsidR="00224C77" w:rsidRPr="002318C1">
        <w:rPr>
          <w:rFonts w:ascii="Garamond" w:eastAsiaTheme="minorEastAsia" w:hAnsi="Garamond"/>
        </w:rPr>
        <w:t>level</w:t>
      </w:r>
      <w:r w:rsidR="00224C77">
        <w:rPr>
          <w:rFonts w:ascii="Garamond" w:eastAsiaTheme="minorEastAsia" w:hAnsi="Garamond"/>
        </w:rPr>
        <w:t>.</w:t>
      </w:r>
      <w:proofErr w:type="gramEnd"/>
      <w:r w:rsidR="00224C77" w:rsidRPr="00141192">
        <w:rPr>
          <w:rFonts w:ascii="Garamond" w:eastAsiaTheme="minorEastAsia" w:hAnsi="Garamond"/>
        </w:rPr>
        <w:t xml:space="preserve"> </w:t>
      </w:r>
      <w:r w:rsidR="00224C77">
        <w:rPr>
          <w:rFonts w:ascii="Garamond" w:eastAsiaTheme="minorEastAsia" w:hAnsi="Garamond"/>
        </w:rPr>
        <w:t xml:space="preserve"> </w:t>
      </w:r>
      <w:r w:rsidR="00224C77" w:rsidRPr="00141192">
        <w:rPr>
          <w:rFonts w:ascii="Garamond" w:eastAsiaTheme="minorEastAsia" w:hAnsi="Garamond"/>
        </w:rPr>
        <w:t xml:space="preserve"> </w:t>
      </w:r>
    </w:p>
    <w:p w14:paraId="25C99FEA" w14:textId="77777777" w:rsidR="00224C77" w:rsidRDefault="00224C77" w:rsidP="00784C83">
      <w:pPr>
        <w:jc w:val="both"/>
        <w:rPr>
          <w:rFonts w:eastAsiaTheme="minorEastAsia"/>
        </w:rPr>
      </w:pPr>
    </w:p>
    <w:p w14:paraId="03F61F80" w14:textId="77777777" w:rsidR="00224C77" w:rsidRDefault="00224C77" w:rsidP="00784C83">
      <w:pPr>
        <w:jc w:val="both"/>
        <w:rPr>
          <w:rFonts w:eastAsiaTheme="minorEastAsia"/>
        </w:rPr>
      </w:pPr>
    </w:p>
    <w:p w14:paraId="520248BD" w14:textId="77777777" w:rsidR="00784C83" w:rsidRDefault="00784C83" w:rsidP="00784C83">
      <w:pPr>
        <w:pStyle w:val="ListParagraph"/>
        <w:jc w:val="both"/>
        <w:rPr>
          <w:rFonts w:ascii="Garamond" w:eastAsiaTheme="minorEastAsia" w:hAnsi="Garamond"/>
        </w:rPr>
      </w:pPr>
    </w:p>
    <w:p w14:paraId="3CAD49B6" w14:textId="79843CA6" w:rsidR="00784C83" w:rsidRDefault="00784C83" w:rsidP="00784C83">
      <w:pPr>
        <w:jc w:val="both"/>
        <w:rPr>
          <w:rFonts w:ascii="Garamond" w:hAnsi="Garamond"/>
        </w:rPr>
      </w:pPr>
      <w:r w:rsidRPr="002D22D2">
        <w:rPr>
          <w:rFonts w:ascii="Garamond" w:eastAsiaTheme="minorEastAsia" w:hAnsi="Garamond"/>
        </w:rPr>
        <w:t xml:space="preserve">P-values will be corrected using the </w:t>
      </w:r>
      <w:r w:rsidRPr="002D22D2">
        <w:rPr>
          <w:rFonts w:ascii="Garamond" w:hAnsi="Garamond"/>
        </w:rPr>
        <w:t xml:space="preserve">Free Step-Down Resampling Method proposed by Westfall and Young (1993). Due to the highly correlated nature of the coverage outcomes, this method was chosen over simpler procedures as the power gains </w:t>
      </w:r>
      <w:r w:rsidR="00224C77">
        <w:rPr>
          <w:rFonts w:ascii="Garamond" w:hAnsi="Garamond"/>
        </w:rPr>
        <w:t>were</w:t>
      </w:r>
      <w:r w:rsidR="00224C77" w:rsidRPr="002D22D2">
        <w:rPr>
          <w:rFonts w:ascii="Garamond" w:hAnsi="Garamond"/>
        </w:rPr>
        <w:t xml:space="preserve"> </w:t>
      </w:r>
      <w:r w:rsidR="00224C77">
        <w:rPr>
          <w:rFonts w:ascii="Garamond" w:hAnsi="Garamond"/>
        </w:rPr>
        <w:t>potentially</w:t>
      </w:r>
      <w:r w:rsidR="00224C77" w:rsidRPr="002D22D2">
        <w:rPr>
          <w:rFonts w:ascii="Garamond" w:hAnsi="Garamond"/>
        </w:rPr>
        <w:t xml:space="preserve"> </w:t>
      </w:r>
      <w:r w:rsidRPr="002D22D2">
        <w:rPr>
          <w:rFonts w:ascii="Garamond" w:hAnsi="Garamond"/>
        </w:rPr>
        <w:t>significant (</w:t>
      </w:r>
      <w:proofErr w:type="spellStart"/>
      <w:r w:rsidRPr="00963A8F">
        <w:rPr>
          <w:rFonts w:ascii="Garamond" w:hAnsi="Garamond"/>
        </w:rPr>
        <w:t>Blakesl</w:t>
      </w:r>
      <w:r>
        <w:rPr>
          <w:rFonts w:ascii="Garamond" w:hAnsi="Garamond"/>
        </w:rPr>
        <w:t>e</w:t>
      </w:r>
      <w:r w:rsidRPr="00963A8F">
        <w:rPr>
          <w:rFonts w:ascii="Garamond" w:hAnsi="Garamond"/>
        </w:rPr>
        <w:t>y</w:t>
      </w:r>
      <w:proofErr w:type="spellEnd"/>
      <w:r w:rsidRPr="00963A8F">
        <w:rPr>
          <w:rFonts w:ascii="Garamond" w:hAnsi="Garamond"/>
        </w:rPr>
        <w:t xml:space="preserve"> et al. 2009</w:t>
      </w:r>
      <w:r w:rsidRPr="002D22D2">
        <w:rPr>
          <w:rFonts w:ascii="Garamond" w:hAnsi="Garamond"/>
        </w:rPr>
        <w:t>). Annex 4 describes the procedure in more detail.</w:t>
      </w:r>
    </w:p>
    <w:p w14:paraId="5EF196CB" w14:textId="77777777" w:rsidR="00784C83" w:rsidRDefault="00784C83" w:rsidP="00784C83">
      <w:pPr>
        <w:jc w:val="both"/>
        <w:rPr>
          <w:rFonts w:ascii="Garamond" w:hAnsi="Garamond"/>
        </w:rPr>
      </w:pPr>
    </w:p>
    <w:p w14:paraId="7532D51E" w14:textId="77777777" w:rsidR="00784C83" w:rsidRDefault="00784C83" w:rsidP="00784C83">
      <w:pPr>
        <w:jc w:val="both"/>
        <w:rPr>
          <w:rFonts w:ascii="Garamond" w:hAnsi="Garamond"/>
        </w:rPr>
      </w:pPr>
      <w:r>
        <w:rPr>
          <w:rFonts w:ascii="Garamond" w:hAnsi="Garamond"/>
        </w:rPr>
        <w:t xml:space="preserve">Where appropriate for publication in medical/public health journals, we will also estimate a logistic regression specification, examining the impact of New Incentive on the odds that 12-16 months receive (1) BCG, (2) any Penta, or (3) Measles 1. </w:t>
      </w:r>
    </w:p>
    <w:p w14:paraId="3A26C4E7" w14:textId="77777777" w:rsidR="00784C83" w:rsidRPr="002D22D2" w:rsidRDefault="00784C83" w:rsidP="00784C83">
      <w:pPr>
        <w:jc w:val="both"/>
        <w:rPr>
          <w:rFonts w:ascii="Garamond" w:eastAsiaTheme="minorEastAsia" w:hAnsi="Garamond"/>
        </w:rPr>
      </w:pPr>
    </w:p>
    <w:p w14:paraId="7C5CA60F" w14:textId="77777777" w:rsidR="00784C83" w:rsidRPr="00F4092D" w:rsidRDefault="00784C83" w:rsidP="00784C83">
      <w:pPr>
        <w:jc w:val="both"/>
        <w:rPr>
          <w:rFonts w:ascii="Garamond" w:hAnsi="Garamond"/>
        </w:rPr>
      </w:pPr>
    </w:p>
    <w:p w14:paraId="095B8CFB" w14:textId="77777777" w:rsidR="00784C83" w:rsidRPr="00381BB7" w:rsidRDefault="00784C83" w:rsidP="00784C83">
      <w:pPr>
        <w:pStyle w:val="Heading2"/>
        <w:jc w:val="both"/>
        <w:rPr>
          <w:rFonts w:ascii="Garamond" w:hAnsi="Garamond"/>
          <w:sz w:val="28"/>
          <w:szCs w:val="28"/>
        </w:rPr>
      </w:pPr>
      <w:r>
        <w:rPr>
          <w:rFonts w:ascii="Garamond" w:hAnsi="Garamond"/>
          <w:sz w:val="28"/>
          <w:szCs w:val="28"/>
        </w:rPr>
        <w:t>Secondary Research Questions</w:t>
      </w:r>
    </w:p>
    <w:p w14:paraId="183C32A8" w14:textId="77777777" w:rsidR="00784C83" w:rsidRPr="00CE05E3" w:rsidRDefault="00784C83" w:rsidP="00784C83">
      <w:pPr>
        <w:pStyle w:val="ListParagraph"/>
        <w:numPr>
          <w:ilvl w:val="0"/>
          <w:numId w:val="6"/>
        </w:numPr>
        <w:spacing w:before="40" w:after="160" w:line="259" w:lineRule="auto"/>
        <w:jc w:val="both"/>
        <w:rPr>
          <w:rFonts w:ascii="Garamond" w:hAnsi="Garamond"/>
        </w:rPr>
      </w:pPr>
      <w:r w:rsidRPr="00CE05E3">
        <w:rPr>
          <w:rFonts w:ascii="Garamond" w:hAnsi="Garamond"/>
        </w:rPr>
        <w:t xml:space="preserve">What is the effect of New Incentives’ program on the </w:t>
      </w:r>
      <w:r>
        <w:rPr>
          <w:rFonts w:ascii="Garamond" w:hAnsi="Garamond"/>
        </w:rPr>
        <w:t xml:space="preserve">percentage of 12 to 16-month </w:t>
      </w:r>
      <w:proofErr w:type="spellStart"/>
      <w:r>
        <w:rPr>
          <w:rFonts w:ascii="Garamond" w:hAnsi="Garamond"/>
        </w:rPr>
        <w:t>olds</w:t>
      </w:r>
      <w:proofErr w:type="spellEnd"/>
      <w:r>
        <w:rPr>
          <w:rFonts w:ascii="Garamond" w:hAnsi="Garamond"/>
        </w:rPr>
        <w:t xml:space="preserve"> that are fully immunized</w:t>
      </w:r>
      <w:r w:rsidRPr="00CE05E3">
        <w:rPr>
          <w:rFonts w:ascii="Garamond" w:hAnsi="Garamond"/>
        </w:rPr>
        <w:t>?</w:t>
      </w:r>
    </w:p>
    <w:p w14:paraId="587016B8" w14:textId="77777777" w:rsidR="00784C83" w:rsidRPr="001533CD" w:rsidRDefault="00784C83" w:rsidP="00784C83">
      <w:pPr>
        <w:pStyle w:val="ListParagraph"/>
        <w:numPr>
          <w:ilvl w:val="0"/>
          <w:numId w:val="6"/>
        </w:numPr>
        <w:spacing w:after="160" w:line="259" w:lineRule="auto"/>
        <w:jc w:val="both"/>
        <w:rPr>
          <w:rFonts w:ascii="Garamond" w:hAnsi="Garamond"/>
        </w:rPr>
      </w:pPr>
      <w:r w:rsidRPr="001533CD">
        <w:rPr>
          <w:rFonts w:ascii="Garamond" w:hAnsi="Garamond"/>
        </w:rPr>
        <w:t xml:space="preserve">Does New Incentives’ program improve the timeliness of vaccination, particularly for Measles 1 among 12 to 16-month </w:t>
      </w:r>
      <w:proofErr w:type="spellStart"/>
      <w:r w:rsidRPr="001533CD">
        <w:rPr>
          <w:rFonts w:ascii="Garamond" w:hAnsi="Garamond"/>
        </w:rPr>
        <w:t>olds</w:t>
      </w:r>
      <w:proofErr w:type="spellEnd"/>
      <w:r w:rsidRPr="001533CD">
        <w:rPr>
          <w:rFonts w:ascii="Garamond" w:hAnsi="Garamond"/>
        </w:rPr>
        <w:t xml:space="preserve">? </w:t>
      </w:r>
    </w:p>
    <w:p w14:paraId="5F2479D1" w14:textId="77777777" w:rsidR="00784C83" w:rsidRPr="006C42E0" w:rsidRDefault="00784C83" w:rsidP="00784C83">
      <w:pPr>
        <w:pStyle w:val="ListParagraph"/>
        <w:numPr>
          <w:ilvl w:val="0"/>
          <w:numId w:val="6"/>
        </w:numPr>
        <w:spacing w:after="160" w:line="259" w:lineRule="auto"/>
        <w:jc w:val="both"/>
        <w:rPr>
          <w:rFonts w:ascii="Garamond" w:hAnsi="Garamond"/>
        </w:rPr>
      </w:pPr>
      <w:r w:rsidRPr="006C42E0">
        <w:rPr>
          <w:rFonts w:ascii="Garamond" w:hAnsi="Garamond"/>
        </w:rPr>
        <w:t xml:space="preserve">What is the effect of New Incentives’ program on the average number of vaccines received per </w:t>
      </w:r>
      <w:r>
        <w:rPr>
          <w:rFonts w:ascii="Garamond" w:hAnsi="Garamond"/>
        </w:rPr>
        <w:t>12 to 16-month-old child</w:t>
      </w:r>
      <w:r w:rsidRPr="006C42E0">
        <w:rPr>
          <w:rFonts w:ascii="Garamond" w:hAnsi="Garamond"/>
        </w:rPr>
        <w:t>?</w:t>
      </w:r>
    </w:p>
    <w:p w14:paraId="15623320" w14:textId="704BC6B6" w:rsidR="00784C83" w:rsidRDefault="00784C83" w:rsidP="00784C83">
      <w:pPr>
        <w:pStyle w:val="ListParagraph"/>
        <w:numPr>
          <w:ilvl w:val="0"/>
          <w:numId w:val="6"/>
        </w:numPr>
        <w:spacing w:after="160" w:line="259" w:lineRule="auto"/>
        <w:jc w:val="both"/>
        <w:rPr>
          <w:rFonts w:ascii="Garamond" w:hAnsi="Garamond"/>
        </w:rPr>
      </w:pPr>
      <w:r w:rsidRPr="006C42E0">
        <w:rPr>
          <w:rFonts w:ascii="Garamond" w:hAnsi="Garamond"/>
        </w:rPr>
        <w:t xml:space="preserve">What is the effect of New Incentives’ program on the percentage of </w:t>
      </w:r>
      <w:r>
        <w:rPr>
          <w:rFonts w:ascii="Garamond" w:hAnsi="Garamond"/>
        </w:rPr>
        <w:t xml:space="preserve">12 to 16-month </w:t>
      </w:r>
      <w:proofErr w:type="spellStart"/>
      <w:r>
        <w:rPr>
          <w:rFonts w:ascii="Garamond" w:hAnsi="Garamond"/>
        </w:rPr>
        <w:t>olds</w:t>
      </w:r>
      <w:proofErr w:type="spellEnd"/>
      <w:r w:rsidRPr="006C42E0">
        <w:rPr>
          <w:rFonts w:ascii="Garamond" w:hAnsi="Garamond"/>
        </w:rPr>
        <w:t xml:space="preserve"> that received at least one </w:t>
      </w:r>
      <w:r>
        <w:rPr>
          <w:rFonts w:ascii="Garamond" w:hAnsi="Garamond"/>
        </w:rPr>
        <w:t xml:space="preserve">injectable </w:t>
      </w:r>
      <w:r w:rsidRPr="006C42E0">
        <w:rPr>
          <w:rFonts w:ascii="Garamond" w:hAnsi="Garamond"/>
        </w:rPr>
        <w:t>vaccine?</w:t>
      </w:r>
    </w:p>
    <w:p w14:paraId="26132449" w14:textId="2607B323" w:rsidR="00E16424" w:rsidRDefault="00E16424" w:rsidP="00784C83">
      <w:pPr>
        <w:pStyle w:val="ListParagraph"/>
        <w:numPr>
          <w:ilvl w:val="0"/>
          <w:numId w:val="6"/>
        </w:numPr>
        <w:spacing w:after="160" w:line="259" w:lineRule="auto"/>
        <w:jc w:val="both"/>
        <w:rPr>
          <w:rFonts w:ascii="Garamond" w:hAnsi="Garamond"/>
        </w:rPr>
      </w:pPr>
      <w:r w:rsidRPr="00E16424">
        <w:rPr>
          <w:rFonts w:ascii="Garamond" w:hAnsi="Garamond"/>
        </w:rPr>
        <w:t>What is the effect of New Incentives’ program on the probability that a 12 to 16</w:t>
      </w:r>
      <w:r w:rsidRPr="00E16424">
        <w:rPr>
          <w:rFonts w:ascii="Times New Roman" w:hAnsi="Times New Roman" w:cs="Times New Roman"/>
        </w:rPr>
        <w:t>‑</w:t>
      </w:r>
      <w:r w:rsidRPr="00E16424">
        <w:rPr>
          <w:rFonts w:ascii="Garamond" w:hAnsi="Garamond"/>
        </w:rPr>
        <w:t>month old in a community served by a study clinic received at least one dose of PCV?</w:t>
      </w:r>
    </w:p>
    <w:p w14:paraId="106FFA78" w14:textId="714C053E" w:rsidR="00C466AC" w:rsidRPr="00982EAF" w:rsidRDefault="00C466AC" w:rsidP="00982EAF">
      <w:pPr>
        <w:pStyle w:val="ListParagraph"/>
        <w:numPr>
          <w:ilvl w:val="0"/>
          <w:numId w:val="6"/>
        </w:numPr>
        <w:spacing w:after="160" w:line="259" w:lineRule="auto"/>
        <w:rPr>
          <w:rFonts w:ascii="Garamond" w:hAnsi="Garamond"/>
        </w:rPr>
      </w:pPr>
      <w:r w:rsidRPr="00D32E87">
        <w:rPr>
          <w:rFonts w:ascii="Garamond" w:hAnsi="Garamond"/>
        </w:rPr>
        <w:lastRenderedPageBreak/>
        <w:t>What is the effect of New Incentives’ program on the change</w:t>
      </w:r>
      <w:r>
        <w:rPr>
          <w:rFonts w:ascii="Garamond" w:hAnsi="Garamond"/>
        </w:rPr>
        <w:t xml:space="preserve"> over time</w:t>
      </w:r>
      <w:r w:rsidRPr="00D32E87">
        <w:rPr>
          <w:rFonts w:ascii="Garamond" w:hAnsi="Garamond"/>
        </w:rPr>
        <w:t xml:space="preserve"> in the volume of BCG, Penta 1, Penta 2, Penta 3, and Measles vaccinations </w:t>
      </w:r>
      <w:r>
        <w:rPr>
          <w:rFonts w:ascii="Garamond" w:hAnsi="Garamond"/>
        </w:rPr>
        <w:t>recorded in clinic administrative records between treatment and control</w:t>
      </w:r>
      <w:r w:rsidRPr="00D32E87">
        <w:rPr>
          <w:rFonts w:ascii="Garamond" w:hAnsi="Garamond"/>
        </w:rPr>
        <w:t>?</w:t>
      </w:r>
      <w:r>
        <w:rPr>
          <w:rStyle w:val="FootnoteReference"/>
          <w:rFonts w:ascii="Garamond" w:hAnsi="Garamond"/>
        </w:rPr>
        <w:footnoteReference w:id="56"/>
      </w:r>
      <w:r>
        <w:rPr>
          <w:rFonts w:ascii="Garamond" w:hAnsi="Garamond"/>
        </w:rPr>
        <w:t xml:space="preserve"> </w:t>
      </w:r>
      <w:r>
        <w:rPr>
          <w:rStyle w:val="FootnoteReference"/>
          <w:rFonts w:ascii="Garamond" w:hAnsi="Garamond"/>
        </w:rPr>
        <w:footnoteReference w:id="57"/>
      </w:r>
    </w:p>
    <w:p w14:paraId="13773855" w14:textId="77777777" w:rsidR="00BC1F44" w:rsidRPr="006C42E0" w:rsidRDefault="00BC1F44" w:rsidP="00982EAF">
      <w:pPr>
        <w:pStyle w:val="ListParagraph"/>
        <w:spacing w:after="160" w:line="259" w:lineRule="auto"/>
        <w:jc w:val="both"/>
        <w:rPr>
          <w:rFonts w:ascii="Garamond" w:hAnsi="Garamond"/>
        </w:rPr>
      </w:pPr>
    </w:p>
    <w:p w14:paraId="73501130" w14:textId="77777777" w:rsidR="00784C83" w:rsidRPr="002518D2" w:rsidRDefault="00784C83" w:rsidP="00784C83">
      <w:pPr>
        <w:spacing w:line="259" w:lineRule="auto"/>
        <w:jc w:val="both"/>
        <w:rPr>
          <w:rFonts w:ascii="Garamond" w:hAnsi="Garamond"/>
          <w:b/>
          <w:i/>
        </w:rPr>
      </w:pPr>
      <w:r w:rsidRPr="002518D2">
        <w:rPr>
          <w:rFonts w:ascii="Garamond" w:hAnsi="Garamond"/>
          <w:b/>
          <w:i/>
        </w:rPr>
        <w:t>Analysis of Secondary Research Questions</w:t>
      </w:r>
    </w:p>
    <w:p w14:paraId="61B051FA" w14:textId="77777777" w:rsidR="00784C83" w:rsidRPr="008E3084" w:rsidRDefault="00784C83" w:rsidP="00784C83">
      <w:pPr>
        <w:spacing w:after="160" w:line="259" w:lineRule="auto"/>
        <w:jc w:val="both"/>
        <w:rPr>
          <w:rFonts w:ascii="Garamond" w:hAnsi="Garamond"/>
        </w:rPr>
      </w:pPr>
      <w:r w:rsidRPr="008E3084">
        <w:rPr>
          <w:rFonts w:ascii="Garamond" w:hAnsi="Garamond"/>
        </w:rPr>
        <w:t>The analysis of secondary research questions will follow the model specified above for the primary research question</w:t>
      </w:r>
      <w:r>
        <w:rPr>
          <w:rFonts w:ascii="Garamond" w:hAnsi="Garamond"/>
        </w:rPr>
        <w:t xml:space="preserve"> with different outcome variables. </w:t>
      </w:r>
    </w:p>
    <w:p w14:paraId="4445C142" w14:textId="77777777" w:rsidR="00784C83" w:rsidRPr="00E004A1" w:rsidRDefault="00784C83" w:rsidP="00784C83">
      <w:pPr>
        <w:keepNext/>
        <w:spacing w:line="259" w:lineRule="auto"/>
        <w:jc w:val="both"/>
        <w:rPr>
          <w:rFonts w:ascii="Garamond" w:hAnsi="Garamond"/>
          <w:b/>
          <w:i/>
        </w:rPr>
      </w:pPr>
      <w:r w:rsidRPr="00E004A1">
        <w:rPr>
          <w:rFonts w:ascii="Garamond" w:hAnsi="Garamond"/>
          <w:b/>
          <w:i/>
        </w:rPr>
        <w:t xml:space="preserve">Fully Immunized Child </w:t>
      </w:r>
    </w:p>
    <w:p w14:paraId="4313C7DC" w14:textId="77777777" w:rsidR="00784C83" w:rsidRDefault="00784C83" w:rsidP="00784C83">
      <w:pPr>
        <w:spacing w:after="160"/>
        <w:jc w:val="both"/>
      </w:pPr>
      <w:r w:rsidRPr="008E3084">
        <w:rPr>
          <w:rFonts w:ascii="Garamond" w:hAnsi="Garamond"/>
        </w:rPr>
        <w:t xml:space="preserve">The indicator we will use is self-reported full immunization. This means the caregiver must report the child has received BCG, PENTA 1-3, </w:t>
      </w:r>
      <w:r w:rsidRPr="000B4C0D">
        <w:rPr>
          <w:rFonts w:ascii="Garamond" w:hAnsi="Garamond"/>
          <w:i/>
        </w:rPr>
        <w:t>and</w:t>
      </w:r>
      <w:r w:rsidRPr="008E3084">
        <w:rPr>
          <w:rFonts w:ascii="Garamond" w:hAnsi="Garamond"/>
        </w:rPr>
        <w:t xml:space="preserve"> </w:t>
      </w:r>
      <w:r>
        <w:rPr>
          <w:rFonts w:ascii="Garamond" w:hAnsi="Garamond"/>
        </w:rPr>
        <w:t>Measles</w:t>
      </w:r>
      <w:r w:rsidRPr="008E3084">
        <w:rPr>
          <w:rFonts w:ascii="Garamond" w:hAnsi="Garamond"/>
        </w:rPr>
        <w:t xml:space="preserve"> 1. These five vaccines are the key vaccines for Nigeria’s five-visit routine childhood immunization schedule targeted by New Incentives. </w:t>
      </w:r>
    </w:p>
    <w:p w14:paraId="68E71651" w14:textId="0F756ECC" w:rsidR="00784C83" w:rsidRDefault="005F3D0C" w:rsidP="00784C83">
      <w:pPr>
        <w:jc w:val="both"/>
        <w:rPr>
          <w:rFonts w:ascii="Garamond" w:hAnsi="Garamond"/>
        </w:rPr>
      </w:pPr>
      <w:r>
        <w:rPr>
          <w:rFonts w:ascii="Garamond" w:hAnsi="Garamond"/>
        </w:rPr>
        <w:t xml:space="preserve">We have loose and string definitions of full immunization due to the </w:t>
      </w:r>
      <w:r w:rsidR="00784C83" w:rsidRPr="008E3084">
        <w:rPr>
          <w:rFonts w:ascii="Garamond" w:hAnsi="Garamond"/>
        </w:rPr>
        <w:t xml:space="preserve">high degree of </w:t>
      </w:r>
      <w:r>
        <w:rPr>
          <w:rFonts w:ascii="Garamond" w:hAnsi="Garamond"/>
        </w:rPr>
        <w:t>uncertainty</w:t>
      </w:r>
      <w:r w:rsidR="00784C83" w:rsidRPr="008E3084">
        <w:rPr>
          <w:rFonts w:ascii="Garamond" w:hAnsi="Garamond"/>
        </w:rPr>
        <w:t xml:space="preserve"> in caregivers’ </w:t>
      </w:r>
      <w:r w:rsidR="00784C83">
        <w:rPr>
          <w:rFonts w:ascii="Garamond" w:hAnsi="Garamond"/>
        </w:rPr>
        <w:t>recall</w:t>
      </w:r>
      <w:r>
        <w:rPr>
          <w:rFonts w:ascii="Garamond" w:hAnsi="Garamond"/>
        </w:rPr>
        <w:t>, especially for different numbers of PENTA doses</w:t>
      </w:r>
      <w:r w:rsidR="00784C83" w:rsidRPr="008E3084">
        <w:rPr>
          <w:rFonts w:ascii="Garamond" w:hAnsi="Garamond"/>
        </w:rPr>
        <w:t>.</w:t>
      </w:r>
      <w:r w:rsidR="00784C83">
        <w:rPr>
          <w:rStyle w:val="FootnoteReference"/>
          <w:rFonts w:ascii="Garamond" w:hAnsi="Garamond"/>
        </w:rPr>
        <w:footnoteReference w:id="58"/>
      </w:r>
      <w:r w:rsidR="00784C83">
        <w:rPr>
          <w:rFonts w:ascii="Garamond" w:hAnsi="Garamond"/>
        </w:rPr>
        <w:t xml:space="preserve"> </w:t>
      </w:r>
    </w:p>
    <w:p w14:paraId="045001A3" w14:textId="77777777" w:rsidR="00784C83" w:rsidRPr="008E3084" w:rsidRDefault="00784C83" w:rsidP="00784C83">
      <w:pPr>
        <w:rPr>
          <w:rFonts w:ascii="Garamond" w:hAnsi="Garamond"/>
        </w:rPr>
      </w:pPr>
    </w:p>
    <w:p w14:paraId="0C5B8663" w14:textId="77777777" w:rsidR="00784C83" w:rsidRPr="001533CD" w:rsidRDefault="00784C83" w:rsidP="00784C83">
      <w:pPr>
        <w:keepNext/>
        <w:spacing w:line="259" w:lineRule="auto"/>
        <w:jc w:val="both"/>
        <w:rPr>
          <w:rFonts w:ascii="Garamond" w:hAnsi="Garamond"/>
          <w:b/>
          <w:i/>
        </w:rPr>
      </w:pPr>
      <w:r w:rsidRPr="001533CD">
        <w:rPr>
          <w:rFonts w:ascii="Garamond" w:hAnsi="Garamond"/>
          <w:b/>
          <w:i/>
        </w:rPr>
        <w:t>Timeliness</w:t>
      </w:r>
    </w:p>
    <w:p w14:paraId="2E3F31F9" w14:textId="77777777" w:rsidR="00784C83" w:rsidRPr="002518D2" w:rsidRDefault="00784C83" w:rsidP="00784C83">
      <w:pPr>
        <w:spacing w:after="160"/>
        <w:jc w:val="both"/>
        <w:rPr>
          <w:rFonts w:ascii="Garamond" w:hAnsi="Garamond"/>
        </w:rPr>
      </w:pPr>
      <w:r w:rsidRPr="001533CD">
        <w:rPr>
          <w:rFonts w:ascii="Garamond" w:hAnsi="Garamond"/>
        </w:rPr>
        <w:t>The study defines timeliness as receipt of vaccination up until one month after the due date</w:t>
      </w:r>
      <w:r w:rsidRPr="001533CD">
        <w:rPr>
          <w:rStyle w:val="FootnoteReference"/>
          <w:rFonts w:ascii="Garamond" w:hAnsi="Garamond"/>
        </w:rPr>
        <w:footnoteReference w:id="59"/>
      </w:r>
      <w:r w:rsidRPr="001533CD">
        <w:rPr>
          <w:rFonts w:ascii="Garamond" w:hAnsi="Garamond"/>
        </w:rPr>
        <w:t xml:space="preserve"> because of concerns over birth date reliability. We measure timeliness from the demand-side, meaning we analyze to what extent caregivers bring their child for vaccination according to the prescribed due date. This is a binary indicator which will only include children whose cards or clinic register indicated they received the vaccine.</w:t>
      </w:r>
      <w:r w:rsidRPr="001533CD">
        <w:rPr>
          <w:rStyle w:val="FootnoteReference"/>
          <w:rFonts w:ascii="Garamond" w:hAnsi="Garamond"/>
        </w:rPr>
        <w:footnoteReference w:id="60"/>
      </w:r>
      <w:r w:rsidRPr="001533CD">
        <w:rPr>
          <w:rFonts w:ascii="Garamond" w:hAnsi="Garamond"/>
        </w:rPr>
        <w:t xml:space="preserve"> Gibson et al. 2016 used two weeks from the due date to define timeliness, but the study used demographic registry data and had exact birth dates. We will use this definition and a continuous outcome as robustness tests.</w:t>
      </w:r>
    </w:p>
    <w:p w14:paraId="496CE52A" w14:textId="77777777" w:rsidR="00784C83" w:rsidRPr="00963A8F" w:rsidRDefault="00784C83" w:rsidP="00784C83">
      <w:pPr>
        <w:spacing w:line="259" w:lineRule="auto"/>
        <w:jc w:val="both"/>
        <w:rPr>
          <w:rFonts w:ascii="Garamond" w:hAnsi="Garamond"/>
          <w:b/>
          <w:i/>
        </w:rPr>
      </w:pPr>
      <w:r w:rsidRPr="00963A8F">
        <w:rPr>
          <w:rFonts w:ascii="Garamond" w:hAnsi="Garamond"/>
          <w:b/>
          <w:i/>
        </w:rPr>
        <w:t>Average Number of Vaccines per Child</w:t>
      </w:r>
    </w:p>
    <w:p w14:paraId="71A04F93" w14:textId="77777777" w:rsidR="00784C83" w:rsidRPr="002518D2" w:rsidRDefault="00784C83" w:rsidP="00784C83">
      <w:pPr>
        <w:spacing w:after="160" w:line="259" w:lineRule="auto"/>
        <w:jc w:val="both"/>
        <w:rPr>
          <w:rFonts w:ascii="Garamond" w:hAnsi="Garamond"/>
          <w:b/>
        </w:rPr>
      </w:pPr>
      <w:r>
        <w:rPr>
          <w:rFonts w:ascii="Garamond" w:hAnsi="Garamond"/>
        </w:rPr>
        <w:t xml:space="preserve">This outcome </w:t>
      </w:r>
      <w:r w:rsidRPr="009C6065">
        <w:rPr>
          <w:rFonts w:ascii="Garamond" w:hAnsi="Garamond"/>
        </w:rPr>
        <w:t xml:space="preserve">is a proxy for retention and </w:t>
      </w:r>
      <w:r>
        <w:rPr>
          <w:rFonts w:ascii="Garamond" w:hAnsi="Garamond"/>
        </w:rPr>
        <w:t>will t</w:t>
      </w:r>
      <w:r w:rsidRPr="002518D2">
        <w:rPr>
          <w:rFonts w:ascii="Garamond" w:hAnsi="Garamond"/>
        </w:rPr>
        <w:t>ake the self-reported number of vaccinations corresponding with each visit</w:t>
      </w:r>
      <w:r>
        <w:rPr>
          <w:rFonts w:ascii="Garamond" w:hAnsi="Garamond"/>
        </w:rPr>
        <w:t xml:space="preserve"> in New Incentives’ vaccination schedule</w:t>
      </w:r>
      <w:r w:rsidRPr="002518D2">
        <w:rPr>
          <w:rFonts w:ascii="Garamond" w:hAnsi="Garamond"/>
        </w:rPr>
        <w:t xml:space="preserve"> </w:t>
      </w:r>
      <w:r>
        <w:rPr>
          <w:rFonts w:ascii="Garamond" w:hAnsi="Garamond"/>
        </w:rPr>
        <w:t>from</w:t>
      </w:r>
      <w:r w:rsidRPr="002518D2">
        <w:rPr>
          <w:rFonts w:ascii="Garamond" w:hAnsi="Garamond"/>
        </w:rPr>
        <w:t xml:space="preserve"> BCG, PENTA 1-3, </w:t>
      </w:r>
      <w:r>
        <w:rPr>
          <w:rFonts w:ascii="Garamond" w:hAnsi="Garamond"/>
        </w:rPr>
        <w:t>Measles</w:t>
      </w:r>
      <w:r w:rsidRPr="002518D2">
        <w:rPr>
          <w:rFonts w:ascii="Garamond" w:hAnsi="Garamond"/>
        </w:rPr>
        <w:t xml:space="preserve"> 1</w:t>
      </w:r>
      <w:r>
        <w:rPr>
          <w:rFonts w:ascii="Garamond" w:hAnsi="Garamond"/>
        </w:rPr>
        <w:t>. The average number of vaccines received per child could range therefore, from zero to five vaccines. We use the number of vaccinations rather than individual visits as infants can receive multiple vaccines in the schedule during the same visit.</w:t>
      </w:r>
    </w:p>
    <w:p w14:paraId="2E19BA02" w14:textId="77777777" w:rsidR="00784C83" w:rsidRPr="002518D2" w:rsidRDefault="00784C83" w:rsidP="00784C83">
      <w:pPr>
        <w:keepNext/>
        <w:spacing w:line="259" w:lineRule="auto"/>
        <w:jc w:val="both"/>
        <w:rPr>
          <w:rFonts w:ascii="Garamond" w:hAnsi="Garamond"/>
          <w:b/>
          <w:i/>
        </w:rPr>
      </w:pPr>
      <w:r w:rsidRPr="002518D2">
        <w:rPr>
          <w:rFonts w:ascii="Garamond" w:hAnsi="Garamond"/>
          <w:b/>
          <w:i/>
        </w:rPr>
        <w:t xml:space="preserve">Children that received at least one </w:t>
      </w:r>
      <w:r>
        <w:rPr>
          <w:rFonts w:ascii="Garamond" w:hAnsi="Garamond"/>
          <w:b/>
          <w:i/>
        </w:rPr>
        <w:t xml:space="preserve">injectable </w:t>
      </w:r>
      <w:r w:rsidRPr="002518D2">
        <w:rPr>
          <w:rFonts w:ascii="Garamond" w:hAnsi="Garamond"/>
          <w:b/>
          <w:i/>
        </w:rPr>
        <w:t>vaccine</w:t>
      </w:r>
    </w:p>
    <w:p w14:paraId="2C019F17" w14:textId="77777777" w:rsidR="00784C83" w:rsidRDefault="00784C83" w:rsidP="00784C83">
      <w:pPr>
        <w:spacing w:after="160" w:line="259" w:lineRule="auto"/>
        <w:jc w:val="both"/>
        <w:rPr>
          <w:rFonts w:ascii="Garamond" w:hAnsi="Garamond"/>
        </w:rPr>
      </w:pPr>
      <w:r>
        <w:rPr>
          <w:rFonts w:ascii="Garamond" w:hAnsi="Garamond"/>
        </w:rPr>
        <w:t>While the primary outcomes are individual injectable vaccines, this</w:t>
      </w:r>
      <w:r w:rsidRPr="002518D2">
        <w:rPr>
          <w:rFonts w:ascii="Garamond" w:hAnsi="Garamond"/>
        </w:rPr>
        <w:t xml:space="preserve"> </w:t>
      </w:r>
      <w:r>
        <w:rPr>
          <w:rFonts w:ascii="Garamond" w:hAnsi="Garamond"/>
        </w:rPr>
        <w:t xml:space="preserve">outcome is based on the self-reported response to </w:t>
      </w:r>
      <w:r w:rsidRPr="002518D2">
        <w:rPr>
          <w:rFonts w:ascii="Garamond" w:hAnsi="Garamond"/>
        </w:rPr>
        <w:t xml:space="preserve">the question “Has your child ever received any injectable vaccinations to prevent him/her from </w:t>
      </w:r>
      <w:r w:rsidRPr="002518D2">
        <w:rPr>
          <w:rFonts w:ascii="Garamond" w:hAnsi="Garamond"/>
        </w:rPr>
        <w:lastRenderedPageBreak/>
        <w:t>getting a disease?”</w:t>
      </w:r>
      <w:r>
        <w:rPr>
          <w:rFonts w:ascii="Garamond" w:hAnsi="Garamond"/>
        </w:rPr>
        <w:t xml:space="preserve"> This question is accompanied by a visual aid clearly showing the difference between injectable vaccinations and oral vaccinations.</w:t>
      </w:r>
    </w:p>
    <w:p w14:paraId="55411051" w14:textId="77777777" w:rsidR="00784C83" w:rsidRDefault="00784C83" w:rsidP="00784C83">
      <w:pPr>
        <w:pStyle w:val="Heading2"/>
        <w:jc w:val="both"/>
        <w:rPr>
          <w:rFonts w:ascii="Garamond" w:hAnsi="Garamond"/>
        </w:rPr>
      </w:pPr>
      <w:r w:rsidRPr="002A00DA">
        <w:rPr>
          <w:rFonts w:ascii="Garamond" w:hAnsi="Garamond"/>
          <w:sz w:val="28"/>
          <w:szCs w:val="28"/>
        </w:rPr>
        <w:t>Robustness Tests</w:t>
      </w:r>
      <w:r>
        <w:rPr>
          <w:rFonts w:ascii="Garamond" w:hAnsi="Garamond"/>
          <w:b/>
          <w:i/>
        </w:rPr>
        <w:tab/>
      </w:r>
    </w:p>
    <w:p w14:paraId="3C1BE0E6" w14:textId="77777777" w:rsidR="00784C83" w:rsidRDefault="00784C83" w:rsidP="00784C83">
      <w:pPr>
        <w:keepNext/>
        <w:jc w:val="both"/>
        <w:rPr>
          <w:rFonts w:ascii="Garamond" w:hAnsi="Garamond"/>
        </w:rPr>
      </w:pPr>
      <w:r>
        <w:rPr>
          <w:rFonts w:ascii="Garamond" w:hAnsi="Garamond"/>
        </w:rPr>
        <w:t>The following is a subset of the robustness tests we will also report:</w:t>
      </w:r>
    </w:p>
    <w:p w14:paraId="148F997F" w14:textId="77777777" w:rsidR="00784C83" w:rsidRPr="003C046E" w:rsidRDefault="00784C83" w:rsidP="00784C83">
      <w:pPr>
        <w:pStyle w:val="ListParagraph"/>
        <w:numPr>
          <w:ilvl w:val="0"/>
          <w:numId w:val="5"/>
        </w:numPr>
        <w:jc w:val="both"/>
        <w:rPr>
          <w:rFonts w:ascii="Garamond" w:hAnsi="Garamond"/>
        </w:rPr>
      </w:pPr>
      <w:r>
        <w:rPr>
          <w:rFonts w:ascii="Garamond" w:hAnsi="Garamond"/>
        </w:rPr>
        <w:t>Regression controlling for a full range of covariates</w:t>
      </w:r>
      <w:r>
        <w:rPr>
          <w:rStyle w:val="FootnoteReference"/>
          <w:rFonts w:ascii="Garamond" w:hAnsi="Garamond"/>
        </w:rPr>
        <w:footnoteReference w:id="61"/>
      </w:r>
    </w:p>
    <w:p w14:paraId="64004A9E" w14:textId="77777777" w:rsidR="00784C83" w:rsidRDefault="00784C83" w:rsidP="00784C83">
      <w:pPr>
        <w:pStyle w:val="ListParagraph"/>
        <w:numPr>
          <w:ilvl w:val="0"/>
          <w:numId w:val="5"/>
        </w:numPr>
        <w:jc w:val="both"/>
        <w:rPr>
          <w:rFonts w:ascii="Garamond" w:hAnsi="Garamond"/>
        </w:rPr>
      </w:pPr>
      <w:r>
        <w:rPr>
          <w:rFonts w:ascii="Garamond" w:hAnsi="Garamond"/>
        </w:rPr>
        <w:t>Regression controlling for baseline coverage</w:t>
      </w:r>
    </w:p>
    <w:p w14:paraId="7A3B730D" w14:textId="77777777" w:rsidR="00784C83" w:rsidRDefault="00784C83" w:rsidP="00784C83">
      <w:pPr>
        <w:pStyle w:val="ListParagraph"/>
        <w:numPr>
          <w:ilvl w:val="0"/>
          <w:numId w:val="5"/>
        </w:numPr>
        <w:jc w:val="both"/>
        <w:rPr>
          <w:rFonts w:ascii="Garamond" w:hAnsi="Garamond"/>
        </w:rPr>
      </w:pPr>
      <w:r>
        <w:rPr>
          <w:rFonts w:ascii="Garamond" w:hAnsi="Garamond"/>
        </w:rPr>
        <w:t>Alternative functional forms</w:t>
      </w:r>
    </w:p>
    <w:p w14:paraId="55B9A9E4" w14:textId="77777777" w:rsidR="00784C83" w:rsidRDefault="00784C83" w:rsidP="00784C83">
      <w:pPr>
        <w:pStyle w:val="ListParagraph"/>
        <w:numPr>
          <w:ilvl w:val="1"/>
          <w:numId w:val="5"/>
        </w:numPr>
        <w:jc w:val="both"/>
        <w:rPr>
          <w:rFonts w:ascii="Garamond" w:hAnsi="Garamond"/>
        </w:rPr>
      </w:pPr>
      <w:r>
        <w:rPr>
          <w:rFonts w:ascii="Garamond" w:hAnsi="Garamond"/>
        </w:rPr>
        <w:t>Logistic regression model</w:t>
      </w:r>
    </w:p>
    <w:p w14:paraId="4EB76685" w14:textId="77777777" w:rsidR="00784C83" w:rsidRDefault="00784C83" w:rsidP="00784C83">
      <w:pPr>
        <w:pStyle w:val="ListParagraph"/>
        <w:numPr>
          <w:ilvl w:val="0"/>
          <w:numId w:val="5"/>
        </w:numPr>
        <w:jc w:val="both"/>
        <w:rPr>
          <w:rFonts w:ascii="Garamond" w:hAnsi="Garamond"/>
        </w:rPr>
      </w:pPr>
      <w:r>
        <w:rPr>
          <w:rFonts w:ascii="Garamond" w:hAnsi="Garamond"/>
        </w:rPr>
        <w:t>Alternative sources of vaccination coverage</w:t>
      </w:r>
    </w:p>
    <w:p w14:paraId="6CE4DC39" w14:textId="77777777" w:rsidR="00784C83" w:rsidRDefault="00784C83" w:rsidP="00784C83">
      <w:pPr>
        <w:pStyle w:val="ListParagraph"/>
        <w:numPr>
          <w:ilvl w:val="1"/>
          <w:numId w:val="5"/>
        </w:numPr>
        <w:jc w:val="both"/>
        <w:rPr>
          <w:rFonts w:ascii="Garamond" w:hAnsi="Garamond"/>
        </w:rPr>
      </w:pPr>
      <w:r>
        <w:rPr>
          <w:rFonts w:ascii="Garamond" w:hAnsi="Garamond"/>
        </w:rPr>
        <w:t>Vaccination status based on child health card or clinic register match</w:t>
      </w:r>
    </w:p>
    <w:p w14:paraId="22E163BB" w14:textId="77777777" w:rsidR="00784C83" w:rsidRDefault="00784C83" w:rsidP="00784C83">
      <w:pPr>
        <w:pStyle w:val="ListParagraph"/>
        <w:numPr>
          <w:ilvl w:val="1"/>
          <w:numId w:val="5"/>
        </w:numPr>
        <w:jc w:val="both"/>
        <w:rPr>
          <w:rFonts w:ascii="Garamond" w:hAnsi="Garamond"/>
        </w:rPr>
      </w:pPr>
      <w:r w:rsidRPr="003B5441">
        <w:rPr>
          <w:rFonts w:ascii="Garamond" w:hAnsi="Garamond"/>
        </w:rPr>
        <w:t xml:space="preserve">Vaccination status treating “don’t know” response as missing </w:t>
      </w:r>
    </w:p>
    <w:p w14:paraId="3BBBBB80" w14:textId="77777777" w:rsidR="00784C83" w:rsidRDefault="00784C83" w:rsidP="00784C83">
      <w:pPr>
        <w:pStyle w:val="ListParagraph"/>
        <w:numPr>
          <w:ilvl w:val="1"/>
          <w:numId w:val="5"/>
        </w:numPr>
        <w:spacing w:after="160" w:line="259" w:lineRule="auto"/>
        <w:jc w:val="both"/>
        <w:rPr>
          <w:rFonts w:ascii="Garamond" w:hAnsi="Garamond"/>
        </w:rPr>
      </w:pPr>
      <w:r>
        <w:rPr>
          <w:rFonts w:ascii="Garamond" w:hAnsi="Garamond"/>
        </w:rPr>
        <w:t>Vaccination status using BCG scars as an alternative measure of BCG vaccination coverage (a check on self-reported data)</w:t>
      </w:r>
    </w:p>
    <w:p w14:paraId="2C14EAAD" w14:textId="77777777" w:rsidR="00784C83" w:rsidRDefault="00784C83" w:rsidP="00784C83">
      <w:pPr>
        <w:pStyle w:val="ListParagraph"/>
        <w:numPr>
          <w:ilvl w:val="0"/>
          <w:numId w:val="5"/>
        </w:numPr>
        <w:spacing w:after="160" w:line="259" w:lineRule="auto"/>
        <w:jc w:val="both"/>
        <w:rPr>
          <w:rFonts w:ascii="Garamond" w:hAnsi="Garamond"/>
        </w:rPr>
      </w:pPr>
      <w:r>
        <w:rPr>
          <w:rFonts w:ascii="Garamond" w:hAnsi="Garamond"/>
        </w:rPr>
        <w:t>A</w:t>
      </w:r>
      <w:r w:rsidRPr="002518D2">
        <w:rPr>
          <w:rFonts w:ascii="Garamond" w:hAnsi="Garamond"/>
        </w:rPr>
        <w:t>lternative</w:t>
      </w:r>
      <w:r>
        <w:rPr>
          <w:rFonts w:ascii="Garamond" w:hAnsi="Garamond"/>
        </w:rPr>
        <w:t xml:space="preserve"> measures of timeliness</w:t>
      </w:r>
    </w:p>
    <w:p w14:paraId="397BCC22" w14:textId="77777777" w:rsidR="00784C83" w:rsidRDefault="00784C83" w:rsidP="00784C83">
      <w:pPr>
        <w:pStyle w:val="ListParagraph"/>
        <w:numPr>
          <w:ilvl w:val="1"/>
          <w:numId w:val="5"/>
        </w:numPr>
        <w:spacing w:after="160" w:line="259" w:lineRule="auto"/>
        <w:jc w:val="both"/>
        <w:rPr>
          <w:rFonts w:ascii="Garamond" w:hAnsi="Garamond"/>
        </w:rPr>
      </w:pPr>
      <w:r>
        <w:rPr>
          <w:rFonts w:ascii="Garamond" w:hAnsi="Garamond"/>
        </w:rPr>
        <w:t>Binary with t</w:t>
      </w:r>
      <w:r w:rsidRPr="002518D2">
        <w:rPr>
          <w:rFonts w:ascii="Garamond" w:hAnsi="Garamond"/>
        </w:rPr>
        <w:t>wo-week</w:t>
      </w:r>
      <w:r>
        <w:rPr>
          <w:rFonts w:ascii="Garamond" w:hAnsi="Garamond"/>
        </w:rPr>
        <w:t xml:space="preserve"> window (rather than one month)</w:t>
      </w:r>
    </w:p>
    <w:p w14:paraId="5D5313A9" w14:textId="77777777" w:rsidR="00784C83" w:rsidRDefault="00784C83" w:rsidP="00784C83">
      <w:pPr>
        <w:pStyle w:val="ListParagraph"/>
        <w:numPr>
          <w:ilvl w:val="1"/>
          <w:numId w:val="5"/>
        </w:numPr>
        <w:spacing w:after="160" w:line="259" w:lineRule="auto"/>
        <w:jc w:val="both"/>
        <w:rPr>
          <w:rFonts w:ascii="Garamond" w:hAnsi="Garamond"/>
        </w:rPr>
      </w:pPr>
      <w:r>
        <w:rPr>
          <w:rFonts w:ascii="Garamond" w:hAnsi="Garamond"/>
        </w:rPr>
        <w:t>Days since the due date</w:t>
      </w:r>
    </w:p>
    <w:p w14:paraId="57261608" w14:textId="77777777" w:rsidR="00784C83" w:rsidRPr="00D32D8F" w:rsidRDefault="00784C83" w:rsidP="00784C83">
      <w:pPr>
        <w:pStyle w:val="ListParagraph"/>
        <w:numPr>
          <w:ilvl w:val="0"/>
          <w:numId w:val="5"/>
        </w:numPr>
        <w:spacing w:after="160" w:line="259" w:lineRule="auto"/>
        <w:jc w:val="both"/>
        <w:rPr>
          <w:rFonts w:ascii="Garamond" w:hAnsi="Garamond"/>
        </w:rPr>
      </w:pPr>
      <w:r w:rsidRPr="00D32D8F">
        <w:rPr>
          <w:rFonts w:ascii="Garamond" w:hAnsi="Garamond"/>
        </w:rPr>
        <w:t>BCG scars</w:t>
      </w:r>
    </w:p>
    <w:p w14:paraId="6B28105D" w14:textId="77777777" w:rsidR="00784C83" w:rsidRPr="00D32D8F" w:rsidRDefault="00784C83" w:rsidP="00784C83">
      <w:pPr>
        <w:pStyle w:val="ListParagraph"/>
        <w:numPr>
          <w:ilvl w:val="1"/>
          <w:numId w:val="5"/>
        </w:numPr>
        <w:spacing w:after="160" w:line="259" w:lineRule="auto"/>
        <w:jc w:val="both"/>
        <w:rPr>
          <w:rFonts w:ascii="Garamond" w:hAnsi="Garamond"/>
        </w:rPr>
      </w:pPr>
      <w:r w:rsidRPr="00D32D8F">
        <w:rPr>
          <w:rFonts w:ascii="Garamond" w:hAnsi="Garamond"/>
        </w:rPr>
        <w:t xml:space="preserve">This outcome is the percentage of infants that enumerators observe with BCG scars. </w:t>
      </w:r>
      <w:r>
        <w:rPr>
          <w:rFonts w:ascii="Garamond" w:hAnsi="Garamond"/>
        </w:rPr>
        <w:t>Though not issue-free, BCG scars do avoid the recall problems that affect self reported data and the imperfect record keeping that affects administrative data</w:t>
      </w:r>
      <w:r w:rsidRPr="00D32D8F">
        <w:rPr>
          <w:rFonts w:ascii="Garamond" w:hAnsi="Garamond"/>
        </w:rPr>
        <w:t>.</w:t>
      </w:r>
      <w:r>
        <w:rPr>
          <w:rStyle w:val="FootnoteReference"/>
          <w:rFonts w:ascii="Garamond" w:hAnsi="Garamond"/>
        </w:rPr>
        <w:footnoteReference w:id="62"/>
      </w:r>
      <w:r>
        <w:rPr>
          <w:rFonts w:ascii="Garamond" w:hAnsi="Garamond"/>
        </w:rPr>
        <w:t xml:space="preserve"> Accordingly, we will use program impact on scars as a robustness test for impact on self-reported BCG vaccination. Large discrepancies will be cause for further investigation.</w:t>
      </w:r>
    </w:p>
    <w:p w14:paraId="7B08A95B" w14:textId="77777777" w:rsidR="00784C83" w:rsidRPr="00381BB7" w:rsidRDefault="00784C83" w:rsidP="00784C83">
      <w:pPr>
        <w:pStyle w:val="Heading2"/>
        <w:jc w:val="both"/>
        <w:rPr>
          <w:rFonts w:ascii="Garamond" w:hAnsi="Garamond"/>
          <w:sz w:val="28"/>
          <w:szCs w:val="28"/>
        </w:rPr>
      </w:pPr>
      <w:r>
        <w:rPr>
          <w:rFonts w:ascii="Garamond" w:hAnsi="Garamond"/>
          <w:sz w:val="28"/>
          <w:szCs w:val="28"/>
        </w:rPr>
        <w:t>Limitations</w:t>
      </w:r>
    </w:p>
    <w:p w14:paraId="165605B7" w14:textId="77777777" w:rsidR="00784C83" w:rsidRDefault="00784C83" w:rsidP="00784C83">
      <w:pPr>
        <w:spacing w:after="160" w:line="259" w:lineRule="auto"/>
        <w:jc w:val="both"/>
        <w:rPr>
          <w:rFonts w:ascii="Garamond" w:hAnsi="Garamond"/>
        </w:rPr>
      </w:pPr>
      <w:r>
        <w:rPr>
          <w:rFonts w:ascii="Garamond" w:hAnsi="Garamond"/>
        </w:rPr>
        <w:t>In addition to the data quality and multiple hypothesis testing issues discussed in the primary outcome indicator and specification sections, the validity of the study may also be threatened by contamination and attrition.</w:t>
      </w:r>
    </w:p>
    <w:p w14:paraId="7D26087B" w14:textId="77777777" w:rsidR="00784C83" w:rsidRDefault="00784C83" w:rsidP="00784C83">
      <w:pPr>
        <w:spacing w:line="259" w:lineRule="auto"/>
        <w:rPr>
          <w:rFonts w:ascii="Garamond" w:hAnsi="Garamond"/>
        </w:rPr>
      </w:pPr>
      <w:r>
        <w:rPr>
          <w:rFonts w:ascii="Garamond" w:hAnsi="Garamond"/>
          <w:b/>
          <w:i/>
        </w:rPr>
        <w:t>Contamination</w:t>
      </w:r>
    </w:p>
    <w:p w14:paraId="37205011" w14:textId="77777777" w:rsidR="00784C83" w:rsidRDefault="00784C83" w:rsidP="00784C83">
      <w:pPr>
        <w:spacing w:after="160" w:line="259" w:lineRule="auto"/>
        <w:jc w:val="both"/>
        <w:rPr>
          <w:rFonts w:ascii="Garamond" w:hAnsi="Garamond"/>
        </w:rPr>
      </w:pPr>
      <w:r>
        <w:rPr>
          <w:rFonts w:ascii="Garamond" w:hAnsi="Garamond"/>
        </w:rPr>
        <w:lastRenderedPageBreak/>
        <w:t>New Incentives cannot ensure that all infants it serves are from program clinics’ catchments. Even though New Incentives has systems in place to probe caregivers about their settlement of origin, it is certainly possible for caregivers to lie. This could lead to two issues: caregivers from control clinics receive incentives at treatment clinics or overcrowding occurs that could impact operations at treatment clinics in a way that would not exist at scale.</w:t>
      </w:r>
      <w:r>
        <w:rPr>
          <w:rStyle w:val="FootnoteReference"/>
          <w:rFonts w:ascii="Garamond" w:hAnsi="Garamond"/>
        </w:rPr>
        <w:footnoteReference w:id="63"/>
      </w:r>
      <w:r>
        <w:rPr>
          <w:rFonts w:ascii="Garamond" w:hAnsi="Garamond"/>
        </w:rPr>
        <w:t xml:space="preserve"> To combat the first issue, treatment and control sites were spaced such that the average control clinic is 22 km from the nearest treatment clinic. This was based on exit interviews at pilot sites in the North West and an analysis of settlements listed in clinic records for those clinics. More details can be found in the </w:t>
      </w:r>
      <w:hyperlink r:id="rId11" w:history="1">
        <w:r w:rsidRPr="0069361E">
          <w:rPr>
            <w:rStyle w:val="Hyperlink"/>
            <w:rFonts w:ascii="Garamond" w:hAnsi="Garamond"/>
          </w:rPr>
          <w:t>pre</w:t>
        </w:r>
        <w:r>
          <w:rPr>
            <w:rStyle w:val="Hyperlink"/>
            <w:rFonts w:ascii="Garamond" w:hAnsi="Garamond"/>
          </w:rPr>
          <w:noBreakHyphen/>
        </w:r>
        <w:r w:rsidRPr="0069361E">
          <w:rPr>
            <w:rStyle w:val="Hyperlink"/>
            <w:rFonts w:ascii="Garamond" w:hAnsi="Garamond"/>
          </w:rPr>
          <w:t>RCT report</w:t>
        </w:r>
      </w:hyperlink>
      <w:r>
        <w:rPr>
          <w:rFonts w:ascii="Garamond" w:hAnsi="Garamond"/>
        </w:rPr>
        <w:t>.</w:t>
      </w:r>
    </w:p>
    <w:p w14:paraId="6DAC7FE7" w14:textId="77777777" w:rsidR="00784C83" w:rsidRDefault="00784C83" w:rsidP="00784C83">
      <w:pPr>
        <w:spacing w:after="160" w:line="259" w:lineRule="auto"/>
        <w:jc w:val="both"/>
        <w:rPr>
          <w:rFonts w:ascii="Garamond" w:hAnsi="Garamond"/>
        </w:rPr>
      </w:pPr>
      <w:r>
        <w:rPr>
          <w:rFonts w:ascii="Garamond" w:hAnsi="Garamond"/>
        </w:rPr>
        <w:t xml:space="preserve">In certain cases where clinics were relatively close to each other (15km as the crow flies), New Incentives confirmed that traveling between the two clinics was difficult. However, the main source of assurance that control caregivers will not travel to treatment clinics is the sheer number of non-study clinics between treatment and control sites. None of the study </w:t>
      </w:r>
      <w:proofErr w:type="gramStart"/>
      <w:r>
        <w:rPr>
          <w:rFonts w:ascii="Garamond" w:hAnsi="Garamond"/>
        </w:rPr>
        <w:t>clinics’</w:t>
      </w:r>
      <w:proofErr w:type="gramEnd"/>
      <w:r>
        <w:rPr>
          <w:rFonts w:ascii="Garamond" w:hAnsi="Garamond"/>
        </w:rPr>
        <w:t xml:space="preserve"> nearest neighbors are study clinics and only 2% of study clinics have a study clinic included among their five nearest neighbors. Thus, people from non-study neighboring clinic catchments would likely overcrowd a treatment clinic before substantial numbers of infants from control clinics would visit. During the baseline, we asked caregivers to identify other clinics attended. We did not identify any cases of caregivers listing a study clinic as an alternate clinic they visited to vaccinate their child.</w:t>
      </w:r>
      <w:r>
        <w:rPr>
          <w:rStyle w:val="FootnoteReference"/>
          <w:rFonts w:ascii="Garamond" w:hAnsi="Garamond"/>
        </w:rPr>
        <w:footnoteReference w:id="64"/>
      </w:r>
      <w:r>
        <w:rPr>
          <w:rFonts w:ascii="Garamond" w:hAnsi="Garamond"/>
        </w:rPr>
        <w:t xml:space="preserve"> However, 20.6% of infants reportedly received at least one vaccination at a non-study clinic (though they lived in the catchment area of a study clinic).</w:t>
      </w:r>
      <w:r>
        <w:rPr>
          <w:rStyle w:val="FootnoteReference"/>
          <w:rFonts w:ascii="Garamond" w:hAnsi="Garamond"/>
        </w:rPr>
        <w:footnoteReference w:id="65"/>
      </w:r>
      <w:r>
        <w:rPr>
          <w:rFonts w:ascii="Garamond" w:hAnsi="Garamond"/>
        </w:rPr>
        <w:t xml:space="preserve"> </w:t>
      </w:r>
    </w:p>
    <w:p w14:paraId="0DB3B80F" w14:textId="77777777" w:rsidR="00784C83" w:rsidRDefault="00784C83" w:rsidP="00784C83">
      <w:pPr>
        <w:keepNext/>
        <w:spacing w:line="259" w:lineRule="auto"/>
        <w:rPr>
          <w:rFonts w:ascii="Garamond" w:hAnsi="Garamond"/>
          <w:b/>
          <w:i/>
        </w:rPr>
      </w:pPr>
      <w:r>
        <w:rPr>
          <w:rFonts w:ascii="Garamond" w:hAnsi="Garamond"/>
          <w:b/>
          <w:i/>
        </w:rPr>
        <w:t>Attrition</w:t>
      </w:r>
    </w:p>
    <w:p w14:paraId="42A8C3BB" w14:textId="091F8AE1" w:rsidR="00784C83" w:rsidRDefault="00784C83" w:rsidP="00784C83">
      <w:pPr>
        <w:spacing w:after="160" w:line="259" w:lineRule="auto"/>
        <w:jc w:val="both"/>
        <w:rPr>
          <w:rFonts w:ascii="Garamond" w:hAnsi="Garamond"/>
        </w:rPr>
      </w:pPr>
      <w:r>
        <w:rPr>
          <w:rFonts w:ascii="Garamond" w:hAnsi="Garamond"/>
        </w:rPr>
        <w:t>While attrition in terms of individual infants is only a minor issue</w:t>
      </w:r>
      <w:r>
        <w:rPr>
          <w:rStyle w:val="FootnoteReference"/>
          <w:rFonts w:ascii="Garamond" w:hAnsi="Garamond"/>
        </w:rPr>
        <w:footnoteReference w:id="66"/>
      </w:r>
      <w:r>
        <w:rPr>
          <w:rFonts w:ascii="Garamond" w:hAnsi="Garamond"/>
        </w:rPr>
        <w:t xml:space="preserve"> because a different cohort is surveyed for each round of data collection, attrition of clinics is possible. </w:t>
      </w:r>
      <w:proofErr w:type="spellStart"/>
      <w:r>
        <w:rPr>
          <w:rFonts w:ascii="Garamond" w:hAnsi="Garamond"/>
        </w:rPr>
        <w:t>IDinsight</w:t>
      </w:r>
      <w:proofErr w:type="spellEnd"/>
      <w:r>
        <w:rPr>
          <w:rFonts w:ascii="Garamond" w:hAnsi="Garamond"/>
        </w:rPr>
        <w:t xml:space="preserve"> may be unable to survey</w:t>
      </w:r>
      <w:r>
        <w:rPr>
          <w:rStyle w:val="FootnoteReference"/>
          <w:rFonts w:ascii="Garamond" w:hAnsi="Garamond"/>
        </w:rPr>
        <w:footnoteReference w:id="67"/>
      </w:r>
      <w:r>
        <w:rPr>
          <w:rFonts w:ascii="Garamond" w:hAnsi="Garamond"/>
        </w:rPr>
        <w:t xml:space="preserve"> some fraction of study clinic catchments at </w:t>
      </w:r>
      <w:proofErr w:type="spellStart"/>
      <w:r>
        <w:rPr>
          <w:rFonts w:ascii="Garamond" w:hAnsi="Garamond"/>
        </w:rPr>
        <w:t>endline</w:t>
      </w:r>
      <w:proofErr w:type="spellEnd"/>
      <w:r>
        <w:rPr>
          <w:rFonts w:ascii="Garamond" w:hAnsi="Garamond"/>
        </w:rPr>
        <w:t xml:space="preserve"> due to security threats. </w:t>
      </w:r>
      <w:proofErr w:type="spellStart"/>
      <w:r>
        <w:rPr>
          <w:rFonts w:ascii="Garamond" w:hAnsi="Garamond"/>
        </w:rPr>
        <w:t>IDinsight</w:t>
      </w:r>
      <w:proofErr w:type="spellEnd"/>
      <w:r>
        <w:rPr>
          <w:rFonts w:ascii="Garamond" w:hAnsi="Garamond"/>
        </w:rPr>
        <w:t xml:space="preserve"> and its survey partners will make every effort to survey all study catchment areas while ensuring personnel safety. </w:t>
      </w:r>
    </w:p>
    <w:p w14:paraId="5C4B3C41" w14:textId="69C7CD40" w:rsidR="003502E0" w:rsidRDefault="003502E0" w:rsidP="00982EAF">
      <w:pPr>
        <w:spacing w:line="259" w:lineRule="auto"/>
        <w:jc w:val="both"/>
        <w:rPr>
          <w:rFonts w:ascii="Garamond" w:hAnsi="Garamond"/>
          <w:i/>
          <w:iCs/>
        </w:rPr>
      </w:pPr>
      <w:r>
        <w:rPr>
          <w:rFonts w:ascii="Garamond" w:hAnsi="Garamond"/>
          <w:i/>
          <w:iCs/>
        </w:rPr>
        <w:t>Migration</w:t>
      </w:r>
    </w:p>
    <w:p w14:paraId="3119F3E8" w14:textId="20C25823" w:rsidR="003502E0" w:rsidRPr="003502E0" w:rsidRDefault="003502E0" w:rsidP="00784C83">
      <w:pPr>
        <w:spacing w:after="160" w:line="259" w:lineRule="auto"/>
        <w:jc w:val="both"/>
        <w:rPr>
          <w:rFonts w:ascii="Garamond" w:hAnsi="Garamond"/>
        </w:rPr>
      </w:pPr>
      <w:r>
        <w:rPr>
          <w:rFonts w:ascii="Garamond" w:hAnsi="Garamond"/>
        </w:rPr>
        <w:t xml:space="preserve">Infants who move into a treatment clinic after having started their vaccination schedule elsewhere are often ineligible for the program (to avoid fraud in the form of changing clinics to obtain incentives twice). These infants will be untreated but will be surveyed if they meet the age cutoffs. Infants who enroll in the program before moving out of the catchment area are partially treated but will not be surveyed. If rates at which both phenomena happen are large and different from what would occur at scale, this could reduce the extent to which we can extrapolate from the study’s results to the scale-up context. Baseline and piloting suggest that this happens </w:t>
      </w:r>
      <w:proofErr w:type="gramStart"/>
      <w:r>
        <w:rPr>
          <w:rFonts w:ascii="Garamond" w:hAnsi="Garamond"/>
        </w:rPr>
        <w:t>rarely</w:t>
      </w:r>
      <w:proofErr w:type="gramEnd"/>
      <w:r>
        <w:rPr>
          <w:rFonts w:ascii="Garamond" w:hAnsi="Garamond"/>
        </w:rPr>
        <w:t xml:space="preserve"> and it is likely that both phenomena will occur at scale, though perhaps less often</w:t>
      </w:r>
      <w:r w:rsidR="00C86E15">
        <w:rPr>
          <w:rFonts w:ascii="Garamond" w:hAnsi="Garamond"/>
        </w:rPr>
        <w:t>, since -</w:t>
      </w:r>
      <w:r w:rsidR="00D87E8F">
        <w:rPr>
          <w:rFonts w:ascii="Garamond" w:hAnsi="Garamond"/>
        </w:rPr>
        <w:lastRenderedPageBreak/>
        <w:t>without control clinics</w:t>
      </w:r>
      <w:r w:rsidR="00C86E15">
        <w:rPr>
          <w:rFonts w:ascii="Garamond" w:hAnsi="Garamond"/>
        </w:rPr>
        <w:t xml:space="preserve"> -</w:t>
      </w:r>
      <w:r w:rsidR="00D87E8F">
        <w:rPr>
          <w:rFonts w:ascii="Garamond" w:hAnsi="Garamond"/>
        </w:rPr>
        <w:t xml:space="preserve"> any enrolled infant who moves is much more likely to move to another program catchment and remain enrolled</w:t>
      </w:r>
      <w:r>
        <w:rPr>
          <w:rFonts w:ascii="Garamond" w:hAnsi="Garamond"/>
        </w:rPr>
        <w:t>.</w:t>
      </w:r>
    </w:p>
    <w:bookmarkEnd w:id="5"/>
    <w:p w14:paraId="63ADD487" w14:textId="77777777" w:rsidR="00EA1C2F" w:rsidRDefault="00EA1C2F" w:rsidP="00EA1C2F">
      <w:pPr>
        <w:pStyle w:val="Heading2"/>
        <w:rPr>
          <w:rFonts w:ascii="Garamond" w:hAnsi="Garamond"/>
          <w:sz w:val="28"/>
          <w:szCs w:val="28"/>
        </w:rPr>
      </w:pPr>
      <w:r>
        <w:rPr>
          <w:rFonts w:ascii="Garamond" w:hAnsi="Garamond"/>
          <w:sz w:val="28"/>
          <w:szCs w:val="28"/>
        </w:rPr>
        <w:br w:type="page"/>
      </w:r>
    </w:p>
    <w:p w14:paraId="61C1CB73" w14:textId="7269E61D" w:rsidR="00EA1C2F" w:rsidRPr="00381BB7" w:rsidRDefault="00EA1C2F" w:rsidP="00A3613C">
      <w:pPr>
        <w:pStyle w:val="Heading1"/>
        <w:rPr>
          <w:rFonts w:ascii="Garamond" w:hAnsi="Garamond"/>
          <w:u w:val="none"/>
        </w:rPr>
      </w:pPr>
      <w:r w:rsidRPr="00381BB7">
        <w:rPr>
          <w:rFonts w:ascii="Garamond" w:hAnsi="Garamond"/>
          <w:u w:val="none"/>
        </w:rPr>
        <w:lastRenderedPageBreak/>
        <w:t>Annex 1: Clinic Selection</w:t>
      </w:r>
    </w:p>
    <w:p w14:paraId="58258E7C" w14:textId="06BD2748" w:rsidR="002659B8" w:rsidRPr="00DC12E4" w:rsidRDefault="00DC12E4" w:rsidP="00DC12E4">
      <w:pPr>
        <w:jc w:val="both"/>
        <w:rPr>
          <w:rFonts w:ascii="Garamond" w:eastAsia="Times New Roman" w:hAnsi="Garamond" w:cs="Arial"/>
          <w:color w:val="222222"/>
          <w:shd w:val="clear" w:color="auto" w:fill="FFFFFF"/>
        </w:rPr>
      </w:pPr>
      <w:r>
        <w:rPr>
          <w:rFonts w:ascii="Garamond" w:eastAsia="Times New Roman" w:hAnsi="Garamond" w:cs="Arial"/>
          <w:color w:val="222222"/>
          <w:shd w:val="clear" w:color="auto" w:fill="FFFFFF"/>
        </w:rPr>
        <w:t>This annex explains how clinics were selected for the New Incentives Evaluation.</w:t>
      </w:r>
    </w:p>
    <w:p w14:paraId="23C3D7B7" w14:textId="77777777" w:rsidR="00DC12E4" w:rsidRPr="00381BB7" w:rsidRDefault="00DC12E4" w:rsidP="00A3613C">
      <w:pPr>
        <w:pStyle w:val="NoSpacing"/>
        <w:rPr>
          <w:rFonts w:ascii="Garamond" w:hAnsi="Garamond"/>
        </w:rPr>
      </w:pPr>
    </w:p>
    <w:p w14:paraId="02FDD618" w14:textId="63B95A44" w:rsidR="002659B8" w:rsidRPr="00381BB7" w:rsidRDefault="00EA1C2F" w:rsidP="000577DA">
      <w:pPr>
        <w:pStyle w:val="Heading2"/>
        <w:rPr>
          <w:rFonts w:ascii="Garamond" w:hAnsi="Garamond"/>
          <w:sz w:val="28"/>
          <w:szCs w:val="28"/>
        </w:rPr>
      </w:pPr>
      <w:r w:rsidRPr="00381BB7">
        <w:rPr>
          <w:rFonts w:ascii="Garamond" w:hAnsi="Garamond"/>
          <w:sz w:val="28"/>
          <w:szCs w:val="28"/>
        </w:rPr>
        <w:t>Summary</w:t>
      </w:r>
    </w:p>
    <w:p w14:paraId="7855B4D3" w14:textId="48FB4553" w:rsidR="00C46095" w:rsidRDefault="00EA1C2F" w:rsidP="00A3613C">
      <w:pPr>
        <w:pStyle w:val="Normal1"/>
        <w:spacing w:line="259" w:lineRule="auto"/>
        <w:jc w:val="both"/>
        <w:rPr>
          <w:rFonts w:ascii="Garamond" w:hAnsi="Garamond"/>
          <w:color w:val="222222"/>
        </w:rPr>
      </w:pPr>
      <w:r w:rsidRPr="00EE7C34">
        <w:rPr>
          <w:rFonts w:ascii="Garamond" w:hAnsi="Garamond"/>
          <w:color w:val="222222"/>
        </w:rPr>
        <w:t xml:space="preserve">New Incentives and </w:t>
      </w:r>
      <w:proofErr w:type="spellStart"/>
      <w:r w:rsidRPr="00EE7C34">
        <w:rPr>
          <w:rFonts w:ascii="Garamond" w:hAnsi="Garamond"/>
          <w:color w:val="222222"/>
        </w:rPr>
        <w:t>IDinsight’s</w:t>
      </w:r>
      <w:proofErr w:type="spellEnd"/>
      <w:r w:rsidRPr="00EE7C34">
        <w:rPr>
          <w:rFonts w:ascii="Garamond" w:hAnsi="Garamond"/>
          <w:color w:val="222222"/>
        </w:rPr>
        <w:t xml:space="preserve"> approach to clinic selection was to create a representative sample of well-spaced, operational, and secure clinics offering routine immunization services in the three North Western Nigerian States of Zamfara, Katsina and Jigawa.</w:t>
      </w:r>
      <w:r w:rsidR="00C46095">
        <w:rPr>
          <w:rFonts w:ascii="Garamond" w:hAnsi="Garamond"/>
          <w:color w:val="222222"/>
        </w:rPr>
        <w:t xml:space="preserve"> It is important to note that the requirement </w:t>
      </w:r>
      <w:r w:rsidR="00F25BB3">
        <w:rPr>
          <w:rFonts w:ascii="Garamond" w:hAnsi="Garamond"/>
          <w:color w:val="222222"/>
        </w:rPr>
        <w:t xml:space="preserve">that </w:t>
      </w:r>
      <w:r w:rsidR="00C46095">
        <w:rPr>
          <w:rFonts w:ascii="Garamond" w:hAnsi="Garamond"/>
          <w:color w:val="222222"/>
        </w:rPr>
        <w:t>the clinics were well-spaced does mean that clinics in clinic</w:t>
      </w:r>
      <w:r w:rsidR="00F25BB3">
        <w:rPr>
          <w:rFonts w:ascii="Garamond" w:hAnsi="Garamond"/>
          <w:color w:val="222222"/>
        </w:rPr>
        <w:t>-</w:t>
      </w:r>
      <w:r w:rsidR="00C46095">
        <w:rPr>
          <w:rFonts w:ascii="Garamond" w:hAnsi="Garamond"/>
          <w:color w:val="222222"/>
        </w:rPr>
        <w:t xml:space="preserve">dense areas were less likely to be </w:t>
      </w:r>
      <w:r w:rsidR="00DD13D3" w:rsidRPr="00201384">
        <w:rPr>
          <w:rFonts w:ascii="Garamond" w:hAnsi="Garamond"/>
          <w:color w:val="222222"/>
        </w:rPr>
        <w:t>selected</w:t>
      </w:r>
      <w:r w:rsidR="00C46095" w:rsidRPr="00201384">
        <w:rPr>
          <w:rFonts w:ascii="Garamond" w:hAnsi="Garamond"/>
          <w:color w:val="222222"/>
        </w:rPr>
        <w:t>.</w:t>
      </w:r>
      <w:r w:rsidR="00C46095">
        <w:rPr>
          <w:rFonts w:ascii="Garamond" w:hAnsi="Garamond"/>
          <w:color w:val="222222"/>
        </w:rPr>
        <w:t xml:space="preserve"> While clinic density is relatively uniform across North West </w:t>
      </w:r>
      <w:r w:rsidR="00DD13D3">
        <w:rPr>
          <w:rFonts w:ascii="Garamond" w:hAnsi="Garamond"/>
          <w:color w:val="222222"/>
        </w:rPr>
        <w:t xml:space="preserve">Nigeria, </w:t>
      </w:r>
      <w:r w:rsidR="00A10B46">
        <w:rPr>
          <w:rFonts w:ascii="Garamond" w:hAnsi="Garamond"/>
          <w:color w:val="222222"/>
        </w:rPr>
        <w:t xml:space="preserve">we will analyze at </w:t>
      </w:r>
      <w:proofErr w:type="spellStart"/>
      <w:r w:rsidR="00A10B46">
        <w:rPr>
          <w:rFonts w:ascii="Garamond" w:hAnsi="Garamond"/>
          <w:color w:val="222222"/>
        </w:rPr>
        <w:t>endline</w:t>
      </w:r>
      <w:proofErr w:type="spellEnd"/>
      <w:r w:rsidR="00A10B46">
        <w:rPr>
          <w:rFonts w:ascii="Garamond" w:hAnsi="Garamond"/>
          <w:color w:val="222222"/>
        </w:rPr>
        <w:t xml:space="preserve"> the degree to which </w:t>
      </w:r>
      <w:r w:rsidR="001C604F">
        <w:rPr>
          <w:rFonts w:ascii="Garamond" w:hAnsi="Garamond"/>
          <w:color w:val="222222"/>
        </w:rPr>
        <w:t>27</w:t>
      </w:r>
      <w:r w:rsidR="00A10B46">
        <w:rPr>
          <w:rFonts w:ascii="Garamond" w:hAnsi="Garamond"/>
          <w:color w:val="222222"/>
        </w:rPr>
        <w:t xml:space="preserve"> semi-urban and urban clinics</w:t>
      </w:r>
      <w:r w:rsidR="00FB5C2B">
        <w:rPr>
          <w:rFonts w:ascii="Garamond" w:hAnsi="Garamond"/>
          <w:color w:val="222222"/>
        </w:rPr>
        <w:t>, across the three states,</w:t>
      </w:r>
      <w:r w:rsidR="00A10B46">
        <w:rPr>
          <w:rFonts w:ascii="Garamond" w:hAnsi="Garamond"/>
          <w:color w:val="222222"/>
        </w:rPr>
        <w:t xml:space="preserve"> are different from clinics in less population dense areas</w:t>
      </w:r>
      <w:r w:rsidR="00DD13D3">
        <w:rPr>
          <w:rFonts w:ascii="Garamond" w:hAnsi="Garamond"/>
          <w:color w:val="222222"/>
        </w:rPr>
        <w:t xml:space="preserve"> to ensure the results are fully generalizable. </w:t>
      </w:r>
    </w:p>
    <w:p w14:paraId="2838EF8B" w14:textId="77777777" w:rsidR="00C46095" w:rsidRDefault="00C46095" w:rsidP="00A3613C">
      <w:pPr>
        <w:pStyle w:val="Normal1"/>
        <w:spacing w:line="259" w:lineRule="auto"/>
        <w:jc w:val="both"/>
        <w:rPr>
          <w:rFonts w:ascii="Garamond" w:hAnsi="Garamond"/>
          <w:color w:val="222222"/>
        </w:rPr>
      </w:pPr>
    </w:p>
    <w:p w14:paraId="01927CCB" w14:textId="5B4B6628" w:rsidR="00EA1C2F" w:rsidRPr="00EE7C34" w:rsidRDefault="00EA1C2F" w:rsidP="00A3613C">
      <w:pPr>
        <w:pStyle w:val="Normal1"/>
        <w:spacing w:line="259" w:lineRule="auto"/>
        <w:jc w:val="both"/>
        <w:rPr>
          <w:rFonts w:ascii="Garamond" w:hAnsi="Garamond"/>
          <w:color w:val="222222"/>
        </w:rPr>
      </w:pPr>
      <w:r>
        <w:rPr>
          <w:rFonts w:ascii="Garamond" w:hAnsi="Garamond"/>
          <w:color w:val="222222"/>
        </w:rPr>
        <w:t>We optimized the s</w:t>
      </w:r>
      <w:r w:rsidRPr="00EE7C34">
        <w:rPr>
          <w:rFonts w:ascii="Garamond" w:hAnsi="Garamond"/>
          <w:color w:val="222222"/>
        </w:rPr>
        <w:t xml:space="preserve">election of clinics across the three Nigerian states </w:t>
      </w:r>
      <w:r>
        <w:rPr>
          <w:rFonts w:ascii="Garamond" w:hAnsi="Garamond"/>
          <w:color w:val="222222"/>
        </w:rPr>
        <w:t>to maximize</w:t>
      </w:r>
      <w:r w:rsidRPr="00EE7C34">
        <w:rPr>
          <w:rFonts w:ascii="Garamond" w:hAnsi="Garamond"/>
          <w:color w:val="222222"/>
        </w:rPr>
        <w:t xml:space="preserve"> distance between selected clinics </w:t>
      </w:r>
      <w:r>
        <w:rPr>
          <w:rFonts w:ascii="Garamond" w:hAnsi="Garamond"/>
          <w:color w:val="222222"/>
        </w:rPr>
        <w:t>and thus</w:t>
      </w:r>
      <w:r w:rsidRPr="00EE7C34">
        <w:rPr>
          <w:rFonts w:ascii="Garamond" w:hAnsi="Garamond"/>
          <w:color w:val="222222"/>
        </w:rPr>
        <w:t xml:space="preserve"> minimize </w:t>
      </w:r>
      <w:r w:rsidR="00CE1718">
        <w:rPr>
          <w:rFonts w:ascii="Garamond" w:hAnsi="Garamond"/>
          <w:color w:val="222222"/>
        </w:rPr>
        <w:t>spillovers</w:t>
      </w:r>
      <w:r w:rsidR="00A70D1E" w:rsidRPr="00EE7C34">
        <w:rPr>
          <w:rFonts w:ascii="Garamond" w:hAnsi="Garamond"/>
          <w:color w:val="222222"/>
        </w:rPr>
        <w:t xml:space="preserve"> </w:t>
      </w:r>
      <w:r w:rsidRPr="00EE7C34">
        <w:rPr>
          <w:rFonts w:ascii="Garamond" w:hAnsi="Garamond"/>
          <w:color w:val="222222"/>
        </w:rPr>
        <w:t>between treatment and control clinics</w:t>
      </w:r>
      <w:r>
        <w:rPr>
          <w:rFonts w:ascii="Garamond" w:hAnsi="Garamond"/>
          <w:color w:val="222222"/>
        </w:rPr>
        <w:t>.</w:t>
      </w:r>
      <w:r w:rsidRPr="00EE7C34">
        <w:rPr>
          <w:rFonts w:ascii="Garamond" w:hAnsi="Garamond"/>
          <w:color w:val="222222"/>
        </w:rPr>
        <w:t xml:space="preserve"> </w:t>
      </w:r>
      <w:r>
        <w:rPr>
          <w:rFonts w:ascii="Garamond" w:hAnsi="Garamond"/>
          <w:color w:val="222222"/>
        </w:rPr>
        <w:t xml:space="preserve">New Incentives </w:t>
      </w:r>
      <w:r w:rsidRPr="00EE7C34">
        <w:rPr>
          <w:rFonts w:ascii="Garamond" w:hAnsi="Garamond"/>
          <w:color w:val="222222"/>
        </w:rPr>
        <w:t xml:space="preserve">screened out clinics at which </w:t>
      </w:r>
      <w:r w:rsidR="002659B8">
        <w:rPr>
          <w:rFonts w:ascii="Garamond" w:hAnsi="Garamond"/>
          <w:color w:val="222222"/>
        </w:rPr>
        <w:t>New Incentive’s</w:t>
      </w:r>
      <w:r w:rsidR="002659B8" w:rsidRPr="00EE7C34">
        <w:rPr>
          <w:rFonts w:ascii="Garamond" w:hAnsi="Garamond"/>
          <w:color w:val="222222"/>
        </w:rPr>
        <w:t xml:space="preserve"> </w:t>
      </w:r>
      <w:r w:rsidRPr="00EE7C34">
        <w:rPr>
          <w:rFonts w:ascii="Garamond" w:hAnsi="Garamond"/>
          <w:color w:val="222222"/>
        </w:rPr>
        <w:t xml:space="preserve">scaled program would not normally operate. The four criteria set during pre-screening included: security, </w:t>
      </w:r>
      <w:r>
        <w:rPr>
          <w:rFonts w:ascii="Garamond" w:hAnsi="Garamond"/>
          <w:color w:val="222222"/>
        </w:rPr>
        <w:t xml:space="preserve">availability of </w:t>
      </w:r>
      <w:r w:rsidR="002659B8">
        <w:rPr>
          <w:rFonts w:ascii="Garamond" w:hAnsi="Garamond"/>
          <w:color w:val="222222"/>
        </w:rPr>
        <w:t xml:space="preserve">routine immunization (RI) </w:t>
      </w:r>
      <w:r>
        <w:rPr>
          <w:rFonts w:ascii="Garamond" w:hAnsi="Garamond"/>
          <w:color w:val="222222"/>
        </w:rPr>
        <w:t>services</w:t>
      </w:r>
      <w:r w:rsidRPr="00EE7C34">
        <w:rPr>
          <w:rFonts w:ascii="Garamond" w:hAnsi="Garamond"/>
          <w:color w:val="222222"/>
        </w:rPr>
        <w:t xml:space="preserve">, remoteness, and staffing. </w:t>
      </w:r>
      <w:r>
        <w:rPr>
          <w:rFonts w:ascii="Garamond" w:hAnsi="Garamond"/>
          <w:color w:val="222222"/>
        </w:rPr>
        <w:t xml:space="preserve">The </w:t>
      </w:r>
      <w:r w:rsidRPr="00EE7C34">
        <w:rPr>
          <w:rFonts w:ascii="Garamond" w:hAnsi="Garamond"/>
          <w:color w:val="222222"/>
        </w:rPr>
        <w:t xml:space="preserve">latter two categories were used for prioritizing clinics rather than excluding clinics. </w:t>
      </w:r>
      <w:r>
        <w:rPr>
          <w:rFonts w:ascii="Garamond" w:hAnsi="Garamond"/>
          <w:color w:val="222222"/>
        </w:rPr>
        <w:t xml:space="preserve">To assess availability of RI services, minimum criteria </w:t>
      </w:r>
      <w:r w:rsidR="002659B8">
        <w:rPr>
          <w:rFonts w:ascii="Garamond" w:hAnsi="Garamond"/>
          <w:color w:val="222222"/>
        </w:rPr>
        <w:t xml:space="preserve">were </w:t>
      </w:r>
      <w:r>
        <w:rPr>
          <w:rFonts w:ascii="Garamond" w:hAnsi="Garamond"/>
          <w:color w:val="222222"/>
        </w:rPr>
        <w:t>applied</w:t>
      </w:r>
      <w:r w:rsidR="00A3613C">
        <w:rPr>
          <w:rFonts w:ascii="Garamond" w:hAnsi="Garamond"/>
          <w:color w:val="222222"/>
        </w:rPr>
        <w:t>;</w:t>
      </w:r>
      <w:r>
        <w:rPr>
          <w:rFonts w:ascii="Garamond" w:hAnsi="Garamond"/>
          <w:color w:val="222222"/>
        </w:rPr>
        <w:t xml:space="preserve"> </w:t>
      </w:r>
      <w:r w:rsidR="00A3613C">
        <w:rPr>
          <w:rFonts w:ascii="Garamond" w:hAnsi="Garamond"/>
          <w:color w:val="222222"/>
        </w:rPr>
        <w:t>specifically</w:t>
      </w:r>
      <w:r>
        <w:rPr>
          <w:rFonts w:ascii="Garamond" w:hAnsi="Garamond"/>
          <w:color w:val="222222"/>
        </w:rPr>
        <w:t xml:space="preserve">, records confirming ongoing RI services </w:t>
      </w:r>
      <w:r w:rsidR="00A70D1E">
        <w:rPr>
          <w:rFonts w:ascii="Garamond" w:hAnsi="Garamond"/>
          <w:color w:val="222222"/>
        </w:rPr>
        <w:t xml:space="preserve">over </w:t>
      </w:r>
      <w:r>
        <w:rPr>
          <w:rFonts w:ascii="Garamond" w:hAnsi="Garamond"/>
          <w:color w:val="222222"/>
        </w:rPr>
        <w:t xml:space="preserve">the past six months and </w:t>
      </w:r>
      <w:r w:rsidR="00A70D1E">
        <w:rPr>
          <w:rFonts w:ascii="Garamond" w:hAnsi="Garamond"/>
          <w:color w:val="222222"/>
        </w:rPr>
        <w:t>the</w:t>
      </w:r>
      <w:r>
        <w:rPr>
          <w:rFonts w:ascii="Garamond" w:hAnsi="Garamond"/>
          <w:color w:val="222222"/>
        </w:rPr>
        <w:t xml:space="preserve"> clinic building </w:t>
      </w:r>
      <w:r w:rsidR="00A70D1E">
        <w:rPr>
          <w:rFonts w:ascii="Garamond" w:hAnsi="Garamond"/>
          <w:color w:val="222222"/>
        </w:rPr>
        <w:t>was</w:t>
      </w:r>
      <w:r>
        <w:rPr>
          <w:rFonts w:ascii="Garamond" w:hAnsi="Garamond"/>
          <w:color w:val="222222"/>
        </w:rPr>
        <w:t xml:space="preserve"> usable.</w:t>
      </w:r>
    </w:p>
    <w:p w14:paraId="6BCA38EE" w14:textId="77777777" w:rsidR="00EA1C2F" w:rsidRPr="00EE7C34" w:rsidRDefault="00EA1C2F" w:rsidP="00A3613C">
      <w:pPr>
        <w:pStyle w:val="Normal1"/>
        <w:spacing w:line="259" w:lineRule="auto"/>
        <w:jc w:val="both"/>
        <w:rPr>
          <w:rFonts w:ascii="Garamond" w:hAnsi="Garamond"/>
          <w:color w:val="222222"/>
        </w:rPr>
      </w:pPr>
    </w:p>
    <w:p w14:paraId="47F703B7" w14:textId="56EAE239" w:rsidR="00EA1C2F" w:rsidRDefault="00EA1C2F" w:rsidP="00A3613C">
      <w:pPr>
        <w:pStyle w:val="Normal1"/>
        <w:spacing w:line="259" w:lineRule="auto"/>
        <w:jc w:val="both"/>
        <w:rPr>
          <w:rFonts w:ascii="Garamond" w:hAnsi="Garamond"/>
          <w:color w:val="222222"/>
        </w:rPr>
      </w:pPr>
      <w:r w:rsidRPr="00EE7C34">
        <w:rPr>
          <w:rFonts w:ascii="Garamond" w:hAnsi="Garamond"/>
          <w:color w:val="222222"/>
        </w:rPr>
        <w:t>As New Incentives is uncertain of how one</w:t>
      </w:r>
      <w:r w:rsidR="00CB7D97">
        <w:rPr>
          <w:rFonts w:ascii="Garamond" w:hAnsi="Garamond"/>
          <w:color w:val="222222"/>
        </w:rPr>
        <w:t xml:space="preserve"> RI</w:t>
      </w:r>
      <w:r w:rsidRPr="00EE7C34">
        <w:rPr>
          <w:rFonts w:ascii="Garamond" w:hAnsi="Garamond"/>
          <w:color w:val="222222"/>
        </w:rPr>
        <w:t xml:space="preserve"> staff member and/or longer travel distance </w:t>
      </w:r>
      <w:r w:rsidR="00A70D1E">
        <w:rPr>
          <w:rFonts w:ascii="Garamond" w:hAnsi="Garamond"/>
          <w:color w:val="222222"/>
        </w:rPr>
        <w:t>affect</w:t>
      </w:r>
      <w:r w:rsidR="00A70D1E" w:rsidRPr="00EE7C34">
        <w:rPr>
          <w:rFonts w:ascii="Garamond" w:hAnsi="Garamond"/>
          <w:color w:val="222222"/>
        </w:rPr>
        <w:t xml:space="preserve"> </w:t>
      </w:r>
      <w:r w:rsidRPr="00EE7C34">
        <w:rPr>
          <w:rFonts w:ascii="Garamond" w:hAnsi="Garamond"/>
          <w:color w:val="222222"/>
        </w:rPr>
        <w:t>operations</w:t>
      </w:r>
      <w:r>
        <w:rPr>
          <w:rFonts w:ascii="Garamond" w:hAnsi="Garamond"/>
          <w:color w:val="222222"/>
        </w:rPr>
        <w:t>, especially longer-term sustainability</w:t>
      </w:r>
      <w:r w:rsidRPr="00EE7C34">
        <w:rPr>
          <w:rFonts w:ascii="Garamond" w:hAnsi="Garamond"/>
          <w:color w:val="222222"/>
        </w:rPr>
        <w:t xml:space="preserve">, </w:t>
      </w:r>
      <w:r>
        <w:rPr>
          <w:rFonts w:ascii="Garamond" w:hAnsi="Garamond"/>
          <w:color w:val="222222"/>
        </w:rPr>
        <w:t>a few such</w:t>
      </w:r>
      <w:r w:rsidRPr="00EE7C34">
        <w:rPr>
          <w:rFonts w:ascii="Garamond" w:hAnsi="Garamond"/>
          <w:color w:val="222222"/>
        </w:rPr>
        <w:t xml:space="preserve"> clinics were included in the final </w:t>
      </w:r>
      <w:r w:rsidR="00B3001E">
        <w:rPr>
          <w:rFonts w:ascii="Garamond" w:hAnsi="Garamond"/>
          <w:color w:val="222222"/>
        </w:rPr>
        <w:t>sample</w:t>
      </w:r>
      <w:r>
        <w:rPr>
          <w:rFonts w:ascii="Garamond" w:hAnsi="Garamond"/>
          <w:color w:val="222222"/>
        </w:rPr>
        <w:t xml:space="preserve"> so that New Incentives can learn how the program functions at these types of clinics</w:t>
      </w:r>
      <w:r w:rsidRPr="00EE7C34">
        <w:rPr>
          <w:rFonts w:ascii="Garamond" w:hAnsi="Garamond"/>
          <w:color w:val="222222"/>
        </w:rPr>
        <w:t xml:space="preserve">. Clinics with </w:t>
      </w:r>
      <w:r>
        <w:rPr>
          <w:rFonts w:ascii="Garamond" w:hAnsi="Garamond"/>
          <w:color w:val="222222"/>
        </w:rPr>
        <w:t>stockouts</w:t>
      </w:r>
      <w:r w:rsidRPr="00EE7C34">
        <w:rPr>
          <w:rFonts w:ascii="Garamond" w:hAnsi="Garamond"/>
          <w:color w:val="222222"/>
        </w:rPr>
        <w:t xml:space="preserve"> of vaccines or </w:t>
      </w:r>
      <w:r w:rsidR="00FB55C3">
        <w:rPr>
          <w:rFonts w:ascii="Garamond" w:hAnsi="Garamond"/>
          <w:color w:val="222222"/>
        </w:rPr>
        <w:t>c</w:t>
      </w:r>
      <w:r w:rsidRPr="00EE7C34">
        <w:rPr>
          <w:rFonts w:ascii="Garamond" w:hAnsi="Garamond"/>
          <w:color w:val="222222"/>
        </w:rPr>
        <w:t xml:space="preserve">hild </w:t>
      </w:r>
      <w:r w:rsidR="00FB55C3">
        <w:rPr>
          <w:rFonts w:ascii="Garamond" w:hAnsi="Garamond"/>
          <w:color w:val="222222"/>
        </w:rPr>
        <w:t>h</w:t>
      </w:r>
      <w:r w:rsidRPr="00EE7C34">
        <w:rPr>
          <w:rFonts w:ascii="Garamond" w:hAnsi="Garamond"/>
          <w:color w:val="222222"/>
        </w:rPr>
        <w:t xml:space="preserve">ealth </w:t>
      </w:r>
      <w:r w:rsidR="00C46095">
        <w:rPr>
          <w:rFonts w:ascii="Garamond" w:hAnsi="Garamond"/>
          <w:color w:val="222222"/>
        </w:rPr>
        <w:t>c</w:t>
      </w:r>
      <w:r w:rsidRPr="00EE7C34">
        <w:rPr>
          <w:rFonts w:ascii="Garamond" w:hAnsi="Garamond"/>
          <w:color w:val="222222"/>
        </w:rPr>
        <w:t>ards, low-volume clinics,</w:t>
      </w:r>
      <w:r w:rsidRPr="00EE7C34">
        <w:rPr>
          <w:rFonts w:ascii="Garamond" w:hAnsi="Garamond"/>
          <w:color w:val="222222"/>
          <w:vertAlign w:val="superscript"/>
        </w:rPr>
        <w:footnoteReference w:id="68"/>
      </w:r>
      <w:r w:rsidRPr="00EE7C34">
        <w:rPr>
          <w:rFonts w:ascii="Garamond" w:hAnsi="Garamond"/>
          <w:color w:val="222222"/>
        </w:rPr>
        <w:t xml:space="preserve"> and clinic</w:t>
      </w:r>
      <w:r w:rsidR="00FB55C3">
        <w:rPr>
          <w:rFonts w:ascii="Garamond" w:hAnsi="Garamond"/>
          <w:color w:val="222222"/>
        </w:rPr>
        <w:t>s with certain designations</w:t>
      </w:r>
      <w:r w:rsidRPr="00EE7C34">
        <w:rPr>
          <w:rFonts w:ascii="Garamond" w:hAnsi="Garamond"/>
          <w:color w:val="222222"/>
        </w:rPr>
        <w:t xml:space="preserve"> such as Dispensaries o</w:t>
      </w:r>
      <w:r>
        <w:rPr>
          <w:rFonts w:ascii="Garamond" w:hAnsi="Garamond"/>
          <w:color w:val="222222"/>
        </w:rPr>
        <w:t>r</w:t>
      </w:r>
      <w:r w:rsidRPr="00EE7C34">
        <w:rPr>
          <w:rFonts w:ascii="Garamond" w:hAnsi="Garamond"/>
          <w:color w:val="222222"/>
        </w:rPr>
        <w:t xml:space="preserve"> Health </w:t>
      </w:r>
      <w:r>
        <w:rPr>
          <w:rFonts w:ascii="Garamond" w:hAnsi="Garamond"/>
          <w:color w:val="222222"/>
        </w:rPr>
        <w:t>Posts</w:t>
      </w:r>
      <w:r w:rsidRPr="00EE7C34">
        <w:rPr>
          <w:rFonts w:ascii="Garamond" w:hAnsi="Garamond"/>
          <w:color w:val="222222"/>
        </w:rPr>
        <w:t xml:space="preserve"> were </w:t>
      </w:r>
      <w:r w:rsidRPr="00381BB7">
        <w:rPr>
          <w:rFonts w:ascii="Garamond" w:hAnsi="Garamond"/>
          <w:i/>
          <w:color w:val="222222"/>
        </w:rPr>
        <w:t>not</w:t>
      </w:r>
      <w:r w:rsidRPr="00EE7C34">
        <w:rPr>
          <w:rFonts w:ascii="Garamond" w:hAnsi="Garamond"/>
          <w:color w:val="222222"/>
        </w:rPr>
        <w:t xml:space="preserve"> excluded because these are clinics that New Incentives would include at scale. This mix of criteria allowed for a diverse and representative sample of clinics.</w:t>
      </w:r>
    </w:p>
    <w:p w14:paraId="6A564F3B" w14:textId="77777777" w:rsidR="00EA1C2F" w:rsidRDefault="00EA1C2F" w:rsidP="00A3613C">
      <w:pPr>
        <w:pStyle w:val="Normal1"/>
        <w:spacing w:line="259" w:lineRule="auto"/>
        <w:jc w:val="both"/>
        <w:rPr>
          <w:rFonts w:ascii="Garamond" w:hAnsi="Garamond"/>
          <w:color w:val="222222"/>
        </w:rPr>
      </w:pPr>
    </w:p>
    <w:p w14:paraId="0C2A7CC7" w14:textId="77777777" w:rsidR="00EA1C2F" w:rsidRPr="00EE7C34" w:rsidRDefault="00EA1C2F" w:rsidP="00A3613C">
      <w:pPr>
        <w:pStyle w:val="Normal1"/>
        <w:spacing w:line="259" w:lineRule="auto"/>
        <w:jc w:val="both"/>
        <w:rPr>
          <w:rFonts w:ascii="Garamond" w:hAnsi="Garamond"/>
          <w:color w:val="222222"/>
        </w:rPr>
      </w:pPr>
      <w:r>
        <w:rPr>
          <w:rFonts w:ascii="Garamond" w:hAnsi="Garamond"/>
          <w:color w:val="222222"/>
        </w:rPr>
        <w:t xml:space="preserve">Clinic selection occurred in roughly three phases. First, clinics in Katsina and Zamfara were selected in preparation for the baseline. After the end of data collection, the Katsina and Zamfara clinic list was reduced due to security issues. Finally, the Jigawa list was selected to compensate for the reductions in the Katsina and Zamfara lists. </w:t>
      </w:r>
    </w:p>
    <w:p w14:paraId="550198D0" w14:textId="77777777" w:rsidR="00EA1C2F" w:rsidRPr="00EE7C34" w:rsidRDefault="00EA1C2F" w:rsidP="00A3613C">
      <w:pPr>
        <w:pStyle w:val="Normal1"/>
        <w:spacing w:line="259" w:lineRule="auto"/>
        <w:jc w:val="both"/>
        <w:rPr>
          <w:rFonts w:ascii="Garamond" w:hAnsi="Garamond"/>
          <w:color w:val="222222"/>
        </w:rPr>
      </w:pPr>
    </w:p>
    <w:p w14:paraId="39503815" w14:textId="77777777" w:rsidR="00EA1C2F" w:rsidRPr="00381BB7" w:rsidRDefault="00EA1C2F" w:rsidP="00F9661A">
      <w:pPr>
        <w:pStyle w:val="Heading2"/>
        <w:rPr>
          <w:rFonts w:ascii="Garamond" w:hAnsi="Garamond"/>
          <w:sz w:val="28"/>
          <w:szCs w:val="28"/>
        </w:rPr>
      </w:pPr>
      <w:r w:rsidRPr="00381BB7">
        <w:rPr>
          <w:rFonts w:ascii="Garamond" w:hAnsi="Garamond"/>
          <w:sz w:val="28"/>
          <w:szCs w:val="28"/>
        </w:rPr>
        <w:t>Details of Selection Processes (Katsina &amp; Zamfara)</w:t>
      </w:r>
    </w:p>
    <w:p w14:paraId="55845345" w14:textId="77777777" w:rsidR="00EA1C2F" w:rsidRPr="000577DA" w:rsidRDefault="00EA1C2F" w:rsidP="00381BB7">
      <w:pPr>
        <w:pStyle w:val="Normal1"/>
        <w:spacing w:line="259" w:lineRule="auto"/>
        <w:jc w:val="both"/>
        <w:rPr>
          <w:rFonts w:ascii="Garamond" w:hAnsi="Garamond"/>
          <w:b/>
          <w:i/>
          <w:color w:val="222222"/>
        </w:rPr>
      </w:pPr>
      <w:r w:rsidRPr="000577DA">
        <w:rPr>
          <w:rFonts w:ascii="Garamond" w:hAnsi="Garamond"/>
          <w:b/>
          <w:i/>
          <w:color w:val="222222"/>
        </w:rPr>
        <w:t>Initial selection</w:t>
      </w:r>
    </w:p>
    <w:p w14:paraId="507B6F82" w14:textId="30201FC6" w:rsidR="00EA1C2F" w:rsidRPr="00EE7C34" w:rsidRDefault="00EA1C2F" w:rsidP="00A3613C">
      <w:pPr>
        <w:pStyle w:val="Normal1"/>
        <w:spacing w:line="259" w:lineRule="auto"/>
        <w:jc w:val="both"/>
        <w:rPr>
          <w:rFonts w:ascii="Garamond" w:hAnsi="Garamond"/>
          <w:color w:val="222222"/>
        </w:rPr>
      </w:pPr>
      <w:proofErr w:type="spellStart"/>
      <w:r w:rsidRPr="00EE7C34">
        <w:rPr>
          <w:rFonts w:ascii="Garamond" w:hAnsi="Garamond"/>
          <w:color w:val="222222"/>
        </w:rPr>
        <w:t>IDinsight</w:t>
      </w:r>
      <w:proofErr w:type="spellEnd"/>
      <w:r w:rsidRPr="00EE7C34">
        <w:rPr>
          <w:rFonts w:ascii="Garamond" w:hAnsi="Garamond"/>
          <w:color w:val="222222"/>
        </w:rPr>
        <w:t xml:space="preserve"> used an algorithm</w:t>
      </w:r>
      <w:r w:rsidRPr="00EE7C34">
        <w:rPr>
          <w:rFonts w:ascii="Garamond" w:hAnsi="Garamond"/>
          <w:color w:val="222222"/>
          <w:vertAlign w:val="superscript"/>
        </w:rPr>
        <w:footnoteReference w:id="69"/>
      </w:r>
      <w:r w:rsidRPr="00EE7C34">
        <w:rPr>
          <w:rFonts w:ascii="Garamond" w:hAnsi="Garamond"/>
          <w:color w:val="222222"/>
        </w:rPr>
        <w:t xml:space="preserve"> to randomly select public clinics in each of the states, optimizing the distance between selected clinics. The program randomly selected a starting clinic and then dropped all clinics within 17km</w:t>
      </w:r>
      <w:r w:rsidRPr="00EE7C34">
        <w:rPr>
          <w:rStyle w:val="FootnoteReference"/>
          <w:rFonts w:ascii="Garamond" w:hAnsi="Garamond"/>
          <w:color w:val="222222"/>
        </w:rPr>
        <w:footnoteReference w:id="70"/>
      </w:r>
      <w:r w:rsidRPr="00EE7C34">
        <w:rPr>
          <w:rFonts w:ascii="Garamond" w:hAnsi="Garamond"/>
          <w:color w:val="222222"/>
        </w:rPr>
        <w:t xml:space="preserve"> before selecting the nearest neighbor. This process continued until all clinics were exhausted. The output of the best iteration of this program was then adjusted to increase the number of </w:t>
      </w:r>
      <w:r>
        <w:rPr>
          <w:rFonts w:ascii="Garamond" w:hAnsi="Garamond"/>
          <w:color w:val="222222"/>
        </w:rPr>
        <w:t>eligible clinics</w:t>
      </w:r>
      <w:r w:rsidR="00334F66">
        <w:rPr>
          <w:rFonts w:ascii="Garamond" w:hAnsi="Garamond"/>
          <w:color w:val="222222"/>
        </w:rPr>
        <w:t xml:space="preserve"> </w:t>
      </w:r>
      <w:r w:rsidRPr="00EE7C34">
        <w:rPr>
          <w:rFonts w:ascii="Garamond" w:hAnsi="Garamond"/>
          <w:color w:val="222222"/>
        </w:rPr>
        <w:t>by selecting clinics slightly closer together than 17km</w:t>
      </w:r>
      <w:r w:rsidR="00F9661A">
        <w:rPr>
          <w:rFonts w:ascii="Garamond" w:hAnsi="Garamond"/>
          <w:color w:val="222222"/>
        </w:rPr>
        <w:t xml:space="preserve"> </w:t>
      </w:r>
      <w:r w:rsidR="00334F66">
        <w:rPr>
          <w:rFonts w:ascii="Garamond" w:hAnsi="Garamond"/>
          <w:color w:val="222222"/>
        </w:rPr>
        <w:t>but separated by</w:t>
      </w:r>
      <w:r w:rsidR="00F9661A">
        <w:rPr>
          <w:rFonts w:ascii="Garamond" w:hAnsi="Garamond"/>
          <w:color w:val="222222"/>
        </w:rPr>
        <w:t xml:space="preserve"> natural gaps in the road network</w:t>
      </w:r>
      <w:r w:rsidRPr="00EE7C34">
        <w:rPr>
          <w:rFonts w:ascii="Garamond" w:hAnsi="Garamond"/>
          <w:color w:val="222222"/>
        </w:rPr>
        <w:t xml:space="preserve">. </w:t>
      </w:r>
      <w:r w:rsidR="00F9661A">
        <w:rPr>
          <w:rFonts w:ascii="Garamond" w:hAnsi="Garamond"/>
          <w:color w:val="222222"/>
        </w:rPr>
        <w:t xml:space="preserve">There are only </w:t>
      </w:r>
      <w:r w:rsidR="00CB7D97">
        <w:rPr>
          <w:rFonts w:ascii="Garamond" w:hAnsi="Garamond"/>
          <w:color w:val="222222"/>
        </w:rPr>
        <w:t xml:space="preserve">nine </w:t>
      </w:r>
      <w:r w:rsidR="00F9661A">
        <w:rPr>
          <w:rFonts w:ascii="Garamond" w:hAnsi="Garamond"/>
          <w:color w:val="222222"/>
        </w:rPr>
        <w:t>pairs</w:t>
      </w:r>
      <w:r w:rsidR="00381BB7">
        <w:rPr>
          <w:rFonts w:ascii="Garamond" w:hAnsi="Garamond"/>
          <w:color w:val="222222"/>
        </w:rPr>
        <w:t xml:space="preserve"> of</w:t>
      </w:r>
      <w:r w:rsidR="00F9661A">
        <w:rPr>
          <w:rFonts w:ascii="Garamond" w:hAnsi="Garamond"/>
          <w:color w:val="222222"/>
        </w:rPr>
        <w:t xml:space="preserve"> treatment and control clinics less than </w:t>
      </w:r>
      <w:r w:rsidR="00CB7D97">
        <w:rPr>
          <w:rFonts w:ascii="Garamond" w:hAnsi="Garamond"/>
          <w:color w:val="222222"/>
        </w:rPr>
        <w:t xml:space="preserve">17km </w:t>
      </w:r>
      <w:r w:rsidR="00F9661A">
        <w:rPr>
          <w:rFonts w:ascii="Garamond" w:hAnsi="Garamond"/>
          <w:color w:val="222222"/>
        </w:rPr>
        <w:t>apart</w:t>
      </w:r>
      <w:r w:rsidR="00FF7149">
        <w:rPr>
          <w:rFonts w:ascii="Garamond" w:hAnsi="Garamond"/>
          <w:color w:val="222222"/>
        </w:rPr>
        <w:t>,</w:t>
      </w:r>
      <w:r w:rsidR="00F9661A">
        <w:rPr>
          <w:rFonts w:ascii="Garamond" w:hAnsi="Garamond"/>
          <w:color w:val="222222"/>
        </w:rPr>
        <w:t xml:space="preserve"> and New Incentives staff</w:t>
      </w:r>
      <w:r w:rsidR="00FF7149">
        <w:rPr>
          <w:rFonts w:ascii="Garamond" w:hAnsi="Garamond"/>
          <w:color w:val="222222"/>
        </w:rPr>
        <w:t xml:space="preserve"> vetted these cases</w:t>
      </w:r>
      <w:r w:rsidR="00F9661A">
        <w:rPr>
          <w:rFonts w:ascii="Garamond" w:hAnsi="Garamond"/>
          <w:color w:val="222222"/>
        </w:rPr>
        <w:t xml:space="preserve"> to ensure that travel times and costs would be greater than the value of t</w:t>
      </w:r>
      <w:r w:rsidR="00FF7149">
        <w:rPr>
          <w:rFonts w:ascii="Garamond" w:hAnsi="Garamond"/>
          <w:color w:val="222222"/>
        </w:rPr>
        <w:t>he incentive.</w:t>
      </w:r>
    </w:p>
    <w:p w14:paraId="2A71A838" w14:textId="77777777" w:rsidR="00EA1C2F" w:rsidRPr="00EE7C34" w:rsidRDefault="00EA1C2F" w:rsidP="00A3613C">
      <w:pPr>
        <w:pStyle w:val="Normal1"/>
        <w:spacing w:line="259" w:lineRule="auto"/>
        <w:jc w:val="both"/>
        <w:rPr>
          <w:rFonts w:ascii="Garamond" w:hAnsi="Garamond"/>
          <w:color w:val="222222"/>
        </w:rPr>
      </w:pPr>
    </w:p>
    <w:p w14:paraId="2861E301" w14:textId="762FD4F2" w:rsidR="00EA1C2F" w:rsidRDefault="00EA1C2F" w:rsidP="003A367D">
      <w:pPr>
        <w:pStyle w:val="Normal1"/>
        <w:spacing w:line="259" w:lineRule="auto"/>
        <w:jc w:val="both"/>
        <w:rPr>
          <w:rFonts w:ascii="Garamond" w:hAnsi="Garamond"/>
          <w:color w:val="222222"/>
        </w:rPr>
      </w:pPr>
      <w:r w:rsidRPr="00EE7C34">
        <w:rPr>
          <w:rFonts w:ascii="Garamond" w:hAnsi="Garamond"/>
          <w:color w:val="222222"/>
        </w:rPr>
        <w:t xml:space="preserve">To </w:t>
      </w:r>
      <w:r w:rsidR="0093278E">
        <w:rPr>
          <w:rFonts w:ascii="Garamond" w:hAnsi="Garamond"/>
          <w:color w:val="222222"/>
        </w:rPr>
        <w:t>define</w:t>
      </w:r>
      <w:r w:rsidRPr="00EE7C34">
        <w:rPr>
          <w:rFonts w:ascii="Garamond" w:hAnsi="Garamond"/>
          <w:color w:val="222222"/>
        </w:rPr>
        <w:t xml:space="preserve"> the universe of possible clinic locations, we used</w:t>
      </w:r>
      <w:r w:rsidR="00192F1F">
        <w:rPr>
          <w:rFonts w:ascii="Garamond" w:hAnsi="Garamond"/>
          <w:color w:val="222222"/>
        </w:rPr>
        <w:t xml:space="preserve"> </w:t>
      </w:r>
      <w:r w:rsidR="00BB5A2C">
        <w:rPr>
          <w:rFonts w:ascii="Garamond" w:hAnsi="Garamond"/>
          <w:color w:val="222222"/>
        </w:rPr>
        <w:t>two</w:t>
      </w:r>
      <w:r w:rsidRPr="00EE7C34">
        <w:rPr>
          <w:rFonts w:ascii="Garamond" w:hAnsi="Garamond"/>
          <w:color w:val="222222"/>
        </w:rPr>
        <w:t xml:space="preserve"> lists of health facilities in North West Nigeria. The first list </w:t>
      </w:r>
      <w:r w:rsidR="00BB5A2C">
        <w:rPr>
          <w:rFonts w:ascii="Garamond" w:hAnsi="Garamond"/>
          <w:color w:val="222222"/>
        </w:rPr>
        <w:t>is from</w:t>
      </w:r>
      <w:r w:rsidRPr="00EE7C34">
        <w:rPr>
          <w:rFonts w:ascii="Garamond" w:hAnsi="Garamond"/>
          <w:color w:val="222222"/>
        </w:rPr>
        <w:t xml:space="preserve"> eHealth Africa and is informed by Nigeria’s national polio vaccination campaign microplanning. The second list </w:t>
      </w:r>
      <w:r w:rsidR="00BB5A2C">
        <w:rPr>
          <w:rFonts w:ascii="Garamond" w:hAnsi="Garamond"/>
          <w:color w:val="222222"/>
        </w:rPr>
        <w:t>is</w:t>
      </w:r>
      <w:r w:rsidRPr="00EE7C34">
        <w:rPr>
          <w:rFonts w:ascii="Garamond" w:hAnsi="Garamond"/>
          <w:color w:val="222222"/>
        </w:rPr>
        <w:t xml:space="preserve"> from the Nigeria Millennium Development Goals Information System (</w:t>
      </w:r>
      <w:hyperlink r:id="rId12">
        <w:r w:rsidRPr="00EE7C34">
          <w:rPr>
            <w:rFonts w:ascii="Garamond" w:hAnsi="Garamond"/>
            <w:color w:val="1155CC"/>
            <w:u w:val="single"/>
          </w:rPr>
          <w:t>NMIS</w:t>
        </w:r>
      </w:hyperlink>
      <w:r w:rsidRPr="00EE7C34">
        <w:rPr>
          <w:rFonts w:ascii="Garamond" w:hAnsi="Garamond"/>
          <w:color w:val="222222"/>
        </w:rPr>
        <w:t xml:space="preserve">). The eHealth Africa data is continuously updated while NMIS data </w:t>
      </w:r>
      <w:r w:rsidR="003A367D">
        <w:rPr>
          <w:rFonts w:ascii="Garamond" w:hAnsi="Garamond"/>
          <w:color w:val="222222"/>
        </w:rPr>
        <w:t>is</w:t>
      </w:r>
      <w:r>
        <w:rPr>
          <w:rFonts w:ascii="Garamond" w:hAnsi="Garamond"/>
          <w:color w:val="222222"/>
        </w:rPr>
        <w:t xml:space="preserve"> from</w:t>
      </w:r>
      <w:r w:rsidRPr="00EE7C34">
        <w:rPr>
          <w:rFonts w:ascii="Garamond" w:hAnsi="Garamond"/>
          <w:color w:val="222222"/>
        </w:rPr>
        <w:t xml:space="preserve"> </w:t>
      </w:r>
      <w:r w:rsidR="003A367D">
        <w:rPr>
          <w:rFonts w:ascii="Garamond" w:hAnsi="Garamond"/>
          <w:color w:val="222222"/>
        </w:rPr>
        <w:t>several snapshots</w:t>
      </w:r>
      <w:r w:rsidRPr="00EE7C34">
        <w:rPr>
          <w:rFonts w:ascii="Garamond" w:hAnsi="Garamond"/>
          <w:color w:val="222222"/>
        </w:rPr>
        <w:t xml:space="preserve"> (2010, 2012, and 2014). The eHealth Africa data had slightly more clinics than the NMIS data, and almost every NMIS data point overlapped or corresponded with a clinic in the eHealth Africa data. </w:t>
      </w:r>
      <w:r w:rsidR="003A367D">
        <w:rPr>
          <w:rFonts w:ascii="Garamond" w:hAnsi="Garamond"/>
          <w:color w:val="222222"/>
        </w:rPr>
        <w:t>For</w:t>
      </w:r>
      <w:r w:rsidRPr="00EE7C34">
        <w:rPr>
          <w:rFonts w:ascii="Garamond" w:hAnsi="Garamond"/>
          <w:color w:val="222222"/>
        </w:rPr>
        <w:t xml:space="preserve"> Katsina and Zamfara</w:t>
      </w:r>
      <w:r w:rsidR="003A367D">
        <w:rPr>
          <w:rFonts w:ascii="Garamond" w:hAnsi="Garamond"/>
          <w:color w:val="222222"/>
        </w:rPr>
        <w:t>, we used clinics present on either list</w:t>
      </w:r>
      <w:r w:rsidRPr="00EE7C34">
        <w:rPr>
          <w:rFonts w:ascii="Garamond" w:hAnsi="Garamond"/>
          <w:color w:val="222222"/>
        </w:rPr>
        <w:t xml:space="preserve">. </w:t>
      </w:r>
      <w:r w:rsidR="003A367D">
        <w:rPr>
          <w:rFonts w:ascii="Garamond" w:hAnsi="Garamond"/>
          <w:color w:val="222222"/>
        </w:rPr>
        <w:t>For Jigawa, however, we used only the NMIS list as</w:t>
      </w:r>
      <w:r w:rsidRPr="00EE7C34">
        <w:rPr>
          <w:rFonts w:ascii="Garamond" w:hAnsi="Garamond"/>
          <w:color w:val="222222"/>
        </w:rPr>
        <w:t xml:space="preserve"> we discovered that the eHealth list included many non-operational clinics</w:t>
      </w:r>
      <w:r w:rsidR="003A367D">
        <w:rPr>
          <w:rFonts w:ascii="Garamond" w:hAnsi="Garamond"/>
          <w:color w:val="222222"/>
        </w:rPr>
        <w:t>.</w:t>
      </w:r>
      <w:r w:rsidRPr="00EE7C34">
        <w:rPr>
          <w:rStyle w:val="FootnoteReference"/>
          <w:rFonts w:ascii="Garamond" w:hAnsi="Garamond"/>
          <w:color w:val="222222"/>
        </w:rPr>
        <w:footnoteReference w:id="71"/>
      </w:r>
    </w:p>
    <w:p w14:paraId="01078F84" w14:textId="1A197626" w:rsidR="000142CC" w:rsidRDefault="000142CC" w:rsidP="003A367D">
      <w:pPr>
        <w:pStyle w:val="Normal1"/>
        <w:spacing w:line="259" w:lineRule="auto"/>
        <w:jc w:val="both"/>
        <w:rPr>
          <w:rFonts w:ascii="Garamond" w:hAnsi="Garamond"/>
          <w:color w:val="222222"/>
        </w:rPr>
      </w:pPr>
    </w:p>
    <w:p w14:paraId="5DD65650" w14:textId="1FFE66D9" w:rsidR="000142CC" w:rsidRDefault="000142CC" w:rsidP="003A367D">
      <w:pPr>
        <w:pStyle w:val="Normal1"/>
        <w:spacing w:line="259" w:lineRule="auto"/>
        <w:jc w:val="both"/>
        <w:rPr>
          <w:rFonts w:ascii="Garamond" w:hAnsi="Garamond"/>
          <w:color w:val="222222"/>
        </w:rPr>
      </w:pPr>
      <w:r>
        <w:rPr>
          <w:rFonts w:ascii="Garamond" w:hAnsi="Garamond"/>
          <w:color w:val="222222"/>
        </w:rPr>
        <w:t>The next step was to determine which clinics were suitable for the New Incentives program and</w:t>
      </w:r>
      <w:r w:rsidR="00F00463">
        <w:rPr>
          <w:rFonts w:ascii="Garamond" w:hAnsi="Garamond"/>
          <w:color w:val="222222"/>
        </w:rPr>
        <w:t>, therefore,</w:t>
      </w:r>
      <w:r>
        <w:rPr>
          <w:rFonts w:ascii="Garamond" w:hAnsi="Garamond"/>
          <w:color w:val="222222"/>
        </w:rPr>
        <w:t xml:space="preserve"> representative of those in which it would operate at scale.</w:t>
      </w:r>
    </w:p>
    <w:p w14:paraId="6B996A35" w14:textId="77777777" w:rsidR="003A367D" w:rsidRPr="00EE7C34" w:rsidRDefault="003A367D" w:rsidP="003A367D">
      <w:pPr>
        <w:pStyle w:val="Normal1"/>
        <w:spacing w:line="259" w:lineRule="auto"/>
        <w:jc w:val="both"/>
        <w:rPr>
          <w:rFonts w:ascii="Garamond" w:hAnsi="Garamond"/>
          <w:color w:val="222222"/>
        </w:rPr>
      </w:pPr>
    </w:p>
    <w:p w14:paraId="4E4E6C56" w14:textId="2B2A8A46" w:rsidR="00EA1C2F" w:rsidRPr="000577DA" w:rsidRDefault="0005630A" w:rsidP="00E75FCD">
      <w:pPr>
        <w:pStyle w:val="Normal1"/>
        <w:spacing w:line="259" w:lineRule="auto"/>
        <w:jc w:val="both"/>
        <w:rPr>
          <w:rFonts w:ascii="Garamond" w:hAnsi="Garamond"/>
          <w:b/>
          <w:i/>
          <w:color w:val="222222"/>
        </w:rPr>
      </w:pPr>
      <w:r>
        <w:rPr>
          <w:rFonts w:ascii="Garamond" w:hAnsi="Garamond"/>
          <w:b/>
          <w:i/>
          <w:color w:val="222222"/>
        </w:rPr>
        <w:t>Pre-</w:t>
      </w:r>
      <w:r w:rsidR="00EA1C2F" w:rsidRPr="000577DA">
        <w:rPr>
          <w:rFonts w:ascii="Garamond" w:hAnsi="Garamond"/>
          <w:b/>
          <w:i/>
          <w:color w:val="222222"/>
        </w:rPr>
        <w:t>screening</w:t>
      </w:r>
    </w:p>
    <w:p w14:paraId="319F0A51" w14:textId="2AB98A43" w:rsidR="00EA1C2F" w:rsidRPr="00B4729A" w:rsidRDefault="000142CC" w:rsidP="000142CC">
      <w:pPr>
        <w:pStyle w:val="Normal1"/>
        <w:spacing w:line="259" w:lineRule="auto"/>
        <w:jc w:val="both"/>
        <w:rPr>
          <w:rFonts w:ascii="Garamond" w:hAnsi="Garamond"/>
          <w:color w:val="222222"/>
        </w:rPr>
      </w:pPr>
      <w:r>
        <w:rPr>
          <w:rFonts w:ascii="Garamond" w:hAnsi="Garamond"/>
          <w:color w:val="222222"/>
        </w:rPr>
        <w:t xml:space="preserve">Before visiting candidate clinics, New Incentives </w:t>
      </w:r>
      <w:r w:rsidR="00F00463">
        <w:rPr>
          <w:rFonts w:ascii="Garamond" w:hAnsi="Garamond"/>
          <w:color w:val="222222"/>
        </w:rPr>
        <w:t>contacted</w:t>
      </w:r>
      <w:r>
        <w:rPr>
          <w:rFonts w:ascii="Garamond" w:hAnsi="Garamond"/>
          <w:color w:val="222222"/>
        </w:rPr>
        <w:t xml:space="preserve"> state, LGA, and clinic-level officials to rule out clinics that were obvious non-options. Firstly</w:t>
      </w:r>
      <w:r w:rsidR="00E219BC">
        <w:rPr>
          <w:rFonts w:ascii="Garamond" w:hAnsi="Garamond"/>
          <w:color w:val="222222"/>
        </w:rPr>
        <w:t xml:space="preserve">, </w:t>
      </w:r>
      <w:r w:rsidR="007E69D7">
        <w:rPr>
          <w:rFonts w:ascii="Garamond" w:hAnsi="Garamond"/>
          <w:color w:val="222222"/>
        </w:rPr>
        <w:t>New Incentives consulted Local Immunization Officers at LGAs and RI Focal Points at c</w:t>
      </w:r>
      <w:r w:rsidR="00EA1C2F" w:rsidRPr="00B4729A">
        <w:rPr>
          <w:rFonts w:ascii="Garamond" w:hAnsi="Garamond"/>
          <w:color w:val="222222"/>
        </w:rPr>
        <w:t>linics</w:t>
      </w:r>
      <w:r w:rsidR="007E69D7">
        <w:rPr>
          <w:rFonts w:ascii="Garamond" w:hAnsi="Garamond"/>
          <w:color w:val="222222"/>
        </w:rPr>
        <w:t xml:space="preserve"> to identify </w:t>
      </w:r>
      <w:r w:rsidR="00F00463">
        <w:rPr>
          <w:rFonts w:ascii="Garamond" w:hAnsi="Garamond"/>
          <w:color w:val="222222"/>
        </w:rPr>
        <w:t>clinics</w:t>
      </w:r>
      <w:r w:rsidR="00EA1C2F" w:rsidRPr="00B4729A">
        <w:rPr>
          <w:rFonts w:ascii="Garamond" w:hAnsi="Garamond"/>
          <w:color w:val="222222"/>
        </w:rPr>
        <w:t xml:space="preserve"> that were not operational or that did not offer RI services in July/August 2017</w:t>
      </w:r>
      <w:r w:rsidR="007E69D7">
        <w:rPr>
          <w:rFonts w:ascii="Garamond" w:hAnsi="Garamond"/>
          <w:color w:val="222222"/>
        </w:rPr>
        <w:t>. These</w:t>
      </w:r>
      <w:r w:rsidR="00EA1C2F" w:rsidRPr="00B4729A">
        <w:rPr>
          <w:rFonts w:ascii="Garamond" w:hAnsi="Garamond"/>
          <w:color w:val="222222"/>
        </w:rPr>
        <w:t xml:space="preserve"> were </w:t>
      </w:r>
      <w:r w:rsidR="007E69D7">
        <w:rPr>
          <w:rFonts w:ascii="Garamond" w:hAnsi="Garamond"/>
          <w:color w:val="222222"/>
        </w:rPr>
        <w:t>excluded from the study</w:t>
      </w:r>
      <w:r w:rsidR="00EA1C2F" w:rsidRPr="00B4729A">
        <w:rPr>
          <w:rFonts w:ascii="Garamond" w:hAnsi="Garamond"/>
          <w:color w:val="222222"/>
        </w:rPr>
        <w:t xml:space="preserve"> and not visited by New Inc</w:t>
      </w:r>
      <w:r w:rsidR="00E75FCD">
        <w:rPr>
          <w:rFonts w:ascii="Garamond" w:hAnsi="Garamond"/>
          <w:color w:val="222222"/>
        </w:rPr>
        <w:t xml:space="preserve">entives for a </w:t>
      </w:r>
      <w:r w:rsidR="007E69D7">
        <w:rPr>
          <w:rFonts w:ascii="Garamond" w:hAnsi="Garamond"/>
          <w:color w:val="222222"/>
        </w:rPr>
        <w:t>c</w:t>
      </w:r>
      <w:r w:rsidR="00E75FCD">
        <w:rPr>
          <w:rFonts w:ascii="Garamond" w:hAnsi="Garamond"/>
          <w:color w:val="222222"/>
        </w:rPr>
        <w:t xml:space="preserve">linic </w:t>
      </w:r>
      <w:r w:rsidR="007E69D7">
        <w:rPr>
          <w:rFonts w:ascii="Garamond" w:hAnsi="Garamond"/>
          <w:color w:val="222222"/>
        </w:rPr>
        <w:t>s</w:t>
      </w:r>
      <w:r w:rsidR="00E75FCD">
        <w:rPr>
          <w:rFonts w:ascii="Garamond" w:hAnsi="Garamond"/>
          <w:color w:val="222222"/>
        </w:rPr>
        <w:t>creening.</w:t>
      </w:r>
      <w:r w:rsidR="00EA1C2F" w:rsidRPr="00B4729A">
        <w:rPr>
          <w:rFonts w:ascii="Garamond" w:hAnsi="Garamond"/>
          <w:color w:val="222222"/>
        </w:rPr>
        <w:t xml:space="preserve"> </w:t>
      </w:r>
      <w:r w:rsidR="007E69D7">
        <w:rPr>
          <w:rFonts w:ascii="Garamond" w:hAnsi="Garamond"/>
          <w:color w:val="222222"/>
        </w:rPr>
        <w:t xml:space="preserve">Similarly, </w:t>
      </w:r>
      <w:r w:rsidR="00EA1C2F">
        <w:rPr>
          <w:rFonts w:ascii="Garamond" w:hAnsi="Garamond"/>
          <w:color w:val="222222"/>
        </w:rPr>
        <w:t>Local Immunization Officers and State Immunization Officer</w:t>
      </w:r>
      <w:r w:rsidR="007E69D7">
        <w:rPr>
          <w:rFonts w:ascii="Garamond" w:hAnsi="Garamond"/>
          <w:color w:val="222222"/>
        </w:rPr>
        <w:t>s</w:t>
      </w:r>
      <w:r w:rsidR="00EA1C2F">
        <w:rPr>
          <w:rFonts w:ascii="Garamond" w:hAnsi="Garamond"/>
          <w:color w:val="222222"/>
        </w:rPr>
        <w:t xml:space="preserve"> </w:t>
      </w:r>
      <w:r w:rsidR="00EA1C2F" w:rsidRPr="00B4729A">
        <w:rPr>
          <w:rFonts w:ascii="Garamond" w:hAnsi="Garamond"/>
          <w:color w:val="222222"/>
        </w:rPr>
        <w:t>identified clinics with</w:t>
      </w:r>
      <w:r w:rsidR="007E69D7">
        <w:rPr>
          <w:rFonts w:ascii="Garamond" w:hAnsi="Garamond"/>
          <w:color w:val="222222"/>
        </w:rPr>
        <w:t xml:space="preserve"> such</w:t>
      </w:r>
      <w:r w:rsidR="00EA1C2F" w:rsidRPr="00B4729A">
        <w:rPr>
          <w:rFonts w:ascii="Garamond" w:hAnsi="Garamond"/>
          <w:color w:val="222222"/>
        </w:rPr>
        <w:t xml:space="preserve"> high security risk in July/August 2017</w:t>
      </w:r>
      <w:r w:rsidR="007E69D7">
        <w:rPr>
          <w:rFonts w:ascii="Garamond" w:hAnsi="Garamond"/>
          <w:color w:val="222222"/>
        </w:rPr>
        <w:t xml:space="preserve"> that it </w:t>
      </w:r>
      <w:r w:rsidR="00EA1C2F" w:rsidRPr="00B4729A">
        <w:rPr>
          <w:rFonts w:ascii="Garamond" w:hAnsi="Garamond"/>
          <w:color w:val="222222"/>
        </w:rPr>
        <w:t xml:space="preserve">was not </w:t>
      </w:r>
      <w:r w:rsidR="007E69D7" w:rsidRPr="00B4729A">
        <w:rPr>
          <w:rFonts w:ascii="Garamond" w:hAnsi="Garamond"/>
          <w:color w:val="222222"/>
        </w:rPr>
        <w:t>advisa</w:t>
      </w:r>
      <w:r w:rsidR="007E69D7">
        <w:rPr>
          <w:rFonts w:ascii="Garamond" w:hAnsi="Garamond"/>
          <w:color w:val="222222"/>
        </w:rPr>
        <w:t xml:space="preserve">ble </w:t>
      </w:r>
      <w:r w:rsidR="00EA1C2F" w:rsidRPr="00B4729A">
        <w:rPr>
          <w:rFonts w:ascii="Garamond" w:hAnsi="Garamond"/>
          <w:color w:val="222222"/>
        </w:rPr>
        <w:t>to visit</w:t>
      </w:r>
      <w:r w:rsidR="007E69D7">
        <w:rPr>
          <w:rFonts w:ascii="Garamond" w:hAnsi="Garamond"/>
          <w:color w:val="222222"/>
        </w:rPr>
        <w:t>,</w:t>
      </w:r>
      <w:r w:rsidR="00EA1C2F" w:rsidRPr="00B4729A">
        <w:rPr>
          <w:rFonts w:ascii="Garamond" w:hAnsi="Garamond"/>
          <w:color w:val="222222"/>
        </w:rPr>
        <w:t xml:space="preserve"> even during the daytime. These areas were designated “no-go-zones</w:t>
      </w:r>
      <w:r w:rsidR="007E69D7">
        <w:rPr>
          <w:rFonts w:ascii="Garamond" w:hAnsi="Garamond"/>
          <w:color w:val="222222"/>
        </w:rPr>
        <w:t>,</w:t>
      </w:r>
      <w:r w:rsidR="00EA1C2F" w:rsidRPr="00B4729A">
        <w:rPr>
          <w:rFonts w:ascii="Garamond" w:hAnsi="Garamond"/>
          <w:color w:val="222222"/>
        </w:rPr>
        <w:t>”</w:t>
      </w:r>
      <w:r w:rsidR="007E69D7">
        <w:rPr>
          <w:rFonts w:ascii="Garamond" w:hAnsi="Garamond"/>
          <w:color w:val="222222"/>
        </w:rPr>
        <w:t xml:space="preserve"> excluded from the study,</w:t>
      </w:r>
      <w:r w:rsidR="00EA1C2F" w:rsidRPr="00B4729A">
        <w:rPr>
          <w:rFonts w:ascii="Garamond" w:hAnsi="Garamond"/>
          <w:color w:val="222222"/>
        </w:rPr>
        <w:t xml:space="preserve"> and not visited by New Incentives for a clinic screening. </w:t>
      </w:r>
    </w:p>
    <w:p w14:paraId="3D5B8E8E" w14:textId="77777777" w:rsidR="00EA1C2F" w:rsidRPr="00B4729A" w:rsidRDefault="00EA1C2F" w:rsidP="00A3613C">
      <w:pPr>
        <w:pStyle w:val="Normal1"/>
        <w:spacing w:line="259" w:lineRule="auto"/>
        <w:jc w:val="both"/>
        <w:rPr>
          <w:rFonts w:ascii="Garamond" w:hAnsi="Garamond"/>
          <w:color w:val="222222"/>
        </w:rPr>
      </w:pPr>
    </w:p>
    <w:p w14:paraId="7C78C236" w14:textId="77777777" w:rsidR="00EA1C2F" w:rsidRPr="0005630A" w:rsidRDefault="00EA1C2F" w:rsidP="00A3613C">
      <w:pPr>
        <w:pStyle w:val="Normal1"/>
        <w:spacing w:line="259" w:lineRule="auto"/>
        <w:jc w:val="both"/>
        <w:rPr>
          <w:rFonts w:ascii="Garamond" w:hAnsi="Garamond"/>
          <w:b/>
          <w:i/>
          <w:color w:val="222222"/>
        </w:rPr>
      </w:pPr>
      <w:r w:rsidRPr="0005630A">
        <w:rPr>
          <w:rFonts w:ascii="Garamond" w:hAnsi="Garamond"/>
          <w:b/>
          <w:i/>
          <w:color w:val="222222"/>
        </w:rPr>
        <w:t>Clinic screening</w:t>
      </w:r>
    </w:p>
    <w:p w14:paraId="37665EF8" w14:textId="677C92C7" w:rsidR="000142CC" w:rsidRDefault="00EA1C2F" w:rsidP="000142CC">
      <w:pPr>
        <w:pStyle w:val="Normal1"/>
        <w:spacing w:line="259" w:lineRule="auto"/>
        <w:jc w:val="both"/>
        <w:rPr>
          <w:rFonts w:ascii="Garamond" w:hAnsi="Garamond"/>
          <w:color w:val="222222"/>
        </w:rPr>
      </w:pPr>
      <w:r w:rsidRPr="00B4729A">
        <w:rPr>
          <w:rFonts w:ascii="Garamond" w:hAnsi="Garamond"/>
          <w:color w:val="222222"/>
        </w:rPr>
        <w:t>N</w:t>
      </w:r>
      <w:r w:rsidR="00E75FCD">
        <w:rPr>
          <w:rFonts w:ascii="Garamond" w:hAnsi="Garamond"/>
          <w:color w:val="222222"/>
        </w:rPr>
        <w:t>ew Incentives conducted clinic s</w:t>
      </w:r>
      <w:r w:rsidRPr="00B4729A">
        <w:rPr>
          <w:rFonts w:ascii="Garamond" w:hAnsi="Garamond"/>
          <w:color w:val="222222"/>
        </w:rPr>
        <w:t>creening visits in all remaining selected clinics, as they would under typical program operations, to identify which clinics met four</w:t>
      </w:r>
      <w:r w:rsidR="00F00463">
        <w:rPr>
          <w:rFonts w:ascii="Garamond" w:hAnsi="Garamond"/>
          <w:color w:val="222222"/>
        </w:rPr>
        <w:t xml:space="preserve"> additional</w:t>
      </w:r>
      <w:r w:rsidRPr="00B4729A">
        <w:rPr>
          <w:rFonts w:ascii="Garamond" w:hAnsi="Garamond"/>
          <w:color w:val="222222"/>
        </w:rPr>
        <w:t xml:space="preserve"> criteria </w:t>
      </w:r>
      <w:r w:rsidR="000142CC">
        <w:rPr>
          <w:rFonts w:ascii="Garamond" w:hAnsi="Garamond"/>
          <w:color w:val="222222"/>
        </w:rPr>
        <w:t>for exclusion from the program:</w:t>
      </w:r>
      <w:r w:rsidR="000142CC" w:rsidRPr="000142CC">
        <w:rPr>
          <w:rFonts w:ascii="Garamond" w:hAnsi="Garamond"/>
          <w:color w:val="222222"/>
        </w:rPr>
        <w:t xml:space="preserve"> </w:t>
      </w:r>
      <w:r w:rsidR="000142CC" w:rsidRPr="00B4729A">
        <w:rPr>
          <w:rFonts w:ascii="Garamond" w:hAnsi="Garamond"/>
          <w:color w:val="222222"/>
        </w:rPr>
        <w:t xml:space="preserve">1) clinic does not offer </w:t>
      </w:r>
      <w:r w:rsidR="000142CC">
        <w:rPr>
          <w:rFonts w:ascii="Garamond" w:hAnsi="Garamond"/>
          <w:color w:val="222222"/>
        </w:rPr>
        <w:t>RI</w:t>
      </w:r>
      <w:r w:rsidR="000142CC" w:rsidRPr="00B4729A">
        <w:rPr>
          <w:rFonts w:ascii="Garamond" w:hAnsi="Garamond"/>
          <w:color w:val="222222"/>
        </w:rPr>
        <w:t xml:space="preserve"> services; 2) clinic is in an insecure area (“no-go security zone”)</w:t>
      </w:r>
      <w:r w:rsidR="00F00463">
        <w:rPr>
          <w:rStyle w:val="FootnoteReference"/>
          <w:rFonts w:ascii="Garamond" w:hAnsi="Garamond"/>
          <w:color w:val="222222"/>
        </w:rPr>
        <w:footnoteReference w:id="72"/>
      </w:r>
      <w:r w:rsidR="000142CC" w:rsidRPr="00B4729A">
        <w:rPr>
          <w:rFonts w:ascii="Garamond" w:hAnsi="Garamond"/>
          <w:color w:val="222222"/>
        </w:rPr>
        <w:t xml:space="preserve">; 3) clinic has only one staff member </w:t>
      </w:r>
      <w:r w:rsidR="000142CC">
        <w:rPr>
          <w:rFonts w:ascii="Garamond" w:hAnsi="Garamond"/>
          <w:color w:val="222222"/>
        </w:rPr>
        <w:t xml:space="preserve">working on RI services </w:t>
      </w:r>
      <w:r w:rsidR="000142CC" w:rsidRPr="00B4729A">
        <w:rPr>
          <w:rFonts w:ascii="Garamond" w:hAnsi="Garamond"/>
          <w:color w:val="222222"/>
        </w:rPr>
        <w:t>(paid or unpaid); and 4) clinic located more than three hours’ journey to a bank that provides cash transfer funds.</w:t>
      </w:r>
      <w:r w:rsidR="00F00463">
        <w:rPr>
          <w:rFonts w:ascii="Garamond" w:hAnsi="Garamond"/>
          <w:color w:val="222222"/>
        </w:rPr>
        <w:t xml:space="preserve"> New Incentives included some clinics that should have been excluded based on criteria 3 and 4 in order to learn more about implementation in those settings.</w:t>
      </w:r>
    </w:p>
    <w:p w14:paraId="19A854A2" w14:textId="77777777" w:rsidR="000142CC" w:rsidRDefault="000142CC" w:rsidP="00A3613C">
      <w:pPr>
        <w:pStyle w:val="Normal1"/>
        <w:spacing w:line="259" w:lineRule="auto"/>
        <w:jc w:val="both"/>
        <w:rPr>
          <w:rFonts w:ascii="Garamond" w:hAnsi="Garamond"/>
          <w:color w:val="222222"/>
        </w:rPr>
      </w:pPr>
    </w:p>
    <w:p w14:paraId="584130F2" w14:textId="2EB3CC5D" w:rsidR="00F00463" w:rsidRDefault="00F00463" w:rsidP="00A3613C">
      <w:pPr>
        <w:pStyle w:val="Normal1"/>
        <w:spacing w:line="259" w:lineRule="auto"/>
        <w:jc w:val="both"/>
        <w:rPr>
          <w:rFonts w:ascii="Garamond" w:hAnsi="Garamond"/>
          <w:color w:val="222222"/>
        </w:rPr>
      </w:pPr>
      <w:r>
        <w:rPr>
          <w:rFonts w:ascii="Garamond" w:hAnsi="Garamond"/>
          <w:color w:val="222222"/>
        </w:rPr>
        <w:t xml:space="preserve">In addition, </w:t>
      </w:r>
      <w:r w:rsidR="006942AF">
        <w:rPr>
          <w:rFonts w:ascii="Garamond" w:hAnsi="Garamond"/>
          <w:color w:val="222222"/>
        </w:rPr>
        <w:t>New Incentives</w:t>
      </w:r>
      <w:r>
        <w:rPr>
          <w:rFonts w:ascii="Garamond" w:hAnsi="Garamond"/>
          <w:color w:val="222222"/>
        </w:rPr>
        <w:t xml:space="preserve"> used screening to</w:t>
      </w:r>
      <w:r w:rsidR="006942AF" w:rsidRPr="00B4729A">
        <w:rPr>
          <w:rFonts w:ascii="Garamond" w:hAnsi="Garamond"/>
          <w:color w:val="222222"/>
        </w:rPr>
        <w:t xml:space="preserve"> </w:t>
      </w:r>
      <w:r w:rsidR="00EA1C2F" w:rsidRPr="00B4729A">
        <w:rPr>
          <w:rFonts w:ascii="Garamond" w:hAnsi="Garamond"/>
          <w:color w:val="222222"/>
        </w:rPr>
        <w:t xml:space="preserve">gather information </w:t>
      </w:r>
      <w:r>
        <w:rPr>
          <w:rFonts w:ascii="Garamond" w:hAnsi="Garamond"/>
          <w:color w:val="222222"/>
        </w:rPr>
        <w:t xml:space="preserve">on </w:t>
      </w:r>
      <w:r w:rsidR="00EA1C2F" w:rsidRPr="00B4729A">
        <w:rPr>
          <w:rFonts w:ascii="Garamond" w:hAnsi="Garamond"/>
          <w:color w:val="222222"/>
        </w:rPr>
        <w:t>indicators</w:t>
      </w:r>
      <w:r>
        <w:rPr>
          <w:rFonts w:ascii="Garamond" w:hAnsi="Garamond"/>
          <w:color w:val="222222"/>
        </w:rPr>
        <w:t xml:space="preserve"> beyond the exclusion criteria such as </w:t>
      </w:r>
      <w:r w:rsidR="00EA1C2F">
        <w:rPr>
          <w:rFonts w:ascii="Garamond" w:hAnsi="Garamond"/>
          <w:color w:val="222222"/>
        </w:rPr>
        <w:t>clinic staff receptiveness to the program</w:t>
      </w:r>
      <w:r>
        <w:rPr>
          <w:rFonts w:ascii="Garamond" w:hAnsi="Garamond"/>
          <w:color w:val="222222"/>
        </w:rPr>
        <w:t xml:space="preserve">. These additional factors did not </w:t>
      </w:r>
      <w:r w:rsidR="00AF5B0E">
        <w:rPr>
          <w:rFonts w:ascii="Garamond" w:hAnsi="Garamond"/>
          <w:color w:val="222222"/>
        </w:rPr>
        <w:t>influence</w:t>
      </w:r>
      <w:r w:rsidR="00EA1C2F" w:rsidRPr="00B4729A">
        <w:rPr>
          <w:rFonts w:ascii="Garamond" w:hAnsi="Garamond"/>
          <w:color w:val="222222"/>
        </w:rPr>
        <w:t xml:space="preserve"> exclusion decisions</w:t>
      </w:r>
      <w:r>
        <w:rPr>
          <w:rFonts w:ascii="Garamond" w:hAnsi="Garamond"/>
          <w:color w:val="222222"/>
        </w:rPr>
        <w:t xml:space="preserve"> but were </w:t>
      </w:r>
      <w:r w:rsidR="00EA1C2F" w:rsidRPr="00B4729A">
        <w:rPr>
          <w:rFonts w:ascii="Garamond" w:hAnsi="Garamond"/>
          <w:color w:val="222222"/>
        </w:rPr>
        <w:t>meant to inform New Incentives’ operational planning.</w:t>
      </w:r>
    </w:p>
    <w:p w14:paraId="058E6D04" w14:textId="77777777" w:rsidR="00F00463" w:rsidRDefault="00F00463" w:rsidP="00A3613C">
      <w:pPr>
        <w:pStyle w:val="Normal1"/>
        <w:spacing w:line="259" w:lineRule="auto"/>
        <w:jc w:val="both"/>
        <w:rPr>
          <w:rFonts w:ascii="Garamond" w:hAnsi="Garamond"/>
          <w:color w:val="222222"/>
        </w:rPr>
      </w:pPr>
    </w:p>
    <w:p w14:paraId="3FBF8FA6" w14:textId="42A5D15C" w:rsidR="00EA1C2F" w:rsidRPr="00B4729A" w:rsidRDefault="00AF5B0E" w:rsidP="00A3613C">
      <w:pPr>
        <w:pStyle w:val="Normal1"/>
        <w:spacing w:line="259" w:lineRule="auto"/>
        <w:jc w:val="both"/>
        <w:rPr>
          <w:rFonts w:ascii="Garamond" w:hAnsi="Garamond"/>
          <w:color w:val="222222"/>
        </w:rPr>
      </w:pPr>
      <w:r>
        <w:rPr>
          <w:rFonts w:ascii="Garamond" w:hAnsi="Garamond"/>
          <w:color w:val="222222"/>
        </w:rPr>
        <w:t>Clinic screenings included</w:t>
      </w:r>
      <w:r w:rsidR="00EA1C2F" w:rsidRPr="00B4729A">
        <w:rPr>
          <w:rFonts w:ascii="Garamond" w:hAnsi="Garamond"/>
          <w:color w:val="222222"/>
        </w:rPr>
        <w:t>:</w:t>
      </w:r>
    </w:p>
    <w:p w14:paraId="32F69ADD" w14:textId="7DD5AD57" w:rsidR="00EA1C2F" w:rsidRPr="00B4729A" w:rsidRDefault="00AF5B0E" w:rsidP="006C30CC">
      <w:pPr>
        <w:pStyle w:val="Normal1"/>
        <w:numPr>
          <w:ilvl w:val="0"/>
          <w:numId w:val="14"/>
        </w:numPr>
        <w:spacing w:line="259" w:lineRule="auto"/>
        <w:jc w:val="both"/>
        <w:rPr>
          <w:rFonts w:ascii="Garamond" w:hAnsi="Garamond"/>
          <w:color w:val="222222"/>
        </w:rPr>
      </w:pPr>
      <w:r>
        <w:rPr>
          <w:rFonts w:ascii="Garamond" w:hAnsi="Garamond"/>
          <w:color w:val="222222"/>
        </w:rPr>
        <w:t>Reviewing</w:t>
      </w:r>
      <w:r w:rsidR="00EA1C2F" w:rsidRPr="00B4729A">
        <w:rPr>
          <w:rFonts w:ascii="Garamond" w:hAnsi="Garamond"/>
          <w:color w:val="222222"/>
        </w:rPr>
        <w:t xml:space="preserve"> administrative vaccination </w:t>
      </w:r>
      <w:r>
        <w:rPr>
          <w:rFonts w:ascii="Garamond" w:hAnsi="Garamond"/>
          <w:color w:val="222222"/>
        </w:rPr>
        <w:t>records</w:t>
      </w:r>
      <w:r w:rsidR="00EA1C2F" w:rsidRPr="00B4729A">
        <w:rPr>
          <w:rFonts w:ascii="Garamond" w:hAnsi="Garamond"/>
          <w:color w:val="222222"/>
        </w:rPr>
        <w:t>, staffing</w:t>
      </w:r>
      <w:r>
        <w:rPr>
          <w:rFonts w:ascii="Garamond" w:hAnsi="Garamond"/>
          <w:color w:val="222222"/>
        </w:rPr>
        <w:t>,</w:t>
      </w:r>
      <w:r w:rsidR="00EA1C2F" w:rsidRPr="00B4729A">
        <w:rPr>
          <w:rFonts w:ascii="Garamond" w:hAnsi="Garamond"/>
          <w:color w:val="222222"/>
        </w:rPr>
        <w:t xml:space="preserve"> and general clinic receptiveness to the program.</w:t>
      </w:r>
    </w:p>
    <w:p w14:paraId="399FD5AB" w14:textId="77777777" w:rsidR="00EA1C2F" w:rsidRPr="00B4729A" w:rsidRDefault="00EA1C2F" w:rsidP="006C30CC">
      <w:pPr>
        <w:pStyle w:val="Normal1"/>
        <w:numPr>
          <w:ilvl w:val="0"/>
          <w:numId w:val="14"/>
        </w:numPr>
        <w:spacing w:line="259" w:lineRule="auto"/>
        <w:jc w:val="both"/>
        <w:rPr>
          <w:rFonts w:ascii="Garamond" w:hAnsi="Garamond"/>
          <w:color w:val="222222"/>
        </w:rPr>
      </w:pPr>
      <w:r w:rsidRPr="00B4729A">
        <w:rPr>
          <w:rFonts w:ascii="Garamond" w:hAnsi="Garamond"/>
          <w:color w:val="222222"/>
        </w:rPr>
        <w:t xml:space="preserve">Cross-referencing georeferenced settlement maps from eHealth Africa, often displayed in the clinics, with hand-drawn catchment maps and hand-written catchment lists. </w:t>
      </w:r>
      <w:r>
        <w:rPr>
          <w:rFonts w:ascii="Garamond" w:hAnsi="Garamond"/>
          <w:color w:val="222222"/>
        </w:rPr>
        <w:t>Listing the settlements in the catchment area</w:t>
      </w:r>
      <w:r w:rsidRPr="00B4729A">
        <w:rPr>
          <w:rFonts w:ascii="Garamond" w:hAnsi="Garamond"/>
          <w:color w:val="222222"/>
        </w:rPr>
        <w:t xml:space="preserve"> was often the longest part of the screening. </w:t>
      </w:r>
    </w:p>
    <w:p w14:paraId="43D4E29A" w14:textId="5FB02673" w:rsidR="00EA1C2F" w:rsidRDefault="00E75FCD" w:rsidP="006C30CC">
      <w:pPr>
        <w:pStyle w:val="Normal1"/>
        <w:numPr>
          <w:ilvl w:val="0"/>
          <w:numId w:val="14"/>
        </w:numPr>
        <w:spacing w:line="259" w:lineRule="auto"/>
        <w:jc w:val="both"/>
        <w:rPr>
          <w:rFonts w:ascii="Garamond" w:hAnsi="Garamond"/>
          <w:color w:val="222222"/>
        </w:rPr>
      </w:pPr>
      <w:r>
        <w:rPr>
          <w:rFonts w:ascii="Garamond" w:hAnsi="Garamond"/>
          <w:color w:val="222222"/>
        </w:rPr>
        <w:t>Estimat</w:t>
      </w:r>
      <w:r w:rsidR="00AF5B0E">
        <w:rPr>
          <w:rFonts w:ascii="Garamond" w:hAnsi="Garamond"/>
          <w:color w:val="222222"/>
        </w:rPr>
        <w:t>ing</w:t>
      </w:r>
      <w:r>
        <w:rPr>
          <w:rFonts w:ascii="Garamond" w:hAnsi="Garamond"/>
          <w:color w:val="222222"/>
        </w:rPr>
        <w:t xml:space="preserve"> travel time for New Incentives’</w:t>
      </w:r>
      <w:r w:rsidR="00EA1C2F" w:rsidRPr="00B4729A">
        <w:rPr>
          <w:rFonts w:ascii="Garamond" w:hAnsi="Garamond"/>
          <w:color w:val="222222"/>
        </w:rPr>
        <w:t xml:space="preserve"> screening staff to reach the clinic </w:t>
      </w:r>
      <w:r w:rsidR="00EA1C2F" w:rsidRPr="001C604F">
        <w:rPr>
          <w:rFonts w:ascii="Garamond" w:hAnsi="Garamond"/>
          <w:color w:val="222222"/>
        </w:rPr>
        <w:t>from a nearby</w:t>
      </w:r>
      <w:r w:rsidR="00EA1C2F" w:rsidRPr="00B4729A">
        <w:rPr>
          <w:rFonts w:ascii="Garamond" w:hAnsi="Garamond"/>
          <w:color w:val="222222"/>
        </w:rPr>
        <w:t xml:space="preserve"> hub town</w:t>
      </w:r>
      <w:r w:rsidR="00A10B46">
        <w:rPr>
          <w:rFonts w:ascii="Garamond" w:hAnsi="Garamond"/>
          <w:color w:val="222222"/>
        </w:rPr>
        <w:t xml:space="preserve"> with an ATM</w:t>
      </w:r>
      <w:r w:rsidR="00EA1C2F" w:rsidRPr="00B4729A">
        <w:rPr>
          <w:rFonts w:ascii="Garamond" w:hAnsi="Garamond"/>
          <w:color w:val="222222"/>
        </w:rPr>
        <w:t>.</w:t>
      </w:r>
    </w:p>
    <w:p w14:paraId="590613D9" w14:textId="77777777" w:rsidR="00EA1C2F" w:rsidRPr="00B4729A" w:rsidRDefault="00EA1C2F" w:rsidP="00A3613C">
      <w:pPr>
        <w:pStyle w:val="Normal1"/>
        <w:spacing w:line="259" w:lineRule="auto"/>
        <w:jc w:val="both"/>
        <w:rPr>
          <w:rFonts w:ascii="Garamond" w:hAnsi="Garamond"/>
          <w:color w:val="222222"/>
        </w:rPr>
      </w:pPr>
    </w:p>
    <w:p w14:paraId="593446DE" w14:textId="77777777" w:rsidR="00EA1C2F" w:rsidRPr="000577DA" w:rsidRDefault="00EA1C2F" w:rsidP="00FB5C2B">
      <w:pPr>
        <w:pStyle w:val="Normal1"/>
        <w:keepNext/>
        <w:spacing w:line="259" w:lineRule="auto"/>
        <w:jc w:val="both"/>
        <w:rPr>
          <w:rFonts w:ascii="Garamond" w:hAnsi="Garamond"/>
          <w:b/>
          <w:i/>
          <w:color w:val="222222"/>
        </w:rPr>
      </w:pPr>
      <w:r w:rsidRPr="000577DA">
        <w:rPr>
          <w:rFonts w:ascii="Garamond" w:hAnsi="Garamond"/>
          <w:b/>
          <w:i/>
          <w:color w:val="222222"/>
        </w:rPr>
        <w:lastRenderedPageBreak/>
        <w:t>Clinic categorization</w:t>
      </w:r>
    </w:p>
    <w:p w14:paraId="458FA716" w14:textId="77777777" w:rsidR="00EA1C2F" w:rsidRPr="00B4729A" w:rsidRDefault="00EA1C2F" w:rsidP="00A3613C">
      <w:pPr>
        <w:pStyle w:val="Normal1"/>
        <w:spacing w:line="259" w:lineRule="auto"/>
        <w:jc w:val="both"/>
        <w:rPr>
          <w:rFonts w:ascii="Garamond" w:hAnsi="Garamond"/>
          <w:color w:val="222222"/>
        </w:rPr>
      </w:pPr>
      <w:r w:rsidRPr="00B4729A">
        <w:rPr>
          <w:rFonts w:ascii="Garamond" w:hAnsi="Garamond"/>
          <w:color w:val="222222"/>
        </w:rPr>
        <w:t xml:space="preserve">Information from the clinic screening visits was used to categorize clinics according to a mix of security and operational considerations: </w:t>
      </w:r>
    </w:p>
    <w:p w14:paraId="3309DB2C" w14:textId="45FD27D4" w:rsidR="00EA1C2F" w:rsidRDefault="00EA1C2F" w:rsidP="00353B29">
      <w:pPr>
        <w:pStyle w:val="Normal1"/>
        <w:spacing w:line="259" w:lineRule="auto"/>
        <w:ind w:left="720"/>
        <w:jc w:val="both"/>
        <w:rPr>
          <w:rFonts w:ascii="Garamond" w:hAnsi="Garamond"/>
          <w:color w:val="222222"/>
        </w:rPr>
      </w:pPr>
      <w:r w:rsidRPr="00B4729A">
        <w:rPr>
          <w:rFonts w:ascii="Garamond" w:hAnsi="Garamond"/>
          <w:b/>
          <w:color w:val="222222"/>
        </w:rPr>
        <w:t>1 (“Yes</w:t>
      </w:r>
      <w:r w:rsidRPr="00EE7C34">
        <w:rPr>
          <w:rFonts w:ascii="Garamond" w:hAnsi="Garamond"/>
          <w:b/>
          <w:color w:val="222222"/>
        </w:rPr>
        <w:t>”):</w:t>
      </w:r>
      <w:r w:rsidRPr="00EE7C34">
        <w:rPr>
          <w:rFonts w:ascii="Garamond" w:hAnsi="Garamond"/>
          <w:color w:val="222222"/>
        </w:rPr>
        <w:t xml:space="preserve"> These clinics were less than </w:t>
      </w:r>
      <w:r>
        <w:rPr>
          <w:rFonts w:ascii="Garamond" w:hAnsi="Garamond"/>
          <w:color w:val="222222"/>
        </w:rPr>
        <w:t>two hours</w:t>
      </w:r>
      <w:r w:rsidRPr="00EE7C34">
        <w:rPr>
          <w:rFonts w:ascii="Garamond" w:hAnsi="Garamond"/>
          <w:color w:val="222222"/>
        </w:rPr>
        <w:t xml:space="preserve"> away by public transport from hub-towns, had no security issues, and had more than one</w:t>
      </w:r>
      <w:r w:rsidR="00865BAC">
        <w:rPr>
          <w:rFonts w:ascii="Garamond" w:hAnsi="Garamond"/>
          <w:color w:val="222222"/>
        </w:rPr>
        <w:t xml:space="preserve"> RI</w:t>
      </w:r>
      <w:r w:rsidRPr="00EE7C34">
        <w:rPr>
          <w:rFonts w:ascii="Garamond" w:hAnsi="Garamond"/>
          <w:color w:val="222222"/>
        </w:rPr>
        <w:t xml:space="preserve"> staff</w:t>
      </w:r>
      <w:r w:rsidR="009C13AE">
        <w:rPr>
          <w:rFonts w:ascii="Garamond" w:hAnsi="Garamond"/>
          <w:color w:val="222222"/>
        </w:rPr>
        <w:t xml:space="preserve"> member</w:t>
      </w:r>
      <w:r w:rsidRPr="00EE7C34">
        <w:rPr>
          <w:rFonts w:ascii="Garamond" w:hAnsi="Garamond"/>
          <w:color w:val="222222"/>
        </w:rPr>
        <w:t>.</w:t>
      </w:r>
      <w:r>
        <w:rPr>
          <w:rFonts w:ascii="Garamond" w:hAnsi="Garamond"/>
          <w:color w:val="222222"/>
        </w:rPr>
        <w:t xml:space="preserve"> They also ranked well on a range of supply-side criteria like volume and stockouts (these criteria did </w:t>
      </w:r>
      <w:r w:rsidRPr="00E75FCD">
        <w:rPr>
          <w:rFonts w:ascii="Garamond" w:hAnsi="Garamond"/>
          <w:b/>
          <w:i/>
          <w:color w:val="222222"/>
        </w:rPr>
        <w:t>not</w:t>
      </w:r>
      <w:r>
        <w:rPr>
          <w:rFonts w:ascii="Garamond" w:hAnsi="Garamond"/>
          <w:color w:val="222222"/>
        </w:rPr>
        <w:t xml:space="preserve"> result in clinic exclusions and were only added for informational purposes).</w:t>
      </w:r>
    </w:p>
    <w:p w14:paraId="1C29FB35" w14:textId="1424C5A1" w:rsidR="00EA1C2F" w:rsidRPr="00EE7C34" w:rsidRDefault="00EA1C2F" w:rsidP="006C30CC">
      <w:pPr>
        <w:pStyle w:val="Normal1"/>
        <w:numPr>
          <w:ilvl w:val="0"/>
          <w:numId w:val="15"/>
        </w:numPr>
        <w:spacing w:line="259" w:lineRule="auto"/>
        <w:ind w:left="720"/>
        <w:jc w:val="both"/>
        <w:rPr>
          <w:rFonts w:ascii="Garamond" w:hAnsi="Garamond"/>
          <w:color w:val="222222"/>
        </w:rPr>
      </w:pPr>
      <w:r w:rsidRPr="00EE7C34">
        <w:rPr>
          <w:rFonts w:ascii="Garamond" w:hAnsi="Garamond"/>
          <w:b/>
          <w:color w:val="222222"/>
        </w:rPr>
        <w:t>2:</w:t>
      </w:r>
      <w:r w:rsidRPr="00EE7C34">
        <w:rPr>
          <w:rFonts w:ascii="Garamond" w:hAnsi="Garamond"/>
          <w:color w:val="222222"/>
        </w:rPr>
        <w:t xml:space="preserve"> These clinics </w:t>
      </w:r>
      <w:r>
        <w:rPr>
          <w:rFonts w:ascii="Garamond" w:hAnsi="Garamond"/>
          <w:color w:val="222222"/>
        </w:rPr>
        <w:t>were less than</w:t>
      </w:r>
      <w:r w:rsidRPr="00EE7C34">
        <w:rPr>
          <w:rFonts w:ascii="Garamond" w:hAnsi="Garamond"/>
          <w:color w:val="222222"/>
        </w:rPr>
        <w:t xml:space="preserve"> two hours from the nearest hub town</w:t>
      </w:r>
      <w:r>
        <w:rPr>
          <w:rFonts w:ascii="Garamond" w:hAnsi="Garamond"/>
          <w:color w:val="222222"/>
        </w:rPr>
        <w:t xml:space="preserve">, safe and had more than one </w:t>
      </w:r>
      <w:r w:rsidR="00865BAC">
        <w:rPr>
          <w:rFonts w:ascii="Garamond" w:hAnsi="Garamond"/>
          <w:color w:val="222222"/>
        </w:rPr>
        <w:t xml:space="preserve">RI </w:t>
      </w:r>
      <w:r>
        <w:rPr>
          <w:rFonts w:ascii="Garamond" w:hAnsi="Garamond"/>
          <w:color w:val="222222"/>
        </w:rPr>
        <w:t>staff</w:t>
      </w:r>
      <w:r w:rsidR="009C13AE">
        <w:rPr>
          <w:rFonts w:ascii="Garamond" w:hAnsi="Garamond"/>
          <w:color w:val="222222"/>
        </w:rPr>
        <w:t xml:space="preserve"> member</w:t>
      </w:r>
      <w:r>
        <w:rPr>
          <w:rFonts w:ascii="Garamond" w:hAnsi="Garamond"/>
          <w:color w:val="222222"/>
        </w:rPr>
        <w:t>.</w:t>
      </w:r>
    </w:p>
    <w:p w14:paraId="1196DA07" w14:textId="47149687" w:rsidR="00EA1C2F" w:rsidRPr="00EE7C34" w:rsidRDefault="00EA1C2F" w:rsidP="006C30CC">
      <w:pPr>
        <w:pStyle w:val="Normal1"/>
        <w:numPr>
          <w:ilvl w:val="0"/>
          <w:numId w:val="15"/>
        </w:numPr>
        <w:spacing w:line="259" w:lineRule="auto"/>
        <w:ind w:left="720"/>
        <w:jc w:val="both"/>
        <w:rPr>
          <w:rFonts w:ascii="Garamond" w:hAnsi="Garamond"/>
          <w:color w:val="222222"/>
        </w:rPr>
      </w:pPr>
      <w:r w:rsidRPr="00EE7C34">
        <w:rPr>
          <w:rFonts w:ascii="Garamond" w:hAnsi="Garamond"/>
          <w:b/>
          <w:color w:val="222222"/>
        </w:rPr>
        <w:t>3:</w:t>
      </w:r>
      <w:r w:rsidRPr="00EE7C34">
        <w:rPr>
          <w:rFonts w:ascii="Garamond" w:hAnsi="Garamond"/>
          <w:color w:val="222222"/>
        </w:rPr>
        <w:t xml:space="preserve"> These clinics </w:t>
      </w:r>
      <w:r>
        <w:rPr>
          <w:rFonts w:ascii="Garamond" w:hAnsi="Garamond"/>
          <w:color w:val="222222"/>
        </w:rPr>
        <w:t>were two to three hours from the nearest hub town</w:t>
      </w:r>
      <w:r w:rsidRPr="00EE7C34">
        <w:rPr>
          <w:rFonts w:ascii="Garamond" w:hAnsi="Garamond"/>
          <w:color w:val="222222"/>
        </w:rPr>
        <w:t>,</w:t>
      </w:r>
      <w:r>
        <w:rPr>
          <w:rFonts w:ascii="Garamond" w:hAnsi="Garamond"/>
          <w:color w:val="222222"/>
        </w:rPr>
        <w:t xml:space="preserve"> safe and had more than one </w:t>
      </w:r>
      <w:r w:rsidR="00865BAC">
        <w:rPr>
          <w:rFonts w:ascii="Garamond" w:hAnsi="Garamond"/>
          <w:color w:val="222222"/>
        </w:rPr>
        <w:t xml:space="preserve">RI </w:t>
      </w:r>
      <w:r>
        <w:rPr>
          <w:rFonts w:ascii="Garamond" w:hAnsi="Garamond"/>
          <w:color w:val="222222"/>
        </w:rPr>
        <w:t>staff</w:t>
      </w:r>
      <w:r w:rsidR="009C13AE">
        <w:rPr>
          <w:rFonts w:ascii="Garamond" w:hAnsi="Garamond"/>
          <w:color w:val="222222"/>
        </w:rPr>
        <w:t xml:space="preserve"> member</w:t>
      </w:r>
      <w:r>
        <w:rPr>
          <w:rFonts w:ascii="Garamond" w:hAnsi="Garamond"/>
          <w:color w:val="222222"/>
        </w:rPr>
        <w:t>.</w:t>
      </w:r>
      <w:r w:rsidRPr="00EE7C34">
        <w:rPr>
          <w:rFonts w:ascii="Garamond" w:hAnsi="Garamond"/>
          <w:color w:val="222222"/>
        </w:rPr>
        <w:t xml:space="preserve"> </w:t>
      </w:r>
    </w:p>
    <w:p w14:paraId="6336F3BE" w14:textId="0070DD9F" w:rsidR="00EA1C2F" w:rsidRDefault="00EA1C2F" w:rsidP="006C30CC">
      <w:pPr>
        <w:pStyle w:val="Normal1"/>
        <w:numPr>
          <w:ilvl w:val="0"/>
          <w:numId w:val="15"/>
        </w:numPr>
        <w:spacing w:line="259" w:lineRule="auto"/>
        <w:ind w:left="720"/>
        <w:jc w:val="both"/>
        <w:rPr>
          <w:rFonts w:ascii="Garamond" w:hAnsi="Garamond"/>
          <w:color w:val="222222"/>
        </w:rPr>
      </w:pPr>
      <w:r w:rsidRPr="00A66ADC">
        <w:rPr>
          <w:rFonts w:ascii="Garamond" w:hAnsi="Garamond"/>
          <w:b/>
          <w:color w:val="222222"/>
        </w:rPr>
        <w:t>4:</w:t>
      </w:r>
      <w:r w:rsidRPr="00A66ADC">
        <w:rPr>
          <w:rFonts w:ascii="Garamond" w:hAnsi="Garamond"/>
          <w:color w:val="222222"/>
        </w:rPr>
        <w:t xml:space="preserve"> These clinics </w:t>
      </w:r>
      <w:r>
        <w:rPr>
          <w:rFonts w:ascii="Garamond" w:hAnsi="Garamond"/>
          <w:color w:val="222222"/>
        </w:rPr>
        <w:t>were over three hours from the nearest hub town</w:t>
      </w:r>
      <w:r w:rsidRPr="00EE7C34">
        <w:rPr>
          <w:rFonts w:ascii="Garamond" w:hAnsi="Garamond"/>
          <w:color w:val="222222"/>
        </w:rPr>
        <w:t>,</w:t>
      </w:r>
      <w:r>
        <w:rPr>
          <w:rFonts w:ascii="Garamond" w:hAnsi="Garamond"/>
          <w:color w:val="222222"/>
        </w:rPr>
        <w:t xml:space="preserve"> safe and had more than one</w:t>
      </w:r>
      <w:r w:rsidR="00865BAC">
        <w:rPr>
          <w:rFonts w:ascii="Garamond" w:hAnsi="Garamond"/>
          <w:color w:val="222222"/>
        </w:rPr>
        <w:t xml:space="preserve"> RI</w:t>
      </w:r>
      <w:r>
        <w:rPr>
          <w:rFonts w:ascii="Garamond" w:hAnsi="Garamond"/>
          <w:color w:val="222222"/>
        </w:rPr>
        <w:t xml:space="preserve"> staff.</w:t>
      </w:r>
      <w:r w:rsidRPr="00EE7C34">
        <w:rPr>
          <w:rFonts w:ascii="Garamond" w:hAnsi="Garamond"/>
          <w:color w:val="222222"/>
        </w:rPr>
        <w:t xml:space="preserve"> </w:t>
      </w:r>
    </w:p>
    <w:p w14:paraId="4E319883" w14:textId="77777777" w:rsidR="00EA1C2F" w:rsidRPr="00A66ADC" w:rsidRDefault="00EA1C2F" w:rsidP="006C30CC">
      <w:pPr>
        <w:pStyle w:val="Normal1"/>
        <w:numPr>
          <w:ilvl w:val="0"/>
          <w:numId w:val="15"/>
        </w:numPr>
        <w:spacing w:line="259" w:lineRule="auto"/>
        <w:ind w:left="720"/>
        <w:jc w:val="both"/>
        <w:rPr>
          <w:rFonts w:ascii="Garamond" w:hAnsi="Garamond"/>
          <w:color w:val="222222"/>
        </w:rPr>
      </w:pPr>
      <w:r w:rsidRPr="00A66ADC">
        <w:rPr>
          <w:rFonts w:ascii="Garamond" w:hAnsi="Garamond"/>
          <w:b/>
          <w:color w:val="222222"/>
        </w:rPr>
        <w:t>5:</w:t>
      </w:r>
      <w:r w:rsidRPr="00A66ADC">
        <w:rPr>
          <w:rFonts w:ascii="Garamond" w:hAnsi="Garamond"/>
          <w:color w:val="222222"/>
        </w:rPr>
        <w:t xml:space="preserve"> These clinics only had one staff member </w:t>
      </w:r>
      <w:r>
        <w:rPr>
          <w:rFonts w:ascii="Garamond" w:hAnsi="Garamond"/>
          <w:color w:val="222222"/>
        </w:rPr>
        <w:t xml:space="preserve">(paid or unpaid) </w:t>
      </w:r>
      <w:r w:rsidRPr="00A66ADC">
        <w:rPr>
          <w:rFonts w:ascii="Garamond" w:hAnsi="Garamond"/>
          <w:color w:val="222222"/>
        </w:rPr>
        <w:t>working at the clinic</w:t>
      </w:r>
      <w:r>
        <w:rPr>
          <w:rFonts w:ascii="Garamond" w:hAnsi="Garamond"/>
          <w:color w:val="222222"/>
        </w:rPr>
        <w:t xml:space="preserve"> on RI services</w:t>
      </w:r>
      <w:r w:rsidRPr="00A66ADC">
        <w:rPr>
          <w:rFonts w:ascii="Garamond" w:hAnsi="Garamond"/>
          <w:color w:val="222222"/>
        </w:rPr>
        <w:t xml:space="preserve">.  </w:t>
      </w:r>
    </w:p>
    <w:p w14:paraId="5FB4C749" w14:textId="7BDF967A" w:rsidR="00EA1C2F" w:rsidRDefault="00EA1C2F" w:rsidP="00353B29">
      <w:pPr>
        <w:pStyle w:val="Normal1"/>
        <w:spacing w:line="259" w:lineRule="auto"/>
        <w:ind w:left="720"/>
        <w:jc w:val="both"/>
        <w:rPr>
          <w:rFonts w:ascii="Garamond" w:hAnsi="Garamond"/>
          <w:color w:val="222222"/>
        </w:rPr>
      </w:pPr>
      <w:r w:rsidDel="00071616">
        <w:rPr>
          <w:rFonts w:ascii="Garamond" w:hAnsi="Garamond"/>
          <w:b/>
          <w:color w:val="222222"/>
        </w:rPr>
        <w:t xml:space="preserve"> </w:t>
      </w:r>
      <w:r w:rsidRPr="00EE7C34">
        <w:rPr>
          <w:rFonts w:ascii="Garamond" w:hAnsi="Garamond"/>
          <w:b/>
          <w:color w:val="222222"/>
        </w:rPr>
        <w:t xml:space="preserve">“O”: </w:t>
      </w:r>
      <w:r w:rsidRPr="00EE7C34">
        <w:rPr>
          <w:rFonts w:ascii="Garamond" w:hAnsi="Garamond"/>
          <w:color w:val="222222"/>
        </w:rPr>
        <w:t xml:space="preserve">These clinics were not operational (abandoned/destroyed) or barely operational (e.g., routine immunization tools and records were not available or not used for months, building structure of clinic was severely damaged, no </w:t>
      </w:r>
      <w:r>
        <w:rPr>
          <w:rFonts w:ascii="Garamond" w:hAnsi="Garamond"/>
          <w:color w:val="222222"/>
        </w:rPr>
        <w:t>patients</w:t>
      </w:r>
      <w:r w:rsidRPr="00EE7C34">
        <w:rPr>
          <w:rFonts w:ascii="Garamond" w:hAnsi="Garamond"/>
          <w:color w:val="222222"/>
        </w:rPr>
        <w:t xml:space="preserve"> in past months)</w:t>
      </w:r>
      <w:r>
        <w:rPr>
          <w:rFonts w:ascii="Garamond" w:hAnsi="Garamond"/>
          <w:color w:val="222222"/>
        </w:rPr>
        <w:t>.</w:t>
      </w:r>
      <w:r w:rsidRPr="00EE7C34">
        <w:rPr>
          <w:rStyle w:val="FootnoteReference"/>
          <w:rFonts w:ascii="Garamond" w:hAnsi="Garamond"/>
          <w:color w:val="222222"/>
        </w:rPr>
        <w:footnoteReference w:id="73"/>
      </w:r>
    </w:p>
    <w:p w14:paraId="354E125D" w14:textId="77777777" w:rsidR="00EA1C2F" w:rsidRPr="00071616" w:rsidRDefault="00EA1C2F" w:rsidP="00353B29">
      <w:pPr>
        <w:pStyle w:val="Normal1"/>
        <w:spacing w:line="259" w:lineRule="auto"/>
        <w:ind w:left="720"/>
        <w:jc w:val="both"/>
        <w:rPr>
          <w:rFonts w:ascii="Garamond" w:hAnsi="Garamond"/>
          <w:b/>
          <w:color w:val="222222"/>
        </w:rPr>
      </w:pPr>
      <w:r w:rsidRPr="00071616">
        <w:rPr>
          <w:rFonts w:ascii="Garamond" w:hAnsi="Garamond"/>
          <w:b/>
          <w:color w:val="222222"/>
        </w:rPr>
        <w:t xml:space="preserve">Added by </w:t>
      </w:r>
      <w:proofErr w:type="spellStart"/>
      <w:r w:rsidRPr="00071616">
        <w:rPr>
          <w:rFonts w:ascii="Garamond" w:hAnsi="Garamond"/>
          <w:b/>
          <w:color w:val="222222"/>
        </w:rPr>
        <w:t>I</w:t>
      </w:r>
      <w:r>
        <w:rPr>
          <w:rFonts w:ascii="Garamond" w:hAnsi="Garamond"/>
          <w:b/>
          <w:color w:val="222222"/>
        </w:rPr>
        <w:t>D</w:t>
      </w:r>
      <w:r w:rsidRPr="00071616">
        <w:rPr>
          <w:rFonts w:ascii="Garamond" w:hAnsi="Garamond"/>
          <w:b/>
          <w:color w:val="222222"/>
        </w:rPr>
        <w:t>insight</w:t>
      </w:r>
      <w:proofErr w:type="spellEnd"/>
      <w:r w:rsidRPr="00071616">
        <w:rPr>
          <w:rFonts w:ascii="Garamond" w:hAnsi="Garamond"/>
          <w:b/>
          <w:color w:val="222222"/>
        </w:rPr>
        <w:t>:</w:t>
      </w:r>
    </w:p>
    <w:p w14:paraId="0F234145" w14:textId="642CDDA1" w:rsidR="00EA1C2F" w:rsidRPr="00071616" w:rsidRDefault="00EA1C2F" w:rsidP="00353B29">
      <w:pPr>
        <w:pStyle w:val="Normal1"/>
        <w:spacing w:line="259" w:lineRule="auto"/>
        <w:ind w:left="720"/>
        <w:jc w:val="both"/>
        <w:rPr>
          <w:rFonts w:ascii="Garamond" w:hAnsi="Garamond"/>
          <w:color w:val="222222"/>
        </w:rPr>
      </w:pPr>
      <w:r>
        <w:rPr>
          <w:rFonts w:ascii="Garamond" w:hAnsi="Garamond"/>
          <w:b/>
          <w:color w:val="222222"/>
        </w:rPr>
        <w:t>SC</w:t>
      </w:r>
      <w:r w:rsidRPr="00FB5C2B">
        <w:rPr>
          <w:rFonts w:ascii="Garamond" w:hAnsi="Garamond"/>
          <w:b/>
          <w:color w:val="222222"/>
        </w:rPr>
        <w:t>:</w:t>
      </w:r>
      <w:r w:rsidRPr="00FB5C2B">
        <w:rPr>
          <w:rFonts w:ascii="Garamond" w:hAnsi="Garamond"/>
          <w:color w:val="222222"/>
        </w:rPr>
        <w:t xml:space="preserve"> Clinics with an estimated population of less than 1,500 in their official catchment.</w:t>
      </w:r>
      <w:r w:rsidR="00A10B46" w:rsidRPr="00FB5C2B">
        <w:rPr>
          <w:rStyle w:val="FootnoteReference"/>
          <w:rFonts w:ascii="Garamond" w:hAnsi="Garamond"/>
          <w:color w:val="222222"/>
        </w:rPr>
        <w:footnoteReference w:id="74"/>
      </w:r>
      <w:r w:rsidRPr="00FB5C2B">
        <w:rPr>
          <w:rFonts w:ascii="Garamond" w:hAnsi="Garamond"/>
          <w:color w:val="222222"/>
        </w:rPr>
        <w:t xml:space="preserve"> This population is needed </w:t>
      </w:r>
      <w:r w:rsidR="00865BAC" w:rsidRPr="00FB5C2B">
        <w:rPr>
          <w:rFonts w:ascii="Garamond" w:hAnsi="Garamond"/>
          <w:color w:val="222222"/>
        </w:rPr>
        <w:t xml:space="preserve">to </w:t>
      </w:r>
      <w:r w:rsidRPr="00FB5C2B">
        <w:rPr>
          <w:rFonts w:ascii="Garamond" w:hAnsi="Garamond"/>
          <w:color w:val="222222"/>
        </w:rPr>
        <w:t xml:space="preserve">ensure a </w:t>
      </w:r>
      <w:proofErr w:type="gramStart"/>
      <w:r w:rsidRPr="00FB5C2B">
        <w:rPr>
          <w:rFonts w:ascii="Garamond" w:hAnsi="Garamond"/>
          <w:color w:val="222222"/>
        </w:rPr>
        <w:t>sufficient</w:t>
      </w:r>
      <w:proofErr w:type="gramEnd"/>
      <w:r w:rsidRPr="00FB5C2B">
        <w:rPr>
          <w:rFonts w:ascii="Garamond" w:hAnsi="Garamond"/>
          <w:color w:val="222222"/>
        </w:rPr>
        <w:t xml:space="preserve"> sample of infants would be available to conduct the </w:t>
      </w:r>
      <w:r w:rsidR="008962FD" w:rsidRPr="00FB5C2B">
        <w:rPr>
          <w:rFonts w:ascii="Garamond" w:hAnsi="Garamond"/>
          <w:color w:val="222222"/>
        </w:rPr>
        <w:t>study</w:t>
      </w:r>
      <w:r w:rsidR="006942AF" w:rsidRPr="00FB5C2B">
        <w:rPr>
          <w:rFonts w:ascii="Garamond" w:hAnsi="Garamond"/>
          <w:color w:val="222222"/>
        </w:rPr>
        <w:t>.</w:t>
      </w:r>
      <w:r w:rsidRPr="00FB5C2B">
        <w:rPr>
          <w:rStyle w:val="FootnoteReference"/>
          <w:rFonts w:ascii="Garamond" w:hAnsi="Garamond"/>
          <w:color w:val="222222"/>
        </w:rPr>
        <w:footnoteReference w:id="75"/>
      </w:r>
      <w:r w:rsidRPr="00FB5C2B">
        <w:rPr>
          <w:rFonts w:ascii="Garamond" w:hAnsi="Garamond"/>
          <w:color w:val="222222"/>
        </w:rPr>
        <w:t xml:space="preserve"> This led to four clinics being </w:t>
      </w:r>
      <w:r w:rsidR="00F25BB3" w:rsidRPr="00FB5C2B">
        <w:rPr>
          <w:rFonts w:ascii="Garamond" w:hAnsi="Garamond"/>
          <w:color w:val="222222"/>
        </w:rPr>
        <w:t xml:space="preserve">excluded </w:t>
      </w:r>
      <w:r w:rsidRPr="00FB5C2B">
        <w:rPr>
          <w:rFonts w:ascii="Garamond" w:hAnsi="Garamond"/>
          <w:color w:val="222222"/>
        </w:rPr>
        <w:t xml:space="preserve">from </w:t>
      </w:r>
      <w:r w:rsidR="00F25BB3" w:rsidRPr="00FB5C2B">
        <w:rPr>
          <w:rFonts w:ascii="Garamond" w:hAnsi="Garamond"/>
          <w:color w:val="222222"/>
        </w:rPr>
        <w:t>the study (including baseline)</w:t>
      </w:r>
      <w:r w:rsidRPr="00FB5C2B">
        <w:rPr>
          <w:rFonts w:ascii="Garamond" w:hAnsi="Garamond"/>
          <w:color w:val="222222"/>
        </w:rPr>
        <w:t>.</w:t>
      </w:r>
    </w:p>
    <w:p w14:paraId="568BB27B" w14:textId="77777777" w:rsidR="00EA1C2F" w:rsidRPr="00533AC9" w:rsidRDefault="00EA1C2F" w:rsidP="00353B29">
      <w:pPr>
        <w:pStyle w:val="Normal1"/>
        <w:spacing w:line="259" w:lineRule="auto"/>
        <w:ind w:left="720"/>
        <w:jc w:val="both"/>
        <w:rPr>
          <w:rFonts w:ascii="Garamond" w:hAnsi="Garamond"/>
          <w:color w:val="222222"/>
        </w:rPr>
      </w:pPr>
    </w:p>
    <w:p w14:paraId="484AFE49" w14:textId="77777777" w:rsidR="00EA1C2F" w:rsidRPr="00EE7C34" w:rsidRDefault="00EA1C2F" w:rsidP="00A3613C">
      <w:pPr>
        <w:pStyle w:val="Normal1"/>
        <w:keepNext/>
        <w:spacing w:line="259" w:lineRule="auto"/>
        <w:jc w:val="both"/>
        <w:rPr>
          <w:rFonts w:ascii="Garamond" w:hAnsi="Garamond"/>
          <w:color w:val="222222"/>
        </w:rPr>
      </w:pPr>
      <w:r w:rsidRPr="00EE7C34">
        <w:rPr>
          <w:rFonts w:ascii="Garamond" w:hAnsi="Garamond"/>
          <w:color w:val="222222"/>
        </w:rPr>
        <w:t xml:space="preserve">The </w:t>
      </w:r>
      <w:r>
        <w:rPr>
          <w:rFonts w:ascii="Garamond" w:hAnsi="Garamond"/>
          <w:color w:val="222222"/>
        </w:rPr>
        <w:t>c</w:t>
      </w:r>
      <w:r w:rsidRPr="00EE7C34">
        <w:rPr>
          <w:rFonts w:ascii="Garamond" w:hAnsi="Garamond"/>
          <w:color w:val="222222"/>
        </w:rPr>
        <w:t xml:space="preserve">linic </w:t>
      </w:r>
      <w:r>
        <w:rPr>
          <w:rFonts w:ascii="Garamond" w:hAnsi="Garamond"/>
          <w:color w:val="222222"/>
        </w:rPr>
        <w:t>s</w:t>
      </w:r>
      <w:r w:rsidRPr="00EE7C34">
        <w:rPr>
          <w:rFonts w:ascii="Garamond" w:hAnsi="Garamond"/>
          <w:color w:val="222222"/>
        </w:rPr>
        <w:t>creening process identified clinics with additional security challenges, resulting in further categorization:</w:t>
      </w:r>
    </w:p>
    <w:p w14:paraId="000A1C0D" w14:textId="7ADB1876" w:rsidR="00EA1C2F" w:rsidRPr="00EE7C34" w:rsidRDefault="00EA1C2F" w:rsidP="006C30CC">
      <w:pPr>
        <w:pStyle w:val="Normal1"/>
        <w:numPr>
          <w:ilvl w:val="0"/>
          <w:numId w:val="10"/>
        </w:numPr>
        <w:spacing w:line="259" w:lineRule="auto"/>
        <w:jc w:val="both"/>
        <w:rPr>
          <w:rFonts w:ascii="Garamond" w:hAnsi="Garamond"/>
          <w:color w:val="222222"/>
        </w:rPr>
      </w:pPr>
      <w:r w:rsidRPr="00EE7C34">
        <w:rPr>
          <w:rFonts w:ascii="Garamond" w:hAnsi="Garamond"/>
          <w:b/>
          <w:color w:val="222222"/>
        </w:rPr>
        <w:t>No-go Clinic (Category X)</w:t>
      </w:r>
      <w:r>
        <w:rPr>
          <w:rFonts w:ascii="Garamond" w:hAnsi="Garamond"/>
          <w:b/>
          <w:color w:val="222222"/>
        </w:rPr>
        <w:t xml:space="preserve"> </w:t>
      </w:r>
      <w:r w:rsidRPr="00EE7C34">
        <w:rPr>
          <w:rFonts w:ascii="Garamond" w:hAnsi="Garamond"/>
          <w:b/>
          <w:color w:val="222222"/>
        </w:rPr>
        <w:t xml:space="preserve">– </w:t>
      </w:r>
      <w:r w:rsidRPr="00EE7C34">
        <w:rPr>
          <w:rFonts w:ascii="Garamond" w:hAnsi="Garamond"/>
          <w:color w:val="222222"/>
        </w:rPr>
        <w:t>Clinics where staff members said it was unsafe to operate during the day</w:t>
      </w:r>
      <w:r w:rsidR="00865BAC">
        <w:rPr>
          <w:rFonts w:ascii="Garamond" w:hAnsi="Garamond"/>
          <w:color w:val="222222"/>
        </w:rPr>
        <w:t>,</w:t>
      </w:r>
      <w:r w:rsidRPr="00EE7C34">
        <w:rPr>
          <w:rFonts w:ascii="Garamond" w:hAnsi="Garamond"/>
          <w:color w:val="222222"/>
        </w:rPr>
        <w:t xml:space="preserve"> and the information was confirmed by a second official. </w:t>
      </w:r>
      <w:r w:rsidR="008D5B47">
        <w:rPr>
          <w:rFonts w:ascii="Garamond" w:hAnsi="Garamond"/>
          <w:color w:val="222222"/>
        </w:rPr>
        <w:t>All were excluded.</w:t>
      </w:r>
    </w:p>
    <w:p w14:paraId="1EE2D6EC" w14:textId="65D112BC" w:rsidR="00EA1C2F" w:rsidRPr="00EE7C34" w:rsidRDefault="00EA1C2F" w:rsidP="006C30CC">
      <w:pPr>
        <w:pStyle w:val="Normal1"/>
        <w:numPr>
          <w:ilvl w:val="0"/>
          <w:numId w:val="10"/>
        </w:numPr>
        <w:spacing w:line="259" w:lineRule="auto"/>
        <w:jc w:val="both"/>
        <w:rPr>
          <w:rFonts w:ascii="Garamond" w:hAnsi="Garamond"/>
          <w:color w:val="222222"/>
        </w:rPr>
      </w:pPr>
      <w:r w:rsidRPr="00EE7C34">
        <w:rPr>
          <w:rFonts w:ascii="Garamond" w:hAnsi="Garamond"/>
          <w:b/>
          <w:color w:val="222222"/>
        </w:rPr>
        <w:t xml:space="preserve">Serious Security Issues (Category 2x, 3x, 4x) – </w:t>
      </w:r>
      <w:r w:rsidRPr="00EE7C34">
        <w:rPr>
          <w:rFonts w:ascii="Garamond" w:hAnsi="Garamond"/>
          <w:color w:val="222222"/>
        </w:rPr>
        <w:t xml:space="preserve">Clinics where the staff flagged serious security </w:t>
      </w:r>
      <w:proofErr w:type="gramStart"/>
      <w:r w:rsidRPr="00EE7C34">
        <w:rPr>
          <w:rFonts w:ascii="Garamond" w:hAnsi="Garamond"/>
          <w:color w:val="222222"/>
        </w:rPr>
        <w:t>concerns</w:t>
      </w:r>
      <w:proofErr w:type="gramEnd"/>
      <w:r w:rsidRPr="00EE7C34">
        <w:rPr>
          <w:rFonts w:ascii="Garamond" w:hAnsi="Garamond"/>
          <w:color w:val="222222"/>
        </w:rPr>
        <w:t xml:space="preserve"> but clinic staff and other officials claimed the clinic was safe for daytime operations.  The 2, 3, and 4 refers to how the clinic would be otherwise categorized</w:t>
      </w:r>
      <w:r w:rsidR="0013073A">
        <w:rPr>
          <w:rFonts w:ascii="Garamond" w:hAnsi="Garamond"/>
          <w:color w:val="222222"/>
        </w:rPr>
        <w:t xml:space="preserve"> i.e. </w:t>
      </w:r>
      <w:r w:rsidR="007F430A">
        <w:rPr>
          <w:rFonts w:ascii="Garamond" w:hAnsi="Garamond"/>
          <w:color w:val="222222"/>
        </w:rPr>
        <w:t xml:space="preserve">less than </w:t>
      </w:r>
      <w:r w:rsidR="0013073A">
        <w:rPr>
          <w:rFonts w:ascii="Garamond" w:hAnsi="Garamond"/>
          <w:color w:val="222222"/>
        </w:rPr>
        <w:t>two hours from the nearest</w:t>
      </w:r>
      <w:r w:rsidR="00FC3F68">
        <w:rPr>
          <w:rFonts w:ascii="Garamond" w:hAnsi="Garamond"/>
          <w:color w:val="222222"/>
        </w:rPr>
        <w:t xml:space="preserve"> town, over </w:t>
      </w:r>
      <w:r w:rsidR="007F430A">
        <w:rPr>
          <w:rFonts w:ascii="Garamond" w:hAnsi="Garamond"/>
          <w:color w:val="222222"/>
        </w:rPr>
        <w:t xml:space="preserve">two </w:t>
      </w:r>
      <w:r w:rsidR="00FC3F68">
        <w:rPr>
          <w:rFonts w:ascii="Garamond" w:hAnsi="Garamond"/>
          <w:color w:val="222222"/>
        </w:rPr>
        <w:t xml:space="preserve">hours but less than </w:t>
      </w:r>
      <w:r w:rsidR="007F430A">
        <w:rPr>
          <w:rFonts w:ascii="Garamond" w:hAnsi="Garamond"/>
          <w:color w:val="222222"/>
        </w:rPr>
        <w:t xml:space="preserve">three </w:t>
      </w:r>
      <w:r w:rsidR="00FC3F68">
        <w:rPr>
          <w:rFonts w:ascii="Garamond" w:hAnsi="Garamond"/>
          <w:color w:val="222222"/>
        </w:rPr>
        <w:t>hours, and over three hours</w:t>
      </w:r>
      <w:r w:rsidR="007F430A">
        <w:rPr>
          <w:rFonts w:ascii="Garamond" w:hAnsi="Garamond"/>
          <w:color w:val="222222"/>
        </w:rPr>
        <w:t xml:space="preserve"> respectively</w:t>
      </w:r>
      <w:r w:rsidR="00FC3F68">
        <w:rPr>
          <w:rFonts w:ascii="Garamond" w:hAnsi="Garamond"/>
          <w:color w:val="222222"/>
        </w:rPr>
        <w:t>.</w:t>
      </w:r>
    </w:p>
    <w:p w14:paraId="7F5BD80D" w14:textId="3552457A" w:rsidR="00EA1C2F" w:rsidRDefault="00EA1C2F" w:rsidP="006C30CC">
      <w:pPr>
        <w:pStyle w:val="Normal1"/>
        <w:numPr>
          <w:ilvl w:val="0"/>
          <w:numId w:val="10"/>
        </w:numPr>
        <w:spacing w:line="259" w:lineRule="auto"/>
        <w:jc w:val="both"/>
        <w:rPr>
          <w:rFonts w:ascii="Garamond" w:hAnsi="Garamond"/>
          <w:color w:val="222222"/>
        </w:rPr>
      </w:pPr>
      <w:r w:rsidRPr="00EE7C34">
        <w:rPr>
          <w:rFonts w:ascii="Garamond" w:hAnsi="Garamond"/>
          <w:b/>
          <w:color w:val="222222"/>
        </w:rPr>
        <w:t xml:space="preserve">No security flag – </w:t>
      </w:r>
      <w:r w:rsidRPr="00EE7C34">
        <w:rPr>
          <w:rFonts w:ascii="Garamond" w:hAnsi="Garamond"/>
          <w:color w:val="222222"/>
        </w:rPr>
        <w:t xml:space="preserve">Clinics that had no or minimal security concerns. Clinics where staff noted some security issues but deemed it safe to work there in the daytime were not flagged if other officials reported it was safe. For example, the report, “There are a little security issues [sic] around the area, it is mere robbery and it has not affected the clinic in any way,” did not </w:t>
      </w:r>
      <w:r>
        <w:rPr>
          <w:rFonts w:ascii="Garamond" w:hAnsi="Garamond"/>
          <w:color w:val="222222"/>
        </w:rPr>
        <w:t xml:space="preserve">result in a categorization flagging security issues. </w:t>
      </w:r>
    </w:p>
    <w:p w14:paraId="304037E2" w14:textId="77777777" w:rsidR="006942AF" w:rsidRPr="00EE7C34" w:rsidRDefault="006942AF" w:rsidP="00F9661A">
      <w:pPr>
        <w:pStyle w:val="Normal1"/>
        <w:spacing w:line="259" w:lineRule="auto"/>
        <w:ind w:left="720"/>
        <w:jc w:val="both"/>
        <w:rPr>
          <w:rFonts w:ascii="Garamond" w:hAnsi="Garamond"/>
          <w:color w:val="222222"/>
        </w:rPr>
      </w:pPr>
    </w:p>
    <w:p w14:paraId="017C5AAB" w14:textId="2FA28CD0" w:rsidR="00EA1C2F" w:rsidRPr="0012085A" w:rsidRDefault="00EA1C2F" w:rsidP="00F9661A">
      <w:pPr>
        <w:pStyle w:val="Normal1"/>
        <w:spacing w:line="259" w:lineRule="auto"/>
        <w:jc w:val="both"/>
        <w:rPr>
          <w:rFonts w:ascii="Garamond" w:hAnsi="Garamond"/>
          <w:color w:val="222222"/>
        </w:rPr>
      </w:pPr>
      <w:r w:rsidRPr="008D5B47">
        <w:rPr>
          <w:rFonts w:ascii="Garamond" w:hAnsi="Garamond"/>
          <w:color w:val="222222"/>
        </w:rPr>
        <w:t>New</w:t>
      </w:r>
      <w:r>
        <w:rPr>
          <w:rFonts w:ascii="Garamond" w:hAnsi="Garamond"/>
          <w:color w:val="222222"/>
        </w:rPr>
        <w:t xml:space="preserve"> Incentives</w:t>
      </w:r>
      <w:r w:rsidR="00865BAC">
        <w:rPr>
          <w:rFonts w:ascii="Garamond" w:hAnsi="Garamond"/>
          <w:color w:val="222222"/>
        </w:rPr>
        <w:t>’</w:t>
      </w:r>
      <w:r>
        <w:rPr>
          <w:rFonts w:ascii="Garamond" w:hAnsi="Garamond"/>
          <w:color w:val="222222"/>
        </w:rPr>
        <w:t xml:space="preserve"> security categorization was further refined after the baseline. Th</w:t>
      </w:r>
      <w:r w:rsidR="00E56473">
        <w:rPr>
          <w:rFonts w:ascii="Garamond" w:hAnsi="Garamond"/>
          <w:color w:val="222222"/>
        </w:rPr>
        <w:t>e</w:t>
      </w:r>
      <w:r>
        <w:rPr>
          <w:rFonts w:ascii="Garamond" w:hAnsi="Garamond"/>
          <w:color w:val="222222"/>
        </w:rPr>
        <w:t>s</w:t>
      </w:r>
      <w:r w:rsidR="00E56473">
        <w:rPr>
          <w:rFonts w:ascii="Garamond" w:hAnsi="Garamond"/>
          <w:color w:val="222222"/>
        </w:rPr>
        <w:t>e</w:t>
      </w:r>
      <w:r>
        <w:rPr>
          <w:rFonts w:ascii="Garamond" w:hAnsi="Garamond"/>
          <w:color w:val="222222"/>
        </w:rPr>
        <w:t xml:space="preserve"> revised </w:t>
      </w:r>
      <w:r w:rsidR="006942AF">
        <w:rPr>
          <w:rFonts w:ascii="Garamond" w:hAnsi="Garamond"/>
          <w:color w:val="222222"/>
        </w:rPr>
        <w:t xml:space="preserve">criteria </w:t>
      </w:r>
      <w:r w:rsidR="00E56473">
        <w:rPr>
          <w:rFonts w:ascii="Garamond" w:hAnsi="Garamond"/>
          <w:color w:val="222222"/>
        </w:rPr>
        <w:t>are</w:t>
      </w:r>
      <w:r>
        <w:rPr>
          <w:rFonts w:ascii="Garamond" w:hAnsi="Garamond"/>
          <w:color w:val="222222"/>
        </w:rPr>
        <w:t xml:space="preserve"> discussed in the section on clinics excluded prior to randomization.</w:t>
      </w:r>
    </w:p>
    <w:p w14:paraId="1AAF13FC" w14:textId="77777777" w:rsidR="00EA1C2F" w:rsidRPr="0012085A" w:rsidRDefault="00EA1C2F" w:rsidP="00F9661A">
      <w:pPr>
        <w:pStyle w:val="Normal1"/>
        <w:spacing w:line="259" w:lineRule="auto"/>
        <w:jc w:val="both"/>
        <w:rPr>
          <w:rFonts w:ascii="Garamond" w:hAnsi="Garamond"/>
          <w:color w:val="222222"/>
        </w:rPr>
      </w:pPr>
    </w:p>
    <w:p w14:paraId="499E776D" w14:textId="3CA232FA" w:rsidR="00EA1C2F" w:rsidRPr="0012085A" w:rsidRDefault="00EA1C2F" w:rsidP="00F9661A">
      <w:pPr>
        <w:pStyle w:val="Normal1"/>
        <w:spacing w:line="259" w:lineRule="auto"/>
        <w:jc w:val="both"/>
        <w:rPr>
          <w:rFonts w:ascii="Garamond" w:hAnsi="Garamond"/>
          <w:color w:val="222222"/>
        </w:rPr>
      </w:pPr>
      <w:r w:rsidRPr="0012085A">
        <w:rPr>
          <w:rFonts w:ascii="Garamond" w:hAnsi="Garamond"/>
          <w:color w:val="222222"/>
        </w:rPr>
        <w:t xml:space="preserve">New Incentives did </w:t>
      </w:r>
      <w:r w:rsidRPr="0012085A">
        <w:rPr>
          <w:rFonts w:ascii="Garamond" w:hAnsi="Garamond"/>
          <w:b/>
          <w:i/>
          <w:color w:val="222222"/>
        </w:rPr>
        <w:t>not</w:t>
      </w:r>
      <w:r w:rsidRPr="0012085A">
        <w:rPr>
          <w:rFonts w:ascii="Garamond" w:hAnsi="Garamond"/>
          <w:color w:val="222222"/>
        </w:rPr>
        <w:t xml:space="preserve"> screen out clinics based on common supply-side indicators</w:t>
      </w:r>
      <w:r w:rsidR="006B030A">
        <w:rPr>
          <w:rFonts w:ascii="Garamond" w:hAnsi="Garamond"/>
          <w:color w:val="222222"/>
        </w:rPr>
        <w:t>. This choice is meant</w:t>
      </w:r>
      <w:r w:rsidRPr="0012085A">
        <w:rPr>
          <w:rFonts w:ascii="Garamond" w:hAnsi="Garamond"/>
          <w:color w:val="222222"/>
        </w:rPr>
        <w:t xml:space="preserve"> to ensure the </w:t>
      </w:r>
      <w:r w:rsidR="008962FD">
        <w:rPr>
          <w:rFonts w:ascii="Garamond" w:hAnsi="Garamond"/>
          <w:color w:val="222222"/>
        </w:rPr>
        <w:t>study</w:t>
      </w:r>
      <w:r w:rsidRPr="0012085A">
        <w:rPr>
          <w:rFonts w:ascii="Garamond" w:hAnsi="Garamond"/>
          <w:color w:val="222222"/>
        </w:rPr>
        <w:t xml:space="preserve"> results </w:t>
      </w:r>
      <w:r w:rsidR="006B030A">
        <w:rPr>
          <w:rFonts w:ascii="Garamond" w:hAnsi="Garamond"/>
          <w:color w:val="222222"/>
        </w:rPr>
        <w:t>will</w:t>
      </w:r>
      <w:r w:rsidR="006B030A" w:rsidRPr="0012085A">
        <w:rPr>
          <w:rFonts w:ascii="Garamond" w:hAnsi="Garamond"/>
          <w:color w:val="222222"/>
        </w:rPr>
        <w:t xml:space="preserve"> </w:t>
      </w:r>
      <w:r w:rsidRPr="0012085A">
        <w:rPr>
          <w:rFonts w:ascii="Garamond" w:hAnsi="Garamond"/>
          <w:color w:val="222222"/>
        </w:rPr>
        <w:t>generalize to a variety of clinics in the three states. Criteria that were not used to screen out clinics include:</w:t>
      </w:r>
    </w:p>
    <w:p w14:paraId="5F585D83" w14:textId="77777777" w:rsidR="00EA1C2F" w:rsidRPr="0012085A" w:rsidRDefault="00EA1C2F" w:rsidP="006C30CC">
      <w:pPr>
        <w:pStyle w:val="Normal1"/>
        <w:numPr>
          <w:ilvl w:val="0"/>
          <w:numId w:val="9"/>
        </w:numPr>
        <w:spacing w:line="259" w:lineRule="auto"/>
        <w:jc w:val="both"/>
        <w:rPr>
          <w:rFonts w:ascii="Garamond" w:hAnsi="Garamond"/>
          <w:color w:val="222222"/>
        </w:rPr>
      </w:pPr>
      <w:r w:rsidRPr="0012085A">
        <w:rPr>
          <w:rFonts w:ascii="Garamond" w:hAnsi="Garamond"/>
          <w:color w:val="222222"/>
        </w:rPr>
        <w:lastRenderedPageBreak/>
        <w:t xml:space="preserve">Vaccine stockouts </w:t>
      </w:r>
    </w:p>
    <w:p w14:paraId="5C0842B4" w14:textId="77777777" w:rsidR="00EA1C2F" w:rsidRPr="0012085A" w:rsidRDefault="00EA1C2F" w:rsidP="006C30CC">
      <w:pPr>
        <w:pStyle w:val="Normal1"/>
        <w:numPr>
          <w:ilvl w:val="0"/>
          <w:numId w:val="9"/>
        </w:numPr>
        <w:spacing w:line="259" w:lineRule="auto"/>
        <w:jc w:val="both"/>
        <w:rPr>
          <w:rFonts w:ascii="Garamond" w:hAnsi="Garamond"/>
          <w:color w:val="222222"/>
        </w:rPr>
      </w:pPr>
      <w:r w:rsidRPr="0012085A">
        <w:rPr>
          <w:rFonts w:ascii="Garamond" w:hAnsi="Garamond"/>
          <w:color w:val="222222"/>
        </w:rPr>
        <w:t xml:space="preserve">Child Health Card stockouts </w:t>
      </w:r>
    </w:p>
    <w:p w14:paraId="43F3E49B" w14:textId="77777777" w:rsidR="00EA1C2F" w:rsidRPr="0012085A" w:rsidRDefault="00EA1C2F" w:rsidP="006C30CC">
      <w:pPr>
        <w:pStyle w:val="Normal1"/>
        <w:numPr>
          <w:ilvl w:val="0"/>
          <w:numId w:val="9"/>
        </w:numPr>
        <w:spacing w:line="259" w:lineRule="auto"/>
        <w:jc w:val="both"/>
        <w:rPr>
          <w:rFonts w:ascii="Garamond" w:hAnsi="Garamond"/>
          <w:color w:val="222222"/>
        </w:rPr>
      </w:pPr>
      <w:r w:rsidRPr="0012085A">
        <w:rPr>
          <w:rFonts w:ascii="Garamond" w:hAnsi="Garamond"/>
          <w:color w:val="222222"/>
        </w:rPr>
        <w:t xml:space="preserve">Very low turnout in the past six months </w:t>
      </w:r>
    </w:p>
    <w:p w14:paraId="27422D76" w14:textId="35156EE6" w:rsidR="001C1600" w:rsidRDefault="006B030A" w:rsidP="00041DC4">
      <w:pPr>
        <w:pStyle w:val="Normal1"/>
        <w:spacing w:line="259" w:lineRule="auto"/>
        <w:jc w:val="both"/>
        <w:rPr>
          <w:rFonts w:ascii="Garamond" w:hAnsi="Garamond"/>
          <w:color w:val="222222"/>
        </w:rPr>
      </w:pPr>
      <w:r>
        <w:rPr>
          <w:rFonts w:ascii="Garamond" w:hAnsi="Garamond"/>
          <w:color w:val="222222"/>
        </w:rPr>
        <w:t>Accordingly, we would expect to observe roughly equal rates of these factors in study clinics and in clinics to which New Incentives might scale up.</w:t>
      </w:r>
      <w:r w:rsidR="001C1600">
        <w:rPr>
          <w:rFonts w:ascii="Garamond" w:hAnsi="Garamond"/>
          <w:color w:val="222222"/>
        </w:rPr>
        <w:t xml:space="preserve"> Similar</w:t>
      </w:r>
      <w:r w:rsidR="0005433D">
        <w:rPr>
          <w:rFonts w:ascii="Garamond" w:hAnsi="Garamond"/>
          <w:color w:val="222222"/>
        </w:rPr>
        <w:t>l</w:t>
      </w:r>
      <w:r w:rsidR="001C1600">
        <w:rPr>
          <w:rFonts w:ascii="Garamond" w:hAnsi="Garamond"/>
          <w:color w:val="222222"/>
        </w:rPr>
        <w:t>y, New Incentives included some c</w:t>
      </w:r>
      <w:r w:rsidR="001C1600" w:rsidRPr="0012085A">
        <w:rPr>
          <w:rFonts w:ascii="Garamond" w:hAnsi="Garamond"/>
          <w:color w:val="222222"/>
        </w:rPr>
        <w:t>linics in remote and hard</w:t>
      </w:r>
      <w:r w:rsidR="0005433D">
        <w:rPr>
          <w:rFonts w:ascii="Garamond" w:hAnsi="Garamond"/>
          <w:color w:val="222222"/>
        </w:rPr>
        <w:t>-</w:t>
      </w:r>
      <w:r w:rsidR="001C1600" w:rsidRPr="0012085A">
        <w:rPr>
          <w:rFonts w:ascii="Garamond" w:hAnsi="Garamond"/>
          <w:color w:val="222222"/>
        </w:rPr>
        <w:t>to</w:t>
      </w:r>
      <w:r w:rsidR="0005433D">
        <w:rPr>
          <w:rFonts w:ascii="Garamond" w:hAnsi="Garamond"/>
          <w:color w:val="222222"/>
        </w:rPr>
        <w:t>-</w:t>
      </w:r>
      <w:r w:rsidR="001C1600" w:rsidRPr="0012085A">
        <w:rPr>
          <w:rFonts w:ascii="Garamond" w:hAnsi="Garamond"/>
          <w:color w:val="222222"/>
        </w:rPr>
        <w:t>reach</w:t>
      </w:r>
      <w:r w:rsidR="0005433D">
        <w:rPr>
          <w:rFonts w:ascii="Garamond" w:hAnsi="Garamond"/>
          <w:color w:val="222222"/>
        </w:rPr>
        <w:t xml:space="preserve"> areas</w:t>
      </w:r>
      <w:r w:rsidR="001C1600">
        <w:rPr>
          <w:rFonts w:ascii="Garamond" w:hAnsi="Garamond"/>
          <w:color w:val="222222"/>
        </w:rPr>
        <w:t xml:space="preserve"> </w:t>
      </w:r>
      <w:proofErr w:type="gramStart"/>
      <w:r w:rsidR="001C1600">
        <w:rPr>
          <w:rFonts w:ascii="Garamond" w:hAnsi="Garamond"/>
          <w:color w:val="222222"/>
        </w:rPr>
        <w:t>despite the fact that</w:t>
      </w:r>
      <w:proofErr w:type="gramEnd"/>
      <w:r w:rsidR="001C1600">
        <w:rPr>
          <w:rFonts w:ascii="Garamond" w:hAnsi="Garamond"/>
          <w:color w:val="222222"/>
        </w:rPr>
        <w:t xml:space="preserve"> initial clinic screening criteria would have excluded them. This is also meant to make the study sample more realistic and to give New Incentives experience</w:t>
      </w:r>
      <w:r w:rsidR="0005433D">
        <w:rPr>
          <w:rFonts w:ascii="Garamond" w:hAnsi="Garamond"/>
          <w:color w:val="222222"/>
        </w:rPr>
        <w:t xml:space="preserve"> in (and data on)</w:t>
      </w:r>
      <w:r w:rsidR="001C1600">
        <w:rPr>
          <w:rFonts w:ascii="Garamond" w:hAnsi="Garamond"/>
          <w:color w:val="222222"/>
        </w:rPr>
        <w:t xml:space="preserve"> this subset of clinics.</w:t>
      </w:r>
    </w:p>
    <w:p w14:paraId="5A9B4D15" w14:textId="77777777" w:rsidR="00EA1C2F" w:rsidRDefault="00EA1C2F" w:rsidP="007E79B3">
      <w:pPr>
        <w:pStyle w:val="Normal1"/>
        <w:spacing w:line="259" w:lineRule="auto"/>
        <w:jc w:val="both"/>
        <w:rPr>
          <w:rFonts w:ascii="Garamond" w:hAnsi="Garamond"/>
          <w:color w:val="222222"/>
        </w:rPr>
      </w:pPr>
    </w:p>
    <w:p w14:paraId="12E91518" w14:textId="2FB9762F" w:rsidR="00EA1C2F" w:rsidRPr="0012085A" w:rsidRDefault="00EA1C2F" w:rsidP="00F9661A">
      <w:pPr>
        <w:pStyle w:val="Normal1"/>
        <w:spacing w:line="259" w:lineRule="auto"/>
        <w:jc w:val="both"/>
        <w:rPr>
          <w:rFonts w:ascii="Garamond" w:hAnsi="Garamond"/>
          <w:color w:val="222222"/>
        </w:rPr>
      </w:pPr>
      <w:r>
        <w:rPr>
          <w:rFonts w:ascii="Garamond" w:hAnsi="Garamond"/>
          <w:color w:val="222222"/>
        </w:rPr>
        <w:t>The following sections describe the precise exclusion categories and how they were applied to arrive at the final clinic list.</w:t>
      </w:r>
    </w:p>
    <w:p w14:paraId="12DAF3DE" w14:textId="77777777" w:rsidR="00EA1C2F" w:rsidRPr="0012085A" w:rsidRDefault="00EA1C2F" w:rsidP="00F9661A">
      <w:pPr>
        <w:pStyle w:val="Normal1"/>
        <w:spacing w:line="259" w:lineRule="auto"/>
        <w:jc w:val="both"/>
        <w:rPr>
          <w:rFonts w:ascii="Garamond" w:hAnsi="Garamond"/>
          <w:color w:val="222222"/>
        </w:rPr>
      </w:pPr>
    </w:p>
    <w:p w14:paraId="0D9F8367" w14:textId="297720D7" w:rsidR="00EA1C2F" w:rsidRPr="000577DA" w:rsidRDefault="00EA1C2F" w:rsidP="00E75FCD">
      <w:pPr>
        <w:pStyle w:val="Normal1"/>
        <w:spacing w:line="259" w:lineRule="auto"/>
        <w:jc w:val="both"/>
        <w:rPr>
          <w:rFonts w:ascii="Garamond" w:hAnsi="Garamond"/>
          <w:b/>
          <w:i/>
          <w:color w:val="222222"/>
        </w:rPr>
      </w:pPr>
      <w:r w:rsidRPr="000577DA">
        <w:rPr>
          <w:rFonts w:ascii="Garamond" w:hAnsi="Garamond"/>
          <w:b/>
          <w:i/>
          <w:color w:val="222222"/>
        </w:rPr>
        <w:t>Clinic selection</w:t>
      </w:r>
    </w:p>
    <w:p w14:paraId="3B80CFC6" w14:textId="77777777" w:rsidR="00EA1C2F" w:rsidRPr="0012085A" w:rsidRDefault="00EA1C2F" w:rsidP="00F9661A">
      <w:pPr>
        <w:pStyle w:val="Normal1"/>
        <w:spacing w:line="259" w:lineRule="auto"/>
        <w:jc w:val="both"/>
        <w:rPr>
          <w:rFonts w:ascii="Garamond" w:hAnsi="Garamond"/>
          <w:color w:val="222222"/>
        </w:rPr>
      </w:pPr>
      <w:r w:rsidRPr="0012085A">
        <w:rPr>
          <w:rFonts w:ascii="Garamond" w:hAnsi="Garamond"/>
          <w:color w:val="222222"/>
        </w:rPr>
        <w:t>The final list of clinics was selected first on minimum security and operational criteria. Some additional clinics that did not meet “strict” criteria were also included due to lack of alternate clinics. The criteria are outlined below.</w:t>
      </w:r>
    </w:p>
    <w:p w14:paraId="57AFB219" w14:textId="77777777" w:rsidR="00EA1C2F" w:rsidRPr="00541701" w:rsidRDefault="00EA1C2F" w:rsidP="00F9661A">
      <w:pPr>
        <w:pStyle w:val="Normal1"/>
        <w:spacing w:line="259" w:lineRule="auto"/>
        <w:jc w:val="both"/>
        <w:rPr>
          <w:rFonts w:ascii="Garamond" w:hAnsi="Garamond"/>
          <w:color w:val="222222"/>
        </w:rPr>
      </w:pPr>
    </w:p>
    <w:p w14:paraId="0A505AC0" w14:textId="77777777" w:rsidR="00EA1C2F" w:rsidRPr="000577DA" w:rsidRDefault="00EA1C2F" w:rsidP="00E75FCD">
      <w:pPr>
        <w:pStyle w:val="Normal1"/>
        <w:spacing w:line="259" w:lineRule="auto"/>
        <w:jc w:val="both"/>
        <w:rPr>
          <w:rFonts w:ascii="Garamond" w:hAnsi="Garamond"/>
          <w:b/>
          <w:i/>
          <w:color w:val="222222"/>
        </w:rPr>
      </w:pPr>
      <w:r w:rsidRPr="000577DA">
        <w:rPr>
          <w:rFonts w:ascii="Garamond" w:hAnsi="Garamond"/>
          <w:b/>
          <w:i/>
          <w:color w:val="222222"/>
        </w:rPr>
        <w:t>Minimum Criteria</w:t>
      </w:r>
    </w:p>
    <w:p w14:paraId="1FA50777" w14:textId="77777777" w:rsidR="000577DA" w:rsidRPr="00E75FCD" w:rsidRDefault="000577DA" w:rsidP="00E75FCD">
      <w:pPr>
        <w:pStyle w:val="Normal1"/>
        <w:spacing w:before="40" w:line="240" w:lineRule="auto"/>
        <w:jc w:val="both"/>
        <w:rPr>
          <w:rFonts w:ascii="Garamond" w:hAnsi="Garamond"/>
          <w:color w:val="222222"/>
        </w:rPr>
      </w:pPr>
      <w:r w:rsidRPr="00E75FCD">
        <w:rPr>
          <w:rFonts w:ascii="Garamond" w:hAnsi="Garamond"/>
          <w:color w:val="222222"/>
        </w:rPr>
        <w:t>Operations</w:t>
      </w:r>
    </w:p>
    <w:p w14:paraId="0C07BB31" w14:textId="0948E580" w:rsidR="000577DA" w:rsidRDefault="000577DA" w:rsidP="006C30CC">
      <w:pPr>
        <w:pStyle w:val="Normal1"/>
        <w:numPr>
          <w:ilvl w:val="0"/>
          <w:numId w:val="11"/>
        </w:numPr>
        <w:spacing w:line="259" w:lineRule="auto"/>
        <w:jc w:val="both"/>
        <w:rPr>
          <w:rFonts w:ascii="Garamond" w:hAnsi="Garamond"/>
          <w:color w:val="222222"/>
        </w:rPr>
      </w:pPr>
      <w:r w:rsidRPr="00541701">
        <w:rPr>
          <w:rFonts w:ascii="Garamond" w:hAnsi="Garamond"/>
          <w:color w:val="222222"/>
        </w:rPr>
        <w:t>Category ‘O’ clinics were excluded.</w:t>
      </w:r>
    </w:p>
    <w:p w14:paraId="4C9916A6" w14:textId="77777777" w:rsidR="000577DA" w:rsidRPr="000577DA" w:rsidRDefault="000577DA" w:rsidP="000577DA">
      <w:pPr>
        <w:pStyle w:val="Normal1"/>
        <w:spacing w:line="259" w:lineRule="auto"/>
        <w:ind w:left="720"/>
        <w:jc w:val="both"/>
        <w:rPr>
          <w:rFonts w:ascii="Garamond" w:hAnsi="Garamond"/>
          <w:color w:val="222222"/>
        </w:rPr>
      </w:pPr>
    </w:p>
    <w:p w14:paraId="47B64048" w14:textId="448DB93A" w:rsidR="00EA1C2F" w:rsidRPr="00E75FCD" w:rsidRDefault="00EA1C2F" w:rsidP="00E75FCD">
      <w:pPr>
        <w:pStyle w:val="Normal1"/>
        <w:spacing w:line="240" w:lineRule="auto"/>
        <w:jc w:val="both"/>
        <w:rPr>
          <w:rFonts w:ascii="Garamond" w:hAnsi="Garamond"/>
          <w:color w:val="222222"/>
        </w:rPr>
      </w:pPr>
      <w:r w:rsidRPr="00E75FCD">
        <w:rPr>
          <w:rFonts w:ascii="Garamond" w:hAnsi="Garamond"/>
          <w:color w:val="222222"/>
        </w:rPr>
        <w:t>Security</w:t>
      </w:r>
    </w:p>
    <w:p w14:paraId="35CCDD67" w14:textId="77777777" w:rsidR="00EA1C2F" w:rsidRPr="00541701" w:rsidRDefault="00EA1C2F" w:rsidP="006C30CC">
      <w:pPr>
        <w:pStyle w:val="Normal1"/>
        <w:numPr>
          <w:ilvl w:val="0"/>
          <w:numId w:val="10"/>
        </w:numPr>
        <w:spacing w:line="259" w:lineRule="auto"/>
        <w:jc w:val="both"/>
        <w:rPr>
          <w:rFonts w:ascii="Garamond" w:hAnsi="Garamond"/>
          <w:color w:val="222222"/>
        </w:rPr>
      </w:pPr>
      <w:r w:rsidRPr="00541701">
        <w:rPr>
          <w:rFonts w:ascii="Garamond" w:hAnsi="Garamond"/>
          <w:color w:val="222222"/>
        </w:rPr>
        <w:t xml:space="preserve">Clinics categorized as having “serious security issues”, Categories X and 2-4x, were excluded as a precautionary measure. Since New Incentives’ staff will be moving in these areas with cash, New Incentives prioritized staff safety when deciding at which clinics it would be reasonable to operate. </w:t>
      </w:r>
    </w:p>
    <w:p w14:paraId="0F568AB1" w14:textId="77777777" w:rsidR="00EA1C2F" w:rsidRPr="00541701" w:rsidRDefault="00EA1C2F" w:rsidP="006C30CC">
      <w:pPr>
        <w:pStyle w:val="Normal1"/>
        <w:numPr>
          <w:ilvl w:val="0"/>
          <w:numId w:val="10"/>
        </w:numPr>
        <w:spacing w:line="259" w:lineRule="auto"/>
        <w:jc w:val="both"/>
        <w:rPr>
          <w:rFonts w:ascii="Garamond" w:hAnsi="Garamond"/>
          <w:color w:val="222222"/>
        </w:rPr>
      </w:pPr>
      <w:r w:rsidRPr="00541701">
        <w:rPr>
          <w:rFonts w:ascii="Garamond" w:hAnsi="Garamond"/>
          <w:color w:val="222222"/>
        </w:rPr>
        <w:t xml:space="preserve">Clinics with some security issues or no </w:t>
      </w:r>
      <w:r>
        <w:rPr>
          <w:rFonts w:ascii="Garamond" w:hAnsi="Garamond"/>
          <w:color w:val="222222"/>
        </w:rPr>
        <w:t xml:space="preserve">major </w:t>
      </w:r>
      <w:r w:rsidRPr="00541701">
        <w:rPr>
          <w:rFonts w:ascii="Garamond" w:hAnsi="Garamond"/>
          <w:color w:val="222222"/>
        </w:rPr>
        <w:t xml:space="preserve">security issues, i.e. no security flag, were included in the baseline. </w:t>
      </w:r>
    </w:p>
    <w:p w14:paraId="06136CB7" w14:textId="3D5BB14B" w:rsidR="00EA1C2F" w:rsidRDefault="00EA1C2F" w:rsidP="006C30CC">
      <w:pPr>
        <w:pStyle w:val="Normal1"/>
        <w:numPr>
          <w:ilvl w:val="0"/>
          <w:numId w:val="10"/>
        </w:numPr>
        <w:spacing w:line="259" w:lineRule="auto"/>
        <w:jc w:val="both"/>
        <w:rPr>
          <w:rFonts w:ascii="Garamond" w:hAnsi="Garamond"/>
          <w:color w:val="222222"/>
        </w:rPr>
      </w:pPr>
      <w:r w:rsidRPr="00541701">
        <w:rPr>
          <w:rFonts w:ascii="Garamond" w:hAnsi="Garamond"/>
          <w:color w:val="222222"/>
        </w:rPr>
        <w:t xml:space="preserve">In general, the security situation in Zamfara, where all serious issues were flagged, is fluid and clinics deemed secure in the summer of 2017 may not remain so throughout the </w:t>
      </w:r>
      <w:r w:rsidR="008962FD">
        <w:rPr>
          <w:rFonts w:ascii="Garamond" w:hAnsi="Garamond"/>
          <w:color w:val="222222"/>
        </w:rPr>
        <w:t>study</w:t>
      </w:r>
      <w:r w:rsidRPr="00541701">
        <w:rPr>
          <w:rFonts w:ascii="Garamond" w:hAnsi="Garamond"/>
          <w:color w:val="222222"/>
        </w:rPr>
        <w:t>. Changing circumstances could lead to additional exclusions.</w:t>
      </w:r>
    </w:p>
    <w:p w14:paraId="323E55BD" w14:textId="77777777" w:rsidR="00EA1C2F" w:rsidRDefault="00EA1C2F" w:rsidP="00F9661A">
      <w:pPr>
        <w:pStyle w:val="Normal1"/>
        <w:spacing w:line="259" w:lineRule="auto"/>
        <w:jc w:val="both"/>
        <w:rPr>
          <w:rFonts w:ascii="Garamond" w:hAnsi="Garamond"/>
          <w:color w:val="222222"/>
        </w:rPr>
      </w:pPr>
    </w:p>
    <w:p w14:paraId="1C6C026A" w14:textId="743F5461" w:rsidR="00EA1C2F" w:rsidRPr="00541701" w:rsidRDefault="00EA1C2F" w:rsidP="00F9661A">
      <w:pPr>
        <w:pStyle w:val="Normal1"/>
        <w:spacing w:line="259" w:lineRule="auto"/>
        <w:jc w:val="both"/>
        <w:rPr>
          <w:rFonts w:ascii="Garamond" w:hAnsi="Garamond"/>
          <w:color w:val="222222"/>
        </w:rPr>
      </w:pPr>
      <w:r>
        <w:rPr>
          <w:rFonts w:ascii="Garamond" w:hAnsi="Garamond"/>
          <w:color w:val="222222"/>
        </w:rPr>
        <w:t>After baseline, changing circumstances led to further exclusion of clinics from randomization for security reasons.</w:t>
      </w:r>
      <w:r w:rsidR="00FF7DD0">
        <w:rPr>
          <w:rFonts w:ascii="Garamond" w:hAnsi="Garamond"/>
          <w:color w:val="222222"/>
        </w:rPr>
        <w:t xml:space="preserve"> The sample retained some Category 5 and category 4 clinics, that did not meet the “strict” criteria due to a lack of alternate clinics based on buffer zones.</w:t>
      </w:r>
      <w:r>
        <w:rPr>
          <w:rFonts w:ascii="Garamond" w:hAnsi="Garamond"/>
          <w:color w:val="222222"/>
        </w:rPr>
        <w:t xml:space="preserve"> These </w:t>
      </w:r>
      <w:r w:rsidR="00FF7DD0">
        <w:rPr>
          <w:rFonts w:ascii="Garamond" w:hAnsi="Garamond"/>
          <w:color w:val="222222"/>
        </w:rPr>
        <w:t xml:space="preserve">considerations </w:t>
      </w:r>
      <w:r>
        <w:rPr>
          <w:rFonts w:ascii="Garamond" w:hAnsi="Garamond"/>
          <w:color w:val="222222"/>
        </w:rPr>
        <w:t xml:space="preserve">are discussed below. </w:t>
      </w:r>
    </w:p>
    <w:p w14:paraId="69003174" w14:textId="39BA8BB0" w:rsidR="00EA1C2F" w:rsidRPr="00541701" w:rsidRDefault="00EA1C2F" w:rsidP="00F9661A">
      <w:pPr>
        <w:pStyle w:val="Normal1"/>
        <w:spacing w:line="259" w:lineRule="auto"/>
        <w:jc w:val="both"/>
        <w:rPr>
          <w:rFonts w:ascii="Garamond" w:hAnsi="Garamond"/>
          <w:color w:val="222222"/>
        </w:rPr>
      </w:pPr>
    </w:p>
    <w:p w14:paraId="4776303E" w14:textId="77777777" w:rsidR="00EA1C2F" w:rsidRPr="000577DA" w:rsidRDefault="00EA1C2F" w:rsidP="00DC12E4">
      <w:pPr>
        <w:pStyle w:val="Normal1"/>
        <w:keepNext/>
        <w:spacing w:line="259" w:lineRule="auto"/>
        <w:jc w:val="both"/>
        <w:rPr>
          <w:rFonts w:ascii="Garamond" w:hAnsi="Garamond"/>
          <w:b/>
          <w:i/>
          <w:color w:val="222222"/>
        </w:rPr>
      </w:pPr>
      <w:r w:rsidRPr="000577DA">
        <w:rPr>
          <w:rFonts w:ascii="Garamond" w:hAnsi="Garamond"/>
          <w:b/>
          <w:i/>
          <w:color w:val="222222"/>
        </w:rPr>
        <w:t>Additional “Strict” Criteria (used for prioritization)</w:t>
      </w:r>
    </w:p>
    <w:p w14:paraId="1AD92186" w14:textId="14FB462C" w:rsidR="00FF7DD0" w:rsidRPr="00541701" w:rsidRDefault="001000CC" w:rsidP="006C30CC">
      <w:pPr>
        <w:pStyle w:val="Normal1"/>
        <w:numPr>
          <w:ilvl w:val="0"/>
          <w:numId w:val="11"/>
        </w:numPr>
        <w:spacing w:line="259" w:lineRule="auto"/>
        <w:jc w:val="both"/>
        <w:rPr>
          <w:rFonts w:ascii="Garamond" w:hAnsi="Garamond"/>
          <w:color w:val="222222"/>
        </w:rPr>
      </w:pPr>
      <w:r>
        <w:rPr>
          <w:rFonts w:ascii="Garamond" w:hAnsi="Garamond"/>
          <w:color w:val="222222"/>
        </w:rPr>
        <w:t>Minimize the number of</w:t>
      </w:r>
      <w:r w:rsidR="00EA1C2F" w:rsidRPr="00541701">
        <w:rPr>
          <w:rFonts w:ascii="Garamond" w:hAnsi="Garamond"/>
          <w:color w:val="222222"/>
        </w:rPr>
        <w:t xml:space="preserve"> category 5 clinics since the ability of one staff member to handle the volume of infants produced by the program is unknown.</w:t>
      </w:r>
      <w:r w:rsidR="008D5B47">
        <w:rPr>
          <w:rFonts w:ascii="Garamond" w:hAnsi="Garamond"/>
          <w:color w:val="222222"/>
        </w:rPr>
        <w:t xml:space="preserve"> </w:t>
      </w:r>
    </w:p>
    <w:p w14:paraId="6888A7A7" w14:textId="07E6517A" w:rsidR="00EA1C2F" w:rsidRPr="00FF7DD0" w:rsidRDefault="001000CC" w:rsidP="00FF7DD0">
      <w:pPr>
        <w:pStyle w:val="Normal1"/>
        <w:numPr>
          <w:ilvl w:val="0"/>
          <w:numId w:val="11"/>
        </w:numPr>
        <w:spacing w:line="259" w:lineRule="auto"/>
        <w:jc w:val="both"/>
        <w:rPr>
          <w:rFonts w:ascii="Garamond" w:hAnsi="Garamond"/>
          <w:color w:val="222222"/>
        </w:rPr>
      </w:pPr>
      <w:r w:rsidRPr="00FF7DD0">
        <w:rPr>
          <w:rFonts w:ascii="Garamond" w:hAnsi="Garamond"/>
          <w:color w:val="222222"/>
        </w:rPr>
        <w:t>Minimize the number of</w:t>
      </w:r>
      <w:r w:rsidR="00EA1C2F" w:rsidRPr="00FF7DD0">
        <w:rPr>
          <w:rFonts w:ascii="Garamond" w:hAnsi="Garamond"/>
          <w:color w:val="222222"/>
        </w:rPr>
        <w:t xml:space="preserve"> category 4 clinics since staff need to leave from hub-towns with ATMs on every immunization day. Car hire rather than public transportation can alleviate the </w:t>
      </w:r>
      <w:proofErr w:type="gramStart"/>
      <w:r w:rsidR="00EA1C2F" w:rsidRPr="00FF7DD0">
        <w:rPr>
          <w:rFonts w:ascii="Garamond" w:hAnsi="Garamond"/>
          <w:color w:val="222222"/>
        </w:rPr>
        <w:t>problem, but</w:t>
      </w:r>
      <w:proofErr w:type="gramEnd"/>
      <w:r w:rsidR="00EA1C2F" w:rsidRPr="00FF7DD0">
        <w:rPr>
          <w:rFonts w:ascii="Garamond" w:hAnsi="Garamond"/>
          <w:color w:val="222222"/>
        </w:rPr>
        <w:t xml:space="preserve"> may be too costly to sustain at scale. Some clinics will be served with car hire during the RCT phase, as previously discussed with </w:t>
      </w:r>
      <w:proofErr w:type="spellStart"/>
      <w:r w:rsidR="00EA1C2F" w:rsidRPr="00FF7DD0">
        <w:rPr>
          <w:rFonts w:ascii="Garamond" w:hAnsi="Garamond"/>
          <w:color w:val="222222"/>
        </w:rPr>
        <w:t>GiveWell</w:t>
      </w:r>
      <w:proofErr w:type="spellEnd"/>
      <w:r w:rsidR="00EA1C2F" w:rsidRPr="00FF7DD0">
        <w:rPr>
          <w:rFonts w:ascii="Garamond" w:hAnsi="Garamond"/>
          <w:color w:val="222222"/>
        </w:rPr>
        <w:t>.</w:t>
      </w:r>
      <w:r w:rsidR="003C4A7C" w:rsidRPr="00FF7DD0">
        <w:rPr>
          <w:rFonts w:ascii="Garamond" w:hAnsi="Garamond"/>
          <w:color w:val="222222"/>
        </w:rPr>
        <w:t xml:space="preserve"> </w:t>
      </w:r>
    </w:p>
    <w:p w14:paraId="5D94AAC0" w14:textId="77777777" w:rsidR="00EA1C2F" w:rsidRPr="00FF7DD0" w:rsidRDefault="00EA1C2F" w:rsidP="00FB5C2B">
      <w:pPr>
        <w:pStyle w:val="Normal1"/>
        <w:spacing w:line="259" w:lineRule="auto"/>
        <w:ind w:left="720"/>
        <w:jc w:val="both"/>
        <w:rPr>
          <w:rFonts w:ascii="Garamond" w:hAnsi="Garamond"/>
          <w:color w:val="222222"/>
        </w:rPr>
      </w:pPr>
    </w:p>
    <w:p w14:paraId="2B6775F9" w14:textId="77777777" w:rsidR="00EA1C2F" w:rsidRPr="0005630A" w:rsidRDefault="00EA1C2F" w:rsidP="00FB5C2B">
      <w:pPr>
        <w:pStyle w:val="Normal1"/>
        <w:keepNext/>
        <w:spacing w:line="259" w:lineRule="auto"/>
        <w:jc w:val="both"/>
        <w:rPr>
          <w:rFonts w:ascii="Garamond" w:hAnsi="Garamond"/>
          <w:b/>
          <w:i/>
          <w:color w:val="222222"/>
        </w:rPr>
      </w:pPr>
      <w:r w:rsidRPr="0005630A">
        <w:rPr>
          <w:rFonts w:ascii="Garamond" w:hAnsi="Garamond"/>
          <w:b/>
          <w:i/>
          <w:color w:val="222222"/>
        </w:rPr>
        <w:t>Replacement clinics</w:t>
      </w:r>
    </w:p>
    <w:p w14:paraId="3B258C5A" w14:textId="77777777" w:rsidR="00EA1C2F" w:rsidRPr="00541701" w:rsidRDefault="00EA1C2F" w:rsidP="00F9661A">
      <w:pPr>
        <w:pStyle w:val="Normal1"/>
        <w:spacing w:line="259" w:lineRule="auto"/>
        <w:jc w:val="both"/>
        <w:rPr>
          <w:rFonts w:ascii="Garamond" w:hAnsi="Garamond"/>
          <w:color w:val="222222"/>
        </w:rPr>
      </w:pPr>
      <w:r w:rsidRPr="00541701">
        <w:rPr>
          <w:rFonts w:ascii="Garamond" w:hAnsi="Garamond"/>
          <w:color w:val="222222"/>
        </w:rPr>
        <w:t xml:space="preserve">When New Incentives identified a clinic that should be excluded under the strict criteria (one staff and far-away clinics), </w:t>
      </w:r>
      <w:proofErr w:type="spellStart"/>
      <w:r w:rsidRPr="00541701">
        <w:rPr>
          <w:rFonts w:ascii="Garamond" w:hAnsi="Garamond"/>
          <w:color w:val="222222"/>
        </w:rPr>
        <w:t>IDinsight</w:t>
      </w:r>
      <w:proofErr w:type="spellEnd"/>
      <w:r w:rsidRPr="00541701">
        <w:rPr>
          <w:rFonts w:ascii="Garamond" w:hAnsi="Garamond"/>
          <w:color w:val="222222"/>
        </w:rPr>
        <w:t xml:space="preserve"> provided an alternate clinic that would continue to be well-spaced with respect to the other </w:t>
      </w:r>
      <w:r w:rsidRPr="00541701">
        <w:rPr>
          <w:rFonts w:ascii="Garamond" w:hAnsi="Garamond"/>
          <w:color w:val="222222"/>
        </w:rPr>
        <w:lastRenderedPageBreak/>
        <w:t xml:space="preserve">clinics in the sample. For issues such as insecurity and remoteness, </w:t>
      </w:r>
      <w:r>
        <w:rPr>
          <w:rFonts w:ascii="Garamond" w:hAnsi="Garamond"/>
          <w:color w:val="222222"/>
        </w:rPr>
        <w:t>clinics</w:t>
      </w:r>
      <w:r w:rsidRPr="00541701">
        <w:rPr>
          <w:rFonts w:ascii="Garamond" w:hAnsi="Garamond"/>
          <w:color w:val="222222"/>
        </w:rPr>
        <w:t xml:space="preserve"> may be clustered. For example, a category 4 clinic is likely surrounded by other category 4 clinics.</w:t>
      </w:r>
      <w:r>
        <w:rPr>
          <w:rFonts w:ascii="Garamond" w:hAnsi="Garamond"/>
          <w:color w:val="222222"/>
        </w:rPr>
        <w:t xml:space="preserve"> </w:t>
      </w:r>
      <w:r w:rsidRPr="00541701">
        <w:rPr>
          <w:rFonts w:ascii="Garamond" w:hAnsi="Garamond"/>
          <w:color w:val="222222"/>
        </w:rPr>
        <w:t>Rescreening was still valuable for two reasons:</w:t>
      </w:r>
    </w:p>
    <w:p w14:paraId="2A8629B2" w14:textId="77777777" w:rsidR="00EA1C2F" w:rsidRPr="00541701" w:rsidRDefault="00EA1C2F" w:rsidP="006C30CC">
      <w:pPr>
        <w:pStyle w:val="Normal1"/>
        <w:numPr>
          <w:ilvl w:val="0"/>
          <w:numId w:val="12"/>
        </w:numPr>
        <w:spacing w:line="259" w:lineRule="auto"/>
        <w:jc w:val="both"/>
        <w:rPr>
          <w:rFonts w:ascii="Garamond" w:hAnsi="Garamond"/>
          <w:color w:val="222222"/>
        </w:rPr>
      </w:pPr>
      <w:r w:rsidRPr="00541701">
        <w:rPr>
          <w:rFonts w:ascii="Garamond" w:hAnsi="Garamond"/>
          <w:color w:val="222222"/>
        </w:rPr>
        <w:t>Two clinics may be similar distances from the hub town, but because of bad roads or river crossings, transport time from the first clinic may be 2.5 hours while the second may be 3.5 hours. In this case, the first clinic would replace the second. Insecurity can similarly be concentrated in small pockets due to forests or other geographic features.</w:t>
      </w:r>
    </w:p>
    <w:p w14:paraId="77FA52B3" w14:textId="77777777" w:rsidR="00EA1C2F" w:rsidRPr="00541701" w:rsidRDefault="00EA1C2F" w:rsidP="006C30CC">
      <w:pPr>
        <w:pStyle w:val="Normal1"/>
        <w:numPr>
          <w:ilvl w:val="0"/>
          <w:numId w:val="12"/>
        </w:numPr>
        <w:spacing w:line="259" w:lineRule="auto"/>
        <w:jc w:val="both"/>
        <w:rPr>
          <w:rFonts w:ascii="Garamond" w:hAnsi="Garamond"/>
          <w:color w:val="222222"/>
        </w:rPr>
      </w:pPr>
      <w:r w:rsidRPr="00541701">
        <w:rPr>
          <w:rFonts w:ascii="Garamond" w:hAnsi="Garamond"/>
          <w:color w:val="222222"/>
        </w:rPr>
        <w:t xml:space="preserve">As clinics were screened out, new areas with clinics that were well-spaced relative to other clinics but not immediately adjacent to the initially selected clinic sometimes emerged. For example, when two clinics were screened out, the area (and thus the clinics) between them became available for screening. </w:t>
      </w:r>
    </w:p>
    <w:p w14:paraId="59439057" w14:textId="77777777" w:rsidR="00EA1C2F" w:rsidRPr="00541701" w:rsidRDefault="00EA1C2F" w:rsidP="00F9661A">
      <w:pPr>
        <w:pStyle w:val="Normal1"/>
        <w:spacing w:line="259" w:lineRule="auto"/>
        <w:jc w:val="both"/>
        <w:rPr>
          <w:rFonts w:ascii="Garamond" w:hAnsi="Garamond"/>
          <w:color w:val="222222"/>
        </w:rPr>
      </w:pPr>
    </w:p>
    <w:p w14:paraId="1005486D" w14:textId="72308552" w:rsidR="00EA1C2F" w:rsidRPr="00541701" w:rsidRDefault="00EA1C2F" w:rsidP="00F9661A">
      <w:pPr>
        <w:pStyle w:val="Normal1"/>
        <w:spacing w:line="259" w:lineRule="auto"/>
        <w:jc w:val="both"/>
        <w:rPr>
          <w:rFonts w:ascii="Garamond" w:hAnsi="Garamond"/>
          <w:color w:val="222222"/>
        </w:rPr>
      </w:pPr>
      <w:r>
        <w:rPr>
          <w:rFonts w:ascii="Garamond" w:hAnsi="Garamond"/>
          <w:color w:val="222222"/>
        </w:rPr>
        <w:t>There</w:t>
      </w:r>
      <w:r w:rsidRPr="00541701">
        <w:rPr>
          <w:rFonts w:ascii="Garamond" w:hAnsi="Garamond"/>
          <w:color w:val="222222"/>
        </w:rPr>
        <w:t xml:space="preserve"> were some far-away and one-staff (category 4 or 5) clinics that had no nearby replacements. In these cases, the initial clinic was kept so that all selected areas remained in the </w:t>
      </w:r>
      <w:r w:rsidR="008962FD">
        <w:rPr>
          <w:rFonts w:ascii="Garamond" w:hAnsi="Garamond"/>
          <w:color w:val="222222"/>
        </w:rPr>
        <w:t>study</w:t>
      </w:r>
      <w:r w:rsidRPr="00541701">
        <w:rPr>
          <w:rFonts w:ascii="Garamond" w:hAnsi="Garamond"/>
          <w:color w:val="222222"/>
        </w:rPr>
        <w:t xml:space="preserve">. </w:t>
      </w:r>
    </w:p>
    <w:p w14:paraId="35B849E0" w14:textId="77777777" w:rsidR="00EA1C2F" w:rsidRPr="00541701" w:rsidRDefault="00EA1C2F" w:rsidP="00F9661A">
      <w:pPr>
        <w:pStyle w:val="Normal1"/>
        <w:spacing w:line="259" w:lineRule="auto"/>
        <w:jc w:val="both"/>
        <w:rPr>
          <w:rFonts w:ascii="Garamond" w:hAnsi="Garamond"/>
          <w:color w:val="222222"/>
        </w:rPr>
      </w:pPr>
    </w:p>
    <w:p w14:paraId="79F6ECC4" w14:textId="77777777" w:rsidR="00EA1C2F" w:rsidRPr="000577DA" w:rsidRDefault="00EA1C2F" w:rsidP="00F9661A">
      <w:pPr>
        <w:pStyle w:val="Normal1"/>
        <w:keepNext/>
        <w:spacing w:line="259" w:lineRule="auto"/>
        <w:jc w:val="both"/>
        <w:rPr>
          <w:rFonts w:ascii="Garamond" w:hAnsi="Garamond"/>
          <w:b/>
          <w:i/>
          <w:color w:val="222222"/>
        </w:rPr>
      </w:pPr>
      <w:r w:rsidRPr="000577DA">
        <w:rPr>
          <w:rFonts w:ascii="Garamond" w:hAnsi="Garamond"/>
          <w:b/>
          <w:i/>
          <w:color w:val="222222"/>
        </w:rPr>
        <w:t>Adjusting for Towns</w:t>
      </w:r>
    </w:p>
    <w:p w14:paraId="10E6059B" w14:textId="6593D836" w:rsidR="00EA1C2F" w:rsidRPr="00860574" w:rsidRDefault="00EA1C2F" w:rsidP="00F9661A">
      <w:pPr>
        <w:pStyle w:val="Normal1"/>
        <w:spacing w:line="259" w:lineRule="auto"/>
        <w:jc w:val="both"/>
        <w:rPr>
          <w:rFonts w:ascii="Garamond" w:hAnsi="Garamond"/>
          <w:color w:val="222222"/>
        </w:rPr>
      </w:pPr>
      <w:r w:rsidRPr="00541701">
        <w:rPr>
          <w:rFonts w:ascii="Garamond" w:hAnsi="Garamond"/>
          <w:color w:val="222222"/>
        </w:rPr>
        <w:t xml:space="preserve">As a final step, additional clinics were selected for New Incentives’ operations in towns. Catchment areas in towns are more difficult to define and the official list of catchment neighborhoods often fails to correspond with who </w:t>
      </w:r>
      <w:proofErr w:type="gramStart"/>
      <w:r w:rsidRPr="00541701">
        <w:rPr>
          <w:rFonts w:ascii="Garamond" w:hAnsi="Garamond"/>
          <w:color w:val="222222"/>
        </w:rPr>
        <w:t>actually comes</w:t>
      </w:r>
      <w:proofErr w:type="gramEnd"/>
      <w:r w:rsidRPr="00541701">
        <w:rPr>
          <w:rFonts w:ascii="Garamond" w:hAnsi="Garamond"/>
          <w:color w:val="222222"/>
        </w:rPr>
        <w:t xml:space="preserve"> to the clinic. Consequently, if New Incentives operates at only one clinic in a town, it will either be flooded by beneficiaries or have a very high rate of </w:t>
      </w:r>
      <w:r>
        <w:rPr>
          <w:rFonts w:ascii="Garamond" w:hAnsi="Garamond"/>
          <w:color w:val="222222"/>
        </w:rPr>
        <w:t>caregivers</w:t>
      </w:r>
      <w:r w:rsidRPr="00541701">
        <w:rPr>
          <w:rFonts w:ascii="Garamond" w:hAnsi="Garamond"/>
          <w:color w:val="222222"/>
        </w:rPr>
        <w:t xml:space="preserve"> who would be excluded from the incentives program because they are not from the catchment area. This high rate of turning </w:t>
      </w:r>
      <w:r>
        <w:rPr>
          <w:rFonts w:ascii="Garamond" w:hAnsi="Garamond"/>
          <w:color w:val="222222"/>
        </w:rPr>
        <w:t>caregivers</w:t>
      </w:r>
      <w:r w:rsidRPr="00541701">
        <w:rPr>
          <w:rFonts w:ascii="Garamond" w:hAnsi="Garamond"/>
          <w:color w:val="222222"/>
        </w:rPr>
        <w:t xml:space="preserve"> away would be unlikely at scale when all neighboring clinics would also have the program. Thus, in certain towns, we recommended that New Incentives operate at multiple clinics to reduce this risk. </w:t>
      </w:r>
      <w:r>
        <w:rPr>
          <w:rFonts w:ascii="Garamond" w:hAnsi="Garamond"/>
          <w:color w:val="222222"/>
        </w:rPr>
        <w:t>T</w:t>
      </w:r>
      <w:r w:rsidRPr="00541701">
        <w:rPr>
          <w:rFonts w:ascii="Garamond" w:hAnsi="Garamond"/>
          <w:color w:val="222222"/>
        </w:rPr>
        <w:t xml:space="preserve">hese additional clinics would not add to the number of catchment areas in the </w:t>
      </w:r>
      <w:r w:rsidR="008962FD">
        <w:rPr>
          <w:rFonts w:ascii="Garamond" w:hAnsi="Garamond"/>
          <w:color w:val="222222"/>
        </w:rPr>
        <w:t>study</w:t>
      </w:r>
      <w:r w:rsidRPr="00541701">
        <w:rPr>
          <w:rFonts w:ascii="Garamond" w:hAnsi="Garamond"/>
          <w:color w:val="222222"/>
        </w:rPr>
        <w:t xml:space="preserve">, </w:t>
      </w:r>
      <w:r>
        <w:rPr>
          <w:rFonts w:ascii="Garamond" w:hAnsi="Garamond"/>
          <w:color w:val="222222"/>
        </w:rPr>
        <w:t xml:space="preserve">so </w:t>
      </w:r>
      <w:r w:rsidRPr="00541701">
        <w:rPr>
          <w:rFonts w:ascii="Garamond" w:hAnsi="Garamond"/>
          <w:color w:val="222222"/>
        </w:rPr>
        <w:t xml:space="preserve">they do </w:t>
      </w:r>
      <w:r>
        <w:rPr>
          <w:rFonts w:ascii="Garamond" w:hAnsi="Garamond"/>
          <w:color w:val="222222"/>
        </w:rPr>
        <w:t xml:space="preserve">not </w:t>
      </w:r>
      <w:r w:rsidRPr="00541701">
        <w:rPr>
          <w:rFonts w:ascii="Garamond" w:hAnsi="Garamond"/>
          <w:color w:val="222222"/>
        </w:rPr>
        <w:t xml:space="preserve">increase power as </w:t>
      </w:r>
      <w:r>
        <w:rPr>
          <w:rFonts w:ascii="Garamond" w:hAnsi="Garamond"/>
          <w:color w:val="222222"/>
        </w:rPr>
        <w:t>catchments are the relevant unit for power.</w:t>
      </w:r>
    </w:p>
    <w:p w14:paraId="6371BC16" w14:textId="77777777" w:rsidR="00EA1C2F" w:rsidRPr="00860574" w:rsidRDefault="00EA1C2F" w:rsidP="00F9661A">
      <w:pPr>
        <w:pStyle w:val="Normal1"/>
        <w:spacing w:line="259" w:lineRule="auto"/>
        <w:jc w:val="both"/>
        <w:rPr>
          <w:rFonts w:ascii="Garamond" w:hAnsi="Garamond"/>
          <w:color w:val="222222"/>
        </w:rPr>
      </w:pPr>
    </w:p>
    <w:p w14:paraId="1D497B59" w14:textId="77777777" w:rsidR="00EA1C2F" w:rsidRPr="000577DA" w:rsidRDefault="00EA1C2F" w:rsidP="00F9661A">
      <w:pPr>
        <w:pStyle w:val="Normal1"/>
        <w:spacing w:line="259" w:lineRule="auto"/>
        <w:jc w:val="both"/>
        <w:rPr>
          <w:rFonts w:ascii="Garamond" w:hAnsi="Garamond"/>
          <w:b/>
          <w:i/>
          <w:color w:val="222222"/>
        </w:rPr>
      </w:pPr>
      <w:r w:rsidRPr="000577DA">
        <w:rPr>
          <w:rFonts w:ascii="Garamond" w:hAnsi="Garamond"/>
          <w:b/>
          <w:i/>
          <w:color w:val="222222"/>
        </w:rPr>
        <w:t>Baseline Clusters and Clinics</w:t>
      </w:r>
    </w:p>
    <w:p w14:paraId="270DD9A1" w14:textId="77777777" w:rsidR="00EA1C2F" w:rsidRPr="00860574" w:rsidRDefault="00EA1C2F" w:rsidP="00F9661A">
      <w:pPr>
        <w:pStyle w:val="Normal1"/>
        <w:spacing w:line="259" w:lineRule="auto"/>
        <w:jc w:val="both"/>
        <w:rPr>
          <w:rFonts w:ascii="Garamond" w:hAnsi="Garamond"/>
          <w:color w:val="222222"/>
        </w:rPr>
      </w:pPr>
      <w:r w:rsidRPr="00860574">
        <w:rPr>
          <w:rFonts w:ascii="Garamond" w:hAnsi="Garamond"/>
          <w:color w:val="222222"/>
        </w:rPr>
        <w:t xml:space="preserve">After concluding this process, we identified the following catchments and associated </w:t>
      </w:r>
      <w:r>
        <w:rPr>
          <w:rFonts w:ascii="Garamond" w:hAnsi="Garamond"/>
          <w:color w:val="222222"/>
        </w:rPr>
        <w:t>clinics for the baseline</w:t>
      </w:r>
      <w:r w:rsidRPr="00860574">
        <w:rPr>
          <w:rFonts w:ascii="Garamond" w:hAnsi="Garamond"/>
          <w:color w:val="222222"/>
        </w:rPr>
        <w:t>:</w:t>
      </w:r>
    </w:p>
    <w:p w14:paraId="5962B63A" w14:textId="77777777" w:rsidR="00EA1C2F" w:rsidRPr="00860574" w:rsidRDefault="00EA1C2F" w:rsidP="006C30CC">
      <w:pPr>
        <w:pStyle w:val="Normal1"/>
        <w:numPr>
          <w:ilvl w:val="0"/>
          <w:numId w:val="13"/>
        </w:numPr>
        <w:spacing w:line="259" w:lineRule="auto"/>
        <w:jc w:val="both"/>
        <w:rPr>
          <w:rFonts w:ascii="Garamond" w:hAnsi="Garamond"/>
          <w:color w:val="222222"/>
        </w:rPr>
      </w:pPr>
      <w:r w:rsidRPr="00860574">
        <w:rPr>
          <w:rFonts w:ascii="Garamond" w:hAnsi="Garamond"/>
          <w:color w:val="222222"/>
        </w:rPr>
        <w:t xml:space="preserve">73 </w:t>
      </w:r>
      <w:r>
        <w:rPr>
          <w:rFonts w:ascii="Garamond" w:hAnsi="Garamond"/>
          <w:color w:val="222222"/>
        </w:rPr>
        <w:t>clinics</w:t>
      </w:r>
      <w:r w:rsidRPr="00860574">
        <w:rPr>
          <w:rFonts w:ascii="Garamond" w:hAnsi="Garamond"/>
          <w:color w:val="222222"/>
        </w:rPr>
        <w:t xml:space="preserve"> with 70 associated </w:t>
      </w:r>
      <w:r>
        <w:rPr>
          <w:rFonts w:ascii="Garamond" w:hAnsi="Garamond"/>
          <w:color w:val="222222"/>
        </w:rPr>
        <w:t>catchments</w:t>
      </w:r>
      <w:r w:rsidRPr="00860574">
        <w:rPr>
          <w:rFonts w:ascii="Garamond" w:hAnsi="Garamond"/>
          <w:color w:val="222222"/>
        </w:rPr>
        <w:t xml:space="preserve"> in Katsina</w:t>
      </w:r>
    </w:p>
    <w:p w14:paraId="3AF5A683" w14:textId="55883C63" w:rsidR="00EA1C2F" w:rsidRDefault="00EA1C2F" w:rsidP="006C30CC">
      <w:pPr>
        <w:pStyle w:val="Normal1"/>
        <w:numPr>
          <w:ilvl w:val="0"/>
          <w:numId w:val="13"/>
        </w:numPr>
        <w:spacing w:line="259" w:lineRule="auto"/>
        <w:jc w:val="both"/>
        <w:rPr>
          <w:rFonts w:ascii="Garamond" w:hAnsi="Garamond"/>
          <w:color w:val="222222"/>
        </w:rPr>
      </w:pPr>
      <w:r w:rsidRPr="00860574">
        <w:rPr>
          <w:rFonts w:ascii="Garamond" w:hAnsi="Garamond"/>
          <w:color w:val="222222"/>
        </w:rPr>
        <w:t>6</w:t>
      </w:r>
      <w:r w:rsidR="00EE3B9F">
        <w:rPr>
          <w:rFonts w:ascii="Garamond" w:hAnsi="Garamond"/>
          <w:color w:val="222222"/>
        </w:rPr>
        <w:t>6</w:t>
      </w:r>
      <w:r w:rsidRPr="00860574">
        <w:rPr>
          <w:rFonts w:ascii="Garamond" w:hAnsi="Garamond"/>
          <w:color w:val="222222"/>
        </w:rPr>
        <w:t xml:space="preserve"> </w:t>
      </w:r>
      <w:r>
        <w:rPr>
          <w:rFonts w:ascii="Garamond" w:hAnsi="Garamond"/>
          <w:color w:val="222222"/>
        </w:rPr>
        <w:t>clinics</w:t>
      </w:r>
      <w:r w:rsidR="00EE3B9F">
        <w:rPr>
          <w:rFonts w:ascii="Garamond" w:hAnsi="Garamond"/>
          <w:color w:val="222222"/>
        </w:rPr>
        <w:t xml:space="preserve"> with 60</w:t>
      </w:r>
      <w:r w:rsidRPr="00860574">
        <w:rPr>
          <w:rFonts w:ascii="Garamond" w:hAnsi="Garamond"/>
          <w:color w:val="222222"/>
        </w:rPr>
        <w:t xml:space="preserve"> associated </w:t>
      </w:r>
      <w:r>
        <w:rPr>
          <w:rFonts w:ascii="Garamond" w:hAnsi="Garamond"/>
          <w:color w:val="222222"/>
        </w:rPr>
        <w:t>catchments</w:t>
      </w:r>
      <w:r w:rsidRPr="00860574">
        <w:rPr>
          <w:rFonts w:ascii="Garamond" w:hAnsi="Garamond"/>
          <w:color w:val="222222"/>
        </w:rPr>
        <w:t xml:space="preserve"> in Zamfara </w:t>
      </w:r>
    </w:p>
    <w:p w14:paraId="7D01C874" w14:textId="77777777" w:rsidR="00EA1C2F" w:rsidRPr="00860574" w:rsidRDefault="00EA1C2F" w:rsidP="00F9661A">
      <w:pPr>
        <w:pStyle w:val="Normal1"/>
        <w:spacing w:line="259" w:lineRule="auto"/>
        <w:ind w:left="720"/>
        <w:jc w:val="both"/>
        <w:rPr>
          <w:rFonts w:ascii="Garamond" w:hAnsi="Garamond"/>
          <w:color w:val="222222"/>
        </w:rPr>
      </w:pPr>
    </w:p>
    <w:p w14:paraId="4873F450" w14:textId="116D88F2" w:rsidR="00EA1C2F" w:rsidRPr="000577DA" w:rsidRDefault="00EA1C2F" w:rsidP="00F9661A">
      <w:pPr>
        <w:pStyle w:val="Normal1"/>
        <w:spacing w:line="259" w:lineRule="auto"/>
        <w:jc w:val="both"/>
        <w:rPr>
          <w:rFonts w:ascii="Garamond" w:hAnsi="Garamond"/>
          <w:b/>
          <w:i/>
          <w:color w:val="222222"/>
        </w:rPr>
      </w:pPr>
      <w:r w:rsidRPr="000577DA">
        <w:rPr>
          <w:rFonts w:ascii="Garamond" w:hAnsi="Garamond"/>
          <w:b/>
          <w:i/>
          <w:color w:val="222222"/>
        </w:rPr>
        <w:t xml:space="preserve">Clinics Excluded </w:t>
      </w:r>
      <w:r w:rsidR="00EE3B9F" w:rsidRPr="000577DA">
        <w:rPr>
          <w:rFonts w:ascii="Garamond" w:hAnsi="Garamond"/>
          <w:b/>
          <w:i/>
          <w:color w:val="222222"/>
        </w:rPr>
        <w:t xml:space="preserve">After Baseline and </w:t>
      </w:r>
      <w:r w:rsidRPr="000577DA">
        <w:rPr>
          <w:rFonts w:ascii="Garamond" w:hAnsi="Garamond"/>
          <w:b/>
          <w:i/>
          <w:color w:val="222222"/>
        </w:rPr>
        <w:t>Prior to Randomization</w:t>
      </w:r>
    </w:p>
    <w:p w14:paraId="237089BD" w14:textId="2E1F2913" w:rsidR="00EA1C2F" w:rsidRPr="0025155F" w:rsidRDefault="00EA1C2F" w:rsidP="00F9661A">
      <w:pPr>
        <w:pStyle w:val="Normal1"/>
        <w:spacing w:line="259" w:lineRule="auto"/>
        <w:jc w:val="both"/>
        <w:rPr>
          <w:rFonts w:ascii="Garamond" w:hAnsi="Garamond"/>
          <w:color w:val="222222"/>
        </w:rPr>
      </w:pPr>
      <w:r>
        <w:rPr>
          <w:rFonts w:ascii="Garamond" w:hAnsi="Garamond"/>
          <w:color w:val="222222"/>
        </w:rPr>
        <w:t xml:space="preserve">After </w:t>
      </w:r>
      <w:proofErr w:type="spellStart"/>
      <w:r>
        <w:rPr>
          <w:rFonts w:ascii="Garamond" w:hAnsi="Garamond"/>
          <w:color w:val="222222"/>
        </w:rPr>
        <w:t>IDinsight</w:t>
      </w:r>
      <w:proofErr w:type="spellEnd"/>
      <w:r>
        <w:rPr>
          <w:rFonts w:ascii="Garamond" w:hAnsi="Garamond"/>
          <w:color w:val="222222"/>
        </w:rPr>
        <w:t xml:space="preserve"> completed baseline data collection, New Incentives conducted a detailed additional security </w:t>
      </w:r>
      <w:r w:rsidRPr="0025155F">
        <w:rPr>
          <w:rFonts w:ascii="Garamond" w:hAnsi="Garamond"/>
          <w:color w:val="222222"/>
        </w:rPr>
        <w:t>screening on the clinics surveyed at baseline. This additional screening classified security</w:t>
      </w:r>
      <w:r w:rsidR="00341AFC">
        <w:rPr>
          <w:rFonts w:ascii="Garamond" w:hAnsi="Garamond"/>
          <w:color w:val="222222"/>
        </w:rPr>
        <w:t xml:space="preserve"> incident</w:t>
      </w:r>
      <w:r w:rsidRPr="0025155F">
        <w:rPr>
          <w:rFonts w:ascii="Garamond" w:hAnsi="Garamond"/>
          <w:color w:val="222222"/>
        </w:rPr>
        <w:t xml:space="preserve"> reports into </w:t>
      </w:r>
      <w:r w:rsidR="0002546A">
        <w:rPr>
          <w:rFonts w:ascii="Garamond" w:hAnsi="Garamond"/>
          <w:color w:val="222222"/>
        </w:rPr>
        <w:t>four</w:t>
      </w:r>
      <w:r w:rsidR="0002546A" w:rsidRPr="0025155F">
        <w:rPr>
          <w:rFonts w:ascii="Garamond" w:hAnsi="Garamond"/>
          <w:color w:val="222222"/>
        </w:rPr>
        <w:t xml:space="preserve"> </w:t>
      </w:r>
      <w:r w:rsidRPr="0025155F">
        <w:rPr>
          <w:rFonts w:ascii="Garamond" w:hAnsi="Garamond"/>
          <w:color w:val="222222"/>
        </w:rPr>
        <w:t>categories</w:t>
      </w:r>
      <w:r w:rsidR="006942AF">
        <w:rPr>
          <w:rFonts w:ascii="Garamond" w:hAnsi="Garamond"/>
          <w:color w:val="222222"/>
        </w:rPr>
        <w:t>:</w:t>
      </w:r>
    </w:p>
    <w:p w14:paraId="2F60E7FC" w14:textId="0A1F92A5" w:rsidR="00EA1C2F" w:rsidRPr="0025155F" w:rsidRDefault="00EA1C2F" w:rsidP="006C30CC">
      <w:pPr>
        <w:pStyle w:val="Normal1"/>
        <w:numPr>
          <w:ilvl w:val="0"/>
          <w:numId w:val="16"/>
        </w:numPr>
        <w:spacing w:line="259" w:lineRule="auto"/>
        <w:rPr>
          <w:rFonts w:ascii="Garamond" w:hAnsi="Garamond"/>
          <w:color w:val="auto"/>
          <w:shd w:val="clear" w:color="auto" w:fill="FFFFFF"/>
        </w:rPr>
      </w:pPr>
      <w:r w:rsidRPr="00EE3B9F">
        <w:rPr>
          <w:rFonts w:ascii="Garamond" w:hAnsi="Garamond"/>
          <w:b/>
          <w:color w:val="auto"/>
          <w:shd w:val="clear" w:color="auto" w:fill="FFFFFF"/>
        </w:rPr>
        <w:t>No Go Zone</w:t>
      </w:r>
      <w:r w:rsidRPr="0025155F">
        <w:rPr>
          <w:rFonts w:ascii="Garamond" w:hAnsi="Garamond"/>
          <w:color w:val="auto"/>
          <w:shd w:val="clear" w:color="auto" w:fill="FFFFFF"/>
        </w:rPr>
        <w:t xml:space="preserve">: </w:t>
      </w:r>
      <w:r w:rsidR="006942AF">
        <w:rPr>
          <w:rFonts w:ascii="Garamond" w:hAnsi="Garamond"/>
          <w:color w:val="auto"/>
          <w:shd w:val="clear" w:color="auto" w:fill="FFFFFF"/>
        </w:rPr>
        <w:t>F</w:t>
      </w:r>
      <w:r w:rsidRPr="0025155F">
        <w:rPr>
          <w:rFonts w:ascii="Garamond" w:hAnsi="Garamond"/>
          <w:color w:val="auto"/>
          <w:shd w:val="clear" w:color="auto" w:fill="FFFFFF"/>
        </w:rPr>
        <w:t>requent armed violence with deaths on way to clinic or close to clinic during daytime (past two months)</w:t>
      </w:r>
    </w:p>
    <w:p w14:paraId="33B07D99" w14:textId="784977F0" w:rsidR="00EA1C2F" w:rsidRPr="0025155F" w:rsidRDefault="00EA1C2F" w:rsidP="006C30CC">
      <w:pPr>
        <w:pStyle w:val="Normal1"/>
        <w:numPr>
          <w:ilvl w:val="0"/>
          <w:numId w:val="16"/>
        </w:numPr>
        <w:spacing w:line="259" w:lineRule="auto"/>
        <w:rPr>
          <w:rFonts w:ascii="Garamond" w:hAnsi="Garamond"/>
          <w:color w:val="auto"/>
          <w:shd w:val="clear" w:color="auto" w:fill="FFFFFF"/>
        </w:rPr>
      </w:pPr>
      <w:r w:rsidRPr="00EE3B9F">
        <w:rPr>
          <w:rFonts w:ascii="Garamond" w:hAnsi="Garamond"/>
          <w:b/>
          <w:color w:val="auto"/>
          <w:shd w:val="clear" w:color="auto" w:fill="FFFFFF"/>
        </w:rPr>
        <w:t>Serious Security Issues</w:t>
      </w:r>
      <w:r w:rsidRPr="0025155F">
        <w:rPr>
          <w:rFonts w:ascii="Garamond" w:hAnsi="Garamond"/>
          <w:color w:val="auto"/>
          <w:shd w:val="clear" w:color="auto" w:fill="FFFFFF"/>
        </w:rPr>
        <w:t xml:space="preserve">: </w:t>
      </w:r>
      <w:r w:rsidR="006942AF">
        <w:rPr>
          <w:rFonts w:ascii="Garamond" w:hAnsi="Garamond"/>
          <w:color w:val="auto"/>
          <w:shd w:val="clear" w:color="auto" w:fill="FFFFFF"/>
        </w:rPr>
        <w:t>A</w:t>
      </w:r>
      <w:r w:rsidRPr="0025155F">
        <w:rPr>
          <w:rFonts w:ascii="Garamond" w:hAnsi="Garamond"/>
          <w:color w:val="auto"/>
          <w:shd w:val="clear" w:color="auto" w:fill="FFFFFF"/>
        </w:rPr>
        <w:t>rmed violence with deaths on way to or close to clinic, but not during daytime (past two months)</w:t>
      </w:r>
    </w:p>
    <w:p w14:paraId="14CF2243" w14:textId="017605CA" w:rsidR="00EA1C2F" w:rsidRDefault="00EA1C2F" w:rsidP="006C30CC">
      <w:pPr>
        <w:pStyle w:val="Normal1"/>
        <w:numPr>
          <w:ilvl w:val="0"/>
          <w:numId w:val="16"/>
        </w:numPr>
        <w:spacing w:line="259" w:lineRule="auto"/>
        <w:rPr>
          <w:rFonts w:ascii="Garamond" w:hAnsi="Garamond"/>
          <w:color w:val="auto"/>
          <w:shd w:val="clear" w:color="auto" w:fill="FFFFFF"/>
        </w:rPr>
      </w:pPr>
      <w:r w:rsidRPr="00EE3B9F">
        <w:rPr>
          <w:rFonts w:ascii="Garamond" w:hAnsi="Garamond"/>
          <w:b/>
          <w:color w:val="auto"/>
          <w:shd w:val="clear" w:color="auto" w:fill="FFFFFF"/>
        </w:rPr>
        <w:t>Some Security Issues</w:t>
      </w:r>
      <w:r w:rsidRPr="006942AF">
        <w:rPr>
          <w:rFonts w:ascii="Garamond" w:hAnsi="Garamond"/>
          <w:color w:val="auto"/>
          <w:shd w:val="clear" w:color="auto" w:fill="FFFFFF"/>
        </w:rPr>
        <w:t>:</w:t>
      </w:r>
      <w:r w:rsidRPr="0025155F">
        <w:rPr>
          <w:rFonts w:ascii="Garamond" w:hAnsi="Garamond"/>
          <w:color w:val="auto"/>
          <w:shd w:val="clear" w:color="auto" w:fill="FFFFFF"/>
        </w:rPr>
        <w:t xml:space="preserve"> </w:t>
      </w:r>
      <w:r w:rsidR="006942AF">
        <w:rPr>
          <w:rFonts w:ascii="Garamond" w:hAnsi="Garamond"/>
          <w:color w:val="auto"/>
          <w:shd w:val="clear" w:color="auto" w:fill="FFFFFF"/>
        </w:rPr>
        <w:t>A</w:t>
      </w:r>
      <w:r w:rsidRPr="0025155F">
        <w:rPr>
          <w:rFonts w:ascii="Garamond" w:hAnsi="Garamond"/>
          <w:color w:val="auto"/>
          <w:shd w:val="clear" w:color="auto" w:fill="FFFFFF"/>
        </w:rPr>
        <w:t>rmed violence on way to or close to clinic but without deaths in the past two months</w:t>
      </w:r>
    </w:p>
    <w:p w14:paraId="5F2F8FA6" w14:textId="7F0551E2" w:rsidR="0002546A" w:rsidRDefault="0002546A" w:rsidP="006C30CC">
      <w:pPr>
        <w:pStyle w:val="Normal1"/>
        <w:numPr>
          <w:ilvl w:val="0"/>
          <w:numId w:val="16"/>
        </w:numPr>
        <w:spacing w:line="259" w:lineRule="auto"/>
        <w:rPr>
          <w:rFonts w:ascii="Garamond" w:hAnsi="Garamond"/>
          <w:color w:val="auto"/>
          <w:shd w:val="clear" w:color="auto" w:fill="FFFFFF"/>
        </w:rPr>
      </w:pPr>
      <w:r>
        <w:rPr>
          <w:rFonts w:ascii="Garamond" w:hAnsi="Garamond"/>
          <w:b/>
          <w:color w:val="auto"/>
          <w:shd w:val="clear" w:color="auto" w:fill="FFFFFF"/>
        </w:rPr>
        <w:t>No Security Issues</w:t>
      </w:r>
      <w:r w:rsidRPr="00FB5C2B">
        <w:rPr>
          <w:rFonts w:ascii="Garamond" w:hAnsi="Garamond"/>
          <w:color w:val="auto"/>
          <w:shd w:val="clear" w:color="auto" w:fill="FFFFFF"/>
        </w:rPr>
        <w:t>:</w:t>
      </w:r>
      <w:r>
        <w:rPr>
          <w:rFonts w:ascii="Garamond" w:hAnsi="Garamond"/>
          <w:color w:val="auto"/>
          <w:shd w:val="clear" w:color="auto" w:fill="FFFFFF"/>
        </w:rPr>
        <w:t xml:space="preserve"> No security incidents were reported within these clinic catchments.</w:t>
      </w:r>
    </w:p>
    <w:p w14:paraId="27C8D241" w14:textId="77777777" w:rsidR="00807829" w:rsidRPr="0025155F" w:rsidRDefault="00807829" w:rsidP="00FB5C2B">
      <w:pPr>
        <w:pStyle w:val="Normal1"/>
        <w:spacing w:line="259" w:lineRule="auto"/>
        <w:ind w:left="720"/>
        <w:rPr>
          <w:rFonts w:ascii="Garamond" w:hAnsi="Garamond"/>
          <w:color w:val="auto"/>
          <w:shd w:val="clear" w:color="auto" w:fill="FFFFFF"/>
        </w:rPr>
      </w:pPr>
    </w:p>
    <w:p w14:paraId="69622959" w14:textId="2C7A0F5A" w:rsidR="00EA1C2F" w:rsidRDefault="00EA1C2F" w:rsidP="00F9661A">
      <w:pPr>
        <w:pStyle w:val="Normal1"/>
        <w:spacing w:line="259" w:lineRule="auto"/>
        <w:rPr>
          <w:rFonts w:ascii="Garamond" w:hAnsi="Garamond"/>
          <w:color w:val="auto"/>
          <w:shd w:val="clear" w:color="auto" w:fill="FFFFFF"/>
        </w:rPr>
      </w:pPr>
      <w:proofErr w:type="spellStart"/>
      <w:r w:rsidRPr="0025155F">
        <w:rPr>
          <w:rFonts w:ascii="Garamond" w:hAnsi="Garamond"/>
          <w:color w:val="auto"/>
          <w:shd w:val="clear" w:color="auto" w:fill="FFFFFF"/>
        </w:rPr>
        <w:t>IDinsight</w:t>
      </w:r>
      <w:proofErr w:type="spellEnd"/>
      <w:r w:rsidRPr="0025155F">
        <w:rPr>
          <w:rFonts w:ascii="Garamond" w:hAnsi="Garamond"/>
          <w:color w:val="auto"/>
          <w:shd w:val="clear" w:color="auto" w:fill="FFFFFF"/>
        </w:rPr>
        <w:t xml:space="preserve"> </w:t>
      </w:r>
      <w:r w:rsidR="00FC3F68" w:rsidRPr="00FC3F68">
        <w:rPr>
          <w:rFonts w:ascii="Garamond" w:hAnsi="Garamond"/>
          <w:color w:val="auto"/>
          <w:shd w:val="clear" w:color="auto" w:fill="FFFFFF"/>
        </w:rPr>
        <w:t>randomly assigned clinics with</w:t>
      </w:r>
      <w:r w:rsidR="00FC3F68">
        <w:rPr>
          <w:rFonts w:ascii="Garamond" w:hAnsi="Garamond"/>
          <w:color w:val="auto"/>
          <w:shd w:val="clear" w:color="auto" w:fill="FFFFFF"/>
        </w:rPr>
        <w:t xml:space="preserve"> </w:t>
      </w:r>
      <w:r w:rsidRPr="0025155F">
        <w:rPr>
          <w:rFonts w:ascii="Garamond" w:hAnsi="Garamond"/>
          <w:color w:val="auto"/>
          <w:shd w:val="clear" w:color="auto" w:fill="FFFFFF"/>
        </w:rPr>
        <w:t>no security</w:t>
      </w:r>
      <w:r w:rsidR="00807829">
        <w:rPr>
          <w:rFonts w:ascii="Garamond" w:hAnsi="Garamond"/>
          <w:color w:val="auto"/>
          <w:shd w:val="clear" w:color="auto" w:fill="FFFFFF"/>
        </w:rPr>
        <w:t xml:space="preserve"> issues</w:t>
      </w:r>
      <w:r w:rsidRPr="0025155F">
        <w:rPr>
          <w:rFonts w:ascii="Garamond" w:hAnsi="Garamond"/>
          <w:color w:val="auto"/>
          <w:shd w:val="clear" w:color="auto" w:fill="FFFFFF"/>
        </w:rPr>
        <w:t xml:space="preserve"> </w:t>
      </w:r>
      <w:r w:rsidR="00807829" w:rsidRPr="00FC3F68">
        <w:rPr>
          <w:rFonts w:ascii="Garamond" w:hAnsi="Garamond"/>
          <w:color w:val="auto"/>
          <w:shd w:val="clear" w:color="auto" w:fill="FFFFFF"/>
        </w:rPr>
        <w:t xml:space="preserve">to treatment and control </w:t>
      </w:r>
      <w:r w:rsidRPr="0025155F">
        <w:rPr>
          <w:rFonts w:ascii="Garamond" w:hAnsi="Garamond"/>
          <w:color w:val="auto"/>
          <w:shd w:val="clear" w:color="auto" w:fill="FFFFFF"/>
        </w:rPr>
        <w:t>in the first wave of randomization. New Incentives monitored clinics that had security issues across the month of November with screenings on the 3</w:t>
      </w:r>
      <w:r w:rsidRPr="0025155F">
        <w:rPr>
          <w:rFonts w:ascii="Garamond" w:hAnsi="Garamond"/>
          <w:color w:val="auto"/>
          <w:shd w:val="clear" w:color="auto" w:fill="FFFFFF"/>
          <w:vertAlign w:val="superscript"/>
        </w:rPr>
        <w:t>rd</w:t>
      </w:r>
      <w:r w:rsidRPr="0025155F">
        <w:rPr>
          <w:rFonts w:ascii="Garamond" w:hAnsi="Garamond"/>
          <w:color w:val="auto"/>
          <w:shd w:val="clear" w:color="auto" w:fill="FFFFFF"/>
        </w:rPr>
        <w:t>, 14</w:t>
      </w:r>
      <w:r w:rsidRPr="0025155F">
        <w:rPr>
          <w:rFonts w:ascii="Garamond" w:hAnsi="Garamond"/>
          <w:color w:val="auto"/>
          <w:shd w:val="clear" w:color="auto" w:fill="FFFFFF"/>
          <w:vertAlign w:val="superscript"/>
        </w:rPr>
        <w:t>th</w:t>
      </w:r>
      <w:r w:rsidRPr="0025155F">
        <w:rPr>
          <w:rFonts w:ascii="Garamond" w:hAnsi="Garamond"/>
          <w:color w:val="auto"/>
          <w:shd w:val="clear" w:color="auto" w:fill="FFFFFF"/>
        </w:rPr>
        <w:t>, and 21</w:t>
      </w:r>
      <w:r w:rsidRPr="0025155F">
        <w:rPr>
          <w:rFonts w:ascii="Garamond" w:hAnsi="Garamond"/>
          <w:color w:val="auto"/>
          <w:shd w:val="clear" w:color="auto" w:fill="FFFFFF"/>
          <w:vertAlign w:val="superscript"/>
        </w:rPr>
        <w:t>st</w:t>
      </w:r>
      <w:r w:rsidRPr="0025155F">
        <w:rPr>
          <w:rFonts w:ascii="Garamond" w:hAnsi="Garamond"/>
          <w:color w:val="auto"/>
          <w:shd w:val="clear" w:color="auto" w:fill="FFFFFF"/>
        </w:rPr>
        <w:t xml:space="preserve"> of November. Based on the screening, clinics </w:t>
      </w:r>
      <w:r w:rsidR="000577DA">
        <w:rPr>
          <w:rFonts w:ascii="Garamond" w:hAnsi="Garamond"/>
          <w:color w:val="auto"/>
          <w:shd w:val="clear" w:color="auto" w:fill="FFFFFF"/>
        </w:rPr>
        <w:t>with three or more screening resulting in a</w:t>
      </w:r>
      <w:r w:rsidRPr="0025155F">
        <w:rPr>
          <w:rFonts w:ascii="Garamond" w:hAnsi="Garamond"/>
          <w:color w:val="auto"/>
          <w:shd w:val="clear" w:color="auto" w:fill="FFFFFF"/>
        </w:rPr>
        <w:t xml:space="preserve"> </w:t>
      </w:r>
      <w:r w:rsidR="000577DA">
        <w:rPr>
          <w:rFonts w:ascii="Garamond" w:hAnsi="Garamond"/>
          <w:color w:val="auto"/>
          <w:shd w:val="clear" w:color="auto" w:fill="FFFFFF"/>
        </w:rPr>
        <w:t>“</w:t>
      </w:r>
      <w:r w:rsidRPr="0025155F">
        <w:rPr>
          <w:rFonts w:ascii="Garamond" w:hAnsi="Garamond"/>
          <w:color w:val="auto"/>
          <w:shd w:val="clear" w:color="auto" w:fill="FFFFFF"/>
        </w:rPr>
        <w:t xml:space="preserve">some security </w:t>
      </w:r>
      <w:r w:rsidR="000577DA">
        <w:rPr>
          <w:rFonts w:ascii="Garamond" w:hAnsi="Garamond"/>
          <w:color w:val="auto"/>
          <w:shd w:val="clear" w:color="auto" w:fill="FFFFFF"/>
        </w:rPr>
        <w:t xml:space="preserve">issues” </w:t>
      </w:r>
      <w:r w:rsidRPr="0025155F">
        <w:rPr>
          <w:rFonts w:ascii="Garamond" w:hAnsi="Garamond"/>
          <w:color w:val="auto"/>
          <w:shd w:val="clear" w:color="auto" w:fill="FFFFFF"/>
        </w:rPr>
        <w:t xml:space="preserve">flag or </w:t>
      </w:r>
      <w:r w:rsidR="000577DA">
        <w:rPr>
          <w:rFonts w:ascii="Garamond" w:hAnsi="Garamond"/>
          <w:color w:val="auto"/>
          <w:shd w:val="clear" w:color="auto" w:fill="FFFFFF"/>
        </w:rPr>
        <w:t xml:space="preserve">one screening with </w:t>
      </w:r>
      <w:r w:rsidRPr="0025155F">
        <w:rPr>
          <w:rFonts w:ascii="Garamond" w:hAnsi="Garamond"/>
          <w:color w:val="auto"/>
          <w:shd w:val="clear" w:color="auto" w:fill="FFFFFF"/>
        </w:rPr>
        <w:t xml:space="preserve">a more serious security </w:t>
      </w:r>
      <w:r w:rsidR="000577DA">
        <w:rPr>
          <w:rFonts w:ascii="Garamond" w:hAnsi="Garamond"/>
          <w:color w:val="auto"/>
          <w:shd w:val="clear" w:color="auto" w:fill="FFFFFF"/>
        </w:rPr>
        <w:t>flag</w:t>
      </w:r>
      <w:r w:rsidRPr="0025155F">
        <w:rPr>
          <w:rFonts w:ascii="Garamond" w:hAnsi="Garamond"/>
          <w:color w:val="auto"/>
          <w:shd w:val="clear" w:color="auto" w:fill="FFFFFF"/>
        </w:rPr>
        <w:t xml:space="preserve"> were excluded from randomization. A qualitative risk assessment by New Incentives Zamfara staff also factored </w:t>
      </w:r>
      <w:r w:rsidRPr="0025155F">
        <w:rPr>
          <w:rFonts w:ascii="Garamond" w:hAnsi="Garamond"/>
          <w:color w:val="auto"/>
          <w:shd w:val="clear" w:color="auto" w:fill="FFFFFF"/>
        </w:rPr>
        <w:lastRenderedPageBreak/>
        <w:t>into their decision to excl</w:t>
      </w:r>
      <w:r w:rsidR="00DC12E4">
        <w:rPr>
          <w:rFonts w:ascii="Garamond" w:hAnsi="Garamond"/>
          <w:color w:val="auto"/>
          <w:shd w:val="clear" w:color="auto" w:fill="FFFFFF"/>
        </w:rPr>
        <w:t>ude clinics from randomization.</w:t>
      </w:r>
      <w:r w:rsidRPr="0025155F">
        <w:rPr>
          <w:rFonts w:ascii="Garamond" w:hAnsi="Garamond"/>
          <w:color w:val="auto"/>
          <w:shd w:val="clear" w:color="auto" w:fill="FFFFFF"/>
        </w:rPr>
        <w:t xml:space="preserve"> </w:t>
      </w:r>
      <w:proofErr w:type="gramStart"/>
      <w:r w:rsidRPr="0025155F">
        <w:rPr>
          <w:rFonts w:ascii="Garamond" w:hAnsi="Garamond"/>
          <w:color w:val="auto"/>
          <w:shd w:val="clear" w:color="auto" w:fill="FFFFFF"/>
        </w:rPr>
        <w:t>The vast majority of</w:t>
      </w:r>
      <w:proofErr w:type="gramEnd"/>
      <w:r w:rsidRPr="0025155F">
        <w:rPr>
          <w:rFonts w:ascii="Garamond" w:hAnsi="Garamond"/>
          <w:color w:val="auto"/>
          <w:shd w:val="clear" w:color="auto" w:fill="FFFFFF"/>
        </w:rPr>
        <w:t xml:space="preserve"> these drops were in Zamfara, but </w:t>
      </w:r>
      <w:r w:rsidR="005A199A" w:rsidRPr="0025155F">
        <w:rPr>
          <w:rFonts w:ascii="Garamond" w:hAnsi="Garamond"/>
          <w:color w:val="auto"/>
          <w:shd w:val="clear" w:color="auto" w:fill="FFFFFF"/>
        </w:rPr>
        <w:t xml:space="preserve">New Incentives also excluded </w:t>
      </w:r>
      <w:r w:rsidRPr="0025155F">
        <w:rPr>
          <w:rFonts w:ascii="Garamond" w:hAnsi="Garamond"/>
          <w:color w:val="auto"/>
          <w:shd w:val="clear" w:color="auto" w:fill="FFFFFF"/>
        </w:rPr>
        <w:t>a few clinics in Katsina near the Zamfara border for security.</w:t>
      </w:r>
      <w:r w:rsidR="008B2047">
        <w:rPr>
          <w:rStyle w:val="FootnoteReference"/>
          <w:rFonts w:ascii="Garamond" w:hAnsi="Garamond"/>
          <w:color w:val="auto"/>
          <w:shd w:val="clear" w:color="auto" w:fill="FFFFFF"/>
        </w:rPr>
        <w:footnoteReference w:id="76"/>
      </w:r>
      <w:r w:rsidRPr="0025155F">
        <w:rPr>
          <w:rFonts w:ascii="Garamond" w:hAnsi="Garamond"/>
          <w:color w:val="auto"/>
          <w:shd w:val="clear" w:color="auto" w:fill="FFFFFF"/>
        </w:rPr>
        <w:t xml:space="preserve"> </w:t>
      </w:r>
    </w:p>
    <w:p w14:paraId="199FDFBF" w14:textId="34E1A2D0" w:rsidR="00EA1C2F" w:rsidRDefault="00EA1C2F" w:rsidP="00F9661A">
      <w:pPr>
        <w:pStyle w:val="Normal1"/>
        <w:spacing w:line="259" w:lineRule="auto"/>
        <w:rPr>
          <w:rFonts w:ascii="Garamond" w:hAnsi="Garamond"/>
          <w:color w:val="auto"/>
          <w:sz w:val="20"/>
          <w:szCs w:val="20"/>
          <w:shd w:val="clear" w:color="auto" w:fill="FFFFFF"/>
        </w:rPr>
      </w:pPr>
    </w:p>
    <w:p w14:paraId="25575BB5" w14:textId="77777777" w:rsidR="00EA1C2F" w:rsidRPr="00DC12E4" w:rsidRDefault="00EA1C2F" w:rsidP="006127C6">
      <w:pPr>
        <w:pStyle w:val="Heading2"/>
        <w:rPr>
          <w:rFonts w:ascii="Garamond" w:hAnsi="Garamond"/>
          <w:sz w:val="28"/>
          <w:szCs w:val="28"/>
        </w:rPr>
      </w:pPr>
      <w:r w:rsidRPr="00DC12E4">
        <w:rPr>
          <w:rFonts w:ascii="Garamond" w:hAnsi="Garamond"/>
          <w:sz w:val="28"/>
          <w:szCs w:val="28"/>
        </w:rPr>
        <w:t>Details of selection process (Jigawa)</w:t>
      </w:r>
    </w:p>
    <w:p w14:paraId="236606DF" w14:textId="46BC41C3" w:rsidR="00EA1C2F" w:rsidRDefault="00491D53" w:rsidP="00F9661A">
      <w:pPr>
        <w:pStyle w:val="Normal1"/>
        <w:spacing w:line="259" w:lineRule="auto"/>
        <w:jc w:val="both"/>
        <w:rPr>
          <w:rFonts w:ascii="Garamond" w:hAnsi="Garamond"/>
          <w:color w:val="222222"/>
        </w:rPr>
      </w:pPr>
      <w:r>
        <w:rPr>
          <w:rFonts w:ascii="Garamond" w:hAnsi="Garamond"/>
          <w:color w:val="222222"/>
        </w:rPr>
        <w:t>The</w:t>
      </w:r>
      <w:r w:rsidR="00603151">
        <w:rPr>
          <w:rFonts w:ascii="Garamond" w:hAnsi="Garamond"/>
          <w:color w:val="222222"/>
        </w:rPr>
        <w:t xml:space="preserve"> screening process</w:t>
      </w:r>
      <w:r>
        <w:rPr>
          <w:rFonts w:ascii="Garamond" w:hAnsi="Garamond"/>
          <w:color w:val="222222"/>
        </w:rPr>
        <w:t xml:space="preserve"> for Jigawa</w:t>
      </w:r>
      <w:r w:rsidR="00EA1C2F" w:rsidRPr="00860574">
        <w:rPr>
          <w:rFonts w:ascii="Garamond" w:hAnsi="Garamond"/>
          <w:color w:val="222222"/>
        </w:rPr>
        <w:t xml:space="preserve"> simulated the screening process in Katsina and Zamfara. </w:t>
      </w:r>
      <w:r w:rsidR="00FC3F68">
        <w:rPr>
          <w:rFonts w:ascii="Garamond" w:hAnsi="Garamond"/>
          <w:color w:val="222222"/>
        </w:rPr>
        <w:t>When the Jigawa screening started,</w:t>
      </w:r>
      <w:r w:rsidR="00EA1C2F" w:rsidRPr="00860574">
        <w:rPr>
          <w:rFonts w:ascii="Garamond" w:hAnsi="Garamond"/>
          <w:color w:val="222222"/>
        </w:rPr>
        <w:t xml:space="preserve"> </w:t>
      </w:r>
      <w:proofErr w:type="spellStart"/>
      <w:r w:rsidR="00EA1C2F">
        <w:rPr>
          <w:rFonts w:ascii="Garamond" w:hAnsi="Garamond"/>
          <w:color w:val="222222"/>
        </w:rPr>
        <w:t>IDinsight</w:t>
      </w:r>
      <w:proofErr w:type="spellEnd"/>
      <w:r w:rsidR="00EA1C2F">
        <w:rPr>
          <w:rFonts w:ascii="Garamond" w:hAnsi="Garamond"/>
          <w:color w:val="222222"/>
        </w:rPr>
        <w:t xml:space="preserve"> and</w:t>
      </w:r>
      <w:r w:rsidR="00EA1C2F" w:rsidRPr="00B4729A">
        <w:rPr>
          <w:rFonts w:ascii="Garamond" w:hAnsi="Garamond"/>
          <w:color w:val="222222"/>
        </w:rPr>
        <w:t xml:space="preserve"> </w:t>
      </w:r>
      <w:r w:rsidR="00EA1C2F">
        <w:rPr>
          <w:rFonts w:ascii="Garamond" w:hAnsi="Garamond"/>
          <w:color w:val="222222"/>
        </w:rPr>
        <w:t xml:space="preserve">New Incentives anticipated a requirement of </w:t>
      </w:r>
      <w:r w:rsidR="00EA1C2F" w:rsidRPr="00860574">
        <w:rPr>
          <w:rFonts w:ascii="Garamond" w:hAnsi="Garamond"/>
          <w:color w:val="222222"/>
        </w:rPr>
        <w:t>30</w:t>
      </w:r>
      <w:r w:rsidR="00EA1C2F" w:rsidRPr="00B4729A">
        <w:rPr>
          <w:rFonts w:ascii="Garamond" w:hAnsi="Garamond"/>
          <w:color w:val="222222"/>
        </w:rPr>
        <w:t>-</w:t>
      </w:r>
      <w:r w:rsidR="00EA1C2F" w:rsidRPr="00860574">
        <w:rPr>
          <w:rFonts w:ascii="Garamond" w:hAnsi="Garamond"/>
          <w:color w:val="222222"/>
        </w:rPr>
        <w:t>40 selected clinics</w:t>
      </w:r>
      <w:r w:rsidR="00EA1C2F">
        <w:rPr>
          <w:rFonts w:ascii="Garamond" w:hAnsi="Garamond"/>
          <w:color w:val="222222"/>
        </w:rPr>
        <w:t xml:space="preserve"> based on the </w:t>
      </w:r>
      <w:r w:rsidR="00FC3F68">
        <w:rPr>
          <w:rFonts w:ascii="Garamond" w:hAnsi="Garamond"/>
          <w:color w:val="222222"/>
        </w:rPr>
        <w:t>number of expected clinics in</w:t>
      </w:r>
      <w:r w:rsidR="00EA1C2F">
        <w:rPr>
          <w:rFonts w:ascii="Garamond" w:hAnsi="Garamond"/>
          <w:color w:val="222222"/>
        </w:rPr>
        <w:t xml:space="preserve"> Katsina and Zamfara</w:t>
      </w:r>
      <w:r w:rsidR="00FC3F68">
        <w:rPr>
          <w:rFonts w:ascii="Garamond" w:hAnsi="Garamond"/>
          <w:color w:val="222222"/>
        </w:rPr>
        <w:t>. T</w:t>
      </w:r>
      <w:r w:rsidR="00EA1C2F" w:rsidRPr="00860574">
        <w:rPr>
          <w:rFonts w:ascii="Garamond" w:hAnsi="Garamond"/>
          <w:color w:val="222222"/>
        </w:rPr>
        <w:t xml:space="preserve">he screening took place in </w:t>
      </w:r>
      <w:r w:rsidR="00EA1C2F">
        <w:rPr>
          <w:rFonts w:ascii="Garamond" w:hAnsi="Garamond"/>
          <w:color w:val="222222"/>
        </w:rPr>
        <w:t>two</w:t>
      </w:r>
      <w:r w:rsidR="00EA1C2F" w:rsidRPr="00860574">
        <w:rPr>
          <w:rFonts w:ascii="Garamond" w:hAnsi="Garamond"/>
          <w:color w:val="222222"/>
        </w:rPr>
        <w:t xml:space="preserve"> </w:t>
      </w:r>
      <w:r w:rsidR="00EA1C2F">
        <w:rPr>
          <w:rFonts w:ascii="Garamond" w:hAnsi="Garamond"/>
          <w:color w:val="222222"/>
        </w:rPr>
        <w:t xml:space="preserve">phases. First, </w:t>
      </w:r>
      <w:proofErr w:type="spellStart"/>
      <w:r w:rsidR="00EA1C2F">
        <w:rPr>
          <w:rFonts w:ascii="Garamond" w:hAnsi="Garamond"/>
          <w:color w:val="222222"/>
        </w:rPr>
        <w:t>IDinsight</w:t>
      </w:r>
      <w:proofErr w:type="spellEnd"/>
      <w:r w:rsidR="00EA1C2F">
        <w:rPr>
          <w:rFonts w:ascii="Garamond" w:hAnsi="Garamond"/>
          <w:color w:val="222222"/>
        </w:rPr>
        <w:t xml:space="preserve"> identified clinics that w</w:t>
      </w:r>
      <w:r w:rsidR="00EA1C2F" w:rsidRPr="00860574">
        <w:rPr>
          <w:rFonts w:ascii="Garamond" w:hAnsi="Garamond"/>
          <w:color w:val="222222"/>
        </w:rPr>
        <w:t>ere spaced 24</w:t>
      </w:r>
      <w:r w:rsidR="00EA1C2F" w:rsidRPr="00B4729A">
        <w:rPr>
          <w:rFonts w:ascii="Garamond" w:hAnsi="Garamond"/>
          <w:color w:val="222222"/>
        </w:rPr>
        <w:t xml:space="preserve"> kilometers</w:t>
      </w:r>
      <w:r w:rsidR="00EA1C2F" w:rsidRPr="00860574">
        <w:rPr>
          <w:rFonts w:ascii="Garamond" w:hAnsi="Garamond"/>
          <w:color w:val="222222"/>
        </w:rPr>
        <w:t xml:space="preserve"> rather than 17 kilometers apart.</w:t>
      </w:r>
      <w:r w:rsidR="00EA1C2F">
        <w:rPr>
          <w:rFonts w:ascii="Garamond" w:hAnsi="Garamond"/>
          <w:color w:val="222222"/>
        </w:rPr>
        <w:t xml:space="preserve"> New Incentives then screened all clinics within a 4.5km radius of the identified clinics.</w:t>
      </w:r>
      <w:r w:rsidR="00EA1C2F" w:rsidRPr="00860574">
        <w:rPr>
          <w:rFonts w:ascii="Garamond" w:hAnsi="Garamond"/>
          <w:color w:val="222222"/>
        </w:rPr>
        <w:t xml:space="preserve"> This wider spacing allowed for replacements for category 4 and 5 clinics to be found</w:t>
      </w:r>
      <w:r w:rsidR="00EA1C2F">
        <w:rPr>
          <w:rFonts w:ascii="Garamond" w:hAnsi="Garamond"/>
          <w:color w:val="222222"/>
        </w:rPr>
        <w:t xml:space="preserve"> without additional screening rounds by choosing clinics close to the initially screened clinics as replacements</w:t>
      </w:r>
      <w:r w:rsidR="00EA1C2F" w:rsidRPr="00860574">
        <w:rPr>
          <w:rFonts w:ascii="Garamond" w:hAnsi="Garamond"/>
          <w:color w:val="222222"/>
        </w:rPr>
        <w:t>.</w:t>
      </w:r>
      <w:r w:rsidR="00FC3F68">
        <w:rPr>
          <w:rFonts w:ascii="Garamond" w:hAnsi="Garamond"/>
          <w:color w:val="222222"/>
        </w:rPr>
        <w:t xml:space="preserve"> In other words, </w:t>
      </w:r>
      <w:r w:rsidR="00FC3F68" w:rsidRPr="00FC3F68">
        <w:rPr>
          <w:rFonts w:ascii="Garamond" w:hAnsi="Garamond"/>
          <w:color w:val="222222"/>
        </w:rPr>
        <w:t>we could select the nearest eligible neighbor and not worry about it being too close to other selected clinics</w:t>
      </w:r>
      <w:r>
        <w:rPr>
          <w:rFonts w:ascii="Garamond" w:hAnsi="Garamond"/>
          <w:color w:val="222222"/>
        </w:rPr>
        <w:t>.</w:t>
      </w:r>
    </w:p>
    <w:p w14:paraId="1C2263DE" w14:textId="77777777" w:rsidR="00EA1C2F" w:rsidRDefault="00EA1C2F" w:rsidP="00F9661A">
      <w:pPr>
        <w:pStyle w:val="Normal1"/>
        <w:spacing w:line="259" w:lineRule="auto"/>
        <w:jc w:val="both"/>
        <w:rPr>
          <w:rFonts w:ascii="Garamond" w:hAnsi="Garamond"/>
          <w:color w:val="222222"/>
        </w:rPr>
      </w:pPr>
    </w:p>
    <w:p w14:paraId="6E5E00BB" w14:textId="369FE4F8" w:rsidR="00EA1C2F" w:rsidRDefault="00FC3F68" w:rsidP="00F9661A">
      <w:pPr>
        <w:pStyle w:val="Normal1"/>
        <w:spacing w:line="259" w:lineRule="auto"/>
        <w:jc w:val="both"/>
        <w:rPr>
          <w:rFonts w:ascii="Garamond" w:hAnsi="Garamond"/>
          <w:color w:val="222222"/>
        </w:rPr>
      </w:pPr>
      <w:r>
        <w:rPr>
          <w:rFonts w:ascii="Garamond" w:hAnsi="Garamond"/>
          <w:color w:val="222222"/>
        </w:rPr>
        <w:t xml:space="preserve">After baseline data collection, and the first round of Jigawa clinic selection, it became evident that New Incentives would be unable to operate at </w:t>
      </w:r>
      <w:proofErr w:type="gramStart"/>
      <w:r>
        <w:rPr>
          <w:rFonts w:ascii="Garamond" w:hAnsi="Garamond"/>
          <w:color w:val="222222"/>
        </w:rPr>
        <w:t>a number of</w:t>
      </w:r>
      <w:proofErr w:type="gramEnd"/>
      <w:r>
        <w:rPr>
          <w:rFonts w:ascii="Garamond" w:hAnsi="Garamond"/>
          <w:color w:val="222222"/>
        </w:rPr>
        <w:t xml:space="preserve"> clinics in Katsina and Zamfara due to security issues. </w:t>
      </w:r>
      <w:r w:rsidR="00EA1C2F">
        <w:rPr>
          <w:rFonts w:ascii="Garamond" w:hAnsi="Garamond"/>
          <w:color w:val="222222"/>
        </w:rPr>
        <w:t xml:space="preserve">When the scope of security drops in Katsina and Zamfara became evident, </w:t>
      </w:r>
      <w:proofErr w:type="spellStart"/>
      <w:r w:rsidR="00EA1C2F">
        <w:rPr>
          <w:rFonts w:ascii="Garamond" w:hAnsi="Garamond"/>
          <w:color w:val="222222"/>
        </w:rPr>
        <w:t>IDinsight</w:t>
      </w:r>
      <w:proofErr w:type="spellEnd"/>
      <w:r w:rsidR="00EA1C2F">
        <w:rPr>
          <w:rFonts w:ascii="Garamond" w:hAnsi="Garamond"/>
          <w:color w:val="222222"/>
        </w:rPr>
        <w:t xml:space="preserve"> revised the screening process</w:t>
      </w:r>
      <w:r w:rsidR="00EE3B9F">
        <w:rPr>
          <w:rFonts w:ascii="Garamond" w:hAnsi="Garamond"/>
          <w:color w:val="222222"/>
        </w:rPr>
        <w:t xml:space="preserve"> in Jigawa</w:t>
      </w:r>
      <w:r w:rsidR="00EA1C2F">
        <w:rPr>
          <w:rFonts w:ascii="Garamond" w:hAnsi="Garamond"/>
          <w:color w:val="222222"/>
        </w:rPr>
        <w:t xml:space="preserve"> to instead focus on creating the lon</w:t>
      </w:r>
      <w:r w:rsidR="00EE3B9F">
        <w:rPr>
          <w:rFonts w:ascii="Garamond" w:hAnsi="Garamond"/>
          <w:color w:val="222222"/>
        </w:rPr>
        <w:t>gest possible list of clinics 17</w:t>
      </w:r>
      <w:r w:rsidR="00EA1C2F">
        <w:rPr>
          <w:rFonts w:ascii="Garamond" w:hAnsi="Garamond"/>
          <w:color w:val="222222"/>
        </w:rPr>
        <w:t>km apart</w:t>
      </w:r>
      <w:r>
        <w:rPr>
          <w:rFonts w:ascii="Garamond" w:hAnsi="Garamond"/>
          <w:color w:val="222222"/>
        </w:rPr>
        <w:t xml:space="preserve"> in order to maintain the stud</w:t>
      </w:r>
      <w:r w:rsidR="00E01552">
        <w:rPr>
          <w:rFonts w:ascii="Garamond" w:hAnsi="Garamond"/>
          <w:color w:val="222222"/>
        </w:rPr>
        <w:t>y’</w:t>
      </w:r>
      <w:r>
        <w:rPr>
          <w:rFonts w:ascii="Garamond" w:hAnsi="Garamond"/>
          <w:color w:val="222222"/>
        </w:rPr>
        <w:t>s power</w:t>
      </w:r>
      <w:r w:rsidR="00EA1C2F">
        <w:rPr>
          <w:rFonts w:ascii="Garamond" w:hAnsi="Garamond"/>
          <w:color w:val="222222"/>
        </w:rPr>
        <w:t xml:space="preserve">. </w:t>
      </w:r>
      <w:proofErr w:type="spellStart"/>
      <w:r w:rsidR="00EA1C2F">
        <w:rPr>
          <w:rFonts w:ascii="Garamond" w:hAnsi="Garamond"/>
          <w:color w:val="222222"/>
        </w:rPr>
        <w:t>IDinsight</w:t>
      </w:r>
      <w:proofErr w:type="spellEnd"/>
      <w:r w:rsidR="00EA1C2F">
        <w:rPr>
          <w:rFonts w:ascii="Garamond" w:hAnsi="Garamond"/>
          <w:color w:val="222222"/>
        </w:rPr>
        <w:t xml:space="preserve"> tried to build this list from the initial screening, thus only</w:t>
      </w:r>
      <w:r w:rsidR="00EA1C2F" w:rsidRPr="00EE3B9F">
        <w:rPr>
          <w:rFonts w:ascii="Garamond" w:hAnsi="Garamond"/>
          <w:color w:val="auto"/>
        </w:rPr>
        <w:t xml:space="preserve"> </w:t>
      </w:r>
      <w:r w:rsidR="005A199A" w:rsidRPr="00EE3B9F">
        <w:rPr>
          <w:rFonts w:ascii="Garamond" w:hAnsi="Garamond"/>
          <w:color w:val="auto"/>
        </w:rPr>
        <w:t xml:space="preserve">27 </w:t>
      </w:r>
      <w:r w:rsidR="00EA1C2F" w:rsidRPr="00EE3B9F">
        <w:rPr>
          <w:rFonts w:ascii="Garamond" w:hAnsi="Garamond"/>
          <w:color w:val="auto"/>
        </w:rPr>
        <w:t xml:space="preserve">new </w:t>
      </w:r>
      <w:r w:rsidR="00EA1C2F">
        <w:rPr>
          <w:rFonts w:ascii="Garamond" w:hAnsi="Garamond"/>
          <w:color w:val="222222"/>
        </w:rPr>
        <w:t xml:space="preserve">clinic screenings were required for the new approach. Since security issues disproportionately affected category </w:t>
      </w:r>
      <w:r w:rsidR="005A199A">
        <w:rPr>
          <w:rFonts w:ascii="Garamond" w:hAnsi="Garamond"/>
          <w:color w:val="222222"/>
        </w:rPr>
        <w:t xml:space="preserve">4 </w:t>
      </w:r>
      <w:r w:rsidR="00EA1C2F">
        <w:rPr>
          <w:rFonts w:ascii="Garamond" w:hAnsi="Garamond"/>
          <w:color w:val="222222"/>
        </w:rPr>
        <w:t xml:space="preserve">and </w:t>
      </w:r>
      <w:r w:rsidR="005A199A">
        <w:rPr>
          <w:rFonts w:ascii="Garamond" w:hAnsi="Garamond"/>
          <w:color w:val="222222"/>
        </w:rPr>
        <w:t xml:space="preserve">5 </w:t>
      </w:r>
      <w:r w:rsidR="00EA1C2F">
        <w:rPr>
          <w:rFonts w:ascii="Garamond" w:hAnsi="Garamond"/>
          <w:color w:val="222222"/>
        </w:rPr>
        <w:t xml:space="preserve">clinics in Katsina and Zamfara, all category </w:t>
      </w:r>
      <w:r w:rsidR="004B4BCE">
        <w:rPr>
          <w:rFonts w:ascii="Garamond" w:hAnsi="Garamond"/>
          <w:color w:val="222222"/>
        </w:rPr>
        <w:t xml:space="preserve">4 </w:t>
      </w:r>
      <w:r w:rsidR="00EA1C2F">
        <w:rPr>
          <w:rFonts w:ascii="Garamond" w:hAnsi="Garamond"/>
          <w:color w:val="222222"/>
        </w:rPr>
        <w:t xml:space="preserve">and </w:t>
      </w:r>
      <w:r w:rsidR="004B4BCE">
        <w:rPr>
          <w:rFonts w:ascii="Garamond" w:hAnsi="Garamond"/>
          <w:color w:val="222222"/>
        </w:rPr>
        <w:t xml:space="preserve">5 </w:t>
      </w:r>
      <w:r w:rsidR="00EA1C2F">
        <w:rPr>
          <w:rFonts w:ascii="Garamond" w:hAnsi="Garamond"/>
          <w:color w:val="222222"/>
        </w:rPr>
        <w:t xml:space="preserve">clinics on the Jigawa list were included to ensure a sufficient number of these clinics were included in the overall </w:t>
      </w:r>
      <w:r w:rsidR="008962FD">
        <w:rPr>
          <w:rFonts w:ascii="Garamond" w:hAnsi="Garamond"/>
          <w:color w:val="222222"/>
        </w:rPr>
        <w:t>study</w:t>
      </w:r>
      <w:r>
        <w:rPr>
          <w:rFonts w:ascii="Garamond" w:hAnsi="Garamond"/>
          <w:color w:val="222222"/>
        </w:rPr>
        <w:t xml:space="preserve"> for New Incentives to learn about operating at these marginal clinic types</w:t>
      </w:r>
      <w:r w:rsidR="00EA1C2F">
        <w:rPr>
          <w:rFonts w:ascii="Garamond" w:hAnsi="Garamond"/>
          <w:color w:val="222222"/>
        </w:rPr>
        <w:t>.</w:t>
      </w:r>
      <w:r w:rsidR="005A199A">
        <w:rPr>
          <w:rStyle w:val="FootnoteReference"/>
          <w:rFonts w:ascii="Garamond" w:hAnsi="Garamond"/>
          <w:color w:val="222222"/>
        </w:rPr>
        <w:footnoteReference w:id="77"/>
      </w:r>
      <w:r w:rsidR="00EA1C2F">
        <w:rPr>
          <w:rFonts w:ascii="Garamond" w:hAnsi="Garamond"/>
          <w:color w:val="222222"/>
        </w:rPr>
        <w:t xml:space="preserve"> </w:t>
      </w:r>
    </w:p>
    <w:p w14:paraId="274EF1E8" w14:textId="77777777" w:rsidR="00EA1C2F" w:rsidRDefault="00EA1C2F" w:rsidP="00F9661A">
      <w:pPr>
        <w:pStyle w:val="Normal1"/>
        <w:spacing w:line="259" w:lineRule="auto"/>
        <w:jc w:val="both"/>
        <w:rPr>
          <w:rFonts w:ascii="Garamond" w:hAnsi="Garamond"/>
          <w:color w:val="222222"/>
        </w:rPr>
      </w:pPr>
    </w:p>
    <w:p w14:paraId="7E26856D" w14:textId="7E72C6E6" w:rsidR="00EA1C2F" w:rsidRPr="00FB5C2B" w:rsidRDefault="0005630A" w:rsidP="00FB5C2B">
      <w:pPr>
        <w:jc w:val="center"/>
        <w:rPr>
          <w:rFonts w:ascii="Garamond" w:hAnsi="Garamond"/>
          <w:b/>
          <w:color w:val="222222"/>
        </w:rPr>
      </w:pPr>
      <w:r w:rsidRPr="00FB5C2B">
        <w:rPr>
          <w:rFonts w:ascii="Garamond" w:hAnsi="Garamond"/>
          <w:b/>
        </w:rPr>
        <w:t xml:space="preserve">Table </w:t>
      </w:r>
      <w:r w:rsidR="008D5948">
        <w:rPr>
          <w:rFonts w:ascii="Garamond" w:hAnsi="Garamond"/>
          <w:b/>
        </w:rPr>
        <w:t>3</w:t>
      </w:r>
      <w:r w:rsidRPr="00FB5C2B">
        <w:rPr>
          <w:rFonts w:ascii="Garamond" w:hAnsi="Garamond"/>
          <w:b/>
        </w:rPr>
        <w:t xml:space="preserve">: </w:t>
      </w:r>
      <w:r w:rsidR="00EA1C2F" w:rsidRPr="00FB5C2B">
        <w:rPr>
          <w:rFonts w:ascii="Garamond" w:hAnsi="Garamond"/>
          <w:b/>
        </w:rPr>
        <w:t>Summary of Clinics in Katsina and Zamfara by Category</w:t>
      </w:r>
    </w:p>
    <w:tbl>
      <w:tblPr>
        <w:tblpPr w:leftFromText="180" w:rightFromText="180" w:bottomFromText="160" w:vertAnchor="text" w:horzAnchor="margin" w:tblpY="71"/>
        <w:tblW w:w="9340" w:type="dxa"/>
        <w:tblCellMar>
          <w:left w:w="0" w:type="dxa"/>
          <w:right w:w="0" w:type="dxa"/>
        </w:tblCellMar>
        <w:tblLook w:val="0600" w:firstRow="0" w:lastRow="0" w:firstColumn="0" w:lastColumn="0" w:noHBand="1" w:noVBand="1"/>
      </w:tblPr>
      <w:tblGrid>
        <w:gridCol w:w="2017"/>
        <w:gridCol w:w="1118"/>
        <w:gridCol w:w="1091"/>
        <w:gridCol w:w="1207"/>
        <w:gridCol w:w="929"/>
        <w:gridCol w:w="1013"/>
        <w:gridCol w:w="21"/>
        <w:gridCol w:w="967"/>
        <w:gridCol w:w="18"/>
        <w:gridCol w:w="959"/>
      </w:tblGrid>
      <w:tr w:rsidR="005A199A" w14:paraId="390CC8D3" w14:textId="77777777" w:rsidTr="008B2047">
        <w:trPr>
          <w:trHeight w:val="919"/>
        </w:trPr>
        <w:tc>
          <w:tcPr>
            <w:tcW w:w="2017" w:type="dxa"/>
            <w:vMerge w:val="restart"/>
            <w:tcBorders>
              <w:top w:val="single" w:sz="8" w:space="0" w:color="FFFFFF"/>
              <w:left w:val="single" w:sz="8" w:space="0" w:color="FFFFFF"/>
              <w:bottom w:val="single" w:sz="8" w:space="0" w:color="FFFFFF"/>
              <w:right w:val="single" w:sz="8" w:space="0" w:color="FFFFFF"/>
            </w:tcBorders>
            <w:shd w:val="clear" w:color="auto" w:fill="004C70"/>
            <w:tcMar>
              <w:top w:w="10" w:type="dxa"/>
              <w:left w:w="10" w:type="dxa"/>
              <w:bottom w:w="0" w:type="dxa"/>
              <w:right w:w="10" w:type="dxa"/>
            </w:tcMar>
            <w:vAlign w:val="center"/>
            <w:hideMark/>
          </w:tcPr>
          <w:p w14:paraId="1FDD76C9"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b/>
                <w:bCs/>
                <w:color w:val="FFFFFF"/>
                <w:kern w:val="24"/>
                <w:lang w:eastAsia="zh-CN"/>
              </w:rPr>
              <w:t>Exclusion Category</w:t>
            </w:r>
          </w:p>
        </w:tc>
        <w:tc>
          <w:tcPr>
            <w:tcW w:w="3416" w:type="dxa"/>
            <w:gridSpan w:val="3"/>
            <w:tcBorders>
              <w:top w:val="single" w:sz="8" w:space="0" w:color="FFFFFF"/>
              <w:left w:val="single" w:sz="8" w:space="0" w:color="FFFFFF"/>
              <w:bottom w:val="single" w:sz="8" w:space="0" w:color="FFFFFF"/>
              <w:right w:val="single" w:sz="8" w:space="0" w:color="FFFFFF"/>
            </w:tcBorders>
            <w:shd w:val="clear" w:color="auto" w:fill="004C70"/>
            <w:tcMar>
              <w:top w:w="10" w:type="dxa"/>
              <w:left w:w="10" w:type="dxa"/>
              <w:bottom w:w="0" w:type="dxa"/>
              <w:right w:w="10" w:type="dxa"/>
            </w:tcMar>
            <w:vAlign w:val="center"/>
            <w:hideMark/>
          </w:tcPr>
          <w:p w14:paraId="0E22B106"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b/>
                <w:bCs/>
                <w:color w:val="FFFFFF"/>
                <w:kern w:val="24"/>
                <w:lang w:eastAsia="zh-CN"/>
              </w:rPr>
              <w:t>Clinics for Baseline</w:t>
            </w:r>
          </w:p>
        </w:tc>
        <w:tc>
          <w:tcPr>
            <w:tcW w:w="3907" w:type="dxa"/>
            <w:gridSpan w:val="6"/>
            <w:tcBorders>
              <w:top w:val="single" w:sz="8" w:space="0" w:color="FFFFFF"/>
              <w:left w:val="single" w:sz="8" w:space="0" w:color="FFFFFF"/>
              <w:bottom w:val="single" w:sz="8" w:space="0" w:color="FFFFFF"/>
              <w:right w:val="single" w:sz="8" w:space="0" w:color="FFFFFF"/>
            </w:tcBorders>
            <w:shd w:val="clear" w:color="auto" w:fill="004C70"/>
            <w:vAlign w:val="center"/>
            <w:hideMark/>
          </w:tcPr>
          <w:p w14:paraId="63EDE8E7" w14:textId="77777777" w:rsidR="005A199A" w:rsidRDefault="005A199A" w:rsidP="000979DF">
            <w:pPr>
              <w:spacing w:line="256" w:lineRule="auto"/>
              <w:jc w:val="center"/>
              <w:textAlignment w:val="bottom"/>
              <w:rPr>
                <w:rFonts w:ascii="Garamond" w:eastAsia="Times New Roman" w:hAnsi="Garamond"/>
                <w:b/>
                <w:bCs/>
                <w:color w:val="FFFFFF"/>
                <w:kern w:val="24"/>
                <w:lang w:eastAsia="zh-CN"/>
              </w:rPr>
            </w:pPr>
            <w:r>
              <w:rPr>
                <w:rFonts w:ascii="Garamond" w:eastAsia="Times New Roman" w:hAnsi="Garamond"/>
                <w:b/>
                <w:bCs/>
                <w:color w:val="FFFFFF"/>
                <w:kern w:val="24"/>
                <w:lang w:eastAsia="zh-CN"/>
              </w:rPr>
              <w:t>Randomized Clinics</w:t>
            </w:r>
          </w:p>
        </w:tc>
      </w:tr>
      <w:tr w:rsidR="008B2047" w14:paraId="03BF16CF" w14:textId="77777777" w:rsidTr="008B2047">
        <w:trPr>
          <w:trHeight w:val="462"/>
        </w:trPr>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3A811780" w14:textId="77777777" w:rsidR="005A199A" w:rsidRDefault="005A199A" w:rsidP="000979DF">
            <w:pPr>
              <w:spacing w:line="256" w:lineRule="auto"/>
              <w:rPr>
                <w:rFonts w:eastAsia="Times New Roman"/>
                <w:lang w:eastAsia="zh-CN"/>
              </w:rPr>
            </w:pPr>
          </w:p>
        </w:tc>
        <w:tc>
          <w:tcPr>
            <w:tcW w:w="1118" w:type="dxa"/>
            <w:tcBorders>
              <w:top w:val="single" w:sz="8" w:space="0" w:color="FFFFFF"/>
              <w:left w:val="single" w:sz="8" w:space="0" w:color="FFFFFF"/>
              <w:bottom w:val="single" w:sz="8" w:space="0" w:color="FFFFFF"/>
              <w:right w:val="single" w:sz="8" w:space="0" w:color="FFFFFF"/>
            </w:tcBorders>
            <w:shd w:val="clear" w:color="auto" w:fill="004C70"/>
            <w:tcMar>
              <w:top w:w="10" w:type="dxa"/>
              <w:left w:w="10" w:type="dxa"/>
              <w:bottom w:w="0" w:type="dxa"/>
              <w:right w:w="10" w:type="dxa"/>
            </w:tcMar>
            <w:vAlign w:val="bottom"/>
            <w:hideMark/>
          </w:tcPr>
          <w:p w14:paraId="056F62F8"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b/>
                <w:bCs/>
                <w:color w:val="FFFFFF"/>
                <w:kern w:val="24"/>
                <w:lang w:eastAsia="zh-CN"/>
              </w:rPr>
              <w:t>Katsina</w:t>
            </w:r>
          </w:p>
        </w:tc>
        <w:tc>
          <w:tcPr>
            <w:tcW w:w="1091" w:type="dxa"/>
            <w:tcBorders>
              <w:top w:val="single" w:sz="8" w:space="0" w:color="FFFFFF"/>
              <w:left w:val="single" w:sz="8" w:space="0" w:color="FFFFFF"/>
              <w:bottom w:val="single" w:sz="8" w:space="0" w:color="FFFFFF"/>
              <w:right w:val="single" w:sz="8" w:space="0" w:color="FFFFFF"/>
            </w:tcBorders>
            <w:shd w:val="clear" w:color="auto" w:fill="004C70"/>
            <w:tcMar>
              <w:top w:w="10" w:type="dxa"/>
              <w:left w:w="10" w:type="dxa"/>
              <w:bottom w:w="0" w:type="dxa"/>
              <w:right w:w="10" w:type="dxa"/>
            </w:tcMar>
            <w:vAlign w:val="bottom"/>
            <w:hideMark/>
          </w:tcPr>
          <w:p w14:paraId="1D3472ED"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b/>
                <w:bCs/>
                <w:color w:val="FFFFFF"/>
                <w:kern w:val="24"/>
                <w:lang w:eastAsia="zh-CN"/>
              </w:rPr>
              <w:t>Zamfara</w:t>
            </w:r>
          </w:p>
        </w:tc>
        <w:tc>
          <w:tcPr>
            <w:tcW w:w="1207" w:type="dxa"/>
            <w:tcBorders>
              <w:top w:val="single" w:sz="8" w:space="0" w:color="FFFFFF"/>
              <w:left w:val="single" w:sz="8" w:space="0" w:color="FFFFFF"/>
              <w:bottom w:val="single" w:sz="8" w:space="0" w:color="FFFFFF"/>
              <w:right w:val="single" w:sz="8" w:space="0" w:color="FFFFFF"/>
            </w:tcBorders>
            <w:shd w:val="clear" w:color="auto" w:fill="004C70"/>
            <w:tcMar>
              <w:top w:w="10" w:type="dxa"/>
              <w:left w:w="10" w:type="dxa"/>
              <w:bottom w:w="0" w:type="dxa"/>
              <w:right w:w="10" w:type="dxa"/>
            </w:tcMar>
            <w:vAlign w:val="bottom"/>
            <w:hideMark/>
          </w:tcPr>
          <w:p w14:paraId="0029B5BC"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b/>
                <w:bCs/>
                <w:color w:val="FFFFFF"/>
                <w:kern w:val="24"/>
                <w:lang w:eastAsia="zh-CN"/>
              </w:rPr>
              <w:t>Total</w:t>
            </w:r>
          </w:p>
        </w:tc>
        <w:tc>
          <w:tcPr>
            <w:tcW w:w="929" w:type="dxa"/>
            <w:tcBorders>
              <w:top w:val="single" w:sz="8" w:space="0" w:color="FFFFFF"/>
              <w:left w:val="single" w:sz="8" w:space="0" w:color="FFFFFF"/>
              <w:bottom w:val="single" w:sz="8" w:space="0" w:color="FFFFFF" w:themeColor="background1"/>
              <w:right w:val="single" w:sz="8" w:space="0" w:color="FFFFFF"/>
            </w:tcBorders>
            <w:shd w:val="clear" w:color="auto" w:fill="004C70"/>
            <w:vAlign w:val="bottom"/>
            <w:hideMark/>
          </w:tcPr>
          <w:p w14:paraId="5B2D9349" w14:textId="77777777" w:rsidR="005A199A" w:rsidRDefault="005A199A" w:rsidP="000979DF">
            <w:pPr>
              <w:spacing w:line="256" w:lineRule="auto"/>
              <w:jc w:val="center"/>
              <w:textAlignment w:val="bottom"/>
              <w:rPr>
                <w:rFonts w:ascii="Garamond" w:eastAsia="Times New Roman" w:hAnsi="Garamond"/>
                <w:b/>
                <w:bCs/>
                <w:color w:val="FFFFFF"/>
                <w:kern w:val="24"/>
                <w:lang w:eastAsia="zh-CN"/>
              </w:rPr>
            </w:pPr>
            <w:r>
              <w:rPr>
                <w:rFonts w:ascii="Garamond" w:eastAsia="Times New Roman" w:hAnsi="Garamond"/>
                <w:b/>
                <w:bCs/>
                <w:color w:val="FFFFFF"/>
                <w:kern w:val="24"/>
                <w:lang w:eastAsia="zh-CN"/>
              </w:rPr>
              <w:t>Katsina</w:t>
            </w:r>
          </w:p>
        </w:tc>
        <w:tc>
          <w:tcPr>
            <w:tcW w:w="1034" w:type="dxa"/>
            <w:gridSpan w:val="2"/>
            <w:tcBorders>
              <w:top w:val="single" w:sz="8" w:space="0" w:color="FFFFFF"/>
              <w:left w:val="single" w:sz="8" w:space="0" w:color="FFFFFF"/>
              <w:bottom w:val="single" w:sz="8" w:space="0" w:color="FFFFFF" w:themeColor="background1"/>
              <w:right w:val="single" w:sz="8" w:space="0" w:color="FFFFFF"/>
            </w:tcBorders>
            <w:shd w:val="clear" w:color="auto" w:fill="004C70"/>
            <w:vAlign w:val="bottom"/>
            <w:hideMark/>
          </w:tcPr>
          <w:p w14:paraId="7E7834E1" w14:textId="77777777" w:rsidR="005A199A" w:rsidRDefault="005A199A" w:rsidP="000979DF">
            <w:pPr>
              <w:spacing w:line="256" w:lineRule="auto"/>
              <w:jc w:val="center"/>
              <w:textAlignment w:val="bottom"/>
              <w:rPr>
                <w:rFonts w:ascii="Garamond" w:eastAsia="Times New Roman" w:hAnsi="Garamond"/>
                <w:b/>
                <w:bCs/>
                <w:color w:val="FFFFFF"/>
                <w:kern w:val="24"/>
                <w:lang w:eastAsia="zh-CN"/>
              </w:rPr>
            </w:pPr>
            <w:r>
              <w:rPr>
                <w:rFonts w:ascii="Garamond" w:eastAsia="Times New Roman" w:hAnsi="Garamond"/>
                <w:b/>
                <w:bCs/>
                <w:color w:val="FFFFFF"/>
                <w:kern w:val="24"/>
                <w:lang w:eastAsia="zh-CN"/>
              </w:rPr>
              <w:t>Zamfara</w:t>
            </w:r>
          </w:p>
        </w:tc>
        <w:tc>
          <w:tcPr>
            <w:tcW w:w="985" w:type="dxa"/>
            <w:gridSpan w:val="2"/>
            <w:tcBorders>
              <w:top w:val="single" w:sz="8" w:space="0" w:color="FFFFFF"/>
              <w:left w:val="single" w:sz="8" w:space="0" w:color="FFFFFF"/>
              <w:bottom w:val="single" w:sz="8" w:space="0" w:color="FFFFFF" w:themeColor="background1"/>
              <w:right w:val="single" w:sz="8" w:space="0" w:color="FFFFFF"/>
            </w:tcBorders>
            <w:shd w:val="clear" w:color="auto" w:fill="004C70"/>
            <w:vAlign w:val="bottom"/>
            <w:hideMark/>
          </w:tcPr>
          <w:p w14:paraId="64919066" w14:textId="77777777" w:rsidR="005A199A" w:rsidRDefault="005A199A" w:rsidP="000979DF">
            <w:pPr>
              <w:spacing w:line="256" w:lineRule="auto"/>
              <w:jc w:val="center"/>
              <w:textAlignment w:val="bottom"/>
              <w:rPr>
                <w:rFonts w:ascii="Garamond" w:eastAsia="Times New Roman" w:hAnsi="Garamond"/>
                <w:b/>
                <w:bCs/>
                <w:color w:val="FFFFFF"/>
                <w:kern w:val="24"/>
                <w:lang w:eastAsia="zh-CN"/>
              </w:rPr>
            </w:pPr>
            <w:r>
              <w:rPr>
                <w:rFonts w:ascii="Garamond" w:eastAsia="Times New Roman" w:hAnsi="Garamond"/>
                <w:b/>
                <w:bCs/>
                <w:color w:val="FFFFFF"/>
                <w:kern w:val="24"/>
                <w:lang w:eastAsia="zh-CN"/>
              </w:rPr>
              <w:t>Jigawa</w:t>
            </w:r>
          </w:p>
        </w:tc>
        <w:tc>
          <w:tcPr>
            <w:tcW w:w="959" w:type="dxa"/>
            <w:tcBorders>
              <w:top w:val="single" w:sz="8" w:space="0" w:color="FFFFFF"/>
              <w:left w:val="single" w:sz="8" w:space="0" w:color="FFFFFF"/>
              <w:bottom w:val="single" w:sz="8" w:space="0" w:color="FFFFFF" w:themeColor="background1"/>
              <w:right w:val="single" w:sz="8" w:space="0" w:color="FFFFFF"/>
            </w:tcBorders>
            <w:shd w:val="clear" w:color="auto" w:fill="004C70"/>
            <w:vAlign w:val="bottom"/>
            <w:hideMark/>
          </w:tcPr>
          <w:p w14:paraId="3F5D9237" w14:textId="77777777" w:rsidR="005A199A" w:rsidRDefault="005A199A" w:rsidP="000979DF">
            <w:pPr>
              <w:spacing w:line="256" w:lineRule="auto"/>
              <w:jc w:val="center"/>
              <w:textAlignment w:val="bottom"/>
              <w:rPr>
                <w:rFonts w:ascii="Garamond" w:eastAsia="Times New Roman" w:hAnsi="Garamond"/>
                <w:b/>
                <w:bCs/>
                <w:color w:val="FFFFFF"/>
                <w:kern w:val="24"/>
                <w:lang w:eastAsia="zh-CN"/>
              </w:rPr>
            </w:pPr>
            <w:r>
              <w:rPr>
                <w:rFonts w:ascii="Garamond" w:eastAsia="Times New Roman" w:hAnsi="Garamond"/>
                <w:b/>
                <w:bCs/>
                <w:color w:val="FFFFFF"/>
                <w:kern w:val="24"/>
                <w:lang w:eastAsia="zh-CN"/>
              </w:rPr>
              <w:t>Total</w:t>
            </w:r>
          </w:p>
        </w:tc>
      </w:tr>
      <w:tr w:rsidR="008B2047" w14:paraId="5762F21C" w14:textId="77777777" w:rsidTr="008B2047">
        <w:trPr>
          <w:trHeight w:val="469"/>
        </w:trPr>
        <w:tc>
          <w:tcPr>
            <w:tcW w:w="2017" w:type="dxa"/>
            <w:tcBorders>
              <w:top w:val="single" w:sz="8" w:space="0" w:color="FFFFFF"/>
              <w:left w:val="single" w:sz="8" w:space="0" w:color="FFFFFF"/>
              <w:bottom w:val="single" w:sz="8" w:space="0" w:color="FFFFFF"/>
              <w:right w:val="single" w:sz="8" w:space="0" w:color="FFFFFF"/>
            </w:tcBorders>
            <w:shd w:val="clear" w:color="auto" w:fill="CBD0D5"/>
            <w:tcMar>
              <w:top w:w="10" w:type="dxa"/>
              <w:left w:w="10" w:type="dxa"/>
              <w:bottom w:w="0" w:type="dxa"/>
              <w:right w:w="10" w:type="dxa"/>
            </w:tcMar>
            <w:vAlign w:val="bottom"/>
            <w:hideMark/>
          </w:tcPr>
          <w:p w14:paraId="54DAB9F9"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3C393A"/>
                <w:kern w:val="24"/>
                <w:lang w:eastAsia="zh-CN"/>
              </w:rPr>
              <w:t>Categories Yes and 2</w:t>
            </w:r>
          </w:p>
        </w:tc>
        <w:tc>
          <w:tcPr>
            <w:tcW w:w="1118" w:type="dxa"/>
            <w:tcBorders>
              <w:top w:val="single" w:sz="8" w:space="0" w:color="FFFFFF"/>
              <w:left w:val="single" w:sz="8" w:space="0" w:color="FFFFFF"/>
              <w:bottom w:val="single" w:sz="8" w:space="0" w:color="FFFFFF"/>
              <w:right w:val="single" w:sz="8" w:space="0" w:color="FFFFFF"/>
            </w:tcBorders>
            <w:shd w:val="clear" w:color="auto" w:fill="CBD0D5"/>
            <w:tcMar>
              <w:top w:w="10" w:type="dxa"/>
              <w:left w:w="10" w:type="dxa"/>
              <w:bottom w:w="0" w:type="dxa"/>
              <w:right w:w="10" w:type="dxa"/>
            </w:tcMar>
            <w:vAlign w:val="center"/>
            <w:hideMark/>
          </w:tcPr>
          <w:p w14:paraId="661D56D4"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34</w:t>
            </w:r>
          </w:p>
        </w:tc>
        <w:tc>
          <w:tcPr>
            <w:tcW w:w="1091" w:type="dxa"/>
            <w:tcBorders>
              <w:top w:val="single" w:sz="8" w:space="0" w:color="FFFFFF"/>
              <w:left w:val="single" w:sz="8" w:space="0" w:color="FFFFFF"/>
              <w:bottom w:val="single" w:sz="8" w:space="0" w:color="FFFFFF"/>
              <w:right w:val="single" w:sz="8" w:space="0" w:color="FFFFFF"/>
            </w:tcBorders>
            <w:shd w:val="clear" w:color="auto" w:fill="CBD0D5"/>
            <w:tcMar>
              <w:top w:w="10" w:type="dxa"/>
              <w:left w:w="10" w:type="dxa"/>
              <w:bottom w:w="0" w:type="dxa"/>
              <w:right w:w="10" w:type="dxa"/>
            </w:tcMar>
            <w:vAlign w:val="center"/>
            <w:hideMark/>
          </w:tcPr>
          <w:p w14:paraId="0E98E6E6"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35</w:t>
            </w:r>
          </w:p>
        </w:tc>
        <w:tc>
          <w:tcPr>
            <w:tcW w:w="1207" w:type="dxa"/>
            <w:tcBorders>
              <w:top w:val="single" w:sz="8" w:space="0" w:color="FFFFFF"/>
              <w:left w:val="single" w:sz="8" w:space="0" w:color="FFFFFF"/>
              <w:bottom w:val="single" w:sz="8" w:space="0" w:color="FFFFFF"/>
              <w:right w:val="single" w:sz="8" w:space="0" w:color="FFFFFF" w:themeColor="background1"/>
            </w:tcBorders>
            <w:shd w:val="clear" w:color="auto" w:fill="FCDBAB"/>
            <w:tcMar>
              <w:top w:w="10" w:type="dxa"/>
              <w:left w:w="10" w:type="dxa"/>
              <w:bottom w:w="0" w:type="dxa"/>
              <w:right w:w="10" w:type="dxa"/>
            </w:tcMar>
            <w:vAlign w:val="center"/>
            <w:hideMark/>
          </w:tcPr>
          <w:p w14:paraId="1ADEBDE7"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69</w:t>
            </w:r>
          </w:p>
        </w:tc>
        <w:tc>
          <w:tcPr>
            <w:tcW w:w="92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D0D5"/>
            <w:vAlign w:val="center"/>
          </w:tcPr>
          <w:p w14:paraId="6E28112B"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33</w:t>
            </w:r>
          </w:p>
        </w:tc>
        <w:tc>
          <w:tcPr>
            <w:tcW w:w="1034"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D0D5"/>
            <w:vAlign w:val="center"/>
          </w:tcPr>
          <w:p w14:paraId="12279F0D"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29</w:t>
            </w:r>
          </w:p>
        </w:tc>
        <w:tc>
          <w:tcPr>
            <w:tcW w:w="985"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D0D5"/>
            <w:vAlign w:val="center"/>
            <w:hideMark/>
          </w:tcPr>
          <w:p w14:paraId="150D7617"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32</w:t>
            </w:r>
          </w:p>
        </w:tc>
        <w:tc>
          <w:tcPr>
            <w:tcW w:w="9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DBAB"/>
            <w:vAlign w:val="center"/>
          </w:tcPr>
          <w:p w14:paraId="407804F5"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94</w:t>
            </w:r>
          </w:p>
        </w:tc>
      </w:tr>
      <w:tr w:rsidR="008B2047" w14:paraId="0EFA434C" w14:textId="77777777" w:rsidTr="008B2047">
        <w:trPr>
          <w:trHeight w:val="392"/>
        </w:trPr>
        <w:tc>
          <w:tcPr>
            <w:tcW w:w="2017" w:type="dxa"/>
            <w:tcBorders>
              <w:top w:val="single" w:sz="8" w:space="0" w:color="FFFFFF"/>
              <w:left w:val="single" w:sz="8" w:space="0" w:color="FFFFFF"/>
              <w:bottom w:val="single" w:sz="8" w:space="0" w:color="FFFFFF"/>
              <w:right w:val="single" w:sz="8" w:space="0" w:color="FFFFFF"/>
            </w:tcBorders>
            <w:shd w:val="clear" w:color="auto" w:fill="E7E9EB"/>
            <w:tcMar>
              <w:top w:w="10" w:type="dxa"/>
              <w:left w:w="10" w:type="dxa"/>
              <w:bottom w:w="0" w:type="dxa"/>
              <w:right w:w="10" w:type="dxa"/>
            </w:tcMar>
            <w:vAlign w:val="bottom"/>
            <w:hideMark/>
          </w:tcPr>
          <w:p w14:paraId="09EF047A"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3C393A"/>
                <w:kern w:val="24"/>
                <w:lang w:eastAsia="zh-CN"/>
              </w:rPr>
              <w:t>Category 3</w:t>
            </w:r>
          </w:p>
        </w:tc>
        <w:tc>
          <w:tcPr>
            <w:tcW w:w="1118" w:type="dxa"/>
            <w:tcBorders>
              <w:top w:val="single" w:sz="8" w:space="0" w:color="FFFFFF"/>
              <w:left w:val="single" w:sz="8" w:space="0" w:color="FFFFFF"/>
              <w:bottom w:val="single" w:sz="8" w:space="0" w:color="FFFFFF"/>
              <w:right w:val="single" w:sz="8" w:space="0" w:color="FFFFFF"/>
            </w:tcBorders>
            <w:shd w:val="clear" w:color="auto" w:fill="E7E9EB"/>
            <w:tcMar>
              <w:top w:w="10" w:type="dxa"/>
              <w:left w:w="10" w:type="dxa"/>
              <w:bottom w:w="0" w:type="dxa"/>
              <w:right w:w="10" w:type="dxa"/>
            </w:tcMar>
            <w:vAlign w:val="center"/>
            <w:hideMark/>
          </w:tcPr>
          <w:p w14:paraId="318B69CE"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34</w:t>
            </w:r>
          </w:p>
        </w:tc>
        <w:tc>
          <w:tcPr>
            <w:tcW w:w="1091" w:type="dxa"/>
            <w:tcBorders>
              <w:top w:val="single" w:sz="8" w:space="0" w:color="FFFFFF"/>
              <w:left w:val="single" w:sz="8" w:space="0" w:color="FFFFFF"/>
              <w:bottom w:val="single" w:sz="8" w:space="0" w:color="FFFFFF"/>
              <w:right w:val="single" w:sz="8" w:space="0" w:color="FFFFFF"/>
            </w:tcBorders>
            <w:shd w:val="clear" w:color="auto" w:fill="E7E9EB"/>
            <w:tcMar>
              <w:top w:w="10" w:type="dxa"/>
              <w:left w:w="10" w:type="dxa"/>
              <w:bottom w:w="0" w:type="dxa"/>
              <w:right w:w="10" w:type="dxa"/>
            </w:tcMar>
            <w:vAlign w:val="center"/>
            <w:hideMark/>
          </w:tcPr>
          <w:p w14:paraId="4C66C120"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21</w:t>
            </w:r>
          </w:p>
        </w:tc>
        <w:tc>
          <w:tcPr>
            <w:tcW w:w="1207" w:type="dxa"/>
            <w:tcBorders>
              <w:top w:val="single" w:sz="8" w:space="0" w:color="FFFFFF"/>
              <w:left w:val="single" w:sz="8" w:space="0" w:color="FFFFFF"/>
              <w:bottom w:val="single" w:sz="8" w:space="0" w:color="FFFFFF"/>
              <w:right w:val="single" w:sz="8" w:space="0" w:color="FFFFFF" w:themeColor="background1"/>
            </w:tcBorders>
            <w:shd w:val="clear" w:color="auto" w:fill="FDEDD5"/>
            <w:tcMar>
              <w:top w:w="10" w:type="dxa"/>
              <w:left w:w="10" w:type="dxa"/>
              <w:bottom w:w="0" w:type="dxa"/>
              <w:right w:w="10" w:type="dxa"/>
            </w:tcMar>
            <w:vAlign w:val="center"/>
            <w:hideMark/>
          </w:tcPr>
          <w:p w14:paraId="1D0BD8CC"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55</w:t>
            </w:r>
          </w:p>
        </w:tc>
        <w:tc>
          <w:tcPr>
            <w:tcW w:w="92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9EB"/>
            <w:vAlign w:val="center"/>
          </w:tcPr>
          <w:p w14:paraId="6A88BA5C"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31</w:t>
            </w:r>
          </w:p>
        </w:tc>
        <w:tc>
          <w:tcPr>
            <w:tcW w:w="1034"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9EB"/>
            <w:vAlign w:val="center"/>
          </w:tcPr>
          <w:p w14:paraId="1A625ABA"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13</w:t>
            </w:r>
          </w:p>
        </w:tc>
        <w:tc>
          <w:tcPr>
            <w:tcW w:w="985"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9EB"/>
            <w:vAlign w:val="center"/>
            <w:hideMark/>
          </w:tcPr>
          <w:p w14:paraId="4A3F5C59"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13</w:t>
            </w:r>
          </w:p>
        </w:tc>
        <w:tc>
          <w:tcPr>
            <w:tcW w:w="9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DD4"/>
            <w:vAlign w:val="center"/>
          </w:tcPr>
          <w:p w14:paraId="7BC6A6CF"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57</w:t>
            </w:r>
          </w:p>
        </w:tc>
      </w:tr>
      <w:tr w:rsidR="008B2047" w14:paraId="13F27BC2" w14:textId="77777777" w:rsidTr="008B2047">
        <w:trPr>
          <w:trHeight w:val="460"/>
        </w:trPr>
        <w:tc>
          <w:tcPr>
            <w:tcW w:w="2017" w:type="dxa"/>
            <w:tcBorders>
              <w:top w:val="single" w:sz="8" w:space="0" w:color="FFFFFF"/>
              <w:left w:val="single" w:sz="8" w:space="0" w:color="FFFFFF"/>
              <w:bottom w:val="single" w:sz="8" w:space="0" w:color="FFFFFF"/>
              <w:right w:val="single" w:sz="8" w:space="0" w:color="FFFFFF"/>
            </w:tcBorders>
            <w:shd w:val="clear" w:color="auto" w:fill="CBD0D5"/>
            <w:tcMar>
              <w:top w:w="10" w:type="dxa"/>
              <w:left w:w="10" w:type="dxa"/>
              <w:bottom w:w="0" w:type="dxa"/>
              <w:right w:w="10" w:type="dxa"/>
            </w:tcMar>
            <w:vAlign w:val="bottom"/>
            <w:hideMark/>
          </w:tcPr>
          <w:p w14:paraId="31F463E5"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3C393A"/>
                <w:kern w:val="24"/>
                <w:lang w:eastAsia="zh-CN"/>
              </w:rPr>
              <w:t>Category 4</w:t>
            </w:r>
          </w:p>
        </w:tc>
        <w:tc>
          <w:tcPr>
            <w:tcW w:w="1118" w:type="dxa"/>
            <w:tcBorders>
              <w:top w:val="single" w:sz="8" w:space="0" w:color="FFFFFF"/>
              <w:left w:val="single" w:sz="8" w:space="0" w:color="FFFFFF"/>
              <w:bottom w:val="single" w:sz="8" w:space="0" w:color="FFFFFF"/>
              <w:right w:val="single" w:sz="8" w:space="0" w:color="FFFFFF"/>
            </w:tcBorders>
            <w:shd w:val="clear" w:color="auto" w:fill="CBD0D5"/>
            <w:tcMar>
              <w:top w:w="10" w:type="dxa"/>
              <w:left w:w="10" w:type="dxa"/>
              <w:bottom w:w="0" w:type="dxa"/>
              <w:right w:w="10" w:type="dxa"/>
            </w:tcMar>
            <w:vAlign w:val="center"/>
            <w:hideMark/>
          </w:tcPr>
          <w:p w14:paraId="07A92542"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2</w:t>
            </w:r>
          </w:p>
        </w:tc>
        <w:tc>
          <w:tcPr>
            <w:tcW w:w="1091" w:type="dxa"/>
            <w:tcBorders>
              <w:top w:val="single" w:sz="8" w:space="0" w:color="FFFFFF"/>
              <w:left w:val="single" w:sz="8" w:space="0" w:color="FFFFFF"/>
              <w:bottom w:val="single" w:sz="8" w:space="0" w:color="FFFFFF"/>
              <w:right w:val="single" w:sz="8" w:space="0" w:color="FFFFFF"/>
            </w:tcBorders>
            <w:shd w:val="clear" w:color="auto" w:fill="CBD0D5"/>
            <w:tcMar>
              <w:top w:w="10" w:type="dxa"/>
              <w:left w:w="10" w:type="dxa"/>
              <w:bottom w:w="0" w:type="dxa"/>
              <w:right w:w="10" w:type="dxa"/>
            </w:tcMar>
            <w:vAlign w:val="center"/>
            <w:hideMark/>
          </w:tcPr>
          <w:p w14:paraId="7F06F903"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7</w:t>
            </w:r>
          </w:p>
        </w:tc>
        <w:tc>
          <w:tcPr>
            <w:tcW w:w="1207" w:type="dxa"/>
            <w:tcBorders>
              <w:top w:val="single" w:sz="8" w:space="0" w:color="FFFFFF"/>
              <w:left w:val="single" w:sz="8" w:space="0" w:color="FFFFFF"/>
              <w:bottom w:val="single" w:sz="8" w:space="0" w:color="FFFFFF"/>
              <w:right w:val="single" w:sz="8" w:space="0" w:color="FFFFFF" w:themeColor="background1"/>
            </w:tcBorders>
            <w:shd w:val="clear" w:color="auto" w:fill="FCDBAB"/>
            <w:tcMar>
              <w:top w:w="10" w:type="dxa"/>
              <w:left w:w="10" w:type="dxa"/>
              <w:bottom w:w="0" w:type="dxa"/>
              <w:right w:w="10" w:type="dxa"/>
            </w:tcMar>
            <w:vAlign w:val="center"/>
            <w:hideMark/>
          </w:tcPr>
          <w:p w14:paraId="498BF674"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9</w:t>
            </w:r>
          </w:p>
        </w:tc>
        <w:tc>
          <w:tcPr>
            <w:tcW w:w="92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D0D5"/>
            <w:vAlign w:val="center"/>
          </w:tcPr>
          <w:p w14:paraId="197A9E7A"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2</w:t>
            </w:r>
          </w:p>
        </w:tc>
        <w:tc>
          <w:tcPr>
            <w:tcW w:w="1034"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D0D5"/>
            <w:vAlign w:val="center"/>
          </w:tcPr>
          <w:p w14:paraId="101E7C19"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w:t>
            </w:r>
          </w:p>
        </w:tc>
        <w:tc>
          <w:tcPr>
            <w:tcW w:w="985"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D0D5"/>
            <w:vAlign w:val="center"/>
            <w:hideMark/>
          </w:tcPr>
          <w:p w14:paraId="7C8B9362"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7</w:t>
            </w:r>
          </w:p>
        </w:tc>
        <w:tc>
          <w:tcPr>
            <w:tcW w:w="9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DBAB"/>
            <w:vAlign w:val="center"/>
          </w:tcPr>
          <w:p w14:paraId="11A221AC" w14:textId="11288FE8" w:rsidR="005A199A" w:rsidRDefault="00EE3B9F"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10</w:t>
            </w:r>
          </w:p>
        </w:tc>
      </w:tr>
      <w:tr w:rsidR="008B2047" w14:paraId="7429994B" w14:textId="77777777" w:rsidTr="008B2047">
        <w:trPr>
          <w:trHeight w:val="460"/>
        </w:trPr>
        <w:tc>
          <w:tcPr>
            <w:tcW w:w="2017" w:type="dxa"/>
            <w:tcBorders>
              <w:top w:val="single" w:sz="8" w:space="0" w:color="FFFFFF"/>
              <w:left w:val="single" w:sz="8" w:space="0" w:color="FFFFFF"/>
              <w:bottom w:val="single" w:sz="8" w:space="0" w:color="FFFFFF"/>
              <w:right w:val="single" w:sz="8" w:space="0" w:color="FFFFFF"/>
            </w:tcBorders>
            <w:shd w:val="clear" w:color="auto" w:fill="E7E9EB"/>
            <w:tcMar>
              <w:top w:w="10" w:type="dxa"/>
              <w:left w:w="10" w:type="dxa"/>
              <w:bottom w:w="0" w:type="dxa"/>
              <w:right w:w="10" w:type="dxa"/>
            </w:tcMar>
            <w:vAlign w:val="bottom"/>
            <w:hideMark/>
          </w:tcPr>
          <w:p w14:paraId="588284C3"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3C393A"/>
                <w:kern w:val="24"/>
                <w:lang w:eastAsia="zh-CN"/>
              </w:rPr>
              <w:t>Category 5</w:t>
            </w:r>
          </w:p>
        </w:tc>
        <w:tc>
          <w:tcPr>
            <w:tcW w:w="1118" w:type="dxa"/>
            <w:tcBorders>
              <w:top w:val="single" w:sz="8" w:space="0" w:color="FFFFFF"/>
              <w:left w:val="single" w:sz="8" w:space="0" w:color="FFFFFF"/>
              <w:bottom w:val="single" w:sz="8" w:space="0" w:color="FFFFFF"/>
              <w:right w:val="single" w:sz="8" w:space="0" w:color="FFFFFF"/>
            </w:tcBorders>
            <w:shd w:val="clear" w:color="auto" w:fill="E7E9EB"/>
            <w:tcMar>
              <w:top w:w="10" w:type="dxa"/>
              <w:left w:w="10" w:type="dxa"/>
              <w:bottom w:w="0" w:type="dxa"/>
              <w:right w:w="10" w:type="dxa"/>
            </w:tcMar>
            <w:vAlign w:val="center"/>
            <w:hideMark/>
          </w:tcPr>
          <w:p w14:paraId="222C0B07"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3</w:t>
            </w:r>
          </w:p>
        </w:tc>
        <w:tc>
          <w:tcPr>
            <w:tcW w:w="1091"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0" w:type="dxa"/>
              <w:left w:w="10" w:type="dxa"/>
              <w:bottom w:w="0" w:type="dxa"/>
              <w:right w:w="10" w:type="dxa"/>
            </w:tcMar>
            <w:vAlign w:val="center"/>
            <w:hideMark/>
          </w:tcPr>
          <w:p w14:paraId="0EAFCB63"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3</w:t>
            </w:r>
          </w:p>
        </w:tc>
        <w:tc>
          <w:tcPr>
            <w:tcW w:w="1207" w:type="dxa"/>
            <w:tcBorders>
              <w:top w:val="single" w:sz="8" w:space="0" w:color="FFFFFF"/>
              <w:left w:val="single" w:sz="8" w:space="0" w:color="FFFFFF"/>
              <w:bottom w:val="single" w:sz="8" w:space="0" w:color="FFFFFF"/>
              <w:right w:val="single" w:sz="8" w:space="0" w:color="FFFFFF" w:themeColor="background1"/>
            </w:tcBorders>
            <w:shd w:val="clear" w:color="auto" w:fill="FDEDD5"/>
            <w:tcMar>
              <w:top w:w="10" w:type="dxa"/>
              <w:left w:w="10" w:type="dxa"/>
              <w:bottom w:w="0" w:type="dxa"/>
              <w:right w:w="10" w:type="dxa"/>
            </w:tcMar>
            <w:vAlign w:val="center"/>
            <w:hideMark/>
          </w:tcPr>
          <w:p w14:paraId="091A3F27"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6</w:t>
            </w:r>
          </w:p>
        </w:tc>
        <w:tc>
          <w:tcPr>
            <w:tcW w:w="92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9EB"/>
            <w:vAlign w:val="center"/>
          </w:tcPr>
          <w:p w14:paraId="4EF578C2"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3</w:t>
            </w:r>
          </w:p>
        </w:tc>
        <w:tc>
          <w:tcPr>
            <w:tcW w:w="1034"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9EB"/>
            <w:vAlign w:val="center"/>
          </w:tcPr>
          <w:p w14:paraId="3A269028"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w:t>
            </w:r>
          </w:p>
        </w:tc>
        <w:tc>
          <w:tcPr>
            <w:tcW w:w="985"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9EB"/>
            <w:vAlign w:val="center"/>
            <w:hideMark/>
          </w:tcPr>
          <w:p w14:paraId="747514A9"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10</w:t>
            </w:r>
          </w:p>
        </w:tc>
        <w:tc>
          <w:tcPr>
            <w:tcW w:w="9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DD5"/>
            <w:vAlign w:val="center"/>
          </w:tcPr>
          <w:p w14:paraId="4AA69832" w14:textId="1AB0EFC3" w:rsidR="005A199A" w:rsidRDefault="00EE3B9F"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14</w:t>
            </w:r>
          </w:p>
        </w:tc>
      </w:tr>
      <w:tr w:rsidR="008B2047" w14:paraId="6D60621D" w14:textId="77777777" w:rsidTr="008B2047">
        <w:trPr>
          <w:trHeight w:val="460"/>
        </w:trPr>
        <w:tc>
          <w:tcPr>
            <w:tcW w:w="2017" w:type="dxa"/>
            <w:tcBorders>
              <w:top w:val="single" w:sz="8" w:space="0" w:color="FFFFFF"/>
              <w:left w:val="single" w:sz="8" w:space="0" w:color="FFFFFF"/>
              <w:bottom w:val="single" w:sz="8" w:space="0" w:color="FFFFFF"/>
              <w:right w:val="single" w:sz="8" w:space="0" w:color="FFFFFF"/>
            </w:tcBorders>
            <w:shd w:val="clear" w:color="auto" w:fill="8C8688"/>
            <w:tcMar>
              <w:top w:w="10" w:type="dxa"/>
              <w:left w:w="10" w:type="dxa"/>
              <w:bottom w:w="0" w:type="dxa"/>
              <w:right w:w="10" w:type="dxa"/>
            </w:tcMar>
            <w:vAlign w:val="bottom"/>
            <w:hideMark/>
          </w:tcPr>
          <w:p w14:paraId="7AEAB7FF"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FFFFFF"/>
                <w:kern w:val="24"/>
                <w:lang w:eastAsia="zh-CN"/>
              </w:rPr>
              <w:t>Total Clinics</w:t>
            </w:r>
          </w:p>
        </w:tc>
        <w:tc>
          <w:tcPr>
            <w:tcW w:w="1118" w:type="dxa"/>
            <w:tcBorders>
              <w:top w:val="single" w:sz="8" w:space="0" w:color="FFFFFF"/>
              <w:left w:val="single" w:sz="8" w:space="0" w:color="FFFFFF"/>
              <w:bottom w:val="single" w:sz="8" w:space="0" w:color="FFFFFF"/>
              <w:right w:val="single" w:sz="8" w:space="0" w:color="FFFFFF"/>
            </w:tcBorders>
            <w:shd w:val="clear" w:color="auto" w:fill="8C8688"/>
            <w:tcMar>
              <w:top w:w="10" w:type="dxa"/>
              <w:left w:w="10" w:type="dxa"/>
              <w:bottom w:w="0" w:type="dxa"/>
              <w:right w:w="10" w:type="dxa"/>
            </w:tcMar>
            <w:vAlign w:val="center"/>
            <w:hideMark/>
          </w:tcPr>
          <w:p w14:paraId="19A1A541"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FFFFFF"/>
                <w:kern w:val="24"/>
                <w:lang w:eastAsia="zh-CN"/>
              </w:rPr>
              <w:t>73</w:t>
            </w:r>
          </w:p>
        </w:tc>
        <w:tc>
          <w:tcPr>
            <w:tcW w:w="1091" w:type="dxa"/>
            <w:tcBorders>
              <w:top w:val="single" w:sz="8" w:space="0" w:color="FFFFFF"/>
              <w:left w:val="single" w:sz="8" w:space="0" w:color="FFFFFF"/>
              <w:bottom w:val="single" w:sz="8" w:space="0" w:color="FFFFFF"/>
              <w:right w:val="single" w:sz="8" w:space="0" w:color="FFFFFF"/>
            </w:tcBorders>
            <w:shd w:val="clear" w:color="auto" w:fill="8C8688"/>
            <w:tcMar>
              <w:top w:w="10" w:type="dxa"/>
              <w:left w:w="10" w:type="dxa"/>
              <w:bottom w:w="0" w:type="dxa"/>
              <w:right w:w="10" w:type="dxa"/>
            </w:tcMar>
            <w:vAlign w:val="center"/>
            <w:hideMark/>
          </w:tcPr>
          <w:p w14:paraId="694D6C94" w14:textId="2837E45E" w:rsidR="005A199A" w:rsidRDefault="008B2047" w:rsidP="000979DF">
            <w:pPr>
              <w:spacing w:line="256" w:lineRule="auto"/>
              <w:jc w:val="center"/>
              <w:textAlignment w:val="bottom"/>
              <w:rPr>
                <w:rFonts w:eastAsia="Times New Roman"/>
                <w:lang w:eastAsia="zh-CN"/>
              </w:rPr>
            </w:pPr>
            <w:r>
              <w:rPr>
                <w:rFonts w:ascii="Garamond" w:eastAsia="Times New Roman" w:hAnsi="Garamond"/>
                <w:color w:val="FFFFFF"/>
                <w:kern w:val="24"/>
                <w:lang w:eastAsia="zh-CN"/>
              </w:rPr>
              <w:t>66</w:t>
            </w:r>
          </w:p>
        </w:tc>
        <w:tc>
          <w:tcPr>
            <w:tcW w:w="1207" w:type="dxa"/>
            <w:tcBorders>
              <w:top w:val="single" w:sz="8" w:space="0" w:color="FFFFFF"/>
              <w:left w:val="single" w:sz="8" w:space="0" w:color="FFFFFF"/>
              <w:bottom w:val="single" w:sz="8" w:space="0" w:color="FFFFFF"/>
              <w:right w:val="single" w:sz="8" w:space="0" w:color="FFFFFF" w:themeColor="background1"/>
            </w:tcBorders>
            <w:shd w:val="clear" w:color="auto" w:fill="8C8688"/>
            <w:tcMar>
              <w:top w:w="10" w:type="dxa"/>
              <w:left w:w="10" w:type="dxa"/>
              <w:bottom w:w="0" w:type="dxa"/>
              <w:right w:w="10" w:type="dxa"/>
            </w:tcMar>
            <w:vAlign w:val="center"/>
            <w:hideMark/>
          </w:tcPr>
          <w:p w14:paraId="5A4B4BEC" w14:textId="0340AD37" w:rsidR="005A199A" w:rsidRDefault="008B2047" w:rsidP="000979DF">
            <w:pPr>
              <w:spacing w:line="256" w:lineRule="auto"/>
              <w:jc w:val="center"/>
              <w:textAlignment w:val="bottom"/>
              <w:rPr>
                <w:rFonts w:eastAsia="Times New Roman"/>
                <w:lang w:eastAsia="zh-CN"/>
              </w:rPr>
            </w:pPr>
            <w:r>
              <w:rPr>
                <w:rFonts w:ascii="Garamond" w:eastAsia="Times New Roman" w:hAnsi="Garamond"/>
                <w:color w:val="FFFFFF"/>
                <w:kern w:val="24"/>
                <w:lang w:eastAsia="zh-CN"/>
              </w:rPr>
              <w:t>139</w:t>
            </w:r>
          </w:p>
        </w:tc>
        <w:tc>
          <w:tcPr>
            <w:tcW w:w="92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hideMark/>
          </w:tcPr>
          <w:p w14:paraId="15AC74A1"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69</w:t>
            </w:r>
          </w:p>
        </w:tc>
        <w:tc>
          <w:tcPr>
            <w:tcW w:w="101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hideMark/>
          </w:tcPr>
          <w:p w14:paraId="1402FA71"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44</w:t>
            </w:r>
          </w:p>
        </w:tc>
        <w:tc>
          <w:tcPr>
            <w:tcW w:w="988"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hideMark/>
          </w:tcPr>
          <w:p w14:paraId="514E6C22"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62</w:t>
            </w:r>
          </w:p>
        </w:tc>
        <w:tc>
          <w:tcPr>
            <w:tcW w:w="977"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tcPr>
          <w:p w14:paraId="48973F33"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175</w:t>
            </w:r>
          </w:p>
        </w:tc>
      </w:tr>
      <w:tr w:rsidR="008B2047" w14:paraId="5A236C12" w14:textId="77777777" w:rsidTr="008B2047">
        <w:trPr>
          <w:trHeight w:val="460"/>
        </w:trPr>
        <w:tc>
          <w:tcPr>
            <w:tcW w:w="2017" w:type="dxa"/>
            <w:tcBorders>
              <w:top w:val="single" w:sz="8" w:space="0" w:color="FFFFFF"/>
              <w:left w:val="single" w:sz="8" w:space="0" w:color="FFFFFF"/>
              <w:bottom w:val="single" w:sz="8" w:space="0" w:color="FFFFFF"/>
              <w:right w:val="single" w:sz="8" w:space="0" w:color="FFFFFF"/>
            </w:tcBorders>
            <w:shd w:val="clear" w:color="auto" w:fill="8C8688"/>
            <w:tcMar>
              <w:top w:w="10" w:type="dxa"/>
              <w:left w:w="10" w:type="dxa"/>
              <w:bottom w:w="0" w:type="dxa"/>
              <w:right w:w="10" w:type="dxa"/>
            </w:tcMar>
            <w:vAlign w:val="bottom"/>
            <w:hideMark/>
          </w:tcPr>
          <w:p w14:paraId="25A0E387"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FFFFFF"/>
                <w:kern w:val="24"/>
                <w:lang w:eastAsia="zh-CN"/>
              </w:rPr>
              <w:t>Clinics Sharing Catchment</w:t>
            </w:r>
          </w:p>
        </w:tc>
        <w:tc>
          <w:tcPr>
            <w:tcW w:w="1118" w:type="dxa"/>
            <w:tcBorders>
              <w:top w:val="single" w:sz="8" w:space="0" w:color="FFFFFF"/>
              <w:left w:val="single" w:sz="8" w:space="0" w:color="FFFFFF"/>
              <w:bottom w:val="single" w:sz="8" w:space="0" w:color="FFFFFF"/>
              <w:right w:val="single" w:sz="8" w:space="0" w:color="FFFFFF"/>
            </w:tcBorders>
            <w:shd w:val="clear" w:color="auto" w:fill="8C8688"/>
            <w:tcMar>
              <w:top w:w="10" w:type="dxa"/>
              <w:left w:w="10" w:type="dxa"/>
              <w:bottom w:w="0" w:type="dxa"/>
              <w:right w:w="10" w:type="dxa"/>
            </w:tcMar>
            <w:vAlign w:val="center"/>
            <w:hideMark/>
          </w:tcPr>
          <w:p w14:paraId="28458896"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FFFFFF"/>
                <w:kern w:val="24"/>
                <w:lang w:eastAsia="zh-CN"/>
              </w:rPr>
              <w:t>3</w:t>
            </w:r>
          </w:p>
        </w:tc>
        <w:tc>
          <w:tcPr>
            <w:tcW w:w="1091" w:type="dxa"/>
            <w:tcBorders>
              <w:top w:val="single" w:sz="8" w:space="0" w:color="FFFFFF"/>
              <w:left w:val="single" w:sz="8" w:space="0" w:color="FFFFFF"/>
              <w:bottom w:val="single" w:sz="8" w:space="0" w:color="FFFFFF"/>
              <w:right w:val="single" w:sz="8" w:space="0" w:color="FFFFFF"/>
            </w:tcBorders>
            <w:shd w:val="clear" w:color="auto" w:fill="8C8688"/>
            <w:tcMar>
              <w:top w:w="10" w:type="dxa"/>
              <w:left w:w="10" w:type="dxa"/>
              <w:bottom w:w="0" w:type="dxa"/>
              <w:right w:w="10" w:type="dxa"/>
            </w:tcMar>
            <w:vAlign w:val="center"/>
            <w:hideMark/>
          </w:tcPr>
          <w:p w14:paraId="0E95B478"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FFFFFF"/>
                <w:kern w:val="24"/>
                <w:lang w:eastAsia="zh-CN"/>
              </w:rPr>
              <w:t>6</w:t>
            </w:r>
          </w:p>
        </w:tc>
        <w:tc>
          <w:tcPr>
            <w:tcW w:w="1207" w:type="dxa"/>
            <w:tcBorders>
              <w:top w:val="single" w:sz="8" w:space="0" w:color="FFFFFF"/>
              <w:left w:val="single" w:sz="8" w:space="0" w:color="FFFFFF"/>
              <w:bottom w:val="single" w:sz="8" w:space="0" w:color="FFFFFF"/>
              <w:right w:val="single" w:sz="8" w:space="0" w:color="FFFFFF" w:themeColor="background1"/>
            </w:tcBorders>
            <w:shd w:val="clear" w:color="auto" w:fill="8C8688"/>
            <w:tcMar>
              <w:top w:w="10" w:type="dxa"/>
              <w:left w:w="10" w:type="dxa"/>
              <w:bottom w:w="0" w:type="dxa"/>
              <w:right w:w="10" w:type="dxa"/>
            </w:tcMar>
            <w:vAlign w:val="center"/>
            <w:hideMark/>
          </w:tcPr>
          <w:p w14:paraId="20390822"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FFFFFF"/>
                <w:kern w:val="24"/>
                <w:lang w:eastAsia="zh-CN"/>
              </w:rPr>
              <w:t>9</w:t>
            </w:r>
          </w:p>
        </w:tc>
        <w:tc>
          <w:tcPr>
            <w:tcW w:w="92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hideMark/>
          </w:tcPr>
          <w:p w14:paraId="46F9BE18"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3</w:t>
            </w:r>
          </w:p>
        </w:tc>
        <w:tc>
          <w:tcPr>
            <w:tcW w:w="101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hideMark/>
          </w:tcPr>
          <w:p w14:paraId="75FE6BF8" w14:textId="69BC611A" w:rsidR="005A199A" w:rsidRDefault="008B2047" w:rsidP="008B2047">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4</w:t>
            </w:r>
            <w:r w:rsidRPr="00FB5C2B">
              <w:rPr>
                <w:rFonts w:ascii="Garamond" w:eastAsia="Times New Roman" w:hAnsi="Garamond"/>
                <w:color w:val="FFFFFF"/>
                <w:kern w:val="24"/>
                <w:vertAlign w:val="superscript"/>
                <w:lang w:eastAsia="zh-CN"/>
              </w:rPr>
              <w:t>1</w:t>
            </w:r>
          </w:p>
        </w:tc>
        <w:tc>
          <w:tcPr>
            <w:tcW w:w="988"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hideMark/>
          </w:tcPr>
          <w:p w14:paraId="3C80ED59"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1</w:t>
            </w:r>
          </w:p>
        </w:tc>
        <w:tc>
          <w:tcPr>
            <w:tcW w:w="977" w:type="dxa"/>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C8688"/>
            <w:vAlign w:val="center"/>
          </w:tcPr>
          <w:p w14:paraId="391E4AAC" w14:textId="77777777" w:rsidR="005A199A" w:rsidRDefault="005A199A" w:rsidP="000979DF">
            <w:pPr>
              <w:spacing w:line="256" w:lineRule="auto"/>
              <w:jc w:val="center"/>
              <w:textAlignment w:val="bottom"/>
              <w:rPr>
                <w:rFonts w:ascii="Garamond" w:eastAsia="Times New Roman" w:hAnsi="Garamond"/>
                <w:color w:val="FFFFFF"/>
                <w:kern w:val="24"/>
                <w:lang w:eastAsia="zh-CN"/>
              </w:rPr>
            </w:pPr>
            <w:r>
              <w:rPr>
                <w:rFonts w:ascii="Garamond" w:eastAsia="Times New Roman" w:hAnsi="Garamond"/>
                <w:color w:val="FFFFFF"/>
                <w:kern w:val="24"/>
                <w:lang w:eastAsia="zh-CN"/>
              </w:rPr>
              <w:t>8</w:t>
            </w:r>
          </w:p>
        </w:tc>
      </w:tr>
      <w:tr w:rsidR="008B2047" w14:paraId="7FA70601" w14:textId="77777777" w:rsidTr="008B2047">
        <w:trPr>
          <w:trHeight w:val="460"/>
        </w:trPr>
        <w:tc>
          <w:tcPr>
            <w:tcW w:w="2017" w:type="dxa"/>
            <w:tcBorders>
              <w:top w:val="single" w:sz="8" w:space="0" w:color="FFFFFF"/>
              <w:left w:val="single" w:sz="8" w:space="0" w:color="FFFFFF"/>
              <w:bottom w:val="single" w:sz="8" w:space="0" w:color="FFFFFF"/>
              <w:right w:val="single" w:sz="8" w:space="0" w:color="FFFFFF"/>
            </w:tcBorders>
            <w:shd w:val="clear" w:color="auto" w:fill="FACA81"/>
            <w:tcMar>
              <w:top w:w="10" w:type="dxa"/>
              <w:left w:w="10" w:type="dxa"/>
              <w:bottom w:w="0" w:type="dxa"/>
              <w:right w:w="10" w:type="dxa"/>
            </w:tcMar>
            <w:vAlign w:val="bottom"/>
            <w:hideMark/>
          </w:tcPr>
          <w:p w14:paraId="1BF5C23D" w14:textId="77777777" w:rsidR="005A199A" w:rsidRDefault="005A199A" w:rsidP="000979DF">
            <w:pPr>
              <w:spacing w:line="256" w:lineRule="auto"/>
              <w:textAlignment w:val="bottom"/>
              <w:rPr>
                <w:rFonts w:eastAsia="Times New Roman"/>
                <w:lang w:eastAsia="zh-CN"/>
              </w:rPr>
            </w:pPr>
            <w:r>
              <w:rPr>
                <w:rFonts w:ascii="Garamond" w:eastAsia="Times New Roman" w:hAnsi="Garamond"/>
                <w:b/>
                <w:bCs/>
                <w:color w:val="3C393A"/>
                <w:kern w:val="24"/>
                <w:lang w:eastAsia="zh-CN"/>
              </w:rPr>
              <w:t>Total Catchments</w:t>
            </w:r>
          </w:p>
        </w:tc>
        <w:tc>
          <w:tcPr>
            <w:tcW w:w="1118" w:type="dxa"/>
            <w:tcBorders>
              <w:top w:val="single" w:sz="8" w:space="0" w:color="FFFFFF"/>
              <w:left w:val="single" w:sz="8" w:space="0" w:color="FFFFFF"/>
              <w:bottom w:val="single" w:sz="8" w:space="0" w:color="FFFFFF"/>
              <w:right w:val="single" w:sz="8" w:space="0" w:color="FFFFFF"/>
            </w:tcBorders>
            <w:shd w:val="clear" w:color="auto" w:fill="FACA81"/>
            <w:tcMar>
              <w:top w:w="10" w:type="dxa"/>
              <w:left w:w="10" w:type="dxa"/>
              <w:bottom w:w="0" w:type="dxa"/>
              <w:right w:w="10" w:type="dxa"/>
            </w:tcMar>
            <w:vAlign w:val="center"/>
            <w:hideMark/>
          </w:tcPr>
          <w:p w14:paraId="3E294D84"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70</w:t>
            </w:r>
          </w:p>
        </w:tc>
        <w:tc>
          <w:tcPr>
            <w:tcW w:w="1091" w:type="dxa"/>
            <w:tcBorders>
              <w:top w:val="single" w:sz="8" w:space="0" w:color="FFFFFF"/>
              <w:left w:val="single" w:sz="8" w:space="0" w:color="FFFFFF"/>
              <w:bottom w:val="single" w:sz="8" w:space="0" w:color="FFFFFF"/>
              <w:right w:val="single" w:sz="8" w:space="0" w:color="FFFFFF"/>
            </w:tcBorders>
            <w:shd w:val="clear" w:color="auto" w:fill="FACA81"/>
            <w:tcMar>
              <w:top w:w="10" w:type="dxa"/>
              <w:left w:w="10" w:type="dxa"/>
              <w:bottom w:w="0" w:type="dxa"/>
              <w:right w:w="10" w:type="dxa"/>
            </w:tcMar>
            <w:vAlign w:val="center"/>
            <w:hideMark/>
          </w:tcPr>
          <w:p w14:paraId="518F9300"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60</w:t>
            </w:r>
          </w:p>
        </w:tc>
        <w:tc>
          <w:tcPr>
            <w:tcW w:w="1207" w:type="dxa"/>
            <w:tcBorders>
              <w:top w:val="single" w:sz="8" w:space="0" w:color="FFFFFF"/>
              <w:left w:val="single" w:sz="8" w:space="0" w:color="FFFFFF"/>
              <w:bottom w:val="single" w:sz="8" w:space="0" w:color="FFFFFF"/>
              <w:right w:val="single" w:sz="8" w:space="0" w:color="FFFFFF"/>
            </w:tcBorders>
            <w:shd w:val="clear" w:color="auto" w:fill="FACA81"/>
            <w:tcMar>
              <w:top w:w="10" w:type="dxa"/>
              <w:left w:w="10" w:type="dxa"/>
              <w:bottom w:w="0" w:type="dxa"/>
              <w:right w:w="10" w:type="dxa"/>
            </w:tcMar>
            <w:vAlign w:val="center"/>
            <w:hideMark/>
          </w:tcPr>
          <w:p w14:paraId="0C073CDF" w14:textId="77777777" w:rsidR="005A199A" w:rsidRDefault="005A199A" w:rsidP="000979DF">
            <w:pPr>
              <w:spacing w:line="256" w:lineRule="auto"/>
              <w:jc w:val="center"/>
              <w:textAlignment w:val="bottom"/>
              <w:rPr>
                <w:rFonts w:eastAsia="Times New Roman"/>
                <w:lang w:eastAsia="zh-CN"/>
              </w:rPr>
            </w:pPr>
            <w:r>
              <w:rPr>
                <w:rFonts w:ascii="Garamond" w:eastAsia="Times New Roman" w:hAnsi="Garamond"/>
                <w:color w:val="3C393A"/>
                <w:kern w:val="24"/>
                <w:lang w:eastAsia="zh-CN"/>
              </w:rPr>
              <w:t>130</w:t>
            </w:r>
          </w:p>
        </w:tc>
        <w:tc>
          <w:tcPr>
            <w:tcW w:w="929" w:type="dxa"/>
            <w:tcBorders>
              <w:top w:val="single" w:sz="8" w:space="0" w:color="FFFFFF" w:themeColor="background1"/>
              <w:left w:val="single" w:sz="8" w:space="0" w:color="FFFFFF"/>
              <w:bottom w:val="single" w:sz="8" w:space="0" w:color="FFFFFF" w:themeColor="background1"/>
              <w:right w:val="single" w:sz="8" w:space="0" w:color="FFFFFF"/>
            </w:tcBorders>
            <w:shd w:val="clear" w:color="auto" w:fill="FACA81"/>
            <w:vAlign w:val="center"/>
            <w:hideMark/>
          </w:tcPr>
          <w:p w14:paraId="0CB6F0A3"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66</w:t>
            </w:r>
          </w:p>
        </w:tc>
        <w:tc>
          <w:tcPr>
            <w:tcW w:w="1013" w:type="dxa"/>
            <w:tcBorders>
              <w:top w:val="single" w:sz="8" w:space="0" w:color="FFFFFF" w:themeColor="background1"/>
              <w:left w:val="single" w:sz="8" w:space="0" w:color="FFFFFF"/>
              <w:bottom w:val="single" w:sz="8" w:space="0" w:color="FFFFFF" w:themeColor="background1"/>
              <w:right w:val="single" w:sz="8" w:space="0" w:color="FFFFFF"/>
            </w:tcBorders>
            <w:shd w:val="clear" w:color="auto" w:fill="FACA81"/>
            <w:vAlign w:val="center"/>
            <w:hideMark/>
          </w:tcPr>
          <w:p w14:paraId="613A447A"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40</w:t>
            </w:r>
          </w:p>
        </w:tc>
        <w:tc>
          <w:tcPr>
            <w:tcW w:w="988" w:type="dxa"/>
            <w:gridSpan w:val="2"/>
            <w:tcBorders>
              <w:top w:val="single" w:sz="8" w:space="0" w:color="FFFFFF" w:themeColor="background1"/>
              <w:left w:val="single" w:sz="8" w:space="0" w:color="FFFFFF"/>
              <w:bottom w:val="single" w:sz="8" w:space="0" w:color="FFFFFF" w:themeColor="background1"/>
              <w:right w:val="single" w:sz="8" w:space="0" w:color="FFFFFF"/>
            </w:tcBorders>
            <w:shd w:val="clear" w:color="auto" w:fill="FACA81"/>
            <w:vAlign w:val="center"/>
            <w:hideMark/>
          </w:tcPr>
          <w:p w14:paraId="1361DD0E"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61</w:t>
            </w:r>
          </w:p>
        </w:tc>
        <w:tc>
          <w:tcPr>
            <w:tcW w:w="977" w:type="dxa"/>
            <w:gridSpan w:val="2"/>
            <w:tcBorders>
              <w:top w:val="single" w:sz="8" w:space="0" w:color="FFFFFF" w:themeColor="background1"/>
              <w:left w:val="single" w:sz="8" w:space="0" w:color="FFFFFF"/>
              <w:bottom w:val="single" w:sz="8" w:space="0" w:color="FFFFFF" w:themeColor="background1"/>
              <w:right w:val="single" w:sz="8" w:space="0" w:color="FFFFFF"/>
            </w:tcBorders>
            <w:shd w:val="clear" w:color="auto" w:fill="FACA81"/>
            <w:vAlign w:val="center"/>
          </w:tcPr>
          <w:p w14:paraId="2C6A28AB" w14:textId="77777777" w:rsidR="005A199A" w:rsidRDefault="005A199A" w:rsidP="000979DF">
            <w:pPr>
              <w:spacing w:line="256" w:lineRule="auto"/>
              <w:jc w:val="center"/>
              <w:textAlignment w:val="bottom"/>
              <w:rPr>
                <w:rFonts w:ascii="Garamond" w:eastAsia="Times New Roman" w:hAnsi="Garamond"/>
                <w:color w:val="3C393A"/>
                <w:kern w:val="24"/>
                <w:lang w:eastAsia="zh-CN"/>
              </w:rPr>
            </w:pPr>
            <w:r>
              <w:rPr>
                <w:rFonts w:ascii="Garamond" w:eastAsia="Times New Roman" w:hAnsi="Garamond"/>
                <w:color w:val="3C393A"/>
                <w:kern w:val="24"/>
                <w:lang w:eastAsia="zh-CN"/>
              </w:rPr>
              <w:t>167</w:t>
            </w:r>
          </w:p>
        </w:tc>
      </w:tr>
      <w:tr w:rsidR="008B2047" w14:paraId="4B3FE26F" w14:textId="77777777" w:rsidTr="008B2047">
        <w:trPr>
          <w:trHeight w:val="43"/>
        </w:trPr>
        <w:tc>
          <w:tcPr>
            <w:tcW w:w="9340" w:type="dxa"/>
            <w:gridSpan w:val="10"/>
            <w:tcBorders>
              <w:top w:val="single" w:sz="8" w:space="0" w:color="FFFFFF"/>
              <w:left w:val="single" w:sz="8" w:space="0" w:color="FFFFFF"/>
              <w:bottom w:val="single" w:sz="8" w:space="0" w:color="FFFFFF"/>
              <w:right w:val="single" w:sz="8" w:space="0" w:color="FFFFFF"/>
            </w:tcBorders>
            <w:shd w:val="clear" w:color="auto" w:fill="FFFFFF" w:themeFill="background1"/>
            <w:tcMar>
              <w:top w:w="10" w:type="dxa"/>
              <w:left w:w="10" w:type="dxa"/>
              <w:bottom w:w="0" w:type="dxa"/>
              <w:right w:w="10" w:type="dxa"/>
            </w:tcMar>
            <w:vAlign w:val="bottom"/>
          </w:tcPr>
          <w:p w14:paraId="12C5D9C4" w14:textId="16D09A54" w:rsidR="008B2047" w:rsidRPr="008B2047" w:rsidRDefault="008B2047" w:rsidP="008B2047">
            <w:pPr>
              <w:pStyle w:val="FootnoteText"/>
            </w:pPr>
            <w:r>
              <w:t xml:space="preserve"> Based on field verification, we determined two complementary clinics in Zamfara were not necessary.</w:t>
            </w:r>
          </w:p>
        </w:tc>
      </w:tr>
    </w:tbl>
    <w:p w14:paraId="1FC90366" w14:textId="2E545B5F" w:rsidR="006562B7" w:rsidRPr="00DC12E4" w:rsidRDefault="00EA1C2F" w:rsidP="000577DA">
      <w:pPr>
        <w:pStyle w:val="Heading2"/>
        <w:rPr>
          <w:rFonts w:ascii="Garamond" w:hAnsi="Garamond"/>
          <w:color w:val="222222"/>
          <w:sz w:val="28"/>
          <w:szCs w:val="28"/>
          <w:u w:val="single"/>
        </w:rPr>
      </w:pPr>
      <w:r w:rsidRPr="00DC12E4">
        <w:rPr>
          <w:rFonts w:ascii="Garamond" w:hAnsi="Garamond"/>
          <w:sz w:val="28"/>
          <w:szCs w:val="28"/>
        </w:rPr>
        <w:lastRenderedPageBreak/>
        <w:t xml:space="preserve">Map of </w:t>
      </w:r>
      <w:r w:rsidR="000577DA" w:rsidRPr="00DC12E4">
        <w:rPr>
          <w:rFonts w:ascii="Garamond" w:hAnsi="Garamond"/>
          <w:sz w:val="28"/>
          <w:szCs w:val="28"/>
        </w:rPr>
        <w:t>Randomized Clinics</w:t>
      </w:r>
    </w:p>
    <w:p w14:paraId="3910C84A" w14:textId="6C295466" w:rsidR="006562B7" w:rsidRDefault="00F25BB3" w:rsidP="00EE3B9F">
      <w:pPr>
        <w:pStyle w:val="Normal1"/>
        <w:keepNext/>
        <w:spacing w:line="259" w:lineRule="auto"/>
        <w:jc w:val="both"/>
        <w:rPr>
          <w:rFonts w:ascii="Garamond" w:hAnsi="Garamond"/>
          <w:color w:val="222222"/>
        </w:rPr>
      </w:pPr>
      <w:r>
        <w:rPr>
          <w:rFonts w:ascii="Garamond" w:hAnsi="Garamond"/>
          <w:color w:val="222222"/>
        </w:rPr>
        <w:t>Figure 3</w:t>
      </w:r>
      <w:r w:rsidR="008B2047">
        <w:rPr>
          <w:rFonts w:ascii="Garamond" w:hAnsi="Garamond"/>
          <w:color w:val="222222"/>
        </w:rPr>
        <w:t xml:space="preserve"> is a map of randomized</w:t>
      </w:r>
      <w:r w:rsidR="0002546A">
        <w:rPr>
          <w:rFonts w:ascii="Garamond" w:hAnsi="Garamond"/>
          <w:color w:val="222222"/>
        </w:rPr>
        <w:t xml:space="preserve"> clinics</w:t>
      </w:r>
      <w:r w:rsidR="008B2047">
        <w:rPr>
          <w:rFonts w:ascii="Garamond" w:hAnsi="Garamond"/>
          <w:color w:val="222222"/>
        </w:rPr>
        <w:t xml:space="preserve"> in the New Incentives evaluation</w:t>
      </w:r>
      <w:r w:rsidR="0015788A">
        <w:rPr>
          <w:rFonts w:ascii="Garamond" w:hAnsi="Garamond"/>
          <w:color w:val="222222"/>
        </w:rPr>
        <w:t xml:space="preserve"> across </w:t>
      </w:r>
      <w:r w:rsidR="0002546A">
        <w:rPr>
          <w:rFonts w:ascii="Garamond" w:hAnsi="Garamond"/>
          <w:color w:val="222222"/>
        </w:rPr>
        <w:t>Katsina, Zamfara and Jigawa</w:t>
      </w:r>
      <w:r w:rsidR="008B2047">
        <w:rPr>
          <w:rFonts w:ascii="Garamond" w:hAnsi="Garamond"/>
          <w:color w:val="222222"/>
        </w:rPr>
        <w:t xml:space="preserve">. </w:t>
      </w:r>
      <w:r w:rsidR="006562B7">
        <w:rPr>
          <w:rFonts w:ascii="Garamond" w:hAnsi="Garamond"/>
          <w:color w:val="222222"/>
        </w:rPr>
        <w:t xml:space="preserve">Clinics in red are treatment clinics while clinics in blue are control clinics. The area </w:t>
      </w:r>
      <w:r w:rsidR="006127C6">
        <w:rPr>
          <w:rFonts w:ascii="Garamond" w:hAnsi="Garamond"/>
          <w:color w:val="222222"/>
        </w:rPr>
        <w:t>in southern Zamfara with no clinics is an area of high insecurity where many clinics dropped due to security concerns. There are a few cases where clinics are quite close to each other but are in the same treatment group. These clinics were randomized as pairs. More details on the randomization process</w:t>
      </w:r>
      <w:r w:rsidR="00E01552">
        <w:rPr>
          <w:rFonts w:ascii="Garamond" w:hAnsi="Garamond"/>
          <w:color w:val="222222"/>
        </w:rPr>
        <w:t>,</w:t>
      </w:r>
      <w:r w:rsidR="006127C6">
        <w:rPr>
          <w:rFonts w:ascii="Garamond" w:hAnsi="Garamond"/>
          <w:color w:val="222222"/>
        </w:rPr>
        <w:t xml:space="preserve"> including paired clinics</w:t>
      </w:r>
      <w:r w:rsidR="00E01552">
        <w:rPr>
          <w:rFonts w:ascii="Garamond" w:hAnsi="Garamond"/>
          <w:color w:val="222222"/>
        </w:rPr>
        <w:t>,</w:t>
      </w:r>
      <w:r w:rsidR="006127C6">
        <w:rPr>
          <w:rFonts w:ascii="Garamond" w:hAnsi="Garamond"/>
          <w:color w:val="222222"/>
        </w:rPr>
        <w:t xml:space="preserve"> are in Annex 2.</w:t>
      </w:r>
    </w:p>
    <w:p w14:paraId="21B6D1D8" w14:textId="77777777" w:rsidR="005B4A61" w:rsidRPr="006562B7" w:rsidRDefault="005B4A61" w:rsidP="00EE3B9F">
      <w:pPr>
        <w:pStyle w:val="Normal1"/>
        <w:keepNext/>
        <w:spacing w:line="259" w:lineRule="auto"/>
        <w:jc w:val="both"/>
        <w:rPr>
          <w:rFonts w:ascii="Garamond" w:hAnsi="Garamond"/>
          <w:color w:val="222222"/>
        </w:rPr>
      </w:pPr>
    </w:p>
    <w:p w14:paraId="34E5A3C7" w14:textId="400AEF74" w:rsidR="006562B7" w:rsidRPr="00FB5C2B" w:rsidRDefault="005B4A61" w:rsidP="00EE3B9F">
      <w:pPr>
        <w:pStyle w:val="Normal1"/>
        <w:keepNext/>
        <w:spacing w:line="259" w:lineRule="auto"/>
        <w:jc w:val="both"/>
        <w:rPr>
          <w:rFonts w:ascii="Garamond" w:hAnsi="Garamond"/>
          <w:i/>
          <w:color w:val="222222"/>
          <w:u w:val="single"/>
        </w:rPr>
      </w:pPr>
      <w:r>
        <w:rPr>
          <w:rFonts w:ascii="Garamond" w:hAnsi="Garamond"/>
          <w:i/>
          <w:color w:val="222222"/>
          <w:u w:val="single"/>
        </w:rPr>
        <w:t>Figure 3: Map of Randomized Clinics in Katsina, Zamfara and Jigawa:</w:t>
      </w:r>
    </w:p>
    <w:p w14:paraId="7AC1C36C" w14:textId="3346E568" w:rsidR="006562B7" w:rsidRPr="006127C6" w:rsidRDefault="006562B7" w:rsidP="00EE3B9F">
      <w:pPr>
        <w:pStyle w:val="Normal1"/>
        <w:keepNext/>
        <w:spacing w:line="259" w:lineRule="auto"/>
        <w:jc w:val="both"/>
        <w:rPr>
          <w:rFonts w:ascii="Garamond" w:hAnsi="Garamond"/>
          <w:color w:val="222222"/>
        </w:rPr>
      </w:pPr>
      <w:r w:rsidRPr="006127C6">
        <w:rPr>
          <w:rFonts w:ascii="Garamond" w:hAnsi="Garamond"/>
          <w:noProof/>
          <w:color w:val="222222"/>
          <w:lang w:val="en-US"/>
        </w:rPr>
        <w:drawing>
          <wp:inline distT="0" distB="0" distL="0" distR="0" wp14:anchorId="41DB8340" wp14:editId="7CE9C8DA">
            <wp:extent cx="5942985" cy="2619375"/>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p of Study Clinic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2985" cy="2619375"/>
                    </a:xfrm>
                    <a:prstGeom prst="rect">
                      <a:avLst/>
                    </a:prstGeom>
                  </pic:spPr>
                </pic:pic>
              </a:graphicData>
            </a:graphic>
          </wp:inline>
        </w:drawing>
      </w:r>
    </w:p>
    <w:p w14:paraId="2B40C87A" w14:textId="152CF957" w:rsidR="00EA1C2F" w:rsidRDefault="00EA1C2F" w:rsidP="00EE3B9F">
      <w:pPr>
        <w:pStyle w:val="Normal1"/>
        <w:spacing w:line="259" w:lineRule="auto"/>
        <w:jc w:val="both"/>
        <w:rPr>
          <w:rFonts w:ascii="Garamond" w:hAnsi="Garamond"/>
          <w:color w:val="222222"/>
        </w:rPr>
      </w:pPr>
    </w:p>
    <w:p w14:paraId="3855E292" w14:textId="0446CEE4" w:rsidR="00EA1C2F" w:rsidRPr="00DC12E4" w:rsidRDefault="000577DA" w:rsidP="000577DA">
      <w:pPr>
        <w:pStyle w:val="Heading1"/>
        <w:rPr>
          <w:rFonts w:ascii="Garamond" w:hAnsi="Garamond"/>
          <w:u w:val="none"/>
        </w:rPr>
      </w:pPr>
      <w:r w:rsidRPr="00DC12E4">
        <w:rPr>
          <w:rFonts w:ascii="Garamond" w:hAnsi="Garamond"/>
          <w:u w:val="none"/>
        </w:rPr>
        <w:t>A</w:t>
      </w:r>
      <w:r w:rsidR="00EA1C2F" w:rsidRPr="00DC12E4">
        <w:rPr>
          <w:rFonts w:ascii="Garamond" w:hAnsi="Garamond"/>
          <w:u w:val="none"/>
        </w:rPr>
        <w:t>nnex 2: Randomization Procedure</w:t>
      </w:r>
    </w:p>
    <w:p w14:paraId="72A4DC33" w14:textId="31ADC0D3" w:rsidR="00EA1C2F" w:rsidRDefault="00EA1C2F" w:rsidP="00AD239B">
      <w:pPr>
        <w:jc w:val="both"/>
        <w:rPr>
          <w:rFonts w:ascii="Garamond" w:eastAsia="Times New Roman" w:hAnsi="Garamond" w:cs="Arial"/>
          <w:color w:val="222222"/>
          <w:shd w:val="clear" w:color="auto" w:fill="FFFFFF"/>
        </w:rPr>
      </w:pPr>
      <w:r>
        <w:rPr>
          <w:rFonts w:ascii="Garamond" w:eastAsia="Times New Roman" w:hAnsi="Garamond" w:cs="Arial"/>
          <w:color w:val="222222"/>
          <w:shd w:val="clear" w:color="auto" w:fill="FFFFFF"/>
        </w:rPr>
        <w:t xml:space="preserve">This annex explains the strategy </w:t>
      </w:r>
      <w:proofErr w:type="spellStart"/>
      <w:r>
        <w:rPr>
          <w:rFonts w:ascii="Garamond" w:eastAsia="Times New Roman" w:hAnsi="Garamond" w:cs="Arial"/>
          <w:color w:val="222222"/>
          <w:shd w:val="clear" w:color="auto" w:fill="FFFFFF"/>
        </w:rPr>
        <w:t>IDinsight</w:t>
      </w:r>
      <w:proofErr w:type="spellEnd"/>
      <w:r>
        <w:rPr>
          <w:rFonts w:ascii="Garamond" w:eastAsia="Times New Roman" w:hAnsi="Garamond" w:cs="Arial"/>
          <w:color w:val="222222"/>
          <w:shd w:val="clear" w:color="auto" w:fill="FFFFFF"/>
        </w:rPr>
        <w:t xml:space="preserve"> used to randomize clinics in the New Incentives </w:t>
      </w:r>
      <w:r w:rsidR="00DC12E4">
        <w:rPr>
          <w:rFonts w:ascii="Garamond" w:eastAsia="Times New Roman" w:hAnsi="Garamond" w:cs="Arial"/>
          <w:color w:val="222222"/>
          <w:shd w:val="clear" w:color="auto" w:fill="FFFFFF"/>
        </w:rPr>
        <w:t>Evaluation</w:t>
      </w:r>
      <w:r>
        <w:rPr>
          <w:rFonts w:ascii="Garamond" w:eastAsia="Times New Roman" w:hAnsi="Garamond" w:cs="Arial"/>
          <w:color w:val="222222"/>
          <w:shd w:val="clear" w:color="auto" w:fill="FFFFFF"/>
        </w:rPr>
        <w:t>.</w:t>
      </w:r>
    </w:p>
    <w:p w14:paraId="4625BE02" w14:textId="77777777" w:rsidR="00DC12E4" w:rsidRPr="00DC12E4" w:rsidRDefault="00DC12E4" w:rsidP="00AD239B">
      <w:pPr>
        <w:jc w:val="both"/>
        <w:rPr>
          <w:rFonts w:ascii="Garamond" w:eastAsia="Times New Roman" w:hAnsi="Garamond" w:cs="Arial"/>
          <w:color w:val="222222"/>
          <w:shd w:val="clear" w:color="auto" w:fill="FFFFFF"/>
        </w:rPr>
      </w:pPr>
    </w:p>
    <w:p w14:paraId="605D05A6" w14:textId="77777777" w:rsidR="00EA1C2F" w:rsidRPr="00DC12E4" w:rsidRDefault="00EA1C2F" w:rsidP="000577DA">
      <w:pPr>
        <w:pStyle w:val="Heading2"/>
        <w:rPr>
          <w:rFonts w:ascii="Garamond" w:hAnsi="Garamond"/>
          <w:sz w:val="28"/>
          <w:szCs w:val="28"/>
        </w:rPr>
      </w:pPr>
      <w:r w:rsidRPr="00DC12E4">
        <w:rPr>
          <w:rFonts w:ascii="Garamond" w:hAnsi="Garamond"/>
          <w:sz w:val="28"/>
          <w:szCs w:val="28"/>
        </w:rPr>
        <w:t>Goals</w:t>
      </w:r>
    </w:p>
    <w:p w14:paraId="6BAE9FF9" w14:textId="51B5D6EF" w:rsidR="00EA1C2F" w:rsidRPr="00450BD2" w:rsidRDefault="00EA1C2F" w:rsidP="00DC12E4">
      <w:pPr>
        <w:spacing w:after="40"/>
        <w:jc w:val="both"/>
        <w:rPr>
          <w:rFonts w:ascii="Garamond" w:hAnsi="Garamond"/>
        </w:rPr>
      </w:pPr>
      <w:proofErr w:type="spellStart"/>
      <w:r>
        <w:rPr>
          <w:rFonts w:ascii="Garamond" w:hAnsi="Garamond"/>
        </w:rPr>
        <w:t>IDinsight</w:t>
      </w:r>
      <w:proofErr w:type="spellEnd"/>
      <w:r>
        <w:rPr>
          <w:rFonts w:ascii="Garamond" w:hAnsi="Garamond"/>
        </w:rPr>
        <w:t xml:space="preserve"> randomized</w:t>
      </w:r>
      <w:r w:rsidR="00422E77">
        <w:rPr>
          <w:rFonts w:ascii="Garamond" w:hAnsi="Garamond"/>
        </w:rPr>
        <w:t xml:space="preserve"> among</w:t>
      </w:r>
      <w:r>
        <w:rPr>
          <w:rFonts w:ascii="Garamond" w:hAnsi="Garamond"/>
        </w:rPr>
        <w:t xml:space="preserve"> clinics </w:t>
      </w:r>
      <w:r w:rsidR="00422E77">
        <w:rPr>
          <w:rFonts w:ascii="Garamond" w:hAnsi="Garamond"/>
        </w:rPr>
        <w:t xml:space="preserve">that met </w:t>
      </w:r>
      <w:r>
        <w:rPr>
          <w:rFonts w:ascii="Garamond" w:hAnsi="Garamond"/>
        </w:rPr>
        <w:t>New Incentives</w:t>
      </w:r>
      <w:r w:rsidR="00422E77">
        <w:rPr>
          <w:rFonts w:ascii="Garamond" w:hAnsi="Garamond"/>
        </w:rPr>
        <w:t>’ criteria for operations, ensuring that our evaluation results are as representative as possible of those expect</w:t>
      </w:r>
      <w:r w:rsidR="00C82794">
        <w:rPr>
          <w:rFonts w:ascii="Garamond" w:hAnsi="Garamond"/>
        </w:rPr>
        <w:t>ed</w:t>
      </w:r>
      <w:r w:rsidR="00422E77">
        <w:rPr>
          <w:rFonts w:ascii="Garamond" w:hAnsi="Garamond"/>
        </w:rPr>
        <w:t xml:space="preserve"> if New Incentives scales up</w:t>
      </w:r>
      <w:r w:rsidR="00C82794">
        <w:rPr>
          <w:rFonts w:ascii="Garamond" w:hAnsi="Garamond"/>
        </w:rPr>
        <w:t xml:space="preserve"> throughout North West Nigeria</w:t>
      </w:r>
      <w:r>
        <w:rPr>
          <w:rFonts w:ascii="Garamond" w:hAnsi="Garamond"/>
        </w:rPr>
        <w:t xml:space="preserve">. Recognizing the importance of ensuring balance between treatment and control clinics, </w:t>
      </w:r>
      <w:proofErr w:type="spellStart"/>
      <w:r>
        <w:rPr>
          <w:rFonts w:ascii="Garamond" w:hAnsi="Garamond"/>
        </w:rPr>
        <w:t>GiveWell</w:t>
      </w:r>
      <w:proofErr w:type="spellEnd"/>
      <w:r>
        <w:rPr>
          <w:rFonts w:ascii="Garamond" w:hAnsi="Garamond"/>
        </w:rPr>
        <w:t xml:space="preserve">, New Incentives, and </w:t>
      </w:r>
      <w:proofErr w:type="spellStart"/>
      <w:r>
        <w:rPr>
          <w:rFonts w:ascii="Garamond" w:hAnsi="Garamond"/>
        </w:rPr>
        <w:t>IDinsight</w:t>
      </w:r>
      <w:proofErr w:type="spellEnd"/>
      <w:r>
        <w:rPr>
          <w:rFonts w:ascii="Garamond" w:hAnsi="Garamond"/>
        </w:rPr>
        <w:t xml:space="preserve"> agreed on a </w:t>
      </w:r>
      <w:r w:rsidR="008962FD">
        <w:rPr>
          <w:rFonts w:ascii="Garamond" w:hAnsi="Garamond"/>
        </w:rPr>
        <w:t>study</w:t>
      </w:r>
      <w:r>
        <w:rPr>
          <w:rFonts w:ascii="Garamond" w:hAnsi="Garamond"/>
        </w:rPr>
        <w:t xml:space="preserve"> design that included baseline survey activities. The objectives of randomization are highlighted below in </w:t>
      </w:r>
      <w:r w:rsidR="00E9718D">
        <w:rPr>
          <w:rFonts w:ascii="Garamond" w:hAnsi="Garamond"/>
        </w:rPr>
        <w:t xml:space="preserve">order </w:t>
      </w:r>
      <w:r>
        <w:rPr>
          <w:rFonts w:ascii="Garamond" w:hAnsi="Garamond"/>
        </w:rPr>
        <w:t>of importance:</w:t>
      </w:r>
    </w:p>
    <w:p w14:paraId="253BF82A" w14:textId="764EB892" w:rsidR="00EA1C2F" w:rsidRPr="00244D98" w:rsidRDefault="00EA1C2F" w:rsidP="006C30CC">
      <w:pPr>
        <w:pStyle w:val="ListParagraph"/>
        <w:numPr>
          <w:ilvl w:val="0"/>
          <w:numId w:val="36"/>
        </w:numPr>
        <w:spacing w:after="160" w:line="259" w:lineRule="auto"/>
        <w:jc w:val="both"/>
        <w:rPr>
          <w:rFonts w:ascii="Garamond" w:hAnsi="Garamond"/>
          <w:b/>
        </w:rPr>
      </w:pPr>
      <w:r>
        <w:rPr>
          <w:rFonts w:ascii="Garamond" w:hAnsi="Garamond"/>
        </w:rPr>
        <w:t>Ensure b</w:t>
      </w:r>
      <w:r w:rsidRPr="00244D98">
        <w:rPr>
          <w:rFonts w:ascii="Garamond" w:hAnsi="Garamond"/>
        </w:rPr>
        <w:t>alance on baseline</w:t>
      </w:r>
      <w:r>
        <w:rPr>
          <w:rFonts w:ascii="Garamond" w:hAnsi="Garamond"/>
        </w:rPr>
        <w:t xml:space="preserve"> routine immunization</w:t>
      </w:r>
      <w:r w:rsidRPr="00244D98">
        <w:rPr>
          <w:rFonts w:ascii="Garamond" w:hAnsi="Garamond"/>
        </w:rPr>
        <w:t xml:space="preserve"> coverage</w:t>
      </w:r>
      <w:r>
        <w:rPr>
          <w:rFonts w:ascii="Garamond" w:hAnsi="Garamond"/>
        </w:rPr>
        <w:t xml:space="preserve"> between treatment and control clinics</w:t>
      </w:r>
      <w:r w:rsidR="00AD239B">
        <w:rPr>
          <w:rFonts w:ascii="Garamond" w:hAnsi="Garamond"/>
        </w:rPr>
        <w:t>.</w:t>
      </w:r>
      <w:r w:rsidR="007F430A" w:rsidDel="007F430A">
        <w:rPr>
          <w:rStyle w:val="FootnoteReference"/>
          <w:rFonts w:ascii="Garamond" w:hAnsi="Garamond"/>
        </w:rPr>
        <w:t xml:space="preserve"> </w:t>
      </w:r>
    </w:p>
    <w:p w14:paraId="08AC1B88" w14:textId="77777777" w:rsidR="00EA1C2F" w:rsidRPr="00244D98" w:rsidRDefault="00EA1C2F" w:rsidP="006C30CC">
      <w:pPr>
        <w:pStyle w:val="ListParagraph"/>
        <w:numPr>
          <w:ilvl w:val="0"/>
          <w:numId w:val="36"/>
        </w:numPr>
        <w:spacing w:after="160" w:line="259" w:lineRule="auto"/>
        <w:jc w:val="both"/>
        <w:rPr>
          <w:rFonts w:ascii="Garamond" w:hAnsi="Garamond"/>
          <w:b/>
        </w:rPr>
      </w:pPr>
      <w:r w:rsidRPr="00244D98">
        <w:rPr>
          <w:rFonts w:ascii="Garamond" w:hAnsi="Garamond"/>
        </w:rPr>
        <w:t>Facilitate sub-sample analys</w:t>
      </w:r>
      <w:r>
        <w:rPr>
          <w:rFonts w:ascii="Garamond" w:hAnsi="Garamond"/>
        </w:rPr>
        <w:t>e</w:t>
      </w:r>
      <w:r w:rsidRPr="00244D98">
        <w:rPr>
          <w:rFonts w:ascii="Garamond" w:hAnsi="Garamond"/>
        </w:rPr>
        <w:t xml:space="preserve">s </w:t>
      </w:r>
      <w:r>
        <w:rPr>
          <w:rFonts w:ascii="Garamond" w:hAnsi="Garamond"/>
        </w:rPr>
        <w:t>to provide impact estimates for different scale-up scenarios.</w:t>
      </w:r>
    </w:p>
    <w:p w14:paraId="4DA8F3B1" w14:textId="7930D905" w:rsidR="00EA1C2F" w:rsidRPr="00244D98" w:rsidRDefault="00EA1C2F" w:rsidP="006C30CC">
      <w:pPr>
        <w:pStyle w:val="ListParagraph"/>
        <w:numPr>
          <w:ilvl w:val="0"/>
          <w:numId w:val="36"/>
        </w:numPr>
        <w:spacing w:after="160" w:line="259" w:lineRule="auto"/>
        <w:jc w:val="both"/>
        <w:rPr>
          <w:rFonts w:ascii="Garamond" w:hAnsi="Garamond"/>
          <w:b/>
        </w:rPr>
      </w:pPr>
      <w:r w:rsidRPr="00244D98">
        <w:rPr>
          <w:rFonts w:ascii="Garamond" w:hAnsi="Garamond"/>
        </w:rPr>
        <w:t xml:space="preserve">Allow flexibility </w:t>
      </w:r>
      <w:r>
        <w:rPr>
          <w:rFonts w:ascii="Garamond" w:hAnsi="Garamond"/>
        </w:rPr>
        <w:t xml:space="preserve">in the randomization and subsequent ramp-up timelines </w:t>
      </w:r>
      <w:r w:rsidR="00DC12E4">
        <w:rPr>
          <w:rFonts w:ascii="Garamond" w:hAnsi="Garamond"/>
        </w:rPr>
        <w:t>in response</w:t>
      </w:r>
      <w:r>
        <w:rPr>
          <w:rFonts w:ascii="Garamond" w:hAnsi="Garamond"/>
        </w:rPr>
        <w:t xml:space="preserve"> to changing security information.</w:t>
      </w:r>
    </w:p>
    <w:p w14:paraId="6599AB7C" w14:textId="77777777" w:rsidR="00EA1C2F" w:rsidRPr="00DC12E4" w:rsidRDefault="00EA1C2F" w:rsidP="000577DA">
      <w:pPr>
        <w:pStyle w:val="Heading2"/>
        <w:rPr>
          <w:rFonts w:ascii="Garamond" w:hAnsi="Garamond"/>
          <w:sz w:val="28"/>
          <w:szCs w:val="28"/>
        </w:rPr>
      </w:pPr>
      <w:r w:rsidRPr="00DC12E4">
        <w:rPr>
          <w:rFonts w:ascii="Garamond" w:hAnsi="Garamond"/>
          <w:sz w:val="28"/>
          <w:szCs w:val="28"/>
        </w:rPr>
        <w:t>Data Sources</w:t>
      </w:r>
    </w:p>
    <w:p w14:paraId="53549A40" w14:textId="77777777" w:rsidR="00EA1C2F" w:rsidRPr="00A9497D" w:rsidRDefault="00EA1C2F" w:rsidP="006C30CC">
      <w:pPr>
        <w:pStyle w:val="ListParagraph"/>
        <w:numPr>
          <w:ilvl w:val="0"/>
          <w:numId w:val="20"/>
        </w:numPr>
        <w:spacing w:before="40" w:after="160" w:line="259" w:lineRule="auto"/>
        <w:jc w:val="both"/>
        <w:rPr>
          <w:rFonts w:ascii="Garamond" w:hAnsi="Garamond"/>
          <w:b/>
        </w:rPr>
      </w:pPr>
      <w:proofErr w:type="spellStart"/>
      <w:r w:rsidRPr="00244D98">
        <w:rPr>
          <w:rFonts w:ascii="Garamond" w:hAnsi="Garamond"/>
        </w:rPr>
        <w:t>IDinsight</w:t>
      </w:r>
      <w:proofErr w:type="spellEnd"/>
      <w:r w:rsidRPr="00244D98">
        <w:rPr>
          <w:rFonts w:ascii="Garamond" w:hAnsi="Garamond"/>
        </w:rPr>
        <w:t xml:space="preserve"> baseline coverage survey in Katsina/Zamfara</w:t>
      </w:r>
    </w:p>
    <w:p w14:paraId="6FAE59CC" w14:textId="77777777" w:rsidR="00EA1C2F" w:rsidRPr="00244D98" w:rsidRDefault="00EA1C2F" w:rsidP="006C30CC">
      <w:pPr>
        <w:pStyle w:val="ListParagraph"/>
        <w:numPr>
          <w:ilvl w:val="0"/>
          <w:numId w:val="20"/>
        </w:numPr>
        <w:spacing w:after="160" w:line="259" w:lineRule="auto"/>
        <w:jc w:val="both"/>
        <w:rPr>
          <w:rFonts w:ascii="Garamond" w:hAnsi="Garamond"/>
          <w:b/>
        </w:rPr>
      </w:pPr>
      <w:r w:rsidRPr="00244D98">
        <w:rPr>
          <w:rFonts w:ascii="Garamond" w:hAnsi="Garamond"/>
        </w:rPr>
        <w:t>New Incentives</w:t>
      </w:r>
      <w:r>
        <w:rPr>
          <w:rFonts w:ascii="Garamond" w:hAnsi="Garamond"/>
        </w:rPr>
        <w:t>’</w:t>
      </w:r>
      <w:r w:rsidRPr="00244D98">
        <w:rPr>
          <w:rFonts w:ascii="Garamond" w:hAnsi="Garamond"/>
        </w:rPr>
        <w:t xml:space="preserve"> initial clinic screening</w:t>
      </w:r>
    </w:p>
    <w:p w14:paraId="0EB7CB11" w14:textId="77777777" w:rsidR="00EA1C2F" w:rsidRPr="00244D98" w:rsidRDefault="00EA1C2F" w:rsidP="006C30CC">
      <w:pPr>
        <w:pStyle w:val="ListParagraph"/>
        <w:numPr>
          <w:ilvl w:val="0"/>
          <w:numId w:val="20"/>
        </w:numPr>
        <w:spacing w:after="160" w:line="259" w:lineRule="auto"/>
        <w:jc w:val="both"/>
        <w:rPr>
          <w:rFonts w:ascii="Garamond" w:hAnsi="Garamond"/>
          <w:b/>
        </w:rPr>
      </w:pPr>
      <w:r w:rsidRPr="00244D98">
        <w:rPr>
          <w:rFonts w:ascii="Garamond" w:hAnsi="Garamond"/>
        </w:rPr>
        <w:t>New Incentives</w:t>
      </w:r>
      <w:r>
        <w:rPr>
          <w:rFonts w:ascii="Garamond" w:hAnsi="Garamond"/>
        </w:rPr>
        <w:t>’</w:t>
      </w:r>
      <w:r w:rsidRPr="00244D98">
        <w:rPr>
          <w:rFonts w:ascii="Garamond" w:hAnsi="Garamond"/>
        </w:rPr>
        <w:t xml:space="preserve"> security </w:t>
      </w:r>
      <w:r>
        <w:rPr>
          <w:rFonts w:ascii="Garamond" w:hAnsi="Garamond"/>
        </w:rPr>
        <w:t>monitoring</w:t>
      </w:r>
    </w:p>
    <w:p w14:paraId="3BF60AA4" w14:textId="77777777" w:rsidR="00EA1C2F" w:rsidRPr="00DC12E4" w:rsidRDefault="00EA1C2F" w:rsidP="000577DA">
      <w:pPr>
        <w:pStyle w:val="Heading2"/>
        <w:rPr>
          <w:rFonts w:ascii="Garamond" w:hAnsi="Garamond"/>
          <w:sz w:val="28"/>
          <w:szCs w:val="28"/>
        </w:rPr>
      </w:pPr>
      <w:r w:rsidRPr="00DC12E4">
        <w:rPr>
          <w:rFonts w:ascii="Garamond" w:hAnsi="Garamond"/>
          <w:sz w:val="28"/>
          <w:szCs w:val="28"/>
        </w:rPr>
        <w:lastRenderedPageBreak/>
        <w:t>Randomization Phases</w:t>
      </w:r>
    </w:p>
    <w:p w14:paraId="690309A5" w14:textId="6BD12D40" w:rsidR="00EA1C2F" w:rsidRPr="000F025E" w:rsidRDefault="00EA1C2F" w:rsidP="00DC12E4">
      <w:pPr>
        <w:spacing w:after="40"/>
        <w:jc w:val="both"/>
        <w:rPr>
          <w:rFonts w:ascii="Garamond" w:hAnsi="Garamond"/>
        </w:rPr>
      </w:pPr>
      <w:r>
        <w:rPr>
          <w:rFonts w:ascii="Garamond" w:hAnsi="Garamond"/>
        </w:rPr>
        <w:t>Randomization was broken into</w:t>
      </w:r>
      <w:r w:rsidR="002F7013">
        <w:rPr>
          <w:rFonts w:ascii="Garamond" w:hAnsi="Garamond"/>
        </w:rPr>
        <w:t xml:space="preserve"> two</w:t>
      </w:r>
      <w:r>
        <w:rPr>
          <w:rFonts w:ascii="Garamond" w:hAnsi="Garamond"/>
        </w:rPr>
        <w:t xml:space="preserve"> phases to balance the need to start operations while allowing time for New Incentives to re-asses the security situation in some clinics. The attributes of each wave </w:t>
      </w:r>
      <w:r w:rsidR="00714BFE">
        <w:rPr>
          <w:rFonts w:ascii="Garamond" w:hAnsi="Garamond"/>
        </w:rPr>
        <w:t>we</w:t>
      </w:r>
      <w:r>
        <w:rPr>
          <w:rFonts w:ascii="Garamond" w:hAnsi="Garamond"/>
        </w:rPr>
        <w:t>re:</w:t>
      </w:r>
    </w:p>
    <w:p w14:paraId="3495F781" w14:textId="6B888509" w:rsidR="00EA1C2F" w:rsidRPr="00244D98" w:rsidRDefault="00EA1C2F" w:rsidP="006C30CC">
      <w:pPr>
        <w:pStyle w:val="ListParagraph"/>
        <w:numPr>
          <w:ilvl w:val="0"/>
          <w:numId w:val="17"/>
        </w:numPr>
        <w:spacing w:after="160"/>
        <w:jc w:val="both"/>
        <w:rPr>
          <w:rFonts w:ascii="Garamond" w:hAnsi="Garamond"/>
          <w:b/>
        </w:rPr>
      </w:pPr>
      <w:r w:rsidRPr="000F025E">
        <w:rPr>
          <w:rFonts w:ascii="Garamond" w:hAnsi="Garamond"/>
          <w:b/>
        </w:rPr>
        <w:t>Secure Wave</w:t>
      </w:r>
      <w:r w:rsidRPr="00244D98">
        <w:rPr>
          <w:rFonts w:ascii="Garamond" w:hAnsi="Garamond"/>
        </w:rPr>
        <w:t xml:space="preserve">: </w:t>
      </w:r>
      <w:r w:rsidR="00AD239B">
        <w:rPr>
          <w:rFonts w:ascii="Garamond" w:hAnsi="Garamond"/>
        </w:rPr>
        <w:t>I</w:t>
      </w:r>
      <w:r w:rsidRPr="00244D98">
        <w:rPr>
          <w:rFonts w:ascii="Garamond" w:hAnsi="Garamond"/>
        </w:rPr>
        <w:t>nitial randomization to allow</w:t>
      </w:r>
      <w:r>
        <w:rPr>
          <w:rFonts w:ascii="Garamond" w:hAnsi="Garamond"/>
        </w:rPr>
        <w:t xml:space="preserve"> New Incentives to start rolling out to</w:t>
      </w:r>
      <w:r w:rsidR="00AD239B">
        <w:rPr>
          <w:rFonts w:ascii="Garamond" w:hAnsi="Garamond"/>
        </w:rPr>
        <w:t xml:space="preserve"> secure</w:t>
      </w:r>
      <w:r>
        <w:rPr>
          <w:rFonts w:ascii="Garamond" w:hAnsi="Garamond"/>
        </w:rPr>
        <w:t xml:space="preserve"> </w:t>
      </w:r>
      <w:r w:rsidR="008962FD">
        <w:rPr>
          <w:rFonts w:ascii="Garamond" w:hAnsi="Garamond"/>
        </w:rPr>
        <w:t>study</w:t>
      </w:r>
      <w:r>
        <w:rPr>
          <w:rFonts w:ascii="Garamond" w:hAnsi="Garamond"/>
        </w:rPr>
        <w:t xml:space="preserve"> clinics</w:t>
      </w:r>
      <w:r w:rsidRPr="00244D98">
        <w:rPr>
          <w:rFonts w:ascii="Garamond" w:hAnsi="Garamond"/>
        </w:rPr>
        <w:t xml:space="preserve"> </w:t>
      </w:r>
      <w:r>
        <w:rPr>
          <w:rFonts w:ascii="Garamond" w:hAnsi="Garamond"/>
        </w:rPr>
        <w:t>(early November 2017)</w:t>
      </w:r>
    </w:p>
    <w:p w14:paraId="7844CD4D" w14:textId="16E8F93B" w:rsidR="00EA1C2F" w:rsidRPr="00244D98" w:rsidRDefault="00EA1C2F" w:rsidP="006C30CC">
      <w:pPr>
        <w:pStyle w:val="ListParagraph"/>
        <w:numPr>
          <w:ilvl w:val="1"/>
          <w:numId w:val="21"/>
        </w:numPr>
        <w:spacing w:after="160" w:line="259" w:lineRule="auto"/>
        <w:jc w:val="both"/>
        <w:rPr>
          <w:rFonts w:ascii="Garamond" w:hAnsi="Garamond"/>
          <w:b/>
        </w:rPr>
      </w:pPr>
      <w:r>
        <w:rPr>
          <w:rFonts w:ascii="Garamond" w:hAnsi="Garamond"/>
        </w:rPr>
        <w:t>R</w:t>
      </w:r>
      <w:r w:rsidRPr="00244D98">
        <w:rPr>
          <w:rFonts w:ascii="Garamond" w:hAnsi="Garamond"/>
        </w:rPr>
        <w:t>andomization of secure clinics in Katsina and Zamfara</w:t>
      </w:r>
      <w:r w:rsidR="00DC12E4">
        <w:rPr>
          <w:rFonts w:ascii="Garamond" w:hAnsi="Garamond"/>
        </w:rPr>
        <w:t>.</w:t>
      </w:r>
    </w:p>
    <w:p w14:paraId="02850115" w14:textId="1078CA2D" w:rsidR="00EA1C2F" w:rsidRPr="00244D98" w:rsidRDefault="00EA1C2F" w:rsidP="006C30CC">
      <w:pPr>
        <w:pStyle w:val="ListParagraph"/>
        <w:numPr>
          <w:ilvl w:val="1"/>
          <w:numId w:val="21"/>
        </w:numPr>
        <w:spacing w:after="160" w:line="259" w:lineRule="auto"/>
        <w:jc w:val="both"/>
        <w:rPr>
          <w:rFonts w:ascii="Garamond" w:hAnsi="Garamond"/>
          <w:b/>
        </w:rPr>
      </w:pPr>
      <w:r>
        <w:rPr>
          <w:rFonts w:ascii="Garamond" w:hAnsi="Garamond"/>
        </w:rPr>
        <w:t>R</w:t>
      </w:r>
      <w:r w:rsidRPr="00244D98">
        <w:rPr>
          <w:rFonts w:ascii="Garamond" w:hAnsi="Garamond"/>
        </w:rPr>
        <w:t>andomization of 16 clinics in Jigawa without baseline coverage information</w:t>
      </w:r>
      <w:r>
        <w:rPr>
          <w:rFonts w:ascii="Garamond" w:hAnsi="Garamond"/>
        </w:rPr>
        <w:t>. New Incentives chose these clinics</w:t>
      </w:r>
      <w:r w:rsidR="00490BCB">
        <w:rPr>
          <w:rFonts w:ascii="Garamond" w:hAnsi="Garamond"/>
        </w:rPr>
        <w:t xml:space="preserve"> - </w:t>
      </w:r>
      <w:r>
        <w:rPr>
          <w:rFonts w:ascii="Garamond" w:hAnsi="Garamond"/>
        </w:rPr>
        <w:t xml:space="preserve">in a region where it already has trained staff </w:t>
      </w:r>
      <w:r w:rsidR="00490BCB">
        <w:rPr>
          <w:rFonts w:ascii="Garamond" w:hAnsi="Garamond"/>
        </w:rPr>
        <w:t xml:space="preserve">- </w:t>
      </w:r>
      <w:r>
        <w:rPr>
          <w:rFonts w:ascii="Garamond" w:hAnsi="Garamond"/>
        </w:rPr>
        <w:t xml:space="preserve">from the full list of clinics. These clinics did not have a higher probability of being selected for </w:t>
      </w:r>
      <w:r w:rsidR="00F912B2">
        <w:rPr>
          <w:rFonts w:ascii="Garamond" w:hAnsi="Garamond"/>
        </w:rPr>
        <w:t>treatment</w:t>
      </w:r>
      <w:r>
        <w:rPr>
          <w:rFonts w:ascii="Garamond" w:hAnsi="Garamond"/>
        </w:rPr>
        <w:t xml:space="preserve">, as the full list of clinics was randomized in later waves. </w:t>
      </w:r>
    </w:p>
    <w:p w14:paraId="43872AB7" w14:textId="447A1340" w:rsidR="00EA1C2F" w:rsidRPr="00244D98" w:rsidRDefault="00EA1C2F" w:rsidP="006C30CC">
      <w:pPr>
        <w:pStyle w:val="ListParagraph"/>
        <w:numPr>
          <w:ilvl w:val="0"/>
          <w:numId w:val="21"/>
        </w:numPr>
        <w:spacing w:after="160"/>
        <w:jc w:val="both"/>
        <w:rPr>
          <w:rFonts w:ascii="Garamond" w:hAnsi="Garamond"/>
          <w:b/>
        </w:rPr>
      </w:pPr>
      <w:r w:rsidRPr="001B565C">
        <w:rPr>
          <w:rFonts w:ascii="Garamond" w:hAnsi="Garamond"/>
          <w:b/>
        </w:rPr>
        <w:t>Security Compromised Wave</w:t>
      </w:r>
      <w:r w:rsidR="00C94271">
        <w:rPr>
          <w:rStyle w:val="FootnoteReference"/>
          <w:rFonts w:ascii="Garamond" w:hAnsi="Garamond"/>
          <w:b/>
        </w:rPr>
        <w:footnoteReference w:id="78"/>
      </w:r>
      <w:r w:rsidR="00F25BB3">
        <w:rPr>
          <w:rFonts w:ascii="Garamond" w:hAnsi="Garamond"/>
          <w:b/>
        </w:rPr>
        <w:t>:</w:t>
      </w:r>
      <w:r w:rsidRPr="00244D98">
        <w:rPr>
          <w:rFonts w:ascii="Garamond" w:hAnsi="Garamond"/>
        </w:rPr>
        <w:t xml:space="preserve"> Randomization after</w:t>
      </w:r>
      <w:r w:rsidR="00490BCB">
        <w:rPr>
          <w:rFonts w:ascii="Garamond" w:hAnsi="Garamond"/>
        </w:rPr>
        <w:t xml:space="preserve"> all stakeholders reassessed</w:t>
      </w:r>
      <w:r w:rsidRPr="00244D98">
        <w:rPr>
          <w:rFonts w:ascii="Garamond" w:hAnsi="Garamond"/>
        </w:rPr>
        <w:t xml:space="preserve"> security issues </w:t>
      </w:r>
      <w:r>
        <w:rPr>
          <w:rFonts w:ascii="Garamond" w:hAnsi="Garamond"/>
        </w:rPr>
        <w:t xml:space="preserve">and </w:t>
      </w:r>
      <w:proofErr w:type="spellStart"/>
      <w:r>
        <w:rPr>
          <w:rFonts w:ascii="Garamond" w:hAnsi="Garamond"/>
        </w:rPr>
        <w:t>IDinsight</w:t>
      </w:r>
      <w:proofErr w:type="spellEnd"/>
      <w:r>
        <w:rPr>
          <w:rFonts w:ascii="Garamond" w:hAnsi="Garamond"/>
        </w:rPr>
        <w:t xml:space="preserve"> explored administrative data options for stratifying Jigawa clinics</w:t>
      </w:r>
      <w:r w:rsidR="00490BCB">
        <w:rPr>
          <w:rFonts w:ascii="Garamond" w:hAnsi="Garamond"/>
        </w:rPr>
        <w:t xml:space="preserve"> by</w:t>
      </w:r>
      <w:r>
        <w:rPr>
          <w:rFonts w:ascii="Garamond" w:hAnsi="Garamond"/>
        </w:rPr>
        <w:t xml:space="preserve"> coverage. Unfortunately, </w:t>
      </w:r>
      <w:proofErr w:type="spellStart"/>
      <w:r>
        <w:rPr>
          <w:rFonts w:ascii="Garamond" w:hAnsi="Garamond"/>
        </w:rPr>
        <w:t>IDinsight</w:t>
      </w:r>
      <w:proofErr w:type="spellEnd"/>
      <w:r>
        <w:rPr>
          <w:rFonts w:ascii="Garamond" w:hAnsi="Garamond"/>
        </w:rPr>
        <w:t xml:space="preserve"> determined administrative data</w:t>
      </w:r>
      <w:r w:rsidR="00490BCB">
        <w:rPr>
          <w:rFonts w:ascii="Garamond" w:hAnsi="Garamond"/>
        </w:rPr>
        <w:t xml:space="preserve"> was not reliable enough for this purpose</w:t>
      </w:r>
      <w:r w:rsidR="00427E4E">
        <w:rPr>
          <w:rFonts w:ascii="Garamond" w:hAnsi="Garamond"/>
        </w:rPr>
        <w:t>, so</w:t>
      </w:r>
      <w:r>
        <w:rPr>
          <w:rFonts w:ascii="Garamond" w:hAnsi="Garamond"/>
        </w:rPr>
        <w:t xml:space="preserve"> </w:t>
      </w:r>
      <w:r w:rsidR="00490BCB">
        <w:rPr>
          <w:rFonts w:ascii="Garamond" w:hAnsi="Garamond"/>
        </w:rPr>
        <w:t xml:space="preserve">Jigawa clinics </w:t>
      </w:r>
      <w:r>
        <w:rPr>
          <w:rFonts w:ascii="Garamond" w:hAnsi="Garamond"/>
        </w:rPr>
        <w:t>were randomized using</w:t>
      </w:r>
      <w:r w:rsidR="00490BCB">
        <w:rPr>
          <w:rFonts w:ascii="Garamond" w:hAnsi="Garamond"/>
        </w:rPr>
        <w:t xml:space="preserve"> only</w:t>
      </w:r>
      <w:r>
        <w:rPr>
          <w:rFonts w:ascii="Garamond" w:hAnsi="Garamond"/>
        </w:rPr>
        <w:t xml:space="preserve"> the other stratification criteria. </w:t>
      </w:r>
      <w:r w:rsidRPr="00244D98">
        <w:rPr>
          <w:rFonts w:ascii="Garamond" w:hAnsi="Garamond"/>
        </w:rPr>
        <w:t xml:space="preserve"> </w:t>
      </w:r>
    </w:p>
    <w:p w14:paraId="337E8F24" w14:textId="77777777" w:rsidR="00EA1C2F" w:rsidRPr="00244D98" w:rsidRDefault="00EA1C2F" w:rsidP="006C30CC">
      <w:pPr>
        <w:pStyle w:val="ListParagraph"/>
        <w:numPr>
          <w:ilvl w:val="1"/>
          <w:numId w:val="22"/>
        </w:numPr>
        <w:spacing w:after="160" w:line="259" w:lineRule="auto"/>
        <w:jc w:val="both"/>
        <w:rPr>
          <w:rFonts w:ascii="Garamond" w:hAnsi="Garamond"/>
          <w:b/>
        </w:rPr>
      </w:pPr>
      <w:r w:rsidRPr="00244D98">
        <w:rPr>
          <w:rFonts w:ascii="Garamond" w:hAnsi="Garamond"/>
        </w:rPr>
        <w:t>Randomization of additional clinics in Katsina and Zamfara</w:t>
      </w:r>
    </w:p>
    <w:p w14:paraId="19462EB3" w14:textId="77777777" w:rsidR="00EA1C2F" w:rsidRPr="00244D98" w:rsidRDefault="00EA1C2F" w:rsidP="006C30CC">
      <w:pPr>
        <w:pStyle w:val="ListParagraph"/>
        <w:numPr>
          <w:ilvl w:val="1"/>
          <w:numId w:val="22"/>
        </w:numPr>
        <w:spacing w:after="160" w:line="259" w:lineRule="auto"/>
        <w:jc w:val="both"/>
        <w:rPr>
          <w:rFonts w:ascii="Garamond" w:hAnsi="Garamond"/>
          <w:b/>
        </w:rPr>
      </w:pPr>
      <w:r w:rsidRPr="00244D98">
        <w:rPr>
          <w:rFonts w:ascii="Garamond" w:hAnsi="Garamond"/>
        </w:rPr>
        <w:t>Randomiz</w:t>
      </w:r>
      <w:r>
        <w:rPr>
          <w:rFonts w:ascii="Garamond" w:hAnsi="Garamond"/>
        </w:rPr>
        <w:t>ation of</w:t>
      </w:r>
      <w:r w:rsidRPr="00244D98">
        <w:rPr>
          <w:rFonts w:ascii="Garamond" w:hAnsi="Garamond"/>
        </w:rPr>
        <w:t xml:space="preserve"> remaining</w:t>
      </w:r>
      <w:r>
        <w:rPr>
          <w:rFonts w:ascii="Garamond" w:hAnsi="Garamond"/>
        </w:rPr>
        <w:t xml:space="preserve"> clinics </w:t>
      </w:r>
      <w:r w:rsidRPr="00244D98">
        <w:rPr>
          <w:rFonts w:ascii="Garamond" w:hAnsi="Garamond"/>
        </w:rPr>
        <w:t>in Jigawa</w:t>
      </w:r>
    </w:p>
    <w:p w14:paraId="466B5479" w14:textId="77777777" w:rsidR="00EA1C2F" w:rsidRPr="00B92252" w:rsidRDefault="00EA1C2F" w:rsidP="00B92252">
      <w:pPr>
        <w:pStyle w:val="Heading2"/>
        <w:rPr>
          <w:rFonts w:ascii="Garamond" w:hAnsi="Garamond"/>
          <w:sz w:val="28"/>
          <w:szCs w:val="28"/>
        </w:rPr>
      </w:pPr>
      <w:r w:rsidRPr="00B92252">
        <w:rPr>
          <w:rFonts w:ascii="Garamond" w:hAnsi="Garamond"/>
          <w:sz w:val="28"/>
          <w:szCs w:val="28"/>
        </w:rPr>
        <w:t xml:space="preserve">Preparing for Randomization </w:t>
      </w:r>
    </w:p>
    <w:p w14:paraId="277CCF88" w14:textId="42A813CF" w:rsidR="002F7013" w:rsidRPr="00B92252" w:rsidRDefault="00EA1C2F" w:rsidP="00B92252">
      <w:pPr>
        <w:keepNext/>
        <w:jc w:val="both"/>
        <w:rPr>
          <w:rFonts w:ascii="Garamond" w:hAnsi="Garamond"/>
        </w:rPr>
      </w:pPr>
      <w:r>
        <w:rPr>
          <w:rFonts w:ascii="Garamond" w:hAnsi="Garamond"/>
        </w:rPr>
        <w:t>Below is a high-level overview of the relationship between the clinic list and randomization units as well as the construction of the stratification variables:</w:t>
      </w:r>
    </w:p>
    <w:p w14:paraId="7689546F" w14:textId="77777777" w:rsidR="002F7013" w:rsidRDefault="002F7013" w:rsidP="00AD239B">
      <w:pPr>
        <w:jc w:val="both"/>
        <w:rPr>
          <w:rFonts w:ascii="Garamond" w:hAnsi="Garamond"/>
          <w:i/>
        </w:rPr>
      </w:pPr>
    </w:p>
    <w:p w14:paraId="3F8D8296" w14:textId="7A324B8D" w:rsidR="00EA1C2F" w:rsidRPr="000577DA" w:rsidRDefault="00EA1C2F" w:rsidP="00B92252">
      <w:pPr>
        <w:keepNext/>
        <w:spacing w:line="259" w:lineRule="auto"/>
        <w:jc w:val="both"/>
        <w:rPr>
          <w:rFonts w:ascii="Garamond" w:hAnsi="Garamond"/>
          <w:b/>
          <w:i/>
        </w:rPr>
      </w:pPr>
      <w:r w:rsidRPr="000577DA">
        <w:rPr>
          <w:rFonts w:ascii="Garamond" w:hAnsi="Garamond"/>
          <w:b/>
          <w:i/>
        </w:rPr>
        <w:t>Randomization Units</w:t>
      </w:r>
    </w:p>
    <w:p w14:paraId="32D7918E" w14:textId="77777777" w:rsidR="00EA1C2F" w:rsidRPr="00244D98" w:rsidRDefault="00EA1C2F" w:rsidP="006C30CC">
      <w:pPr>
        <w:pStyle w:val="ListParagraph"/>
        <w:keepNext/>
        <w:numPr>
          <w:ilvl w:val="0"/>
          <w:numId w:val="18"/>
        </w:numPr>
        <w:spacing w:after="160" w:line="259" w:lineRule="auto"/>
        <w:jc w:val="both"/>
        <w:rPr>
          <w:rFonts w:ascii="Garamond" w:hAnsi="Garamond"/>
        </w:rPr>
      </w:pPr>
      <w:r w:rsidRPr="00244D98">
        <w:rPr>
          <w:rFonts w:ascii="Garamond" w:hAnsi="Garamond"/>
        </w:rPr>
        <w:t>Remove compl</w:t>
      </w:r>
      <w:r>
        <w:rPr>
          <w:rFonts w:ascii="Garamond" w:hAnsi="Garamond"/>
        </w:rPr>
        <w:t>e</w:t>
      </w:r>
      <w:r w:rsidRPr="00244D98">
        <w:rPr>
          <w:rFonts w:ascii="Garamond" w:hAnsi="Garamond"/>
        </w:rPr>
        <w:t>mentary clinics</w:t>
      </w:r>
    </w:p>
    <w:p w14:paraId="12F7BEFE" w14:textId="77777777" w:rsidR="00EA1C2F" w:rsidRPr="00244D98" w:rsidRDefault="00EA1C2F" w:rsidP="006C30CC">
      <w:pPr>
        <w:pStyle w:val="ListParagraph"/>
        <w:numPr>
          <w:ilvl w:val="1"/>
          <w:numId w:val="24"/>
        </w:numPr>
        <w:spacing w:after="160" w:line="259" w:lineRule="auto"/>
        <w:jc w:val="both"/>
        <w:rPr>
          <w:rFonts w:ascii="Garamond" w:hAnsi="Garamond"/>
        </w:rPr>
      </w:pPr>
      <w:r>
        <w:rPr>
          <w:rFonts w:ascii="Garamond" w:hAnsi="Garamond"/>
        </w:rPr>
        <w:t>There are some non-study</w:t>
      </w:r>
      <w:r w:rsidRPr="00244D98">
        <w:rPr>
          <w:rFonts w:ascii="Garamond" w:hAnsi="Garamond"/>
        </w:rPr>
        <w:t xml:space="preserve"> clinics</w:t>
      </w:r>
      <w:r>
        <w:rPr>
          <w:rFonts w:ascii="Garamond" w:hAnsi="Garamond"/>
        </w:rPr>
        <w:t xml:space="preserve"> which</w:t>
      </w:r>
      <w:r w:rsidRPr="00244D98">
        <w:rPr>
          <w:rFonts w:ascii="Garamond" w:hAnsi="Garamond"/>
        </w:rPr>
        <w:t xml:space="preserve"> share a catchment area with a study clinic or have a</w:t>
      </w:r>
      <w:r>
        <w:rPr>
          <w:rFonts w:ascii="Garamond" w:hAnsi="Garamond"/>
        </w:rPr>
        <w:t xml:space="preserve"> poorly </w:t>
      </w:r>
      <w:r w:rsidRPr="00244D98">
        <w:rPr>
          <w:rFonts w:ascii="Garamond" w:hAnsi="Garamond"/>
        </w:rPr>
        <w:t>defined catchment border with a study clinic with</w:t>
      </w:r>
      <w:r>
        <w:rPr>
          <w:rFonts w:ascii="Garamond" w:hAnsi="Garamond"/>
        </w:rPr>
        <w:t>in</w:t>
      </w:r>
      <w:r w:rsidRPr="00244D98">
        <w:rPr>
          <w:rFonts w:ascii="Garamond" w:hAnsi="Garamond"/>
        </w:rPr>
        <w:t xml:space="preserve"> a town.</w:t>
      </w:r>
      <w:r>
        <w:rPr>
          <w:rFonts w:ascii="Garamond" w:hAnsi="Garamond"/>
        </w:rPr>
        <w:t xml:space="preserve"> We call these clinics ‘complementary clinics.’</w:t>
      </w:r>
    </w:p>
    <w:p w14:paraId="4566D7E9" w14:textId="2DC746ED" w:rsidR="00EA1C2F" w:rsidRDefault="00EA1C2F" w:rsidP="006C30CC">
      <w:pPr>
        <w:pStyle w:val="ListParagraph"/>
        <w:numPr>
          <w:ilvl w:val="1"/>
          <w:numId w:val="24"/>
        </w:numPr>
        <w:spacing w:after="160" w:line="259" w:lineRule="auto"/>
        <w:jc w:val="both"/>
        <w:rPr>
          <w:rFonts w:ascii="Garamond" w:hAnsi="Garamond"/>
        </w:rPr>
      </w:pPr>
      <w:r w:rsidRPr="00244D98">
        <w:rPr>
          <w:rFonts w:ascii="Garamond" w:hAnsi="Garamond"/>
        </w:rPr>
        <w:t>In general</w:t>
      </w:r>
      <w:r>
        <w:rPr>
          <w:rFonts w:ascii="Garamond" w:hAnsi="Garamond"/>
        </w:rPr>
        <w:t>,</w:t>
      </w:r>
      <w:r w:rsidRPr="00244D98">
        <w:rPr>
          <w:rFonts w:ascii="Garamond" w:hAnsi="Garamond"/>
        </w:rPr>
        <w:t xml:space="preserve"> we will survey the </w:t>
      </w:r>
      <w:r>
        <w:rPr>
          <w:rFonts w:ascii="Garamond" w:hAnsi="Garamond"/>
        </w:rPr>
        <w:t>clinic catchment</w:t>
      </w:r>
      <w:r w:rsidRPr="00244D98">
        <w:rPr>
          <w:rFonts w:ascii="Garamond" w:hAnsi="Garamond"/>
        </w:rPr>
        <w:t xml:space="preserve"> under analysis</w:t>
      </w:r>
      <w:r>
        <w:rPr>
          <w:rFonts w:ascii="Garamond" w:hAnsi="Garamond"/>
        </w:rPr>
        <w:t>. We</w:t>
      </w:r>
      <w:r w:rsidRPr="00244D98">
        <w:rPr>
          <w:rFonts w:ascii="Garamond" w:hAnsi="Garamond"/>
        </w:rPr>
        <w:t xml:space="preserve"> have suggested New Incentives operate at these </w:t>
      </w:r>
      <w:r>
        <w:rPr>
          <w:rFonts w:ascii="Garamond" w:hAnsi="Garamond"/>
        </w:rPr>
        <w:t xml:space="preserve">complementary </w:t>
      </w:r>
      <w:r w:rsidRPr="00244D98">
        <w:rPr>
          <w:rFonts w:ascii="Garamond" w:hAnsi="Garamond"/>
        </w:rPr>
        <w:t>clinics</w:t>
      </w:r>
      <w:r>
        <w:rPr>
          <w:rFonts w:ascii="Garamond" w:hAnsi="Garamond"/>
        </w:rPr>
        <w:t xml:space="preserve"> to</w:t>
      </w:r>
      <w:r w:rsidRPr="00244D98">
        <w:rPr>
          <w:rFonts w:ascii="Garamond" w:hAnsi="Garamond"/>
        </w:rPr>
        <w:t xml:space="preserve"> ensure </w:t>
      </w:r>
      <w:r>
        <w:rPr>
          <w:rFonts w:ascii="Garamond" w:hAnsi="Garamond"/>
        </w:rPr>
        <w:t xml:space="preserve">the catchment areas we survey are fully treated. For example, if people in a </w:t>
      </w:r>
      <w:proofErr w:type="gramStart"/>
      <w:r>
        <w:rPr>
          <w:rFonts w:ascii="Garamond" w:hAnsi="Garamond"/>
        </w:rPr>
        <w:t>particular neighborhood</w:t>
      </w:r>
      <w:proofErr w:type="gramEnd"/>
      <w:r>
        <w:rPr>
          <w:rFonts w:ascii="Garamond" w:hAnsi="Garamond"/>
        </w:rPr>
        <w:t xml:space="preserve"> customarily go to two clinics</w:t>
      </w:r>
      <w:r w:rsidR="002A5D51">
        <w:rPr>
          <w:rFonts w:ascii="Garamond" w:hAnsi="Garamond"/>
        </w:rPr>
        <w:t>,</w:t>
      </w:r>
      <w:r>
        <w:rPr>
          <w:rFonts w:ascii="Garamond" w:hAnsi="Garamond"/>
        </w:rPr>
        <w:t xml:space="preserve"> we want to ensure both are served by New Incentives.</w:t>
      </w:r>
    </w:p>
    <w:p w14:paraId="1575E3FB" w14:textId="77777777" w:rsidR="00EA1C2F" w:rsidRPr="00244D98" w:rsidRDefault="00EA1C2F" w:rsidP="006C30CC">
      <w:pPr>
        <w:pStyle w:val="ListParagraph"/>
        <w:numPr>
          <w:ilvl w:val="0"/>
          <w:numId w:val="18"/>
        </w:numPr>
        <w:spacing w:after="160" w:line="259" w:lineRule="auto"/>
        <w:jc w:val="both"/>
        <w:rPr>
          <w:rFonts w:ascii="Garamond" w:hAnsi="Garamond"/>
        </w:rPr>
      </w:pPr>
      <w:r w:rsidRPr="00244D98">
        <w:rPr>
          <w:rFonts w:ascii="Garamond" w:hAnsi="Garamond"/>
        </w:rPr>
        <w:t>Define clinics to be randomized as a pair</w:t>
      </w:r>
      <w:r>
        <w:rPr>
          <w:rFonts w:ascii="Garamond" w:hAnsi="Garamond"/>
        </w:rPr>
        <w:t>.</w:t>
      </w:r>
    </w:p>
    <w:p w14:paraId="66B7E1F5" w14:textId="7E43FF9A" w:rsidR="00EA1C2F" w:rsidRPr="00244D98" w:rsidRDefault="00EA1C2F" w:rsidP="006C30CC">
      <w:pPr>
        <w:pStyle w:val="ListParagraph"/>
        <w:numPr>
          <w:ilvl w:val="1"/>
          <w:numId w:val="29"/>
        </w:numPr>
        <w:spacing w:after="160" w:line="259" w:lineRule="auto"/>
        <w:jc w:val="both"/>
        <w:rPr>
          <w:rFonts w:ascii="Garamond" w:hAnsi="Garamond"/>
        </w:rPr>
      </w:pPr>
      <w:r w:rsidRPr="00244D98">
        <w:rPr>
          <w:rFonts w:ascii="Garamond" w:hAnsi="Garamond"/>
        </w:rPr>
        <w:t>During the screening process</w:t>
      </w:r>
      <w:r>
        <w:rPr>
          <w:rFonts w:ascii="Garamond" w:hAnsi="Garamond"/>
        </w:rPr>
        <w:t>,</w:t>
      </w:r>
      <w:r w:rsidRPr="00244D98">
        <w:rPr>
          <w:rFonts w:ascii="Garamond" w:hAnsi="Garamond"/>
        </w:rPr>
        <w:t xml:space="preserve"> </w:t>
      </w:r>
      <w:r>
        <w:rPr>
          <w:rFonts w:ascii="Garamond" w:hAnsi="Garamond"/>
        </w:rPr>
        <w:t>five</w:t>
      </w:r>
      <w:r w:rsidRPr="00244D98">
        <w:rPr>
          <w:rFonts w:ascii="Garamond" w:hAnsi="Garamond"/>
        </w:rPr>
        <w:t xml:space="preserve"> pairs </w:t>
      </w:r>
      <w:r>
        <w:rPr>
          <w:rFonts w:ascii="Garamond" w:hAnsi="Garamond"/>
        </w:rPr>
        <w:t xml:space="preserve">of </w:t>
      </w:r>
      <w:r w:rsidRPr="00244D98">
        <w:rPr>
          <w:rFonts w:ascii="Garamond" w:hAnsi="Garamond"/>
        </w:rPr>
        <w:t xml:space="preserve">clinics ended up closer than considered ideal </w:t>
      </w:r>
      <w:r>
        <w:rPr>
          <w:rFonts w:ascii="Garamond" w:hAnsi="Garamond"/>
        </w:rPr>
        <w:t xml:space="preserve">to minimize </w:t>
      </w:r>
      <w:r w:rsidR="002A5D51">
        <w:rPr>
          <w:rFonts w:ascii="Garamond" w:hAnsi="Garamond"/>
        </w:rPr>
        <w:t>contamination</w:t>
      </w:r>
      <w:r>
        <w:rPr>
          <w:rFonts w:ascii="Garamond" w:hAnsi="Garamond"/>
        </w:rPr>
        <w:t>,</w:t>
      </w:r>
      <w:r w:rsidRPr="00244D98">
        <w:rPr>
          <w:rFonts w:ascii="Garamond" w:hAnsi="Garamond"/>
        </w:rPr>
        <w:t xml:space="preserve"> </w:t>
      </w:r>
      <w:r>
        <w:rPr>
          <w:rFonts w:ascii="Garamond" w:hAnsi="Garamond"/>
        </w:rPr>
        <w:t>(</w:t>
      </w:r>
      <w:r w:rsidRPr="00244D98">
        <w:rPr>
          <w:rFonts w:ascii="Garamond" w:hAnsi="Garamond"/>
        </w:rPr>
        <w:t>i.e. 10-1</w:t>
      </w:r>
      <w:r>
        <w:rPr>
          <w:rFonts w:ascii="Garamond" w:hAnsi="Garamond"/>
        </w:rPr>
        <w:t>4</w:t>
      </w:r>
      <w:r w:rsidRPr="00244D98">
        <w:rPr>
          <w:rFonts w:ascii="Garamond" w:hAnsi="Garamond"/>
        </w:rPr>
        <w:t>km rather than 1</w:t>
      </w:r>
      <w:r w:rsidR="007F430A">
        <w:rPr>
          <w:rFonts w:ascii="Garamond" w:hAnsi="Garamond"/>
        </w:rPr>
        <w:t>7</w:t>
      </w:r>
      <w:r w:rsidRPr="00244D98">
        <w:rPr>
          <w:rFonts w:ascii="Garamond" w:hAnsi="Garamond"/>
        </w:rPr>
        <w:t>km</w:t>
      </w:r>
      <w:r>
        <w:rPr>
          <w:rFonts w:ascii="Garamond" w:hAnsi="Garamond"/>
        </w:rPr>
        <w:t xml:space="preserve"> apart)</w:t>
      </w:r>
      <w:r w:rsidRPr="00244D98">
        <w:rPr>
          <w:rFonts w:ascii="Garamond" w:hAnsi="Garamond"/>
        </w:rPr>
        <w:t>. Further, these pairs ha</w:t>
      </w:r>
      <w:r>
        <w:rPr>
          <w:rFonts w:ascii="Garamond" w:hAnsi="Garamond"/>
        </w:rPr>
        <w:t>ve</w:t>
      </w:r>
      <w:r w:rsidRPr="00244D98">
        <w:rPr>
          <w:rFonts w:ascii="Garamond" w:hAnsi="Garamond"/>
        </w:rPr>
        <w:t xml:space="preserve"> a limited number of clinics between them to </w:t>
      </w:r>
      <w:r>
        <w:rPr>
          <w:rFonts w:ascii="Garamond" w:hAnsi="Garamond"/>
        </w:rPr>
        <w:t>prevent</w:t>
      </w:r>
      <w:r w:rsidRPr="00244D98">
        <w:rPr>
          <w:rFonts w:ascii="Garamond" w:hAnsi="Garamond"/>
        </w:rPr>
        <w:t xml:space="preserve"> direct </w:t>
      </w:r>
      <w:r w:rsidR="002A5D51">
        <w:rPr>
          <w:rFonts w:ascii="Garamond" w:hAnsi="Garamond"/>
        </w:rPr>
        <w:t>contamination</w:t>
      </w:r>
      <w:r w:rsidR="002A5D51" w:rsidRPr="00244D98">
        <w:rPr>
          <w:rFonts w:ascii="Garamond" w:hAnsi="Garamond"/>
        </w:rPr>
        <w:t xml:space="preserve"> </w:t>
      </w:r>
      <w:r w:rsidRPr="00244D98">
        <w:rPr>
          <w:rFonts w:ascii="Garamond" w:hAnsi="Garamond"/>
        </w:rPr>
        <w:t>between treatment and control</w:t>
      </w:r>
      <w:r>
        <w:rPr>
          <w:rFonts w:ascii="Garamond" w:hAnsi="Garamond"/>
        </w:rPr>
        <w:t>.</w:t>
      </w:r>
    </w:p>
    <w:p w14:paraId="376462AD" w14:textId="77777777" w:rsidR="00EA1C2F" w:rsidRPr="00244D98" w:rsidRDefault="00EA1C2F" w:rsidP="006C30CC">
      <w:pPr>
        <w:pStyle w:val="ListParagraph"/>
        <w:numPr>
          <w:ilvl w:val="1"/>
          <w:numId w:val="29"/>
        </w:numPr>
        <w:spacing w:after="160" w:line="259" w:lineRule="auto"/>
        <w:jc w:val="both"/>
        <w:rPr>
          <w:rFonts w:ascii="Garamond" w:hAnsi="Garamond"/>
        </w:rPr>
      </w:pPr>
      <w:r w:rsidRPr="00244D98">
        <w:rPr>
          <w:rFonts w:ascii="Garamond" w:hAnsi="Garamond"/>
        </w:rPr>
        <w:t xml:space="preserve">While </w:t>
      </w:r>
      <w:r>
        <w:rPr>
          <w:rFonts w:ascii="Garamond" w:hAnsi="Garamond"/>
        </w:rPr>
        <w:t>these clinic pairs</w:t>
      </w:r>
      <w:r w:rsidRPr="00244D98">
        <w:rPr>
          <w:rFonts w:ascii="Garamond" w:hAnsi="Garamond"/>
        </w:rPr>
        <w:t xml:space="preserve"> will be analyzed as a cluster</w:t>
      </w:r>
      <w:r>
        <w:rPr>
          <w:rFonts w:ascii="Garamond" w:hAnsi="Garamond"/>
        </w:rPr>
        <w:t>,</w:t>
      </w:r>
      <w:r w:rsidRPr="00244D98">
        <w:rPr>
          <w:rFonts w:ascii="Garamond" w:hAnsi="Garamond"/>
        </w:rPr>
        <w:t xml:space="preserve"> the ICC we expect will be quite low as the clinics are far enough apart to have distinct catchments</w:t>
      </w:r>
      <w:r>
        <w:rPr>
          <w:rFonts w:ascii="Garamond" w:hAnsi="Garamond"/>
        </w:rPr>
        <w:t>,</w:t>
      </w:r>
      <w:r w:rsidRPr="00244D98">
        <w:rPr>
          <w:rFonts w:ascii="Garamond" w:hAnsi="Garamond"/>
        </w:rPr>
        <w:t xml:space="preserve"> unlike the compl</w:t>
      </w:r>
      <w:r>
        <w:rPr>
          <w:rFonts w:ascii="Garamond" w:hAnsi="Garamond"/>
        </w:rPr>
        <w:t>e</w:t>
      </w:r>
      <w:r w:rsidRPr="00244D98">
        <w:rPr>
          <w:rFonts w:ascii="Garamond" w:hAnsi="Garamond"/>
        </w:rPr>
        <w:t>mentary clinics.</w:t>
      </w:r>
    </w:p>
    <w:p w14:paraId="212A4531" w14:textId="1E619EFD" w:rsidR="00EA1C2F" w:rsidRPr="00712629" w:rsidRDefault="00EA1C2F" w:rsidP="006C30CC">
      <w:pPr>
        <w:pStyle w:val="ListParagraph"/>
        <w:numPr>
          <w:ilvl w:val="1"/>
          <w:numId w:val="29"/>
        </w:numPr>
        <w:spacing w:after="160" w:line="259" w:lineRule="auto"/>
        <w:jc w:val="both"/>
        <w:rPr>
          <w:rFonts w:ascii="Garamond" w:hAnsi="Garamond"/>
        </w:rPr>
      </w:pPr>
      <w:r w:rsidRPr="00244D98">
        <w:rPr>
          <w:rFonts w:ascii="Garamond" w:hAnsi="Garamond"/>
        </w:rPr>
        <w:t xml:space="preserve">These </w:t>
      </w:r>
      <w:r>
        <w:rPr>
          <w:rFonts w:ascii="Garamond" w:hAnsi="Garamond"/>
        </w:rPr>
        <w:t>clinic pairs</w:t>
      </w:r>
      <w:r w:rsidRPr="00244D98">
        <w:rPr>
          <w:rFonts w:ascii="Garamond" w:hAnsi="Garamond"/>
        </w:rPr>
        <w:t xml:space="preserve"> are randomized as one unit. The coverage </w:t>
      </w:r>
      <w:r>
        <w:rPr>
          <w:rFonts w:ascii="Garamond" w:hAnsi="Garamond"/>
        </w:rPr>
        <w:t>strat</w:t>
      </w:r>
      <w:r w:rsidR="00450E32">
        <w:rPr>
          <w:rFonts w:ascii="Garamond" w:hAnsi="Garamond"/>
        </w:rPr>
        <w:t>um</w:t>
      </w:r>
      <w:r>
        <w:rPr>
          <w:rFonts w:ascii="Garamond" w:hAnsi="Garamond"/>
        </w:rPr>
        <w:t xml:space="preserve"> </w:t>
      </w:r>
      <w:r w:rsidR="00450E32">
        <w:rPr>
          <w:rFonts w:ascii="Garamond" w:hAnsi="Garamond"/>
        </w:rPr>
        <w:t xml:space="preserve">is </w:t>
      </w:r>
      <w:r>
        <w:rPr>
          <w:rFonts w:ascii="Garamond" w:hAnsi="Garamond"/>
        </w:rPr>
        <w:t xml:space="preserve">based on the average coverage of the two clinics. For the two cases where one clinic in a pair was randomized in the first wave and the other was randomized in the second wave, the second clinic took the treatment status of the first. </w:t>
      </w:r>
      <w:proofErr w:type="spellStart"/>
      <w:r>
        <w:rPr>
          <w:rFonts w:ascii="Garamond" w:hAnsi="Garamond"/>
        </w:rPr>
        <w:t>IDinsight</w:t>
      </w:r>
      <w:proofErr w:type="spellEnd"/>
      <w:r>
        <w:rPr>
          <w:rFonts w:ascii="Garamond" w:hAnsi="Garamond"/>
        </w:rPr>
        <w:t xml:space="preserve"> did not reveal the pairs to New Incentives. </w:t>
      </w:r>
    </w:p>
    <w:p w14:paraId="6DAD2112" w14:textId="77777777" w:rsidR="00EA1C2F" w:rsidRPr="000577DA" w:rsidRDefault="00EA1C2F" w:rsidP="00FB5C2B">
      <w:pPr>
        <w:keepNext/>
        <w:spacing w:line="259" w:lineRule="auto"/>
        <w:jc w:val="both"/>
        <w:rPr>
          <w:rFonts w:ascii="Garamond" w:hAnsi="Garamond"/>
          <w:b/>
        </w:rPr>
      </w:pPr>
      <w:r w:rsidRPr="000577DA">
        <w:rPr>
          <w:rFonts w:ascii="Garamond" w:hAnsi="Garamond"/>
          <w:b/>
          <w:i/>
        </w:rPr>
        <w:lastRenderedPageBreak/>
        <w:t>Stratification Variables</w:t>
      </w:r>
    </w:p>
    <w:p w14:paraId="25DA9931" w14:textId="539C13AF" w:rsidR="00EA1C2F" w:rsidRPr="00244D98" w:rsidRDefault="002A5D51" w:rsidP="006C30CC">
      <w:pPr>
        <w:pStyle w:val="ListParagraph"/>
        <w:numPr>
          <w:ilvl w:val="0"/>
          <w:numId w:val="18"/>
        </w:numPr>
        <w:spacing w:after="160" w:line="259" w:lineRule="auto"/>
        <w:jc w:val="both"/>
        <w:rPr>
          <w:rFonts w:ascii="Garamond" w:hAnsi="Garamond"/>
          <w:b/>
        </w:rPr>
      </w:pPr>
      <w:r>
        <w:rPr>
          <w:rFonts w:ascii="Garamond" w:hAnsi="Garamond"/>
        </w:rPr>
        <w:t>Coverage was defined</w:t>
      </w:r>
      <w:r w:rsidR="00EA1C2F" w:rsidRPr="00244D98">
        <w:rPr>
          <w:rFonts w:ascii="Garamond" w:hAnsi="Garamond"/>
        </w:rPr>
        <w:t xml:space="preserve"> as the percent</w:t>
      </w:r>
      <w:r w:rsidR="00EA1C2F">
        <w:rPr>
          <w:rFonts w:ascii="Garamond" w:hAnsi="Garamond"/>
        </w:rPr>
        <w:t>age</w:t>
      </w:r>
      <w:r w:rsidR="00EA1C2F" w:rsidRPr="00244D98">
        <w:rPr>
          <w:rFonts w:ascii="Garamond" w:hAnsi="Garamond"/>
        </w:rPr>
        <w:t xml:space="preserve"> of children</w:t>
      </w:r>
      <w:r w:rsidR="000A3FC4">
        <w:rPr>
          <w:rFonts w:ascii="Garamond" w:hAnsi="Garamond"/>
        </w:rPr>
        <w:t xml:space="preserve"> between the ages of 12</w:t>
      </w:r>
      <w:r w:rsidR="00987E12">
        <w:rPr>
          <w:rFonts w:ascii="Garamond" w:hAnsi="Garamond"/>
        </w:rPr>
        <w:t xml:space="preserve"> and </w:t>
      </w:r>
      <w:r w:rsidR="000A3FC4">
        <w:rPr>
          <w:rFonts w:ascii="Garamond" w:hAnsi="Garamond"/>
        </w:rPr>
        <w:t>16</w:t>
      </w:r>
      <w:r w:rsidR="00987E12">
        <w:rPr>
          <w:rFonts w:ascii="Garamond" w:hAnsi="Garamond"/>
        </w:rPr>
        <w:t xml:space="preserve"> </w:t>
      </w:r>
      <w:r w:rsidR="000A3FC4">
        <w:rPr>
          <w:rFonts w:ascii="Garamond" w:hAnsi="Garamond"/>
        </w:rPr>
        <w:t>months</w:t>
      </w:r>
      <w:r w:rsidR="00EA1C2F" w:rsidRPr="00244D98">
        <w:rPr>
          <w:rFonts w:ascii="Garamond" w:hAnsi="Garamond"/>
        </w:rPr>
        <w:t xml:space="preserve"> who ever received an injectable vaccination</w:t>
      </w:r>
      <w:r w:rsidR="00AD239B">
        <w:rPr>
          <w:rFonts w:ascii="Garamond" w:hAnsi="Garamond"/>
        </w:rPr>
        <w:t>.</w:t>
      </w:r>
    </w:p>
    <w:p w14:paraId="4E33A4C6" w14:textId="10B224B1" w:rsidR="00EA1C2F" w:rsidRPr="00244D98" w:rsidRDefault="00EA1C2F" w:rsidP="006C30CC">
      <w:pPr>
        <w:pStyle w:val="ListParagraph"/>
        <w:numPr>
          <w:ilvl w:val="1"/>
          <w:numId w:val="23"/>
        </w:numPr>
        <w:spacing w:after="160" w:line="259" w:lineRule="auto"/>
        <w:jc w:val="both"/>
        <w:rPr>
          <w:rFonts w:ascii="Garamond" w:hAnsi="Garamond"/>
          <w:b/>
        </w:rPr>
      </w:pPr>
      <w:r>
        <w:rPr>
          <w:rFonts w:ascii="Garamond" w:hAnsi="Garamond"/>
        </w:rPr>
        <w:t>Coverage for individual vaccinations,</w:t>
      </w:r>
      <w:r w:rsidRPr="00244D98" w:rsidDel="00240090">
        <w:rPr>
          <w:rFonts w:ascii="Garamond" w:hAnsi="Garamond"/>
        </w:rPr>
        <w:t xml:space="preserve"> </w:t>
      </w:r>
      <w:r w:rsidRPr="00244D98">
        <w:rPr>
          <w:rFonts w:ascii="Garamond" w:hAnsi="Garamond"/>
        </w:rPr>
        <w:t>such as</w:t>
      </w:r>
      <w:r>
        <w:rPr>
          <w:rFonts w:ascii="Garamond" w:hAnsi="Garamond"/>
        </w:rPr>
        <w:t xml:space="preserve"> the</w:t>
      </w:r>
      <w:r w:rsidRPr="00244D98">
        <w:rPr>
          <w:rFonts w:ascii="Garamond" w:hAnsi="Garamond"/>
        </w:rPr>
        <w:t xml:space="preserve"> measles </w:t>
      </w:r>
      <w:r>
        <w:rPr>
          <w:rFonts w:ascii="Garamond" w:hAnsi="Garamond"/>
        </w:rPr>
        <w:t xml:space="preserve">coverage rate, </w:t>
      </w:r>
      <w:r w:rsidR="002A5D51">
        <w:rPr>
          <w:rFonts w:ascii="Garamond" w:hAnsi="Garamond"/>
        </w:rPr>
        <w:t>wa</w:t>
      </w:r>
      <w:r>
        <w:rPr>
          <w:rFonts w:ascii="Garamond" w:hAnsi="Garamond"/>
        </w:rPr>
        <w:t>s</w:t>
      </w:r>
      <w:r w:rsidRPr="00244D98">
        <w:rPr>
          <w:rFonts w:ascii="Garamond" w:hAnsi="Garamond"/>
        </w:rPr>
        <w:t xml:space="preserve"> clustered around zero providing limited variation for stratification. </w:t>
      </w:r>
    </w:p>
    <w:p w14:paraId="2E450DB5" w14:textId="4F6E3412" w:rsidR="00EA1C2F" w:rsidRPr="00244D98" w:rsidRDefault="00EA1C2F" w:rsidP="006C30CC">
      <w:pPr>
        <w:pStyle w:val="ListParagraph"/>
        <w:numPr>
          <w:ilvl w:val="1"/>
          <w:numId w:val="23"/>
        </w:numPr>
        <w:spacing w:after="160" w:line="259" w:lineRule="auto"/>
        <w:jc w:val="both"/>
        <w:rPr>
          <w:rFonts w:ascii="Garamond" w:hAnsi="Garamond"/>
          <w:b/>
        </w:rPr>
      </w:pPr>
      <w:r w:rsidRPr="00244D98">
        <w:rPr>
          <w:rFonts w:ascii="Garamond" w:hAnsi="Garamond"/>
        </w:rPr>
        <w:t xml:space="preserve">We </w:t>
      </w:r>
      <w:r w:rsidR="002A5D51">
        <w:rPr>
          <w:rFonts w:ascii="Garamond" w:hAnsi="Garamond"/>
        </w:rPr>
        <w:t>we</w:t>
      </w:r>
      <w:r w:rsidRPr="00244D98">
        <w:rPr>
          <w:rFonts w:ascii="Garamond" w:hAnsi="Garamond"/>
        </w:rPr>
        <w:t xml:space="preserve">re most confident in </w:t>
      </w:r>
      <w:r>
        <w:rPr>
          <w:rFonts w:ascii="Garamond" w:hAnsi="Garamond"/>
        </w:rPr>
        <w:t xml:space="preserve">the </w:t>
      </w:r>
      <w:r w:rsidR="002A5D51">
        <w:rPr>
          <w:rFonts w:ascii="Garamond" w:hAnsi="Garamond"/>
        </w:rPr>
        <w:t>se</w:t>
      </w:r>
      <w:r w:rsidR="009C6065">
        <w:rPr>
          <w:rFonts w:ascii="Garamond" w:hAnsi="Garamond"/>
        </w:rPr>
        <w:t>l</w:t>
      </w:r>
      <w:r w:rsidR="002A5D51">
        <w:rPr>
          <w:rFonts w:ascii="Garamond" w:hAnsi="Garamond"/>
        </w:rPr>
        <w:t xml:space="preserve">f-reported </w:t>
      </w:r>
      <w:r>
        <w:rPr>
          <w:rFonts w:ascii="Garamond" w:hAnsi="Garamond"/>
        </w:rPr>
        <w:t>data from caregiver</w:t>
      </w:r>
      <w:r w:rsidRPr="00244D98">
        <w:rPr>
          <w:rFonts w:ascii="Garamond" w:hAnsi="Garamond"/>
        </w:rPr>
        <w:t xml:space="preserve"> </w:t>
      </w:r>
      <w:r w:rsidR="004B3EFA">
        <w:rPr>
          <w:rFonts w:ascii="Garamond" w:hAnsi="Garamond"/>
        </w:rPr>
        <w:t xml:space="preserve">on whether </w:t>
      </w:r>
      <w:r>
        <w:rPr>
          <w:rFonts w:ascii="Garamond" w:hAnsi="Garamond"/>
        </w:rPr>
        <w:t>their children</w:t>
      </w:r>
      <w:r w:rsidRPr="00244D98">
        <w:rPr>
          <w:rFonts w:ascii="Garamond" w:hAnsi="Garamond"/>
        </w:rPr>
        <w:t xml:space="preserve"> ever receiv</w:t>
      </w:r>
      <w:r>
        <w:rPr>
          <w:rFonts w:ascii="Garamond" w:hAnsi="Garamond"/>
        </w:rPr>
        <w:t>ed</w:t>
      </w:r>
      <w:r w:rsidR="00B92252">
        <w:rPr>
          <w:rFonts w:ascii="Garamond" w:hAnsi="Garamond"/>
        </w:rPr>
        <w:t xml:space="preserve"> an injectable vaccination. </w:t>
      </w:r>
      <w:r w:rsidRPr="00244D98">
        <w:rPr>
          <w:rFonts w:ascii="Garamond" w:hAnsi="Garamond"/>
        </w:rPr>
        <w:t xml:space="preserve">Locations and frequencies of vaccination, which are used to determine whether a child has received </w:t>
      </w:r>
      <w:proofErr w:type="gramStart"/>
      <w:r w:rsidR="00F912B2">
        <w:rPr>
          <w:rFonts w:ascii="Garamond" w:hAnsi="Garamond"/>
        </w:rPr>
        <w:t>particular</w:t>
      </w:r>
      <w:r w:rsidRPr="00244D98">
        <w:rPr>
          <w:rFonts w:ascii="Garamond" w:hAnsi="Garamond"/>
        </w:rPr>
        <w:t xml:space="preserve"> vaccines</w:t>
      </w:r>
      <w:proofErr w:type="gramEnd"/>
      <w:r w:rsidRPr="00244D98">
        <w:rPr>
          <w:rFonts w:ascii="Garamond" w:hAnsi="Garamond"/>
        </w:rPr>
        <w:t>, can be more difficult to remember.</w:t>
      </w:r>
    </w:p>
    <w:p w14:paraId="2A2BA110" w14:textId="119C5F1D" w:rsidR="00EA1C2F" w:rsidRPr="00252530" w:rsidRDefault="00F912B2" w:rsidP="006C30CC">
      <w:pPr>
        <w:pStyle w:val="ListParagraph"/>
        <w:numPr>
          <w:ilvl w:val="0"/>
          <w:numId w:val="18"/>
        </w:numPr>
        <w:spacing w:after="160" w:line="259" w:lineRule="auto"/>
        <w:jc w:val="both"/>
        <w:rPr>
          <w:rFonts w:ascii="Garamond" w:hAnsi="Garamond"/>
        </w:rPr>
      </w:pPr>
      <w:r>
        <w:rPr>
          <w:rFonts w:ascii="Garamond" w:hAnsi="Garamond"/>
        </w:rPr>
        <w:t>C</w:t>
      </w:r>
      <w:r w:rsidR="00EA1C2F" w:rsidRPr="00252530">
        <w:rPr>
          <w:rFonts w:ascii="Garamond" w:hAnsi="Garamond"/>
        </w:rPr>
        <w:t>linic randomization is</w:t>
      </w:r>
      <w:r>
        <w:rPr>
          <w:rFonts w:ascii="Garamond" w:hAnsi="Garamond"/>
        </w:rPr>
        <w:t xml:space="preserve"> also</w:t>
      </w:r>
      <w:r w:rsidR="00EA1C2F" w:rsidRPr="00252530">
        <w:rPr>
          <w:rFonts w:ascii="Garamond" w:hAnsi="Garamond"/>
        </w:rPr>
        <w:t xml:space="preserve"> stratified on </w:t>
      </w:r>
      <w:proofErr w:type="gramStart"/>
      <w:r w:rsidR="00EA1C2F" w:rsidRPr="00252530">
        <w:rPr>
          <w:rFonts w:ascii="Garamond" w:hAnsi="Garamond"/>
        </w:rPr>
        <w:t>a number of</w:t>
      </w:r>
      <w:proofErr w:type="gramEnd"/>
      <w:r w:rsidR="00EA1C2F" w:rsidRPr="00252530">
        <w:rPr>
          <w:rFonts w:ascii="Garamond" w:hAnsi="Garamond"/>
        </w:rPr>
        <w:t xml:space="preserve"> variables</w:t>
      </w:r>
      <w:r w:rsidR="00EA1C2F">
        <w:rPr>
          <w:rFonts w:ascii="Garamond" w:hAnsi="Garamond"/>
        </w:rPr>
        <w:t xml:space="preserve"> related to operability and geography:</w:t>
      </w:r>
    </w:p>
    <w:p w14:paraId="66CEA127" w14:textId="77777777" w:rsidR="00EA1C2F" w:rsidRPr="00244D98" w:rsidRDefault="00EA1C2F" w:rsidP="006C30CC">
      <w:pPr>
        <w:pStyle w:val="ListParagraph"/>
        <w:numPr>
          <w:ilvl w:val="1"/>
          <w:numId w:val="26"/>
        </w:numPr>
        <w:spacing w:after="160" w:line="259" w:lineRule="auto"/>
        <w:ind w:firstLine="360"/>
        <w:jc w:val="both"/>
        <w:rPr>
          <w:rFonts w:ascii="Garamond" w:hAnsi="Garamond"/>
        </w:rPr>
      </w:pPr>
      <w:r w:rsidRPr="00244D98">
        <w:rPr>
          <w:rFonts w:ascii="Garamond" w:hAnsi="Garamond"/>
        </w:rPr>
        <w:t>State</w:t>
      </w:r>
    </w:p>
    <w:p w14:paraId="200933CE" w14:textId="77777777" w:rsidR="00EA1C2F" w:rsidRPr="00244D98" w:rsidRDefault="00EA1C2F" w:rsidP="006C30CC">
      <w:pPr>
        <w:pStyle w:val="ListParagraph"/>
        <w:numPr>
          <w:ilvl w:val="1"/>
          <w:numId w:val="26"/>
        </w:numPr>
        <w:spacing w:after="160" w:line="259" w:lineRule="auto"/>
        <w:ind w:firstLine="360"/>
        <w:jc w:val="both"/>
        <w:rPr>
          <w:rFonts w:ascii="Garamond" w:hAnsi="Garamond"/>
        </w:rPr>
      </w:pPr>
      <w:r w:rsidRPr="00244D98">
        <w:rPr>
          <w:rFonts w:ascii="Garamond" w:hAnsi="Garamond"/>
        </w:rPr>
        <w:t>Category 4 screening status (very remote)</w:t>
      </w:r>
    </w:p>
    <w:p w14:paraId="1C152920" w14:textId="050DBB6B" w:rsidR="00EA1C2F" w:rsidRPr="00244D98" w:rsidRDefault="00EA1C2F" w:rsidP="006C30CC">
      <w:pPr>
        <w:pStyle w:val="ListParagraph"/>
        <w:numPr>
          <w:ilvl w:val="1"/>
          <w:numId w:val="26"/>
        </w:numPr>
        <w:spacing w:after="160" w:line="259" w:lineRule="auto"/>
        <w:ind w:firstLine="360"/>
        <w:jc w:val="both"/>
        <w:rPr>
          <w:rFonts w:ascii="Garamond" w:hAnsi="Garamond"/>
        </w:rPr>
      </w:pPr>
      <w:r w:rsidRPr="00244D98">
        <w:rPr>
          <w:rFonts w:ascii="Garamond" w:hAnsi="Garamond"/>
        </w:rPr>
        <w:t>Category 5 screening status (only one staff member offering immunization services)</w:t>
      </w:r>
      <w:r w:rsidR="00245561">
        <w:rPr>
          <w:rStyle w:val="FootnoteReference"/>
          <w:rFonts w:ascii="Garamond" w:hAnsi="Garamond"/>
        </w:rPr>
        <w:footnoteReference w:id="79"/>
      </w:r>
    </w:p>
    <w:p w14:paraId="72D76872" w14:textId="5CF83735" w:rsidR="00EA1C2F" w:rsidRPr="00244D98" w:rsidRDefault="00EA1C2F" w:rsidP="006C30CC">
      <w:pPr>
        <w:pStyle w:val="ListParagraph"/>
        <w:numPr>
          <w:ilvl w:val="1"/>
          <w:numId w:val="26"/>
        </w:numPr>
        <w:spacing w:after="160" w:line="259" w:lineRule="auto"/>
        <w:ind w:firstLine="360"/>
        <w:jc w:val="both"/>
        <w:rPr>
          <w:rFonts w:ascii="Garamond" w:hAnsi="Garamond"/>
        </w:rPr>
      </w:pPr>
      <w:r w:rsidRPr="00244D98">
        <w:rPr>
          <w:rFonts w:ascii="Garamond" w:hAnsi="Garamond"/>
        </w:rPr>
        <w:t xml:space="preserve">Security </w:t>
      </w:r>
      <w:r>
        <w:rPr>
          <w:rFonts w:ascii="Garamond" w:hAnsi="Garamond"/>
        </w:rPr>
        <w:t>(based on New Incentives</w:t>
      </w:r>
      <w:r w:rsidR="00533505">
        <w:rPr>
          <w:rFonts w:ascii="Garamond" w:hAnsi="Garamond"/>
        </w:rPr>
        <w:t>’</w:t>
      </w:r>
      <w:r>
        <w:rPr>
          <w:rFonts w:ascii="Garamond" w:hAnsi="Garamond"/>
        </w:rPr>
        <w:t xml:space="preserve"> security assessments)</w:t>
      </w:r>
    </w:p>
    <w:p w14:paraId="4CCEC39E" w14:textId="77777777" w:rsidR="00EA1C2F" w:rsidRPr="00244D98" w:rsidRDefault="00EA1C2F" w:rsidP="006C30CC">
      <w:pPr>
        <w:pStyle w:val="ListParagraph"/>
        <w:numPr>
          <w:ilvl w:val="2"/>
          <w:numId w:val="27"/>
        </w:numPr>
        <w:spacing w:after="160" w:line="259" w:lineRule="auto"/>
        <w:ind w:firstLine="1080"/>
        <w:jc w:val="both"/>
        <w:rPr>
          <w:rFonts w:ascii="Garamond" w:hAnsi="Garamond"/>
        </w:rPr>
      </w:pPr>
      <w:r w:rsidRPr="00244D98">
        <w:rPr>
          <w:rFonts w:ascii="Garamond" w:hAnsi="Garamond"/>
        </w:rPr>
        <w:t>Categories</w:t>
      </w:r>
    </w:p>
    <w:p w14:paraId="333354F3" w14:textId="77777777" w:rsidR="00EA1C2F" w:rsidRPr="00244D98" w:rsidRDefault="00EA1C2F" w:rsidP="006C30CC">
      <w:pPr>
        <w:pStyle w:val="ListParagraph"/>
        <w:numPr>
          <w:ilvl w:val="3"/>
          <w:numId w:val="25"/>
        </w:numPr>
        <w:spacing w:after="160" w:line="259" w:lineRule="auto"/>
        <w:jc w:val="both"/>
        <w:rPr>
          <w:rFonts w:ascii="Garamond" w:hAnsi="Garamond"/>
        </w:rPr>
      </w:pPr>
      <w:r>
        <w:rPr>
          <w:rFonts w:ascii="Garamond" w:hAnsi="Garamond"/>
        </w:rPr>
        <w:t>Very High</w:t>
      </w:r>
      <w:r w:rsidRPr="00D36CD4">
        <w:rPr>
          <w:rFonts w:ascii="Garamond" w:hAnsi="Garamond"/>
        </w:rPr>
        <w:t>: “</w:t>
      </w:r>
      <w:r w:rsidRPr="00D36CD4">
        <w:rPr>
          <w:rFonts w:ascii="Garamond" w:hAnsi="Garamond" w:cs="Arial"/>
          <w:color w:val="222222"/>
        </w:rPr>
        <w:t>Clinics that have reported robberies without deaths repeatedly over multiple data points”</w:t>
      </w:r>
    </w:p>
    <w:p w14:paraId="534EABDE" w14:textId="77777777" w:rsidR="00EA1C2F" w:rsidRPr="00D36CD4" w:rsidRDefault="00EA1C2F" w:rsidP="006C30CC">
      <w:pPr>
        <w:pStyle w:val="ListParagraph"/>
        <w:numPr>
          <w:ilvl w:val="3"/>
          <w:numId w:val="25"/>
        </w:numPr>
        <w:spacing w:after="160" w:line="259" w:lineRule="auto"/>
        <w:jc w:val="both"/>
        <w:rPr>
          <w:rFonts w:ascii="Garamond" w:hAnsi="Garamond"/>
        </w:rPr>
      </w:pPr>
      <w:r w:rsidRPr="00D36CD4">
        <w:rPr>
          <w:rFonts w:ascii="Garamond" w:hAnsi="Garamond"/>
        </w:rPr>
        <w:t>High: “Clinics that have reported robberies without deaths once over multiple data points but are situated in high-risk LGAs</w:t>
      </w:r>
      <w:r>
        <w:rPr>
          <w:rFonts w:ascii="Garamond" w:hAnsi="Garamond"/>
        </w:rPr>
        <w:t xml:space="preserve"> (local government areas)</w:t>
      </w:r>
      <w:r>
        <w:rPr>
          <w:rStyle w:val="FootnoteReference"/>
          <w:rFonts w:ascii="Garamond" w:hAnsi="Garamond"/>
        </w:rPr>
        <w:footnoteReference w:id="80"/>
      </w:r>
    </w:p>
    <w:p w14:paraId="0C244954" w14:textId="77777777" w:rsidR="00EA1C2F" w:rsidRPr="00244D98" w:rsidRDefault="00EA1C2F" w:rsidP="006C30CC">
      <w:pPr>
        <w:pStyle w:val="ListParagraph"/>
        <w:numPr>
          <w:ilvl w:val="3"/>
          <w:numId w:val="25"/>
        </w:numPr>
        <w:spacing w:after="160" w:line="259" w:lineRule="auto"/>
        <w:jc w:val="both"/>
        <w:rPr>
          <w:rFonts w:ascii="Garamond" w:hAnsi="Garamond"/>
        </w:rPr>
      </w:pPr>
      <w:r>
        <w:rPr>
          <w:rFonts w:ascii="Garamond" w:hAnsi="Garamond"/>
        </w:rPr>
        <w:t>Moderate</w:t>
      </w:r>
      <w:r w:rsidRPr="00244D98">
        <w:rPr>
          <w:rFonts w:ascii="Garamond" w:hAnsi="Garamond"/>
        </w:rPr>
        <w:t xml:space="preserve">: </w:t>
      </w:r>
      <w:r w:rsidRPr="00D36CD4">
        <w:rPr>
          <w:rFonts w:ascii="Garamond" w:hAnsi="Garamond"/>
        </w:rPr>
        <w:t>“</w:t>
      </w:r>
      <w:r w:rsidRPr="00D36CD4">
        <w:rPr>
          <w:rFonts w:ascii="Garamond" w:hAnsi="Garamond" w:cs="Arial"/>
          <w:shd w:val="clear" w:color="auto" w:fill="FFFFFF"/>
        </w:rPr>
        <w:t>Clinics that have reported robberies without deaths once over multiple data points</w:t>
      </w:r>
      <w:r w:rsidRPr="00D36CD4">
        <w:rPr>
          <w:rFonts w:ascii="Garamond" w:hAnsi="Garamond"/>
        </w:rPr>
        <w:t>”</w:t>
      </w:r>
    </w:p>
    <w:p w14:paraId="671DE1A5" w14:textId="77777777" w:rsidR="00EA1C2F" w:rsidRPr="00244D98" w:rsidRDefault="00EA1C2F" w:rsidP="006C30CC">
      <w:pPr>
        <w:pStyle w:val="ListParagraph"/>
        <w:numPr>
          <w:ilvl w:val="2"/>
          <w:numId w:val="28"/>
        </w:numPr>
        <w:spacing w:after="160" w:line="259" w:lineRule="auto"/>
        <w:jc w:val="both"/>
        <w:rPr>
          <w:rFonts w:ascii="Garamond" w:hAnsi="Garamond"/>
        </w:rPr>
      </w:pPr>
      <w:r w:rsidRPr="00244D98">
        <w:rPr>
          <w:rFonts w:ascii="Garamond" w:hAnsi="Garamond"/>
        </w:rPr>
        <w:t>Implications</w:t>
      </w:r>
    </w:p>
    <w:p w14:paraId="006677BF" w14:textId="77777777" w:rsidR="00EA1C2F" w:rsidRDefault="00EA1C2F" w:rsidP="006C30CC">
      <w:pPr>
        <w:pStyle w:val="ListParagraph"/>
        <w:numPr>
          <w:ilvl w:val="3"/>
          <w:numId w:val="25"/>
        </w:numPr>
        <w:spacing w:after="160" w:line="259" w:lineRule="auto"/>
        <w:jc w:val="both"/>
        <w:rPr>
          <w:rFonts w:ascii="Garamond" w:hAnsi="Garamond"/>
        </w:rPr>
      </w:pPr>
      <w:r>
        <w:rPr>
          <w:rFonts w:ascii="Garamond" w:hAnsi="Garamond"/>
        </w:rPr>
        <w:t>If New Incentives decides to use stricter security screening criteria at scale the strata corresponding with less secure clinics will be dropped from the final analysis.</w:t>
      </w:r>
    </w:p>
    <w:p w14:paraId="760C9713" w14:textId="437D1187" w:rsidR="00EA1C2F" w:rsidRDefault="00EA1C2F" w:rsidP="006C30CC">
      <w:pPr>
        <w:pStyle w:val="ListParagraph"/>
        <w:numPr>
          <w:ilvl w:val="4"/>
          <w:numId w:val="25"/>
        </w:numPr>
        <w:spacing w:after="160" w:line="259" w:lineRule="auto"/>
        <w:jc w:val="both"/>
        <w:rPr>
          <w:rFonts w:ascii="Garamond" w:hAnsi="Garamond"/>
        </w:rPr>
      </w:pPr>
      <w:r>
        <w:rPr>
          <w:rFonts w:ascii="Garamond" w:hAnsi="Garamond"/>
        </w:rPr>
        <w:t>If only clinics classified as moderate and secure will be included at scale</w:t>
      </w:r>
      <w:r w:rsidR="00AD239B">
        <w:rPr>
          <w:rFonts w:ascii="Garamond" w:hAnsi="Garamond"/>
        </w:rPr>
        <w:t>,</w:t>
      </w:r>
      <w:r>
        <w:rPr>
          <w:rFonts w:ascii="Garamond" w:hAnsi="Garamond"/>
        </w:rPr>
        <w:t xml:space="preserve"> the strata corresponding with high and very high-risk clinics will be dropped from the final analysis. </w:t>
      </w:r>
    </w:p>
    <w:p w14:paraId="5B69B3A9" w14:textId="77777777" w:rsidR="00245561" w:rsidRDefault="00834AC2" w:rsidP="00245561">
      <w:pPr>
        <w:pStyle w:val="ListParagraph"/>
        <w:numPr>
          <w:ilvl w:val="1"/>
          <w:numId w:val="25"/>
        </w:numPr>
        <w:spacing w:after="160" w:line="259" w:lineRule="auto"/>
        <w:jc w:val="both"/>
        <w:rPr>
          <w:rFonts w:ascii="Garamond" w:hAnsi="Garamond"/>
        </w:rPr>
      </w:pPr>
      <w:r>
        <w:rPr>
          <w:rFonts w:ascii="Garamond" w:hAnsi="Garamond"/>
        </w:rPr>
        <w:t xml:space="preserve">Timing of </w:t>
      </w:r>
      <w:r w:rsidR="00245561">
        <w:rPr>
          <w:rFonts w:ascii="Garamond" w:hAnsi="Garamond"/>
        </w:rPr>
        <w:t>Jigawa randomization.</w:t>
      </w:r>
    </w:p>
    <w:p w14:paraId="30162E1A" w14:textId="21F55279" w:rsidR="00834AC2" w:rsidRPr="00244D98" w:rsidRDefault="00245561" w:rsidP="00245561">
      <w:pPr>
        <w:pStyle w:val="ListParagraph"/>
        <w:numPr>
          <w:ilvl w:val="2"/>
          <w:numId w:val="25"/>
        </w:numPr>
        <w:spacing w:after="160" w:line="259" w:lineRule="auto"/>
        <w:jc w:val="both"/>
        <w:rPr>
          <w:rFonts w:ascii="Garamond" w:hAnsi="Garamond"/>
        </w:rPr>
      </w:pPr>
      <w:r>
        <w:rPr>
          <w:rFonts w:ascii="Garamond" w:hAnsi="Garamond"/>
        </w:rPr>
        <w:t>15</w:t>
      </w:r>
      <w:r w:rsidR="00592430">
        <w:rPr>
          <w:rFonts w:ascii="Garamond" w:hAnsi="Garamond"/>
        </w:rPr>
        <w:t xml:space="preserve"> clinics in Jigawa were selected by New Incentives for early randomization</w:t>
      </w:r>
      <w:r>
        <w:rPr>
          <w:rFonts w:ascii="Garamond" w:hAnsi="Garamond"/>
        </w:rPr>
        <w:t xml:space="preserve"> to expedite scale-up</w:t>
      </w:r>
      <w:r w:rsidR="00592430">
        <w:rPr>
          <w:rFonts w:ascii="Garamond" w:hAnsi="Garamond"/>
        </w:rPr>
        <w:t xml:space="preserve"> and</w:t>
      </w:r>
      <w:r>
        <w:rPr>
          <w:rFonts w:ascii="Garamond" w:hAnsi="Garamond"/>
        </w:rPr>
        <w:t xml:space="preserve"> were</w:t>
      </w:r>
      <w:r w:rsidR="00592430">
        <w:rPr>
          <w:rFonts w:ascii="Garamond" w:hAnsi="Garamond"/>
        </w:rPr>
        <w:t xml:space="preserve"> stratified separately</w:t>
      </w:r>
      <w:r>
        <w:rPr>
          <w:rFonts w:ascii="Garamond" w:hAnsi="Garamond"/>
        </w:rPr>
        <w:t xml:space="preserve">. </w:t>
      </w:r>
    </w:p>
    <w:p w14:paraId="5C0CB90D" w14:textId="77777777" w:rsidR="00EA1C2F" w:rsidRPr="00B92252" w:rsidRDefault="00EA1C2F" w:rsidP="000577DA">
      <w:pPr>
        <w:pStyle w:val="Heading2"/>
        <w:rPr>
          <w:rFonts w:ascii="Garamond" w:hAnsi="Garamond"/>
          <w:sz w:val="28"/>
          <w:szCs w:val="28"/>
        </w:rPr>
      </w:pPr>
      <w:r w:rsidRPr="00B92252">
        <w:rPr>
          <w:rFonts w:ascii="Garamond" w:hAnsi="Garamond"/>
          <w:sz w:val="28"/>
          <w:szCs w:val="28"/>
        </w:rPr>
        <w:t>Randomization Procedure</w:t>
      </w:r>
    </w:p>
    <w:p w14:paraId="6F240767" w14:textId="77777777" w:rsidR="00EA1C2F" w:rsidRPr="00712629" w:rsidRDefault="00EA1C2F" w:rsidP="00AD239B">
      <w:pPr>
        <w:jc w:val="both"/>
        <w:rPr>
          <w:rFonts w:ascii="Garamond" w:hAnsi="Garamond"/>
        </w:rPr>
      </w:pPr>
      <w:proofErr w:type="spellStart"/>
      <w:r>
        <w:rPr>
          <w:rFonts w:ascii="Garamond" w:hAnsi="Garamond"/>
        </w:rPr>
        <w:t>IDinsight</w:t>
      </w:r>
      <w:proofErr w:type="spellEnd"/>
      <w:r>
        <w:rPr>
          <w:rFonts w:ascii="Garamond" w:hAnsi="Garamond"/>
        </w:rPr>
        <w:t xml:space="preserve"> followed the steps below to randomize the clinics into treatment and control groups:</w:t>
      </w:r>
    </w:p>
    <w:p w14:paraId="543CF8E5" w14:textId="77777777" w:rsidR="00EA1C2F" w:rsidRPr="00712629" w:rsidRDefault="00EA1C2F" w:rsidP="006C30CC">
      <w:pPr>
        <w:pStyle w:val="ListParagraph"/>
        <w:numPr>
          <w:ilvl w:val="0"/>
          <w:numId w:val="19"/>
        </w:numPr>
        <w:spacing w:after="160" w:line="259" w:lineRule="auto"/>
        <w:jc w:val="both"/>
        <w:rPr>
          <w:rFonts w:ascii="Garamond" w:hAnsi="Garamond"/>
        </w:rPr>
      </w:pPr>
      <w:r w:rsidRPr="00712629">
        <w:rPr>
          <w:rFonts w:ascii="Garamond" w:hAnsi="Garamond"/>
        </w:rPr>
        <w:t>Group the clinics into strata based on the non-coverage variables.</w:t>
      </w:r>
    </w:p>
    <w:p w14:paraId="42255A69" w14:textId="451E2283" w:rsidR="00EA1C2F" w:rsidRPr="00244D98" w:rsidRDefault="00EA1C2F" w:rsidP="006C30CC">
      <w:pPr>
        <w:pStyle w:val="ListParagraph"/>
        <w:numPr>
          <w:ilvl w:val="0"/>
          <w:numId w:val="19"/>
        </w:numPr>
        <w:spacing w:after="160" w:line="259" w:lineRule="auto"/>
        <w:jc w:val="both"/>
        <w:rPr>
          <w:rFonts w:ascii="Garamond" w:hAnsi="Garamond"/>
          <w:b/>
        </w:rPr>
      </w:pPr>
      <w:r w:rsidRPr="00244D98">
        <w:rPr>
          <w:rFonts w:ascii="Garamond" w:hAnsi="Garamond"/>
        </w:rPr>
        <w:t xml:space="preserve">For each </w:t>
      </w:r>
      <w:proofErr w:type="gramStart"/>
      <w:r w:rsidRPr="00244D98">
        <w:rPr>
          <w:rFonts w:ascii="Garamond" w:hAnsi="Garamond"/>
        </w:rPr>
        <w:t>strata</w:t>
      </w:r>
      <w:proofErr w:type="gramEnd"/>
      <w:r>
        <w:rPr>
          <w:rFonts w:ascii="Garamond" w:hAnsi="Garamond"/>
        </w:rPr>
        <w:t xml:space="preserve"> with more than </w:t>
      </w:r>
      <w:r w:rsidR="00533505">
        <w:rPr>
          <w:rFonts w:ascii="Garamond" w:hAnsi="Garamond"/>
        </w:rPr>
        <w:t xml:space="preserve">four </w:t>
      </w:r>
      <w:r>
        <w:rPr>
          <w:rFonts w:ascii="Garamond" w:hAnsi="Garamond"/>
        </w:rPr>
        <w:t>clinics in Katsina and Zamfara</w:t>
      </w:r>
      <w:r w:rsidRPr="00244D98">
        <w:rPr>
          <w:rFonts w:ascii="Garamond" w:hAnsi="Garamond"/>
        </w:rPr>
        <w:t>:</w:t>
      </w:r>
    </w:p>
    <w:p w14:paraId="2E0A333B" w14:textId="0AE4E91F" w:rsidR="00EA1C2F" w:rsidRPr="00244D98" w:rsidRDefault="00EA1C2F" w:rsidP="006C30CC">
      <w:pPr>
        <w:pStyle w:val="ListParagraph"/>
        <w:numPr>
          <w:ilvl w:val="1"/>
          <w:numId w:val="30"/>
        </w:numPr>
        <w:spacing w:after="160" w:line="259" w:lineRule="auto"/>
        <w:jc w:val="both"/>
        <w:rPr>
          <w:rFonts w:ascii="Garamond" w:hAnsi="Garamond"/>
          <w:b/>
        </w:rPr>
      </w:pPr>
      <w:r w:rsidRPr="00244D98">
        <w:rPr>
          <w:rFonts w:ascii="Garamond" w:hAnsi="Garamond"/>
        </w:rPr>
        <w:t>Generate a unique stable ranking of clinics by coverage rate for each strat</w:t>
      </w:r>
      <w:r w:rsidR="00533505">
        <w:rPr>
          <w:rFonts w:ascii="Garamond" w:hAnsi="Garamond"/>
        </w:rPr>
        <w:t>um</w:t>
      </w:r>
      <w:r>
        <w:rPr>
          <w:rFonts w:ascii="Garamond" w:hAnsi="Garamond"/>
        </w:rPr>
        <w:t>.</w:t>
      </w:r>
    </w:p>
    <w:p w14:paraId="585C240A" w14:textId="77777777" w:rsidR="00EA1C2F" w:rsidRPr="00244D98" w:rsidRDefault="00EA1C2F" w:rsidP="006C30CC">
      <w:pPr>
        <w:pStyle w:val="ListParagraph"/>
        <w:numPr>
          <w:ilvl w:val="2"/>
          <w:numId w:val="31"/>
        </w:numPr>
        <w:spacing w:after="160" w:line="259" w:lineRule="auto"/>
        <w:ind w:firstLine="360"/>
        <w:jc w:val="both"/>
        <w:rPr>
          <w:rFonts w:ascii="Garamond" w:hAnsi="Garamond"/>
          <w:b/>
        </w:rPr>
      </w:pPr>
      <w:r w:rsidRPr="00244D98">
        <w:rPr>
          <w:rFonts w:ascii="Garamond" w:hAnsi="Garamond"/>
        </w:rPr>
        <w:t>Replace the coverage of paired clinics with</w:t>
      </w:r>
      <w:r>
        <w:rPr>
          <w:rFonts w:ascii="Garamond" w:hAnsi="Garamond"/>
        </w:rPr>
        <w:t xml:space="preserve"> their</w:t>
      </w:r>
      <w:r w:rsidRPr="00244D98">
        <w:rPr>
          <w:rFonts w:ascii="Garamond" w:hAnsi="Garamond"/>
        </w:rPr>
        <w:t xml:space="preserve"> average so they are ranked together.</w:t>
      </w:r>
    </w:p>
    <w:p w14:paraId="61DF8A05" w14:textId="53CB7B2D" w:rsidR="00EA1C2F" w:rsidRPr="00244D98" w:rsidRDefault="00EA1C2F" w:rsidP="006C30CC">
      <w:pPr>
        <w:pStyle w:val="ListParagraph"/>
        <w:numPr>
          <w:ilvl w:val="1"/>
          <w:numId w:val="32"/>
        </w:numPr>
        <w:spacing w:after="160" w:line="259" w:lineRule="auto"/>
        <w:jc w:val="both"/>
        <w:rPr>
          <w:rFonts w:ascii="Garamond" w:hAnsi="Garamond"/>
          <w:b/>
        </w:rPr>
      </w:pPr>
      <w:r w:rsidRPr="00244D98">
        <w:rPr>
          <w:rFonts w:ascii="Garamond" w:hAnsi="Garamond"/>
        </w:rPr>
        <w:t>Divide into roughly equally sized strata</w:t>
      </w:r>
      <w:r>
        <w:rPr>
          <w:rFonts w:ascii="Garamond" w:hAnsi="Garamond"/>
        </w:rPr>
        <w:t xml:space="preserve"> across the sample</w:t>
      </w:r>
      <w:r w:rsidR="005B6A97">
        <w:rPr>
          <w:rFonts w:ascii="Garamond" w:hAnsi="Garamond"/>
        </w:rPr>
        <w:t xml:space="preserve"> targeting sizes of 4-10 clinics per strat</w:t>
      </w:r>
      <w:r w:rsidR="00450E32">
        <w:rPr>
          <w:rFonts w:ascii="Garamond" w:hAnsi="Garamond"/>
        </w:rPr>
        <w:t>um</w:t>
      </w:r>
    </w:p>
    <w:p w14:paraId="57BEBB5B" w14:textId="1D17828C" w:rsidR="00EA1C2F" w:rsidRPr="00244D98" w:rsidRDefault="00EA1C2F" w:rsidP="006C30CC">
      <w:pPr>
        <w:pStyle w:val="ListParagraph"/>
        <w:numPr>
          <w:ilvl w:val="2"/>
          <w:numId w:val="33"/>
        </w:numPr>
        <w:spacing w:after="160" w:line="259" w:lineRule="auto"/>
        <w:ind w:left="2160"/>
        <w:jc w:val="both"/>
        <w:rPr>
          <w:rFonts w:ascii="Garamond" w:hAnsi="Garamond"/>
          <w:b/>
        </w:rPr>
      </w:pPr>
      <w:r w:rsidRPr="00244D98">
        <w:rPr>
          <w:rFonts w:ascii="Garamond" w:hAnsi="Garamond"/>
        </w:rPr>
        <w:lastRenderedPageBreak/>
        <w:t xml:space="preserve">Choose strata sizes to </w:t>
      </w:r>
      <w:r>
        <w:rPr>
          <w:rFonts w:ascii="Garamond" w:hAnsi="Garamond"/>
        </w:rPr>
        <w:t>minimize misfits</w:t>
      </w:r>
      <w:r w:rsidRPr="00244D98">
        <w:rPr>
          <w:rFonts w:ascii="Garamond" w:hAnsi="Garamond"/>
        </w:rPr>
        <w:t xml:space="preserve">. Simulations suggest strata with </w:t>
      </w:r>
      <w:r w:rsidR="005B6A97">
        <w:rPr>
          <w:rFonts w:ascii="Garamond" w:hAnsi="Garamond"/>
        </w:rPr>
        <w:t>4</w:t>
      </w:r>
      <w:r w:rsidRPr="00244D98">
        <w:rPr>
          <w:rFonts w:ascii="Garamond" w:hAnsi="Garamond"/>
        </w:rPr>
        <w:t>-</w:t>
      </w:r>
      <w:r w:rsidR="005B6A97">
        <w:rPr>
          <w:rFonts w:ascii="Garamond" w:hAnsi="Garamond"/>
        </w:rPr>
        <w:t>10</w:t>
      </w:r>
      <w:r w:rsidR="005B6A97" w:rsidRPr="00244D98">
        <w:rPr>
          <w:rFonts w:ascii="Garamond" w:hAnsi="Garamond"/>
        </w:rPr>
        <w:t xml:space="preserve"> </w:t>
      </w:r>
      <w:r w:rsidRPr="00244D98">
        <w:rPr>
          <w:rFonts w:ascii="Garamond" w:hAnsi="Garamond"/>
        </w:rPr>
        <w:t xml:space="preserve">clinics all </w:t>
      </w:r>
      <w:r>
        <w:rPr>
          <w:rFonts w:ascii="Garamond" w:hAnsi="Garamond"/>
        </w:rPr>
        <w:t>perform</w:t>
      </w:r>
      <w:r w:rsidRPr="00244D98">
        <w:rPr>
          <w:rFonts w:ascii="Garamond" w:hAnsi="Garamond"/>
        </w:rPr>
        <w:t xml:space="preserve"> similarly if we assume the coverage is measured with noise</w:t>
      </w:r>
      <w:r w:rsidR="00B92252">
        <w:rPr>
          <w:rFonts w:ascii="Garamond" w:hAnsi="Garamond"/>
        </w:rPr>
        <w:t>.</w:t>
      </w:r>
      <w:r w:rsidR="0005630A">
        <w:rPr>
          <w:rStyle w:val="FootnoteReference"/>
          <w:rFonts w:ascii="Garamond" w:hAnsi="Garamond"/>
        </w:rPr>
        <w:footnoteReference w:id="81"/>
      </w:r>
    </w:p>
    <w:p w14:paraId="4B266E38" w14:textId="7472BDA7" w:rsidR="00EA1C2F" w:rsidRPr="00244D98" w:rsidRDefault="00EA1C2F" w:rsidP="006C30CC">
      <w:pPr>
        <w:pStyle w:val="ListParagraph"/>
        <w:numPr>
          <w:ilvl w:val="1"/>
          <w:numId w:val="34"/>
        </w:numPr>
        <w:spacing w:after="160" w:line="259" w:lineRule="auto"/>
        <w:jc w:val="both"/>
        <w:rPr>
          <w:rFonts w:ascii="Garamond" w:hAnsi="Garamond"/>
          <w:b/>
        </w:rPr>
      </w:pPr>
      <w:r w:rsidRPr="00244D98">
        <w:rPr>
          <w:rFonts w:ascii="Garamond" w:hAnsi="Garamond"/>
        </w:rPr>
        <w:t>If a strat</w:t>
      </w:r>
      <w:r w:rsidR="00533505">
        <w:rPr>
          <w:rFonts w:ascii="Garamond" w:hAnsi="Garamond"/>
        </w:rPr>
        <w:t>um</w:t>
      </w:r>
      <w:r w:rsidRPr="00244D98">
        <w:rPr>
          <w:rFonts w:ascii="Garamond" w:hAnsi="Garamond"/>
        </w:rPr>
        <w:t xml:space="preserve"> has an odd number of clinics</w:t>
      </w:r>
      <w:r>
        <w:rPr>
          <w:rFonts w:ascii="Garamond" w:hAnsi="Garamond"/>
        </w:rPr>
        <w:t>, we</w:t>
      </w:r>
      <w:r w:rsidRPr="00244D98">
        <w:rPr>
          <w:rFonts w:ascii="Garamond" w:hAnsi="Garamond"/>
        </w:rPr>
        <w:t xml:space="preserve"> randomly select one to send to a misfit strat</w:t>
      </w:r>
      <w:r w:rsidR="00450E32">
        <w:rPr>
          <w:rFonts w:ascii="Garamond" w:hAnsi="Garamond"/>
        </w:rPr>
        <w:t>um</w:t>
      </w:r>
      <w:r>
        <w:rPr>
          <w:rFonts w:ascii="Garamond" w:hAnsi="Garamond"/>
        </w:rPr>
        <w:t>.</w:t>
      </w:r>
      <w:r>
        <w:rPr>
          <w:rStyle w:val="FootnoteReference"/>
          <w:rFonts w:ascii="Garamond" w:hAnsi="Garamond"/>
        </w:rPr>
        <w:footnoteReference w:id="82"/>
      </w:r>
    </w:p>
    <w:p w14:paraId="1C5F4438" w14:textId="724B6826" w:rsidR="00EA1C2F" w:rsidRPr="000E11CD" w:rsidRDefault="00EA1C2F" w:rsidP="006C30CC">
      <w:pPr>
        <w:pStyle w:val="ListParagraph"/>
        <w:numPr>
          <w:ilvl w:val="0"/>
          <w:numId w:val="19"/>
        </w:numPr>
        <w:spacing w:after="160" w:line="259" w:lineRule="auto"/>
        <w:jc w:val="both"/>
        <w:rPr>
          <w:rFonts w:ascii="Garamond" w:hAnsi="Garamond"/>
          <w:b/>
        </w:rPr>
      </w:pPr>
      <w:r w:rsidRPr="00244D98">
        <w:rPr>
          <w:rFonts w:ascii="Garamond" w:hAnsi="Garamond"/>
        </w:rPr>
        <w:t>Randomize half of each strat</w:t>
      </w:r>
      <w:r w:rsidR="00533505">
        <w:rPr>
          <w:rFonts w:ascii="Garamond" w:hAnsi="Garamond"/>
        </w:rPr>
        <w:t>um</w:t>
      </w:r>
      <w:r>
        <w:rPr>
          <w:rFonts w:ascii="Garamond" w:hAnsi="Garamond"/>
        </w:rPr>
        <w:t>,</w:t>
      </w:r>
      <w:r w:rsidRPr="00244D98">
        <w:rPr>
          <w:rFonts w:ascii="Garamond" w:hAnsi="Garamond"/>
        </w:rPr>
        <w:t xml:space="preserve"> including the misfit strat</w:t>
      </w:r>
      <w:r w:rsidR="00533505">
        <w:rPr>
          <w:rFonts w:ascii="Garamond" w:hAnsi="Garamond"/>
        </w:rPr>
        <w:t>um</w:t>
      </w:r>
      <w:r>
        <w:rPr>
          <w:rFonts w:ascii="Garamond" w:hAnsi="Garamond"/>
        </w:rPr>
        <w:t>,</w:t>
      </w:r>
      <w:r w:rsidRPr="00244D98">
        <w:rPr>
          <w:rFonts w:ascii="Garamond" w:hAnsi="Garamond"/>
        </w:rPr>
        <w:t xml:space="preserve"> into treatment and control</w:t>
      </w:r>
      <w:r>
        <w:rPr>
          <w:rFonts w:ascii="Garamond" w:hAnsi="Garamond"/>
        </w:rPr>
        <w:t>.</w:t>
      </w:r>
    </w:p>
    <w:p w14:paraId="0DC8E513" w14:textId="77777777" w:rsidR="00EA1C2F" w:rsidRPr="000E11CD" w:rsidRDefault="00EA1C2F" w:rsidP="006C30CC">
      <w:pPr>
        <w:pStyle w:val="ListParagraph"/>
        <w:numPr>
          <w:ilvl w:val="1"/>
          <w:numId w:val="35"/>
        </w:numPr>
        <w:spacing w:after="160" w:line="259" w:lineRule="auto"/>
        <w:jc w:val="both"/>
        <w:rPr>
          <w:b/>
        </w:rPr>
      </w:pPr>
      <w:r>
        <w:rPr>
          <w:rFonts w:ascii="Garamond" w:hAnsi="Garamond"/>
        </w:rPr>
        <w:t>Given the limited number of misfits and strata, other approaches to misfits designed to limit imbalance at other levels of stratification were deemed unnecessary.</w:t>
      </w:r>
    </w:p>
    <w:p w14:paraId="12994B1E" w14:textId="76391B37" w:rsidR="00EA1C2F" w:rsidRPr="00B92252" w:rsidRDefault="00EA1C2F" w:rsidP="00BB256B">
      <w:pPr>
        <w:pStyle w:val="Heading1"/>
        <w:rPr>
          <w:rFonts w:ascii="Garamond" w:hAnsi="Garamond"/>
          <w:u w:val="none"/>
        </w:rPr>
      </w:pPr>
      <w:r w:rsidRPr="00B92252">
        <w:rPr>
          <w:rFonts w:ascii="Garamond" w:hAnsi="Garamond"/>
          <w:u w:val="none"/>
        </w:rPr>
        <w:t xml:space="preserve">Annex 3: </w:t>
      </w:r>
      <w:r w:rsidR="000E408A" w:rsidRPr="00B92252">
        <w:rPr>
          <w:rFonts w:ascii="Garamond" w:hAnsi="Garamond"/>
          <w:u w:val="none"/>
        </w:rPr>
        <w:t>Details on Self-Reported Vaccination Data</w:t>
      </w:r>
    </w:p>
    <w:p w14:paraId="01A014A1" w14:textId="5554B2AF" w:rsidR="00BB256B" w:rsidRDefault="00BB256B" w:rsidP="00BB256B">
      <w:pPr>
        <w:jc w:val="both"/>
        <w:rPr>
          <w:rFonts w:ascii="Garamond" w:eastAsia="Times New Roman" w:hAnsi="Garamond"/>
        </w:rPr>
      </w:pPr>
      <w:r>
        <w:rPr>
          <w:rFonts w:ascii="Garamond" w:eastAsia="Times New Roman" w:hAnsi="Garamond"/>
        </w:rPr>
        <w:t>The following section compares different sources of vaccination information collected during t</w:t>
      </w:r>
      <w:r w:rsidR="00B92252">
        <w:rPr>
          <w:rFonts w:ascii="Garamond" w:eastAsia="Times New Roman" w:hAnsi="Garamond"/>
        </w:rPr>
        <w:t>he base</w:t>
      </w:r>
      <w:r>
        <w:rPr>
          <w:rFonts w:ascii="Garamond" w:eastAsia="Times New Roman" w:hAnsi="Garamond"/>
        </w:rPr>
        <w:t xml:space="preserve">line to provide further information on the potential accuracy of different data sources. </w:t>
      </w:r>
    </w:p>
    <w:p w14:paraId="4DEB4C56" w14:textId="77777777" w:rsidR="00BB256B" w:rsidRDefault="00BB256B" w:rsidP="00BB256B">
      <w:pPr>
        <w:jc w:val="both"/>
        <w:rPr>
          <w:rFonts w:ascii="Garamond" w:eastAsia="Times New Roman" w:hAnsi="Garamond"/>
        </w:rPr>
      </w:pPr>
    </w:p>
    <w:p w14:paraId="1DE37499" w14:textId="5F0067C5" w:rsidR="00EA1C2F" w:rsidRPr="00283EFA" w:rsidRDefault="00EA1C2F" w:rsidP="00BB256B">
      <w:pPr>
        <w:jc w:val="both"/>
        <w:rPr>
          <w:rFonts w:ascii="Garamond" w:eastAsia="Times New Roman" w:hAnsi="Garamond"/>
        </w:rPr>
      </w:pPr>
      <w:r w:rsidRPr="00283EFA">
        <w:rPr>
          <w:rFonts w:ascii="Garamond" w:eastAsia="Times New Roman" w:hAnsi="Garamond"/>
        </w:rPr>
        <w:t xml:space="preserve">Around 75% of infants that reported getting </w:t>
      </w:r>
      <w:r w:rsidR="00107165">
        <w:rPr>
          <w:rFonts w:ascii="Garamond" w:eastAsia="Times New Roman" w:hAnsi="Garamond"/>
        </w:rPr>
        <w:t>Measles 1</w:t>
      </w:r>
      <w:r w:rsidRPr="00283EFA">
        <w:rPr>
          <w:rFonts w:ascii="Garamond" w:eastAsia="Times New Roman" w:hAnsi="Garamond"/>
        </w:rPr>
        <w:t xml:space="preserve"> had </w:t>
      </w:r>
      <w:r w:rsidR="00107165">
        <w:rPr>
          <w:rFonts w:ascii="Garamond" w:eastAsia="Times New Roman" w:hAnsi="Garamond"/>
        </w:rPr>
        <w:t>Measles 1</w:t>
      </w:r>
      <w:r w:rsidRPr="00283EFA">
        <w:rPr>
          <w:rFonts w:ascii="Garamond" w:eastAsia="Times New Roman" w:hAnsi="Garamond"/>
        </w:rPr>
        <w:t xml:space="preserve"> marked on their child health cards. For PENTA 3, this figure was 78%. If we look at whether the infant received any dose of PENTA, the agreement is 89%. That being said, there is a risk </w:t>
      </w:r>
      <w:r>
        <w:rPr>
          <w:rFonts w:ascii="Garamond" w:eastAsia="Times New Roman" w:hAnsi="Garamond"/>
        </w:rPr>
        <w:t xml:space="preserve">that </w:t>
      </w:r>
      <w:r w:rsidRPr="00283EFA">
        <w:rPr>
          <w:rFonts w:ascii="Garamond" w:eastAsia="Times New Roman" w:hAnsi="Garamond"/>
        </w:rPr>
        <w:t xml:space="preserve">some of the correspondence between self-report and cards is from enumerators simply using the cards to fill out the self-report section of the survey, despite being coached not to and being aware that their tablet may have been recording random audio audits. </w:t>
      </w:r>
    </w:p>
    <w:p w14:paraId="39FCDBFD" w14:textId="77777777" w:rsidR="00EA1C2F" w:rsidRPr="00283EFA" w:rsidRDefault="00EA1C2F" w:rsidP="00BB256B">
      <w:pPr>
        <w:jc w:val="both"/>
        <w:rPr>
          <w:rFonts w:ascii="Garamond" w:eastAsia="Times New Roman" w:hAnsi="Garamond"/>
        </w:rPr>
      </w:pPr>
    </w:p>
    <w:p w14:paraId="34903A8C" w14:textId="77777777" w:rsidR="00EA1C2F" w:rsidRPr="00283EFA" w:rsidRDefault="00EA1C2F" w:rsidP="00BB256B">
      <w:pPr>
        <w:jc w:val="both"/>
        <w:rPr>
          <w:rFonts w:ascii="Garamond" w:eastAsia="Times New Roman" w:hAnsi="Garamond"/>
        </w:rPr>
      </w:pPr>
      <w:r w:rsidRPr="00283EFA">
        <w:rPr>
          <w:rFonts w:ascii="Garamond" w:eastAsia="Times New Roman" w:hAnsi="Garamond"/>
        </w:rPr>
        <w:t xml:space="preserve">One way to assess the accuracy of self-reported data for vaccines aside from measles, where register quality is low, is to compare self-reported vaccination status to the register for infants without cards. The agreement between these two sources is 79% for both BCG and receiving any PENTA vaccination among infants without child health cards. If we include all infants, the agreement increases to 83%. </w:t>
      </w:r>
    </w:p>
    <w:p w14:paraId="1C22EB32" w14:textId="77777777" w:rsidR="00EA1C2F" w:rsidRPr="00283EFA" w:rsidRDefault="00EA1C2F" w:rsidP="00BB256B">
      <w:pPr>
        <w:jc w:val="both"/>
        <w:rPr>
          <w:rFonts w:ascii="Garamond" w:eastAsia="Times New Roman" w:hAnsi="Garamond"/>
        </w:rPr>
      </w:pPr>
    </w:p>
    <w:p w14:paraId="02A5AAF2" w14:textId="77777777" w:rsidR="00EA1C2F" w:rsidRPr="00283EFA" w:rsidRDefault="00EA1C2F" w:rsidP="00BB256B">
      <w:pPr>
        <w:jc w:val="both"/>
        <w:rPr>
          <w:rFonts w:ascii="Garamond" w:hAnsi="Garamond"/>
        </w:rPr>
      </w:pPr>
      <w:r w:rsidRPr="00283EFA">
        <w:rPr>
          <w:rFonts w:ascii="Garamond" w:hAnsi="Garamond"/>
        </w:rPr>
        <w:t>We focused on receipt of any PENTA vaccination as there is a high degree of inaccuracy in caregivers’ ability to remember doses. For infants with PENTA 3 on child health cards, 90% of caregivers reported their infant received PENTA, but only 45% reported their infant received three doses of PENTA. Conversely, 79% of caregivers that reported receiving three doses of PENTA had PENTA 3 recorded on their cards. When we restricted our analysis to those who reported three doses of PENTA at a health facility, then 97% had PENTA 3 on their cards.</w:t>
      </w:r>
      <w:r w:rsidRPr="00283EFA">
        <w:rPr>
          <w:rStyle w:val="FootnoteReference"/>
          <w:rFonts w:ascii="Garamond" w:hAnsi="Garamond"/>
        </w:rPr>
        <w:footnoteReference w:id="83"/>
      </w:r>
    </w:p>
    <w:p w14:paraId="289BA7DC" w14:textId="77777777" w:rsidR="00EA1C2F" w:rsidRPr="00283EFA" w:rsidRDefault="00EA1C2F" w:rsidP="00BB256B">
      <w:pPr>
        <w:jc w:val="both"/>
        <w:rPr>
          <w:rFonts w:ascii="Garamond" w:hAnsi="Garamond"/>
        </w:rPr>
      </w:pPr>
    </w:p>
    <w:p w14:paraId="76836143" w14:textId="2AFA032F" w:rsidR="00EA1C2F" w:rsidRPr="00283EFA" w:rsidRDefault="00EA1C2F" w:rsidP="00BB256B">
      <w:pPr>
        <w:jc w:val="both"/>
        <w:rPr>
          <w:rFonts w:ascii="Garamond" w:hAnsi="Garamond"/>
        </w:rPr>
      </w:pPr>
      <w:r w:rsidRPr="00283EFA">
        <w:rPr>
          <w:rFonts w:ascii="Garamond" w:hAnsi="Garamond"/>
        </w:rPr>
        <w:t>PCV is difficult to measure based on self-report since it is given</w:t>
      </w:r>
      <w:r w:rsidR="00327E2A">
        <w:rPr>
          <w:rFonts w:ascii="Garamond" w:hAnsi="Garamond"/>
        </w:rPr>
        <w:t xml:space="preserve"> at the same time</w:t>
      </w:r>
      <w:r w:rsidRPr="00283EFA">
        <w:rPr>
          <w:rFonts w:ascii="Garamond" w:hAnsi="Garamond"/>
        </w:rPr>
        <w:t xml:space="preserve"> as PENTA. While 92% of infants with PENTA marked on their cards had PCV also marked, only 71% of caregivers that reported PENTA reported PCV.</w:t>
      </w:r>
    </w:p>
    <w:p w14:paraId="29373CFB" w14:textId="77777777" w:rsidR="00EA1C2F" w:rsidRPr="00283EFA" w:rsidRDefault="00EA1C2F" w:rsidP="00BB256B">
      <w:pPr>
        <w:jc w:val="both"/>
        <w:rPr>
          <w:rFonts w:ascii="Garamond" w:hAnsi="Garamond"/>
        </w:rPr>
      </w:pPr>
    </w:p>
    <w:p w14:paraId="489EE3E3" w14:textId="2BF3B8A5" w:rsidR="00EA1C2F" w:rsidRDefault="00EA1C2F" w:rsidP="00BB256B">
      <w:pPr>
        <w:jc w:val="both"/>
        <w:rPr>
          <w:rFonts w:ascii="Garamond" w:eastAsia="Times New Roman" w:hAnsi="Garamond"/>
        </w:rPr>
      </w:pPr>
      <w:r w:rsidRPr="00283EFA">
        <w:rPr>
          <w:rFonts w:ascii="Garamond" w:eastAsia="Times New Roman" w:hAnsi="Garamond"/>
        </w:rPr>
        <w:t xml:space="preserve">In a similar vein, nurses administer </w:t>
      </w:r>
      <w:r>
        <w:rPr>
          <w:rFonts w:ascii="Garamond" w:eastAsia="Times New Roman" w:hAnsi="Garamond"/>
        </w:rPr>
        <w:t>Measles 1</w:t>
      </w:r>
      <w:r w:rsidRPr="00283EFA">
        <w:rPr>
          <w:rFonts w:ascii="Garamond" w:eastAsia="Times New Roman" w:hAnsi="Garamond"/>
        </w:rPr>
        <w:t xml:space="preserve"> on the same arm as BCG but administer yellow fever on </w:t>
      </w:r>
      <w:r w:rsidR="00B92252">
        <w:rPr>
          <w:rFonts w:ascii="Garamond" w:eastAsia="Times New Roman" w:hAnsi="Garamond"/>
        </w:rPr>
        <w:t>the other</w:t>
      </w:r>
      <w:r w:rsidRPr="00283EFA">
        <w:rPr>
          <w:rFonts w:ascii="Garamond" w:eastAsia="Times New Roman" w:hAnsi="Garamond"/>
        </w:rPr>
        <w:t xml:space="preserve"> arm, usually on the same visit. While caregivers are generally better at differentiating BCG and </w:t>
      </w:r>
      <w:r>
        <w:rPr>
          <w:rFonts w:ascii="Garamond" w:eastAsia="Times New Roman" w:hAnsi="Garamond"/>
        </w:rPr>
        <w:t>Measles 1</w:t>
      </w:r>
      <w:r w:rsidRPr="00283EFA">
        <w:rPr>
          <w:rFonts w:ascii="Garamond" w:eastAsia="Times New Roman" w:hAnsi="Garamond"/>
        </w:rPr>
        <w:t xml:space="preserve"> since BCG leaves a scar and </w:t>
      </w:r>
      <w:r>
        <w:rPr>
          <w:rFonts w:ascii="Garamond" w:eastAsia="Times New Roman" w:hAnsi="Garamond"/>
        </w:rPr>
        <w:t>Measles 1</w:t>
      </w:r>
      <w:r w:rsidRPr="00283EFA">
        <w:rPr>
          <w:rFonts w:ascii="Garamond" w:eastAsia="Times New Roman" w:hAnsi="Garamond"/>
        </w:rPr>
        <w:t xml:space="preserve"> does not, there is still some evidence that mothers may over-report </w:t>
      </w:r>
      <w:r>
        <w:rPr>
          <w:rFonts w:ascii="Garamond" w:eastAsia="Times New Roman" w:hAnsi="Garamond"/>
        </w:rPr>
        <w:t>Measles 1</w:t>
      </w:r>
      <w:r w:rsidRPr="00283EFA">
        <w:rPr>
          <w:rFonts w:ascii="Garamond" w:eastAsia="Times New Roman" w:hAnsi="Garamond"/>
        </w:rPr>
        <w:t xml:space="preserve">. The yellow fever self-reported coverage </w:t>
      </w:r>
      <w:r>
        <w:rPr>
          <w:rFonts w:ascii="Garamond" w:eastAsia="Times New Roman" w:hAnsi="Garamond"/>
        </w:rPr>
        <w:t>estimate</w:t>
      </w:r>
      <w:r w:rsidRPr="00283EFA">
        <w:rPr>
          <w:rFonts w:ascii="Garamond" w:eastAsia="Times New Roman" w:hAnsi="Garamond"/>
        </w:rPr>
        <w:t xml:space="preserve"> was 11% and the self-reported </w:t>
      </w:r>
      <w:r>
        <w:rPr>
          <w:rFonts w:ascii="Garamond" w:eastAsia="Times New Roman" w:hAnsi="Garamond"/>
        </w:rPr>
        <w:t>Measles 1</w:t>
      </w:r>
      <w:r w:rsidRPr="00283EFA">
        <w:rPr>
          <w:rFonts w:ascii="Garamond" w:eastAsia="Times New Roman" w:hAnsi="Garamond"/>
        </w:rPr>
        <w:t xml:space="preserve"> coverage </w:t>
      </w:r>
      <w:r>
        <w:rPr>
          <w:rFonts w:ascii="Garamond" w:eastAsia="Times New Roman" w:hAnsi="Garamond"/>
        </w:rPr>
        <w:t>estimate</w:t>
      </w:r>
      <w:r w:rsidRPr="00283EFA">
        <w:rPr>
          <w:rFonts w:ascii="Garamond" w:eastAsia="Times New Roman" w:hAnsi="Garamond"/>
        </w:rPr>
        <w:t xml:space="preserve"> was 15%, while there was no difference in coverage among infants with cards for both vaccines. This discrepancy could be due to the fact that caregivers can remember receiving </w:t>
      </w:r>
      <w:r>
        <w:rPr>
          <w:rFonts w:ascii="Garamond" w:eastAsia="Times New Roman" w:hAnsi="Garamond"/>
        </w:rPr>
        <w:t>Measles 1</w:t>
      </w:r>
      <w:r w:rsidRPr="00283EFA">
        <w:rPr>
          <w:rFonts w:ascii="Garamond" w:eastAsia="Times New Roman" w:hAnsi="Garamond"/>
        </w:rPr>
        <w:t xml:space="preserve"> more clearly as it is a more salient disease in the community, or that nurses automatically mark </w:t>
      </w:r>
      <w:r>
        <w:rPr>
          <w:rFonts w:ascii="Garamond" w:eastAsia="Times New Roman" w:hAnsi="Garamond"/>
        </w:rPr>
        <w:t>Measles 1</w:t>
      </w:r>
      <w:r w:rsidRPr="00283EFA">
        <w:rPr>
          <w:rFonts w:ascii="Garamond" w:eastAsia="Times New Roman" w:hAnsi="Garamond"/>
        </w:rPr>
        <w:t xml:space="preserve"> and yellow fever together on child health cards even when there are yellow fever stock outs. </w:t>
      </w:r>
    </w:p>
    <w:p w14:paraId="3FFF5C45" w14:textId="4283A419" w:rsidR="00D96FB9" w:rsidRDefault="00D96FB9" w:rsidP="00BB256B">
      <w:pPr>
        <w:jc w:val="both"/>
        <w:rPr>
          <w:rFonts w:ascii="Garamond" w:eastAsia="Times New Roman" w:hAnsi="Garamond"/>
        </w:rPr>
      </w:pPr>
    </w:p>
    <w:p w14:paraId="4F3B358A" w14:textId="77777777" w:rsidR="00D96FB9" w:rsidRDefault="00D96FB9" w:rsidP="00BB256B">
      <w:pPr>
        <w:jc w:val="both"/>
      </w:pPr>
    </w:p>
    <w:p w14:paraId="4422AAA9" w14:textId="0A43C2B3" w:rsidR="00196FEF" w:rsidRPr="00D76143" w:rsidRDefault="00196FEF" w:rsidP="0005630A">
      <w:pPr>
        <w:pStyle w:val="Heading1"/>
        <w:rPr>
          <w:rFonts w:ascii="Garamond" w:hAnsi="Garamond"/>
          <w:u w:val="none"/>
        </w:rPr>
      </w:pPr>
      <w:r w:rsidRPr="00D76143">
        <w:rPr>
          <w:rFonts w:ascii="Garamond" w:hAnsi="Garamond"/>
          <w:u w:val="none"/>
        </w:rPr>
        <w:lastRenderedPageBreak/>
        <w:t xml:space="preserve">Annex 4 The Free </w:t>
      </w:r>
      <w:proofErr w:type="gramStart"/>
      <w:r w:rsidRPr="00D76143">
        <w:rPr>
          <w:rFonts w:ascii="Garamond" w:hAnsi="Garamond"/>
          <w:u w:val="none"/>
        </w:rPr>
        <w:t>Step Down</w:t>
      </w:r>
      <w:proofErr w:type="gramEnd"/>
      <w:r w:rsidRPr="00D76143">
        <w:rPr>
          <w:rFonts w:ascii="Garamond" w:hAnsi="Garamond"/>
          <w:u w:val="none"/>
        </w:rPr>
        <w:t xml:space="preserve"> Resampling Method (FSDRM):</w:t>
      </w:r>
    </w:p>
    <w:p w14:paraId="62BC2E49" w14:textId="4245B17A" w:rsidR="00B92252" w:rsidRDefault="00B92252" w:rsidP="00B92252">
      <w:pPr>
        <w:pStyle w:val="Default"/>
        <w:spacing w:line="259" w:lineRule="auto"/>
        <w:jc w:val="both"/>
        <w:rPr>
          <w:sz w:val="22"/>
          <w:szCs w:val="22"/>
        </w:rPr>
      </w:pPr>
      <w:r>
        <w:rPr>
          <w:sz w:val="22"/>
          <w:szCs w:val="22"/>
        </w:rPr>
        <w:t xml:space="preserve">This annex explains the Free </w:t>
      </w:r>
      <w:proofErr w:type="gramStart"/>
      <w:r>
        <w:rPr>
          <w:sz w:val="22"/>
          <w:szCs w:val="22"/>
        </w:rPr>
        <w:t>Step Down</w:t>
      </w:r>
      <w:proofErr w:type="gramEnd"/>
      <w:r>
        <w:rPr>
          <w:sz w:val="22"/>
          <w:szCs w:val="22"/>
        </w:rPr>
        <w:t xml:space="preserve"> Resampling Method in further detail.</w:t>
      </w:r>
    </w:p>
    <w:p w14:paraId="6652A73D" w14:textId="77777777" w:rsidR="00B92252" w:rsidRDefault="00B92252" w:rsidP="0005630A">
      <w:pPr>
        <w:pStyle w:val="Default"/>
        <w:spacing w:after="65" w:line="259" w:lineRule="auto"/>
        <w:jc w:val="both"/>
        <w:rPr>
          <w:sz w:val="22"/>
          <w:szCs w:val="22"/>
        </w:rPr>
      </w:pPr>
    </w:p>
    <w:p w14:paraId="00F9FF6C" w14:textId="480360DF" w:rsidR="00196FEF" w:rsidRDefault="00196FEF" w:rsidP="0005630A">
      <w:pPr>
        <w:pStyle w:val="Default"/>
        <w:spacing w:after="65" w:line="259" w:lineRule="auto"/>
        <w:jc w:val="both"/>
        <w:rPr>
          <w:sz w:val="22"/>
          <w:szCs w:val="22"/>
        </w:rPr>
      </w:pPr>
      <w:r>
        <w:rPr>
          <w:sz w:val="22"/>
          <w:szCs w:val="22"/>
        </w:rPr>
        <w:t xml:space="preserve">Westfall and Young (1993) proposed this correction method for less conservative multiple testing procedures. Their method proves to be less conservative since it incorporates the dependence structure </w:t>
      </w:r>
      <w:r w:rsidR="00BD15D6">
        <w:rPr>
          <w:sz w:val="22"/>
          <w:szCs w:val="22"/>
        </w:rPr>
        <w:t xml:space="preserve">among </w:t>
      </w:r>
      <w:r>
        <w:rPr>
          <w:sz w:val="22"/>
          <w:szCs w:val="22"/>
        </w:rPr>
        <w:t xml:space="preserve">test statistics (Ge Y, </w:t>
      </w:r>
      <w:proofErr w:type="spellStart"/>
      <w:r>
        <w:rPr>
          <w:sz w:val="22"/>
          <w:szCs w:val="22"/>
        </w:rPr>
        <w:t>Dudoit</w:t>
      </w:r>
      <w:proofErr w:type="spellEnd"/>
      <w:r>
        <w:rPr>
          <w:sz w:val="22"/>
          <w:szCs w:val="22"/>
        </w:rPr>
        <w:t xml:space="preserve"> S and Speed T.P. 2003). The FSDRM consists of the following steps: </w:t>
      </w:r>
    </w:p>
    <w:p w14:paraId="11C8868A" w14:textId="77777777" w:rsidR="00196FEF" w:rsidRDefault="00196FEF" w:rsidP="006C30CC">
      <w:pPr>
        <w:pStyle w:val="Default"/>
        <w:numPr>
          <w:ilvl w:val="0"/>
          <w:numId w:val="8"/>
        </w:numPr>
        <w:spacing w:after="65" w:line="259" w:lineRule="auto"/>
        <w:jc w:val="both"/>
        <w:rPr>
          <w:sz w:val="22"/>
          <w:szCs w:val="22"/>
        </w:rPr>
      </w:pPr>
      <w:r>
        <w:rPr>
          <w:sz w:val="22"/>
          <w:szCs w:val="22"/>
        </w:rPr>
        <w:t xml:space="preserve">Step 1: Run the original regressions </w:t>
      </w:r>
    </w:p>
    <w:p w14:paraId="54DE075E" w14:textId="77777777" w:rsidR="00196FEF" w:rsidRDefault="00196FEF" w:rsidP="006C30CC">
      <w:pPr>
        <w:pStyle w:val="Default"/>
        <w:numPr>
          <w:ilvl w:val="0"/>
          <w:numId w:val="8"/>
        </w:numPr>
        <w:spacing w:after="65" w:line="259" w:lineRule="auto"/>
        <w:jc w:val="both"/>
        <w:rPr>
          <w:sz w:val="22"/>
          <w:szCs w:val="22"/>
        </w:rPr>
      </w:pPr>
      <w:r>
        <w:rPr>
          <w:sz w:val="22"/>
          <w:szCs w:val="22"/>
        </w:rPr>
        <w:t xml:space="preserve">Step 2: Impose monotonicity in the p-values (increasing p-values) </w:t>
      </w:r>
    </w:p>
    <w:p w14:paraId="64CD7F12" w14:textId="77777777" w:rsidR="00196FEF" w:rsidRDefault="00196FEF" w:rsidP="006C30CC">
      <w:pPr>
        <w:pStyle w:val="Default"/>
        <w:numPr>
          <w:ilvl w:val="0"/>
          <w:numId w:val="8"/>
        </w:numPr>
        <w:spacing w:after="65" w:line="259" w:lineRule="auto"/>
        <w:jc w:val="both"/>
        <w:rPr>
          <w:sz w:val="22"/>
          <w:szCs w:val="22"/>
        </w:rPr>
      </w:pPr>
      <w:r>
        <w:rPr>
          <w:sz w:val="22"/>
          <w:szCs w:val="22"/>
        </w:rPr>
        <w:t xml:space="preserve">Step 3: Calculate a set of simulated p-values using a simulated treatment assignment variable </w:t>
      </w:r>
    </w:p>
    <w:p w14:paraId="3A90B67F" w14:textId="77777777" w:rsidR="00196FEF" w:rsidRDefault="00196FEF" w:rsidP="006C30CC">
      <w:pPr>
        <w:pStyle w:val="Default"/>
        <w:numPr>
          <w:ilvl w:val="0"/>
          <w:numId w:val="8"/>
        </w:numPr>
        <w:spacing w:after="120" w:line="259" w:lineRule="auto"/>
        <w:jc w:val="both"/>
        <w:rPr>
          <w:sz w:val="22"/>
          <w:szCs w:val="22"/>
        </w:rPr>
      </w:pPr>
      <w:r>
        <w:rPr>
          <w:sz w:val="22"/>
          <w:szCs w:val="22"/>
        </w:rPr>
        <w:t xml:space="preserve">Step 4: Enforce the original monotonicity of simulated p-values </w:t>
      </w:r>
    </w:p>
    <w:p w14:paraId="0FEB7EC0" w14:textId="2F6A770B" w:rsidR="000E6309" w:rsidRPr="0002546A" w:rsidRDefault="00196FEF" w:rsidP="00FB5C2B">
      <w:pPr>
        <w:pStyle w:val="Default"/>
        <w:numPr>
          <w:ilvl w:val="0"/>
          <w:numId w:val="8"/>
        </w:numPr>
        <w:spacing w:after="65" w:line="259" w:lineRule="auto"/>
        <w:jc w:val="both"/>
        <w:rPr>
          <w:sz w:val="22"/>
          <w:szCs w:val="22"/>
        </w:rPr>
      </w:pPr>
      <w:r w:rsidRPr="00D14EFF">
        <w:rPr>
          <w:sz w:val="22"/>
          <w:szCs w:val="22"/>
        </w:rPr>
        <w:t>Step 5: Calculate the adjusted p-value = the ratio of the number of times that the simulated p-val</w:t>
      </w:r>
      <w:r>
        <w:rPr>
          <w:sz w:val="22"/>
          <w:szCs w:val="22"/>
        </w:rPr>
        <w:t>ue</w:t>
      </w:r>
      <w:r w:rsidRPr="00D14EFF">
        <w:rPr>
          <w:sz w:val="22"/>
          <w:szCs w:val="22"/>
        </w:rPr>
        <w:t>s are less than the original p-val</w:t>
      </w:r>
      <w:r>
        <w:rPr>
          <w:sz w:val="22"/>
          <w:szCs w:val="22"/>
        </w:rPr>
        <w:t>ue</w:t>
      </w:r>
      <w:r w:rsidRPr="00D14EFF">
        <w:rPr>
          <w:sz w:val="22"/>
          <w:szCs w:val="22"/>
        </w:rPr>
        <w:t xml:space="preserve"> divided by the total number of iterations.</w:t>
      </w:r>
    </w:p>
    <w:p w14:paraId="26587210" w14:textId="77777777" w:rsidR="00F10F97" w:rsidRDefault="00F10F97">
      <w:pPr>
        <w:spacing w:after="160" w:line="259" w:lineRule="auto"/>
        <w:rPr>
          <w:rFonts w:ascii="Garamond" w:hAnsi="Garamond"/>
          <w:lang w:val="de-DE"/>
        </w:rPr>
      </w:pPr>
      <w:r>
        <w:rPr>
          <w:rFonts w:ascii="Garamond" w:hAnsi="Garamond"/>
          <w:lang w:val="de-DE"/>
        </w:rPr>
        <w:br w:type="page"/>
      </w:r>
    </w:p>
    <w:p w14:paraId="2A1C9C2B" w14:textId="77777777" w:rsidR="00F10F97" w:rsidRPr="00562757" w:rsidRDefault="00F10F97" w:rsidP="00F10F97">
      <w:pPr>
        <w:spacing w:before="240"/>
        <w:outlineLvl w:val="0"/>
        <w:rPr>
          <w:rFonts w:ascii="Times New Roman" w:eastAsia="Times New Roman" w:hAnsi="Times New Roman" w:cs="Times New Roman"/>
          <w:b/>
          <w:bCs/>
          <w:kern w:val="36"/>
          <w:sz w:val="48"/>
          <w:szCs w:val="48"/>
        </w:rPr>
      </w:pPr>
      <w:r w:rsidRPr="00562757">
        <w:rPr>
          <w:rFonts w:ascii="Garamond" w:eastAsia="Times New Roman" w:hAnsi="Garamond" w:cs="Times New Roman"/>
          <w:color w:val="2E75B5"/>
          <w:kern w:val="36"/>
          <w:sz w:val="32"/>
          <w:szCs w:val="32"/>
        </w:rPr>
        <w:lastRenderedPageBreak/>
        <w:t xml:space="preserve">Annex 5: </w:t>
      </w:r>
      <w:proofErr w:type="spellStart"/>
      <w:r w:rsidRPr="00562757">
        <w:rPr>
          <w:rFonts w:ascii="Garamond" w:eastAsia="Times New Roman" w:hAnsi="Garamond" w:cs="Times New Roman"/>
          <w:color w:val="2E75B5"/>
          <w:kern w:val="36"/>
          <w:sz w:val="32"/>
          <w:szCs w:val="32"/>
        </w:rPr>
        <w:t>GiveWell’s</w:t>
      </w:r>
      <w:proofErr w:type="spellEnd"/>
      <w:r w:rsidRPr="00562757">
        <w:rPr>
          <w:rFonts w:ascii="Garamond" w:eastAsia="Times New Roman" w:hAnsi="Garamond" w:cs="Times New Roman"/>
          <w:color w:val="2E75B5"/>
          <w:kern w:val="36"/>
          <w:sz w:val="32"/>
          <w:szCs w:val="32"/>
        </w:rPr>
        <w:t xml:space="preserve"> Decision</w:t>
      </w:r>
    </w:p>
    <w:p w14:paraId="269FD49F"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The purpose of this Annex is to describe the process by which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plans to use the results of this study to inform its decision-making about recommending funding to the New Incentives program.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considers the following factors likely to influence its decision: magnitude of outcomes, significance and confidence intervals, likelihood and direction of bias in the results, and contextual validity.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drafted this section, and </w:t>
      </w:r>
      <w:proofErr w:type="spellStart"/>
      <w:r w:rsidRPr="00562757">
        <w:rPr>
          <w:rFonts w:ascii="Garamond" w:eastAsia="Times New Roman" w:hAnsi="Garamond" w:cs="Times New Roman"/>
          <w:color w:val="000000"/>
        </w:rPr>
        <w:t>IDinsight</w:t>
      </w:r>
      <w:proofErr w:type="spellEnd"/>
      <w:r w:rsidRPr="00562757">
        <w:rPr>
          <w:rFonts w:ascii="Garamond" w:eastAsia="Times New Roman" w:hAnsi="Garamond" w:cs="Times New Roman"/>
          <w:color w:val="000000"/>
        </w:rPr>
        <w:t xml:space="preserve"> and New Incentives have reviewed it.</w:t>
      </w:r>
    </w:p>
    <w:p w14:paraId="5CAC97AD" w14:textId="77777777" w:rsidR="00F10F97" w:rsidRPr="00562757" w:rsidRDefault="00F10F97" w:rsidP="00F10F97">
      <w:pPr>
        <w:rPr>
          <w:rFonts w:ascii="Times New Roman" w:eastAsia="Times New Roman" w:hAnsi="Times New Roman" w:cs="Times New Roman"/>
        </w:rPr>
      </w:pPr>
    </w:p>
    <w:p w14:paraId="64439F5D"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Background</w:t>
      </w:r>
    </w:p>
    <w:p w14:paraId="1145929F"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Funding for this study was provided by the U.S.-based philanthropic foundation Good Ventures </w:t>
      </w:r>
      <w:r w:rsidRPr="00562757" w:rsidDel="00944F3B">
        <w:rPr>
          <w:rFonts w:ascii="Garamond" w:eastAsia="Times New Roman" w:hAnsi="Garamond" w:cs="Times New Roman"/>
          <w:color w:val="000000"/>
        </w:rPr>
        <w:t xml:space="preserve"> </w:t>
      </w:r>
      <w:r w:rsidRPr="00562757">
        <w:rPr>
          <w:rFonts w:ascii="Garamond" w:eastAsia="Times New Roman" w:hAnsi="Garamond" w:cs="Times New Roman"/>
          <w:color w:val="000000"/>
        </w:rPr>
        <w:t>(</w:t>
      </w:r>
      <w:hyperlink r:id="rId14" w:history="1">
        <w:r w:rsidRPr="00562757">
          <w:rPr>
            <w:rFonts w:ascii="Garamond" w:eastAsia="Times New Roman" w:hAnsi="Garamond" w:cs="Times New Roman"/>
            <w:color w:val="0563C1"/>
            <w:u w:val="single"/>
          </w:rPr>
          <w:t>http://www.goodventures.org/</w:t>
        </w:r>
      </w:hyperlink>
      <w:r w:rsidRPr="00562757">
        <w:rPr>
          <w:rFonts w:ascii="Garamond" w:eastAsia="Times New Roman" w:hAnsi="Garamond" w:cs="Times New Roman"/>
          <w:color w:val="000000"/>
        </w:rPr>
        <w:t xml:space="preserve">) 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recommendation.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t>
      </w:r>
      <w:hyperlink r:id="rId15" w:history="1">
        <w:r w:rsidRPr="00562757">
          <w:rPr>
            <w:rFonts w:ascii="Garamond" w:eastAsia="Times New Roman" w:hAnsi="Garamond" w:cs="Times New Roman"/>
            <w:color w:val="0563C1"/>
            <w:u w:val="single"/>
          </w:rPr>
          <w:t>https://www.givewell.org/</w:t>
        </w:r>
      </w:hyperlink>
      <w:r w:rsidRPr="00562757">
        <w:rPr>
          <w:rFonts w:ascii="Garamond" w:eastAsia="Times New Roman" w:hAnsi="Garamond" w:cs="Times New Roman"/>
          <w:color w:val="000000"/>
        </w:rPr>
        <w:t>) is a U.S.-based nonprofit dedicated to finding outstanding philanthropic giving opportunities through in-depth analysis, and to the online publication of detailed reasoning behind its recommendations to donors.</w:t>
      </w:r>
    </w:p>
    <w:p w14:paraId="35169D74" w14:textId="77777777" w:rsidR="00F10F97" w:rsidRPr="00562757" w:rsidRDefault="00F10F97" w:rsidP="00F10F97">
      <w:pPr>
        <w:rPr>
          <w:rFonts w:ascii="Times New Roman" w:eastAsia="Times New Roman" w:hAnsi="Times New Roman" w:cs="Times New Roman"/>
        </w:rPr>
      </w:pPr>
    </w:p>
    <w:p w14:paraId="3FA32DC1"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This study will inform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evaluation of the cost-effectiveness of the New Incentives program and will contribute to the body of evidence on the effectiveness of incentives for vaccination. Cost-effectiveness and quality of evidence, together with transparency and ability to use additional funds, are the criteria that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uses to identify outstanding philanthropic giving opportunities (</w:t>
      </w:r>
      <w:hyperlink r:id="rId16" w:history="1">
        <w:r w:rsidRPr="00562757">
          <w:rPr>
            <w:rFonts w:ascii="Garamond" w:eastAsia="Times New Roman" w:hAnsi="Garamond" w:cs="Times New Roman"/>
            <w:color w:val="0563C1"/>
            <w:u w:val="single"/>
          </w:rPr>
          <w:t>https://www.givewell.org/how-we-work/criteria</w:t>
        </w:r>
      </w:hyperlink>
      <w:r w:rsidRPr="00562757">
        <w:rPr>
          <w:rFonts w:ascii="Garamond" w:eastAsia="Times New Roman" w:hAnsi="Garamond" w:cs="Times New Roman"/>
          <w:color w:val="000000"/>
        </w:rPr>
        <w:t xml:space="preserve">).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list of top recommended charities includes all programs that have chosen to participate in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evaluation process and met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criteria. However, not all programs 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list of top-recommended programs receive significant funding (in excess of an incentive grant for participating in our process, which in the past has been $2.5 million per year) from donors who use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recommendations;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recommends to donors how to prioritize donations among top-recommended programs.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evaluation of New Incentives will culminate in a decision of whether to include New Incentives 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list of top-recommended charities (</w:t>
      </w:r>
      <w:hyperlink r:id="rId17" w:history="1">
        <w:r w:rsidRPr="00562757">
          <w:rPr>
            <w:rFonts w:ascii="Garamond" w:eastAsia="Times New Roman" w:hAnsi="Garamond" w:cs="Times New Roman"/>
            <w:color w:val="0563C1"/>
            <w:u w:val="single"/>
          </w:rPr>
          <w:t>https://www.givewell.org/charities/top-charities</w:t>
        </w:r>
      </w:hyperlink>
      <w:r w:rsidRPr="00562757">
        <w:rPr>
          <w:rFonts w:ascii="Garamond" w:eastAsia="Times New Roman" w:hAnsi="Garamond" w:cs="Times New Roman"/>
          <w:color w:val="000000"/>
        </w:rPr>
        <w:t xml:space="preserve">). In addition,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estimate of New Incentives' cost-effectiveness, based on impacts observed in this study, will inform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recommendation of how to prioritize New Incentives' funding needs relative to the funding needs of other organizations evaluated by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which may result in New Incentives receiving significant funding in the millions of U.S. dollars.</w:t>
      </w:r>
    </w:p>
    <w:p w14:paraId="721F0AF2"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br/>
        <w:t xml:space="preserve">Relationship disclosure: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has recommended that Good Ventures provide funding to New Incentives since 2014. Descriptions of and explanations for the rationales behind these grants are available at </w:t>
      </w:r>
      <w:hyperlink r:id="rId18" w:history="1">
        <w:r w:rsidRPr="00562757">
          <w:rPr>
            <w:rFonts w:ascii="Garamond" w:eastAsia="Times New Roman" w:hAnsi="Garamond" w:cs="Times New Roman"/>
            <w:color w:val="0563C1"/>
            <w:u w:val="single"/>
          </w:rPr>
          <w:t>https://www.givewell.org/charities/new-incentives/all-content</w:t>
        </w:r>
      </w:hyperlink>
      <w:r w:rsidRPr="00562757">
        <w:rPr>
          <w:rFonts w:ascii="Garamond" w:eastAsia="Times New Roman" w:hAnsi="Garamond" w:cs="Times New Roman"/>
          <w:color w:val="000000"/>
        </w:rPr>
        <w:t xml:space="preserve">. There are no personal relationships between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or Good Ventures staff and New Incentives staff.</w:t>
      </w:r>
    </w:p>
    <w:p w14:paraId="2BF3CAD8" w14:textId="77777777" w:rsidR="00F10F97" w:rsidRPr="00562757" w:rsidRDefault="00F10F97" w:rsidP="00F10F97">
      <w:pPr>
        <w:rPr>
          <w:rFonts w:ascii="Times New Roman" w:eastAsia="Times New Roman" w:hAnsi="Times New Roman" w:cs="Times New Roman"/>
        </w:rPr>
      </w:pPr>
    </w:p>
    <w:p w14:paraId="42B98DB8"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 xml:space="preserve">Overview: How </w:t>
      </w:r>
      <w:proofErr w:type="spellStart"/>
      <w:r w:rsidRPr="00562757">
        <w:rPr>
          <w:rFonts w:ascii="Garamond" w:eastAsia="Times New Roman" w:hAnsi="Garamond" w:cs="Times New Roman"/>
          <w:color w:val="2E75B5"/>
          <w:sz w:val="28"/>
          <w:szCs w:val="28"/>
        </w:rPr>
        <w:t>GiveWell</w:t>
      </w:r>
      <w:proofErr w:type="spellEnd"/>
      <w:r w:rsidRPr="00562757">
        <w:rPr>
          <w:rFonts w:ascii="Garamond" w:eastAsia="Times New Roman" w:hAnsi="Garamond" w:cs="Times New Roman"/>
          <w:color w:val="2E75B5"/>
          <w:sz w:val="28"/>
          <w:szCs w:val="28"/>
        </w:rPr>
        <w:t xml:space="preserve"> will use the results of this study</w:t>
      </w:r>
    </w:p>
    <w:p w14:paraId="637EB019"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use the results from this study to estimate the program's effect on vaccination rates for incentivized vaccines given at five vaccination visits (BCG; PENTA 1, 2, &amp; 3; PCV 1, 2, &amp; 3; and Measles), to inform its estimate of the program's effect on child mortality as part of a cost-effectiveness model comparing the program to other programs to which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recommends funding. More 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cost-effectiveness modeling: </w:t>
      </w:r>
      <w:hyperlink r:id="rId19" w:history="1">
        <w:r w:rsidRPr="00562757">
          <w:rPr>
            <w:rFonts w:ascii="Garamond" w:eastAsia="Times New Roman" w:hAnsi="Garamond" w:cs="Times New Roman"/>
            <w:color w:val="0563C1"/>
            <w:u w:val="single"/>
          </w:rPr>
          <w:t>https://www.givewell.org/how-we-work/our-criteria/cost-effectiveness/cost-effectiveness-models</w:t>
        </w:r>
      </w:hyperlink>
    </w:p>
    <w:p w14:paraId="0E368A46" w14:textId="77777777" w:rsidR="00F10F97" w:rsidRPr="00562757" w:rsidRDefault="00F10F97" w:rsidP="00F10F97">
      <w:pPr>
        <w:rPr>
          <w:rFonts w:ascii="Times New Roman" w:eastAsia="Times New Roman" w:hAnsi="Times New Roman" w:cs="Times New Roman"/>
        </w:rPr>
      </w:pPr>
    </w:p>
    <w:p w14:paraId="5D635514"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cost-effectiveness estimates are uncertain and rely on many parameters about which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has little information.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makes cost-effectiveness estimates in order to identify large differences in expected cost-effectiveness of different programs. At the time of the design of this study,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decision to recommend funding for this study, and the writing of this document,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and </w:t>
      </w:r>
      <w:proofErr w:type="spellStart"/>
      <w:r w:rsidRPr="00562757">
        <w:rPr>
          <w:rFonts w:ascii="Garamond" w:eastAsia="Times New Roman" w:hAnsi="Garamond" w:cs="Times New Roman"/>
          <w:color w:val="000000"/>
        </w:rPr>
        <w:t>IDinsight</w:t>
      </w:r>
      <w:proofErr w:type="spellEnd"/>
      <w:r w:rsidRPr="00562757">
        <w:rPr>
          <w:rFonts w:ascii="Garamond" w:eastAsia="Times New Roman" w:hAnsi="Garamond" w:cs="Times New Roman"/>
          <w:color w:val="000000"/>
        </w:rPr>
        <w:t xml:space="preserve"> relied 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preliminary cost-effectiveness models of New Incentives' program in order to inform decisions about sample size and projections of likely decision-relevant outcomes of the study.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expects to substantively update its cost-effectiveness modeling of this intervention by the time the results of this study are available.</w:t>
      </w:r>
    </w:p>
    <w:p w14:paraId="46C3BC34" w14:textId="77777777" w:rsidR="00F10F97" w:rsidRPr="00562757" w:rsidRDefault="00F10F97" w:rsidP="00F10F97">
      <w:pPr>
        <w:rPr>
          <w:rFonts w:ascii="Times New Roman" w:eastAsia="Times New Roman" w:hAnsi="Times New Roman" w:cs="Times New Roman"/>
        </w:rPr>
      </w:pPr>
    </w:p>
    <w:p w14:paraId="5E17EBDC"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use its updated cost-effectiveness model and impact estimates based on this RCT to make two decisions: </w:t>
      </w:r>
    </w:p>
    <w:p w14:paraId="56C03003"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(1) Is New Incentives robustly more cost-effective than providing cash transfers through </w:t>
      </w:r>
      <w:proofErr w:type="spellStart"/>
      <w:r w:rsidRPr="00562757">
        <w:rPr>
          <w:rFonts w:ascii="Garamond" w:eastAsia="Times New Roman" w:hAnsi="Garamond" w:cs="Times New Roman"/>
          <w:color w:val="000000"/>
        </w:rPr>
        <w:t>GiveDirectly</w:t>
      </w:r>
      <w:proofErr w:type="spellEnd"/>
      <w:r w:rsidRPr="00562757">
        <w:rPr>
          <w:rFonts w:ascii="Garamond" w:eastAsia="Times New Roman" w:hAnsi="Garamond" w:cs="Times New Roman"/>
          <w:color w:val="000000"/>
        </w:rPr>
        <w:t>?</w:t>
      </w:r>
    </w:p>
    <w:p w14:paraId="25FEBBCF"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(2) Is New Incentives at least as cost-effective as the programs that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recommends that donors support </w:t>
      </w:r>
      <w:proofErr w:type="gramStart"/>
      <w:r w:rsidRPr="00562757">
        <w:rPr>
          <w:rFonts w:ascii="Garamond" w:eastAsia="Times New Roman" w:hAnsi="Garamond" w:cs="Times New Roman"/>
          <w:color w:val="000000"/>
        </w:rPr>
        <w:t>in a given year</w:t>
      </w:r>
      <w:proofErr w:type="gramEnd"/>
      <w:r w:rsidRPr="00562757">
        <w:rPr>
          <w:rFonts w:ascii="Garamond" w:eastAsia="Times New Roman" w:hAnsi="Garamond" w:cs="Times New Roman"/>
          <w:color w:val="000000"/>
        </w:rPr>
        <w:t xml:space="preserve"> with their donations? </w:t>
      </w:r>
    </w:p>
    <w:p w14:paraId="3877AA13" w14:textId="77777777" w:rsidR="00F10F97" w:rsidRPr="00562757" w:rsidRDefault="00F10F97" w:rsidP="00F10F97">
      <w:pPr>
        <w:rPr>
          <w:rFonts w:ascii="Times New Roman" w:eastAsia="Times New Roman" w:hAnsi="Times New Roman" w:cs="Times New Roman"/>
        </w:rPr>
      </w:pPr>
    </w:p>
    <w:p w14:paraId="61C46561"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If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concludes that New Incentives' program is robustly more cost-effective than providing cash transfers through </w:t>
      </w:r>
      <w:proofErr w:type="spellStart"/>
      <w:r w:rsidRPr="00562757">
        <w:rPr>
          <w:rFonts w:ascii="Garamond" w:eastAsia="Times New Roman" w:hAnsi="Garamond" w:cs="Times New Roman"/>
          <w:color w:val="000000"/>
        </w:rPr>
        <w:t>GiveDirectly</w:t>
      </w:r>
      <w:proofErr w:type="spellEnd"/>
      <w:r w:rsidRPr="00562757">
        <w:rPr>
          <w:rFonts w:ascii="Garamond" w:eastAsia="Times New Roman" w:hAnsi="Garamond" w:cs="Times New Roman"/>
          <w:color w:val="000000"/>
        </w:rPr>
        <w:t xml:space="preserve">, and New Incentives fulfills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other top charity criteria of  transparency, ongoing evidence of effectiveness through high quality monitoring of its program, and ability to absorb additional funding for the program,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likely to add New Incentives to its list of top-recommended charities. However, New Incentives is likely to receive substantial funding from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only if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concludes that additional funding to New Incentives is at least as cost-effective as additional funding to competing programs. </w:t>
      </w:r>
    </w:p>
    <w:p w14:paraId="46722935" w14:textId="77777777" w:rsidR="00F10F97" w:rsidRPr="00562757" w:rsidRDefault="00F10F97" w:rsidP="00F10F97">
      <w:pPr>
        <w:rPr>
          <w:rFonts w:ascii="Times New Roman" w:eastAsia="Times New Roman" w:hAnsi="Times New Roman" w:cs="Times New Roman"/>
        </w:rPr>
      </w:pPr>
    </w:p>
    <w:p w14:paraId="24A3B078"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Because the main decision-relevant outcome of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evaluation process is a rough ranking of the cost-effectiveness and priority of programs' funding gaps relative to each other, it is important that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try to be consistent across cost-effectiveness models.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general approach to modeling may undergo changes by the time results from this study are available that necessitate making similar changes to our modeling for New Incentives for the sake of comparability.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write publicly about differences between these plans and actual use of the study results.</w:t>
      </w:r>
    </w:p>
    <w:p w14:paraId="36B5B9BF" w14:textId="77777777" w:rsidR="00F10F97" w:rsidRPr="00562757" w:rsidRDefault="00F10F97" w:rsidP="00F10F97">
      <w:pPr>
        <w:rPr>
          <w:rFonts w:ascii="Times New Roman" w:eastAsia="Times New Roman" w:hAnsi="Times New Roman" w:cs="Times New Roman"/>
        </w:rPr>
      </w:pPr>
    </w:p>
    <w:p w14:paraId="74A3992B"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Outcomes, magnitude and significance</w:t>
      </w:r>
    </w:p>
    <w:p w14:paraId="4337FD15"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As noted above, the primary outcomes of this study are the coverage estimates for 12- to 16-month-old children for three key vaccines: BCG, at least one dose of pentavalent vaccine, and Measles 1. In addition to these primary outcomes,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likely use the secondary outcomes of: </w:t>
      </w:r>
      <w:r w:rsidRPr="00562757">
        <w:rPr>
          <w:rFonts w:ascii="Garamond" w:eastAsia="Times New Roman" w:hAnsi="Garamond" w:cs="Times New Roman"/>
          <w:i/>
          <w:iCs/>
          <w:color w:val="000000"/>
        </w:rPr>
        <w:t>coverage of a second dose of pentavalent vaccine</w:t>
      </w:r>
      <w:r w:rsidRPr="00562757">
        <w:rPr>
          <w:rFonts w:ascii="Garamond" w:eastAsia="Times New Roman" w:hAnsi="Garamond" w:cs="Times New Roman"/>
          <w:color w:val="000000"/>
        </w:rPr>
        <w:t xml:space="preserve">, </w:t>
      </w:r>
      <w:r w:rsidRPr="00562757">
        <w:rPr>
          <w:rFonts w:ascii="Garamond" w:eastAsia="Times New Roman" w:hAnsi="Garamond" w:cs="Times New Roman"/>
          <w:i/>
          <w:iCs/>
          <w:color w:val="000000"/>
        </w:rPr>
        <w:t>coverage with a third dose of pentavalent vaccine, and coverage with up to three doses of PCV vaccine</w:t>
      </w:r>
      <w:r w:rsidRPr="00562757">
        <w:rPr>
          <w:rFonts w:ascii="Garamond" w:eastAsia="Times New Roman" w:hAnsi="Garamond" w:cs="Times New Roman"/>
          <w:color w:val="000000"/>
        </w:rPr>
        <w:t xml:space="preserve"> for 12- to 16-month-old children in its model of the cost-effectiveness of the New Incentives program.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understands that caretaker reporting of PCV vaccine(s) and the exact number of pentavalent vaccines received may be of lower quality than the primary outcomes.</w:t>
      </w:r>
    </w:p>
    <w:p w14:paraId="55F4EF36" w14:textId="77777777" w:rsidR="00F10F97" w:rsidRPr="00562757" w:rsidRDefault="00F10F97" w:rsidP="00F10F97">
      <w:pPr>
        <w:rPr>
          <w:rFonts w:ascii="Times New Roman" w:eastAsia="Times New Roman" w:hAnsi="Times New Roman" w:cs="Times New Roman"/>
        </w:rPr>
      </w:pPr>
    </w:p>
    <w:p w14:paraId="3089C9A1"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The magnitude of the point estimate for each vaccination outcome is the degree to which New Incentives’ program appears to affect vaccination coverage on average in the three Nigerian states in which New Incentives operates. Statistical significance refers to whether the point estimates pass the threshold for rejecting the null hypothesis that the program has no effect. Academia has conventionally used a p-value of 0.05 as the threshold for declaring a result statistically significantly different from zero. However,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goal is to use the study results in its cost-effectiveness model to form a best-guess expectation of New Incentives' near-future impact on vaccine coverage, even if those results are not statistically significant at conventional levels.</w:t>
      </w:r>
    </w:p>
    <w:p w14:paraId="3108E541" w14:textId="77777777" w:rsidR="00F10F97" w:rsidRPr="00562757" w:rsidRDefault="00F10F97" w:rsidP="00F10F97">
      <w:pPr>
        <w:rPr>
          <w:rFonts w:ascii="Times New Roman" w:eastAsia="Times New Roman" w:hAnsi="Times New Roman" w:cs="Times New Roman"/>
        </w:rPr>
      </w:pPr>
    </w:p>
    <w:p w14:paraId="3D4FB831"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In order to form a best guess of a program's impact based on a study result,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generally uses point estimate study results in its cost-effectiveness models, but it may also adjust these results to incorporate other factors such as its prior beliefs about potential impacts and its views about the accuracy, validity, or replicability of the final study results. As the study results for different vaccinations are likely to vary,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may apply different adjustments to each outcome used in its cost-effectiveness calculations for New Incentives.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discusses these adjustments publicly when publishing an evaluation of a program or explanation of its decision-making.</w:t>
      </w:r>
    </w:p>
    <w:p w14:paraId="365A17E1" w14:textId="77777777" w:rsidR="00F10F97" w:rsidRPr="00562757" w:rsidRDefault="00F10F97" w:rsidP="00F10F97">
      <w:pPr>
        <w:rPr>
          <w:rFonts w:ascii="Times New Roman" w:eastAsia="Times New Roman" w:hAnsi="Times New Roman" w:cs="Times New Roman"/>
        </w:rPr>
      </w:pPr>
    </w:p>
    <w:p w14:paraId="3952D1AE"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When using the results of this study on the vaccination outcomes named above,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does expect to take the variance and statistical significance of each result into account when considering its best guess of the program's impact. The farther away from the threshold for statistical significance a point estimate is, the more </w:t>
      </w:r>
      <w:r w:rsidRPr="00562757">
        <w:rPr>
          <w:rFonts w:ascii="Garamond" w:eastAsia="Times New Roman" w:hAnsi="Garamond" w:cs="Times New Roman"/>
          <w:color w:val="000000"/>
        </w:rPr>
        <w:lastRenderedPageBreak/>
        <w:t xml:space="preserve">likely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to make an adjustment of some kind to reflect the fact that the point estimate is not precisely measured and could be consistent with qualitatively different outcomes. This approach is driven not by a threshold approach to significance, but by a principle of balancing accuracy with simplicity in modeling: prioritizing the incorporation of information or adjustments if they make a difference to the outcome of the model, but not if their effect on the model is small.</w:t>
      </w:r>
    </w:p>
    <w:p w14:paraId="3942C9DE" w14:textId="77777777" w:rsidR="00F10F97" w:rsidRPr="00562757" w:rsidRDefault="00F10F97" w:rsidP="00F10F97">
      <w:pPr>
        <w:rPr>
          <w:rFonts w:ascii="Times New Roman" w:eastAsia="Times New Roman" w:hAnsi="Times New Roman" w:cs="Times New Roman"/>
        </w:rPr>
      </w:pPr>
    </w:p>
    <w:p w14:paraId="52471254"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2E75B5"/>
          <w:sz w:val="28"/>
          <w:szCs w:val="28"/>
        </w:rPr>
        <w:t>External validity to future program implementation</w:t>
      </w:r>
    </w:p>
    <w:p w14:paraId="0B9701B3"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This program evaluation has been designed to be representative of New Incentives' average past impact in three states in Northwest Nigeria, but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understands that New Incentives may choose to operate in different areas in the future for which these study results may not be fully representative. Additional concerns such as program scale-up or the presence of other programs that seem likely to impact child vaccination rates may also affect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estimate of the expected value of funding directed to the New Incentives program.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likely to make an external validity adjustment to the study results to account for any major observable differences between past and planned future program context and operations. </w:t>
      </w:r>
    </w:p>
    <w:p w14:paraId="3B28FA0F" w14:textId="77777777" w:rsidR="00F10F97" w:rsidRPr="00562757" w:rsidRDefault="00F10F97" w:rsidP="00F10F97">
      <w:pPr>
        <w:rPr>
          <w:rFonts w:ascii="Times New Roman" w:eastAsia="Times New Roman" w:hAnsi="Times New Roman" w:cs="Times New Roman"/>
        </w:rPr>
      </w:pPr>
    </w:p>
    <w:p w14:paraId="2E0DD69C"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aware that the World Bank is currently piloting a conditional cash transfer program in Nigeria, and that infant immunization is one possible condition for the transfer that could apply at the state level. If this program ever reaches a large scale in the future and incentivizes infant immunization,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take this competing program into account in its external validity adjustment for New Incentives. However, because the World Bank program has been operating at a small scale to date during the pilot phase and has not yet begun to incentivize infant immunizations,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does not expect its presence to impact the RCT results. Future program scale-up after the pilot remains uncertain. </w:t>
      </w:r>
    </w:p>
    <w:p w14:paraId="63EEEB3F" w14:textId="77777777" w:rsidR="00F10F97" w:rsidRPr="00562757" w:rsidRDefault="00F10F97" w:rsidP="00F10F97">
      <w:pPr>
        <w:rPr>
          <w:rFonts w:ascii="Times New Roman" w:eastAsia="Times New Roman" w:hAnsi="Times New Roman" w:cs="Times New Roman"/>
        </w:rPr>
      </w:pPr>
    </w:p>
    <w:p w14:paraId="5FC3C227"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may also consider subsample or secondary analyses from this RCT to inform its views about mechanisms behind program impact and external validity, if doing so allows for a model it believes is more representative of expected program impact at scale. However,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understands that this study is not necessarily designed or powered to detect representative program impacts in subsample analyses. As a result,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expects to </w:t>
      </w:r>
      <w:proofErr w:type="gramStart"/>
      <w:r w:rsidRPr="00562757">
        <w:rPr>
          <w:rFonts w:ascii="Garamond" w:eastAsia="Times New Roman" w:hAnsi="Garamond" w:cs="Times New Roman"/>
          <w:color w:val="000000"/>
        </w:rPr>
        <w:t>take into account</w:t>
      </w:r>
      <w:proofErr w:type="gramEnd"/>
      <w:r w:rsidRPr="00562757">
        <w:rPr>
          <w:rFonts w:ascii="Garamond" w:eastAsia="Times New Roman" w:hAnsi="Garamond" w:cs="Times New Roman"/>
          <w:color w:val="000000"/>
        </w:rPr>
        <w:t xml:space="preserve"> the main study outcomes and assess the sensitivity of its final decisions to use of results from subsample or secondary analyses.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write publicly about its decision process and any adjustments made to the main study results.</w:t>
      </w:r>
    </w:p>
    <w:p w14:paraId="73FC2C14" w14:textId="77777777" w:rsidR="00F10F97" w:rsidRPr="00562757" w:rsidRDefault="00F10F97" w:rsidP="00F10F97">
      <w:pPr>
        <w:rPr>
          <w:rFonts w:ascii="Times New Roman" w:eastAsia="Times New Roman" w:hAnsi="Times New Roman" w:cs="Times New Roman"/>
        </w:rPr>
      </w:pPr>
    </w:p>
    <w:p w14:paraId="2C33FA45"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Internal validity</w:t>
      </w:r>
    </w:p>
    <w:p w14:paraId="6114FE68"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When forming a best guess of the cost-effectiveness of a program based on results from a study,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generally takes into account its beliefs about the study's internal validity, which reflect any ways in which the results may be biased away from the true average effect of a program over the time period covered by the trial. Similarly,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expects to consider potential challenges to the internal validity of the New Incentives </w:t>
      </w:r>
      <w:proofErr w:type="gramStart"/>
      <w:r w:rsidRPr="00562757">
        <w:rPr>
          <w:rFonts w:ascii="Garamond" w:eastAsia="Times New Roman" w:hAnsi="Garamond" w:cs="Times New Roman"/>
          <w:color w:val="000000"/>
        </w:rPr>
        <w:t>RCT, and</w:t>
      </w:r>
      <w:proofErr w:type="gramEnd"/>
      <w:r w:rsidRPr="00562757">
        <w:rPr>
          <w:rFonts w:ascii="Garamond" w:eastAsia="Times New Roman" w:hAnsi="Garamond" w:cs="Times New Roman"/>
          <w:color w:val="000000"/>
        </w:rPr>
        <w:t xml:space="preserve"> may adjust its expected value of the program's results on this basis. </w:t>
      </w:r>
    </w:p>
    <w:p w14:paraId="7D70D7B6" w14:textId="77777777" w:rsidR="00F10F97" w:rsidRPr="00562757" w:rsidRDefault="00F10F97" w:rsidP="00F10F97">
      <w:pPr>
        <w:rPr>
          <w:rFonts w:ascii="Times New Roman" w:eastAsia="Times New Roman" w:hAnsi="Times New Roman" w:cs="Times New Roman"/>
        </w:rPr>
      </w:pPr>
    </w:p>
    <w:p w14:paraId="6D104B96"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internal validity adjustments generally </w:t>
      </w:r>
      <w:proofErr w:type="gramStart"/>
      <w:r w:rsidRPr="00562757">
        <w:rPr>
          <w:rFonts w:ascii="Garamond" w:eastAsia="Times New Roman" w:hAnsi="Garamond" w:cs="Times New Roman"/>
          <w:color w:val="000000"/>
        </w:rPr>
        <w:t>take into account</w:t>
      </w:r>
      <w:proofErr w:type="gramEnd"/>
      <w:r w:rsidRPr="00562757">
        <w:rPr>
          <w:rFonts w:ascii="Garamond" w:eastAsia="Times New Roman" w:hAnsi="Garamond" w:cs="Times New Roman"/>
          <w:color w:val="000000"/>
        </w:rPr>
        <w:t xml:space="preserve"> aspects of study design, potential sources of bias, and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prior beliefs about the magnitude of impact a program is likely to have. Some known potential internal validity challenges for this study include that caregiver report of vaccination may be biased by the social desirability of reporting vaccination to surveyors and/or imperfect recall, that the program's effects may spill over from treatment areas to control areas, that the boundaries of some clinic catchment areas have shifted somewhat since baseline such that the treatment areas surveyed at </w:t>
      </w:r>
      <w:proofErr w:type="spellStart"/>
      <w:r w:rsidRPr="00562757">
        <w:rPr>
          <w:rFonts w:ascii="Garamond" w:eastAsia="Times New Roman" w:hAnsi="Garamond" w:cs="Times New Roman"/>
          <w:color w:val="000000"/>
        </w:rPr>
        <w:t>endline</w:t>
      </w:r>
      <w:proofErr w:type="spellEnd"/>
      <w:r w:rsidRPr="00562757">
        <w:rPr>
          <w:rFonts w:ascii="Garamond" w:eastAsia="Times New Roman" w:hAnsi="Garamond" w:cs="Times New Roman"/>
          <w:color w:val="000000"/>
        </w:rPr>
        <w:t xml:space="preserve"> will include a small proportion of settlements that may not have had access to New Incentives' program for the full study period, and that security concerns have heightened in Northwest Nigeria during the course of the study, particularly in Zamfara state.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has participated in designing this RCT, and other sections of this pre-analysis plan have discussed strategies we plan to use to mitigate these challenges.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also believes that pre-registering the study's analysis plan increases confidence in the internal validity of the study's results.</w:t>
      </w:r>
    </w:p>
    <w:p w14:paraId="2530BE0B" w14:textId="77777777" w:rsidR="00F10F97" w:rsidRPr="00562757" w:rsidRDefault="00F10F97" w:rsidP="00F10F97">
      <w:pPr>
        <w:rPr>
          <w:rFonts w:ascii="Times New Roman" w:eastAsia="Times New Roman" w:hAnsi="Times New Roman" w:cs="Times New Roman"/>
        </w:rPr>
      </w:pPr>
    </w:p>
    <w:p w14:paraId="59F76BE9"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lastRenderedPageBreak/>
        <w:t>GiveWell</w:t>
      </w:r>
      <w:proofErr w:type="spellEnd"/>
      <w:r w:rsidRPr="00562757">
        <w:rPr>
          <w:rFonts w:ascii="Garamond" w:eastAsia="Times New Roman" w:hAnsi="Garamond" w:cs="Times New Roman"/>
          <w:color w:val="000000"/>
        </w:rPr>
        <w:t xml:space="preserve"> is particularly concerned with the potential for self-reporting bias in these study results and plans to consider several available backchecks to assess the importance of this factor. In addition to self-reports of vaccination, this study will collect data from child health cards (when available) and clinic immunization registers. </w:t>
      </w:r>
      <w:proofErr w:type="gramStart"/>
      <w:r w:rsidRPr="00562757">
        <w:rPr>
          <w:rFonts w:ascii="Garamond" w:eastAsia="Times New Roman" w:hAnsi="Garamond" w:cs="Times New Roman"/>
          <w:color w:val="000000"/>
        </w:rPr>
        <w:t>Assuming that</w:t>
      </w:r>
      <w:proofErr w:type="gramEnd"/>
      <w:r w:rsidRPr="00562757">
        <w:rPr>
          <w:rFonts w:ascii="Garamond" w:eastAsia="Times New Roman" w:hAnsi="Garamond" w:cs="Times New Roman"/>
          <w:color w:val="000000"/>
        </w:rPr>
        <w:t xml:space="preserve"> remaining biomarkers pilots pass predetermined thresholds for validation, this study will also collect biomarkers samples at </w:t>
      </w:r>
      <w:proofErr w:type="spellStart"/>
      <w:r w:rsidRPr="00562757">
        <w:rPr>
          <w:rFonts w:ascii="Garamond" w:eastAsia="Times New Roman" w:hAnsi="Garamond" w:cs="Times New Roman"/>
          <w:color w:val="000000"/>
        </w:rPr>
        <w:t>endline</w:t>
      </w:r>
      <w:proofErr w:type="spellEnd"/>
      <w:r w:rsidRPr="00562757">
        <w:rPr>
          <w:rFonts w:ascii="Garamond" w:eastAsia="Times New Roman" w:hAnsi="Garamond" w:cs="Times New Roman"/>
          <w:color w:val="000000"/>
        </w:rPr>
        <w:t xml:space="preserve"> to test for measles immunity from a subset of eligible children.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understands that simulations based on the </w:t>
      </w:r>
      <w:proofErr w:type="spellStart"/>
      <w:r w:rsidRPr="00562757">
        <w:rPr>
          <w:rFonts w:ascii="Garamond" w:eastAsia="Times New Roman" w:hAnsi="Garamond" w:cs="Times New Roman"/>
          <w:color w:val="000000"/>
        </w:rPr>
        <w:t>Dawid</w:t>
      </w:r>
      <w:proofErr w:type="spellEnd"/>
      <w:r w:rsidRPr="00562757">
        <w:rPr>
          <w:rFonts w:ascii="Garamond" w:eastAsia="Times New Roman" w:hAnsi="Garamond" w:cs="Times New Roman"/>
          <w:color w:val="000000"/>
        </w:rPr>
        <w:t xml:space="preserve">-Skene model suggest that moderately informative biomarkers, combined with administrative records, can substantially improve bias in coverage estimates when self-reports are at least somewhat inaccurate.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may therefore prefer and choose to use these adjusted estimates for measles as primary inputs into the cost-effectiveness </w:t>
      </w:r>
      <w:proofErr w:type="gramStart"/>
      <w:r w:rsidRPr="00562757">
        <w:rPr>
          <w:rFonts w:ascii="Garamond" w:eastAsia="Times New Roman" w:hAnsi="Garamond" w:cs="Times New Roman"/>
          <w:color w:val="000000"/>
        </w:rPr>
        <w:t>analysis, and</w:t>
      </w:r>
      <w:proofErr w:type="gramEnd"/>
      <w:r w:rsidRPr="00562757">
        <w:rPr>
          <w:rFonts w:ascii="Garamond" w:eastAsia="Times New Roman" w:hAnsi="Garamond" w:cs="Times New Roman"/>
          <w:color w:val="000000"/>
        </w:rPr>
        <w:t xml:space="preserve"> may use differences between the adjusted and unadjusted measles results to inform its beliefs about the magnitude of self-report bias in other estimates. However, biomarkers failed to reach threshold sensitivity to measles immunity in an initial pilot, and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recognizes that any field challenges with biomarkers execution experienced at </w:t>
      </w:r>
      <w:proofErr w:type="spellStart"/>
      <w:r w:rsidRPr="00562757">
        <w:rPr>
          <w:rFonts w:ascii="Garamond" w:eastAsia="Times New Roman" w:hAnsi="Garamond" w:cs="Times New Roman"/>
          <w:color w:val="000000"/>
        </w:rPr>
        <w:t>endline</w:t>
      </w:r>
      <w:proofErr w:type="spellEnd"/>
      <w:r w:rsidRPr="00562757">
        <w:rPr>
          <w:rFonts w:ascii="Garamond" w:eastAsia="Times New Roman" w:hAnsi="Garamond" w:cs="Times New Roman"/>
          <w:color w:val="000000"/>
        </w:rPr>
        <w:t xml:space="preserve"> may reduce our ultimate confidence in the accuracy and contribution of biomarkers. When considering how much to rely on estimates adjusted using biomarkers,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expects to consider the degree of challenges reported by enumerators in collecting saliva samples, the proportion of samples that fall outside of the acceptable cold chain range or that are missing cold chain data points during transportation to the lab, </w:t>
      </w:r>
      <w:proofErr w:type="spellStart"/>
      <w:r w:rsidRPr="00562757">
        <w:rPr>
          <w:rFonts w:ascii="Garamond" w:eastAsia="Times New Roman" w:hAnsi="Garamond" w:cs="Times New Roman"/>
          <w:color w:val="000000"/>
        </w:rPr>
        <w:t>IDinsight's</w:t>
      </w:r>
      <w:proofErr w:type="spellEnd"/>
      <w:r w:rsidRPr="00562757">
        <w:rPr>
          <w:rFonts w:ascii="Garamond" w:eastAsia="Times New Roman" w:hAnsi="Garamond" w:cs="Times New Roman"/>
          <w:color w:val="000000"/>
        </w:rPr>
        <w:t xml:space="preserve"> impressions of lab competency, and whether the degree of biomarker agreement with additional backcheck data (clinic records and child health cards) seems credible.</w:t>
      </w:r>
    </w:p>
    <w:p w14:paraId="03F3A12A"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w:t>
      </w:r>
    </w:p>
    <w:p w14:paraId="347A81BB"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In addition to or instead of modeling using biomarkers,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may consider simpler robustness checks on the accuracy of self-reports using child health cards</w:t>
      </w:r>
      <w:r>
        <w:rPr>
          <w:rFonts w:ascii="Garamond" w:eastAsia="Times New Roman" w:hAnsi="Garamond" w:cs="Times New Roman"/>
          <w:color w:val="000000"/>
        </w:rPr>
        <w:t>, BCG scars,</w:t>
      </w:r>
      <w:r w:rsidRPr="00562757">
        <w:rPr>
          <w:rFonts w:ascii="Garamond" w:eastAsia="Times New Roman" w:hAnsi="Garamond" w:cs="Times New Roman"/>
          <w:color w:val="000000"/>
        </w:rPr>
        <w:t xml:space="preserve"> and administrative records as additional data sources.</w:t>
      </w:r>
      <w:r>
        <w:rPr>
          <w:rFonts w:ascii="Garamond" w:eastAsia="Times New Roman" w:hAnsi="Garamond" w:cs="Times New Roman"/>
          <w:color w:val="000000"/>
        </w:rPr>
        <w:t xml:space="preserve"> While </w:t>
      </w:r>
      <w:proofErr w:type="spellStart"/>
      <w:r>
        <w:rPr>
          <w:rFonts w:ascii="Garamond" w:eastAsia="Times New Roman" w:hAnsi="Garamond" w:cs="Times New Roman"/>
          <w:color w:val="000000"/>
        </w:rPr>
        <w:t>GiveWell</w:t>
      </w:r>
      <w:proofErr w:type="spellEnd"/>
      <w:r>
        <w:rPr>
          <w:rFonts w:ascii="Garamond" w:eastAsia="Times New Roman" w:hAnsi="Garamond" w:cs="Times New Roman"/>
          <w:color w:val="000000"/>
        </w:rPr>
        <w:t xml:space="preserve"> understands that not every BCG vaccination results in a scar, it expects that if a robustness check using presence of BCG scars as an alternative measure of BCG coverage is similar to results based on self-reports of BCG, this would increase </w:t>
      </w:r>
      <w:proofErr w:type="spellStart"/>
      <w:r>
        <w:rPr>
          <w:rFonts w:ascii="Garamond" w:eastAsia="Times New Roman" w:hAnsi="Garamond" w:cs="Times New Roman"/>
          <w:color w:val="000000"/>
        </w:rPr>
        <w:t>GiveWell’s</w:t>
      </w:r>
      <w:proofErr w:type="spellEnd"/>
      <w:r>
        <w:rPr>
          <w:rFonts w:ascii="Garamond" w:eastAsia="Times New Roman" w:hAnsi="Garamond" w:cs="Times New Roman"/>
          <w:color w:val="000000"/>
        </w:rPr>
        <w:t xml:space="preserve"> confidence in self-reports of vaccination. </w:t>
      </w:r>
      <w:r w:rsidRPr="00562757">
        <w:rPr>
          <w:rFonts w:ascii="Garamond" w:eastAsia="Times New Roman" w:hAnsi="Garamond" w:cs="Times New Roman"/>
          <w:i/>
          <w:iCs/>
          <w:color w:val="000000"/>
        </w:rPr>
        <w:t>Unrecorded vaccinations</w:t>
      </w:r>
      <w:r w:rsidRPr="00562757">
        <w:rPr>
          <w:rFonts w:ascii="Garamond" w:eastAsia="Times New Roman" w:hAnsi="Garamond" w:cs="Times New Roman"/>
          <w:color w:val="000000"/>
        </w:rPr>
        <w:t xml:space="preserve"> are vaccines reported by a caretaker but unable to be verified with the infant's child health card or clinic's administrative data. If there is a substantial difference between the proportion of self-reported vaccines that are unrecorded in treatment catchments compared to control catchments, this could indicate that caregivers are differentially inflating their reports of vaccination in treatment areas. If there is a significant difference in unrecorded reported vaccinations,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test the sensitivity of its conclusions to an analysis that adjusts for reporting bias. Because New Incentives program staff are present at treatment clinics on vaccination days, the program may </w:t>
      </w:r>
      <w:proofErr w:type="gramStart"/>
      <w:r w:rsidRPr="00562757">
        <w:rPr>
          <w:rFonts w:ascii="Garamond" w:eastAsia="Times New Roman" w:hAnsi="Garamond" w:cs="Times New Roman"/>
          <w:color w:val="000000"/>
        </w:rPr>
        <w:t>have an effect on</w:t>
      </w:r>
      <w:proofErr w:type="gramEnd"/>
      <w:r w:rsidRPr="00562757">
        <w:rPr>
          <w:rFonts w:ascii="Garamond" w:eastAsia="Times New Roman" w:hAnsi="Garamond" w:cs="Times New Roman"/>
          <w:color w:val="000000"/>
        </w:rPr>
        <w:t xml:space="preserve"> improving recordkeeping at treatment clinics. A lower bound on the program's effect could be estimated by using caregiver report of vaccinations received in control catchments while only counting only counting </w:t>
      </w:r>
      <w:proofErr w:type="gramStart"/>
      <w:r w:rsidRPr="00562757">
        <w:rPr>
          <w:rFonts w:ascii="Garamond" w:eastAsia="Times New Roman" w:hAnsi="Garamond" w:cs="Times New Roman"/>
          <w:color w:val="000000"/>
        </w:rPr>
        <w:t>administratively-confirmed</w:t>
      </w:r>
      <w:proofErr w:type="gramEnd"/>
      <w:r w:rsidRPr="00562757">
        <w:rPr>
          <w:rFonts w:ascii="Garamond" w:eastAsia="Times New Roman" w:hAnsi="Garamond" w:cs="Times New Roman"/>
          <w:color w:val="000000"/>
        </w:rPr>
        <w:t xml:space="preserve"> vaccinations in treatment clinics.</w:t>
      </w:r>
    </w:p>
    <w:p w14:paraId="5ACFA29F" w14:textId="77777777" w:rsidR="00F10F97" w:rsidRPr="00562757" w:rsidRDefault="00F10F97" w:rsidP="00F10F97">
      <w:pPr>
        <w:rPr>
          <w:rFonts w:ascii="Times New Roman" w:eastAsia="Times New Roman" w:hAnsi="Times New Roman" w:cs="Times New Roman"/>
        </w:rPr>
      </w:pPr>
    </w:p>
    <w:p w14:paraId="6A9E96BC"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Despite attempts to space treatment and control clinics during study design and to exclude out-of-catchment infants from program enrollment, spillover of the treatment's effect onto the control population could occur if caregivers living in control catchments learn about the program and this affects their uptake of vaccination, either within their catchment or by traveling to a treatment clinic. While the former is difficult to measure, the latter should be measurable by asking caregivers what clinic they traveled to and by observing whether caregivers in control catchments have a New Incentives "All Babies are Equal" stamp on their Child Health Card from visiting a treatment clinic. If there appears to be a significant degree of spillover onto some control clinic catchment areas,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likely to test the sensitivity of its conclusions to exclusion of the affected clinics or to inclusion of a correction factor for the degree of program spillovers.</w:t>
      </w:r>
    </w:p>
    <w:p w14:paraId="6109967E" w14:textId="77777777" w:rsidR="00F10F97" w:rsidRPr="00562757" w:rsidRDefault="00F10F97" w:rsidP="00F10F97">
      <w:pPr>
        <w:rPr>
          <w:rFonts w:ascii="Times New Roman" w:eastAsia="Times New Roman" w:hAnsi="Times New Roman" w:cs="Times New Roman"/>
        </w:rPr>
      </w:pPr>
    </w:p>
    <w:p w14:paraId="47DF44B4" w14:textId="77777777" w:rsidR="00F10F97" w:rsidRPr="00562757" w:rsidRDefault="00F10F97" w:rsidP="00F10F97">
      <w:pPr>
        <w:jc w:val="both"/>
        <w:rPr>
          <w:rFonts w:ascii="Times New Roman" w:eastAsia="Times New Roman" w:hAnsi="Times New Roman" w:cs="Times New Roman"/>
        </w:rPr>
      </w:pP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has and will be more knowledgeable about this study's design, implementation, and analysis compared to other studies which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relies on in its evaluations. This increases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confidence in the internal validity of this study.</w:t>
      </w:r>
    </w:p>
    <w:p w14:paraId="5B5B7A91" w14:textId="77777777" w:rsidR="00F10F97" w:rsidRPr="00562757" w:rsidRDefault="00F10F97" w:rsidP="00F10F97">
      <w:pPr>
        <w:rPr>
          <w:rFonts w:ascii="Times New Roman" w:eastAsia="Times New Roman" w:hAnsi="Times New Roman" w:cs="Times New Roman"/>
        </w:rPr>
      </w:pPr>
    </w:p>
    <w:p w14:paraId="5F79E9F6"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Proxy vaccines</w:t>
      </w:r>
    </w:p>
    <w:p w14:paraId="631161AD"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lastRenderedPageBreak/>
        <w:t xml:space="preserve">As of this writing, rotavirus vaccination is not available as a routine vaccination in the Nigerian states where New Incentives operates, but New Incentives has told us that Nigeria is planning nationwide rollout in 2020. If routine rotavirus vaccination becomes available on the same schedule as pentavalent vaccination by the time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completing its evaluation based on the results of this study, or is expected in the near future,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likely to add it to the cost-effectiveness analysis using the study's observed effect of the program on pentavalent vaccination as a proxy for the program's expected effect on rotavirus vaccination.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prior is that inclusion of rotavirus could have a meaningful impact on program cost-effectiveness, because the rotavirus vaccine protects against severe diarrhea episodes caused by rotavirus and diarrhea accounts for a relatively large proportion of under-5 mortality. However,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has not yet formally modeled the program's potential impacts on diarrhea mortality. </w:t>
      </w:r>
    </w:p>
    <w:p w14:paraId="2CDD057D" w14:textId="77777777" w:rsidR="00F10F97" w:rsidRPr="00562757" w:rsidRDefault="00F10F97" w:rsidP="00F10F97">
      <w:pPr>
        <w:rPr>
          <w:rFonts w:ascii="Times New Roman" w:eastAsia="Times New Roman" w:hAnsi="Times New Roman" w:cs="Times New Roman"/>
        </w:rPr>
      </w:pPr>
    </w:p>
    <w:p w14:paraId="36284582"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New Incentives has also advised that the Meningitis A vaccine and a second dose of the measles vaccine (MCV2) are planned to be rolled out in Northern Nigeria in 2019-2020.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may also add these vaccines to the cost-effectiveness analysis in the future, again using the study results from the vaccine(s) it believes to be the most relevant as a proxy for expected program impact.  </w:t>
      </w:r>
    </w:p>
    <w:p w14:paraId="41FF4F70" w14:textId="77777777" w:rsidR="00F10F97" w:rsidRPr="00562757" w:rsidRDefault="00F10F97" w:rsidP="00F10F97">
      <w:pPr>
        <w:rPr>
          <w:rFonts w:ascii="Times New Roman" w:eastAsia="Times New Roman" w:hAnsi="Times New Roman" w:cs="Times New Roman"/>
        </w:rPr>
      </w:pPr>
    </w:p>
    <w:p w14:paraId="7A9752E7"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As mentioned in this document, PCV vaccination is difficult to measure based on self-report because it is given in the same location as IPV and administered at the same time as pentavalent vaccines. As a result, PCV has been named a secondary outcome of this study, and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expects that PCV is likely to be underreported by caregivers. </w:t>
      </w:r>
      <w:proofErr w:type="spellStart"/>
      <w:r w:rsidRPr="00562757">
        <w:rPr>
          <w:rFonts w:ascii="Garamond" w:eastAsia="Times New Roman" w:hAnsi="Garamond" w:cs="Times New Roman"/>
          <w:color w:val="000000"/>
        </w:rPr>
        <w:t>IDinsight</w:t>
      </w:r>
      <w:proofErr w:type="spellEnd"/>
      <w:r w:rsidRPr="00562757">
        <w:rPr>
          <w:rFonts w:ascii="Garamond" w:eastAsia="Times New Roman" w:hAnsi="Garamond" w:cs="Times New Roman"/>
          <w:color w:val="000000"/>
        </w:rPr>
        <w:t xml:space="preserve"> will evaluate the accuracy of reported PCV vaccination using the subset of respondents which can also provide a child health card. If PCV self-report appears to be less accurate than self-report of pentavalent vaccination,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may use the program's effect on pentavalent vaccination (which is given and incentivized at the same clinic visits as PCV, but is the only vaccine received on the left leg and thus easier to clearly identify) as a proxy for the program's effect on PCV vaccination.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evaluate the sensitivity of its model's output to this decision.</w:t>
      </w:r>
    </w:p>
    <w:p w14:paraId="1A54523E" w14:textId="77777777" w:rsidR="00F10F97" w:rsidRPr="00562757" w:rsidRDefault="00F10F97" w:rsidP="00F10F97">
      <w:pPr>
        <w:rPr>
          <w:rFonts w:ascii="Times New Roman" w:eastAsia="Times New Roman" w:hAnsi="Times New Roman" w:cs="Times New Roman"/>
        </w:rPr>
      </w:pPr>
    </w:p>
    <w:p w14:paraId="2FE3E4C6"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Use of Additional Information in the Cost-effectiveness Analysis</w:t>
      </w:r>
    </w:p>
    <w:p w14:paraId="54CC4802" w14:textId="77777777" w:rsidR="00F10F97" w:rsidRPr="00562757" w:rsidRDefault="00F10F97" w:rsidP="00F10F97">
      <w:pPr>
        <w:rPr>
          <w:rFonts w:ascii="Times New Roman" w:eastAsia="Times New Roman" w:hAnsi="Times New Roman" w:cs="Times New Roman"/>
        </w:rPr>
      </w:pP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expects the results from this study to be critical to evaluating New Incentives' impact, but it does not expect this information to be </w:t>
      </w:r>
      <w:proofErr w:type="gramStart"/>
      <w:r w:rsidRPr="00562757">
        <w:rPr>
          <w:rFonts w:ascii="Garamond" w:eastAsia="Times New Roman" w:hAnsi="Garamond" w:cs="Times New Roman"/>
          <w:color w:val="000000"/>
        </w:rPr>
        <w:t>sufficient</w:t>
      </w:r>
      <w:proofErr w:type="gramEnd"/>
      <w:r w:rsidRPr="00562757">
        <w:rPr>
          <w:rFonts w:ascii="Garamond" w:eastAsia="Times New Roman" w:hAnsi="Garamond" w:cs="Times New Roman"/>
          <w:color w:val="000000"/>
        </w:rPr>
        <w:t xml:space="preserve"> for calculating program cost-effectiveness.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anticipates doing additional research and taking into account information from a variety of outside sources to translate any changes in vaccination coverage resulting from the program into the two main outcomes it considers, lives </w:t>
      </w:r>
      <w:proofErr w:type="gramStart"/>
      <w:r w:rsidRPr="00562757">
        <w:rPr>
          <w:rFonts w:ascii="Garamond" w:eastAsia="Times New Roman" w:hAnsi="Garamond" w:cs="Times New Roman"/>
          <w:color w:val="000000"/>
        </w:rPr>
        <w:t>saved</w:t>
      </w:r>
      <w:proofErr w:type="gramEnd"/>
      <w:r w:rsidRPr="00562757">
        <w:rPr>
          <w:rFonts w:ascii="Garamond" w:eastAsia="Times New Roman" w:hAnsi="Garamond" w:cs="Times New Roman"/>
          <w:color w:val="000000"/>
        </w:rPr>
        <w:t xml:space="preserve"> and lives improved. This translation of benefits may in some cases involve making uncertain assumptions.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test the sensitivity of its conclusions to key modeling assumptions.</w:t>
      </w:r>
    </w:p>
    <w:p w14:paraId="3BF36AE4" w14:textId="77777777" w:rsidR="00F10F97" w:rsidRPr="00562757" w:rsidRDefault="00F10F97" w:rsidP="00F10F97">
      <w:pPr>
        <w:rPr>
          <w:rFonts w:ascii="Times New Roman" w:eastAsia="Times New Roman" w:hAnsi="Times New Roman" w:cs="Times New Roman"/>
        </w:rPr>
      </w:pPr>
    </w:p>
    <w:p w14:paraId="04587177" w14:textId="77777777" w:rsidR="00F10F97" w:rsidRPr="00562757" w:rsidRDefault="00F10F97" w:rsidP="00F10F97">
      <w:pPr>
        <w:spacing w:before="40"/>
        <w:outlineLvl w:val="1"/>
        <w:rPr>
          <w:rFonts w:ascii="Times New Roman" w:eastAsia="Times New Roman" w:hAnsi="Times New Roman" w:cs="Times New Roman"/>
          <w:b/>
          <w:bCs/>
          <w:sz w:val="36"/>
          <w:szCs w:val="36"/>
        </w:rPr>
      </w:pPr>
      <w:r w:rsidRPr="00562757">
        <w:rPr>
          <w:rFonts w:ascii="Garamond" w:eastAsia="Times New Roman" w:hAnsi="Garamond" w:cs="Times New Roman"/>
          <w:color w:val="2E75B5"/>
          <w:sz w:val="28"/>
          <w:szCs w:val="28"/>
        </w:rPr>
        <w:t xml:space="preserve">Possible Results and </w:t>
      </w:r>
      <w:proofErr w:type="spellStart"/>
      <w:r w:rsidRPr="00562757">
        <w:rPr>
          <w:rFonts w:ascii="Garamond" w:eastAsia="Times New Roman" w:hAnsi="Garamond" w:cs="Times New Roman"/>
          <w:color w:val="2E75B5"/>
          <w:sz w:val="28"/>
          <w:szCs w:val="28"/>
        </w:rPr>
        <w:t>GiveWell's</w:t>
      </w:r>
      <w:proofErr w:type="spellEnd"/>
      <w:r w:rsidRPr="00562757">
        <w:rPr>
          <w:rFonts w:ascii="Garamond" w:eastAsia="Times New Roman" w:hAnsi="Garamond" w:cs="Times New Roman"/>
          <w:color w:val="2E75B5"/>
          <w:sz w:val="28"/>
          <w:szCs w:val="28"/>
        </w:rPr>
        <w:t xml:space="preserve"> Decisions</w:t>
      </w:r>
    </w:p>
    <w:p w14:paraId="5005A464" w14:textId="77777777" w:rsidR="00F10F97" w:rsidRPr="00562757" w:rsidRDefault="00F10F97" w:rsidP="00F10F97">
      <w:pPr>
        <w:jc w:val="both"/>
        <w:rPr>
          <w:rFonts w:ascii="Times New Roman" w:eastAsia="Times New Roman" w:hAnsi="Times New Roman" w:cs="Times New Roman"/>
        </w:rPr>
      </w:pPr>
      <w:r w:rsidRPr="00562757">
        <w:rPr>
          <w:rFonts w:ascii="Garamond" w:eastAsia="Times New Roman" w:hAnsi="Garamond" w:cs="Times New Roman"/>
          <w:color w:val="000000"/>
        </w:rPr>
        <w:t xml:space="preserve">Because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current cost-effectiveness model for New Incentives is preliminary and likely to undergo major changes, it is difficult to specify an impact threshold above which New Incentives would be eligible for top charity status.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currently believes that if this study finds that the New Incentives’ program has a 10-15 percentage point or greater effect on vaccination rates across all of the vaccination rate outcomes considered by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likely to add New Incentives to its list of Top Charities, but this preliminary impression is subject to change as the cost-effectiveness model changes. This likelihood is somewhat diminished if the results are not significant or if other concerns about the validity of the results arise. </w:t>
      </w:r>
    </w:p>
    <w:p w14:paraId="03807915" w14:textId="77777777" w:rsidR="00F10F97" w:rsidRPr="00562757" w:rsidRDefault="00F10F97" w:rsidP="00F10F97">
      <w:pPr>
        <w:rPr>
          <w:rFonts w:ascii="Times New Roman" w:eastAsia="Times New Roman" w:hAnsi="Times New Roman" w:cs="Times New Roman"/>
        </w:rPr>
      </w:pPr>
    </w:p>
    <w:p w14:paraId="7C0F53CF" w14:textId="098B7350" w:rsidR="00F10F97" w:rsidRDefault="00F10F97">
      <w:pPr>
        <w:spacing w:after="160" w:line="259" w:lineRule="auto"/>
        <w:rPr>
          <w:rFonts w:ascii="Garamond" w:eastAsiaTheme="majorEastAsia" w:hAnsi="Garamond" w:cstheme="majorBidi"/>
          <w:color w:val="2E74B5" w:themeColor="accent1" w:themeShade="BF"/>
          <w:sz w:val="32"/>
          <w:szCs w:val="32"/>
          <w:lang w:val="de-DE"/>
        </w:rPr>
      </w:pPr>
      <w:r w:rsidRPr="00562757">
        <w:rPr>
          <w:rFonts w:ascii="Garamond" w:eastAsia="Times New Roman" w:hAnsi="Garamond" w:cs="Times New Roman"/>
          <w:color w:val="000000"/>
        </w:rPr>
        <w:t xml:space="preserve">However,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is only likely to recommend large amounts of funding to New Incentives if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believes that the New Incentives program is at least as effective a use of funds as the other top contenders for funding. Because </w:t>
      </w:r>
      <w:proofErr w:type="spellStart"/>
      <w:r w:rsidRPr="00562757">
        <w:rPr>
          <w:rFonts w:ascii="Garamond" w:eastAsia="Times New Roman" w:hAnsi="Garamond" w:cs="Times New Roman"/>
          <w:color w:val="000000"/>
        </w:rPr>
        <w:t>GiveWell’s</w:t>
      </w:r>
      <w:proofErr w:type="spellEnd"/>
      <w:r w:rsidRPr="00562757">
        <w:rPr>
          <w:rFonts w:ascii="Garamond" w:eastAsia="Times New Roman" w:hAnsi="Garamond" w:cs="Times New Roman"/>
          <w:color w:val="000000"/>
        </w:rPr>
        <w:t xml:space="preserve"> estimates of relative cost-effectiveness continue to evolve, and other organizations’ funding needs change from year to year, it is difficult to estimate the likelihood that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consider New Incentives’ vaccination program to be among its best uses of funding in 2020 and beyond. </w:t>
      </w:r>
      <w:r w:rsidRPr="00562757">
        <w:rPr>
          <w:rFonts w:ascii="Garamond" w:eastAsia="Times New Roman" w:hAnsi="Garamond" w:cs="Times New Roman"/>
          <w:color w:val="000000"/>
        </w:rPr>
        <w:lastRenderedPageBreak/>
        <w:t xml:space="preserve">However, it is likely that if New Incentives has a very large impact on vaccination rates (&gt;30 percentage points), </w:t>
      </w:r>
      <w:proofErr w:type="spellStart"/>
      <w:r w:rsidRPr="00562757">
        <w:rPr>
          <w:rFonts w:ascii="Garamond" w:eastAsia="Times New Roman" w:hAnsi="Garamond" w:cs="Times New Roman"/>
          <w:color w:val="000000"/>
        </w:rPr>
        <w:t>GiveWell</w:t>
      </w:r>
      <w:proofErr w:type="spellEnd"/>
      <w:r w:rsidRPr="00562757">
        <w:rPr>
          <w:rFonts w:ascii="Garamond" w:eastAsia="Times New Roman" w:hAnsi="Garamond" w:cs="Times New Roman"/>
          <w:color w:val="000000"/>
        </w:rPr>
        <w:t xml:space="preserve"> will recommend grants for a substantial amount of funding to New Incentives.</w:t>
      </w:r>
      <w:bookmarkStart w:id="6" w:name="_GoBack"/>
      <w:bookmarkEnd w:id="6"/>
      <w:r>
        <w:rPr>
          <w:rFonts w:ascii="Garamond" w:hAnsi="Garamond"/>
          <w:lang w:val="de-DE"/>
        </w:rPr>
        <w:br w:type="page"/>
      </w:r>
    </w:p>
    <w:p w14:paraId="09977497" w14:textId="44FEBFC2" w:rsidR="00E04470" w:rsidRPr="00982EAF" w:rsidRDefault="009D2F0F" w:rsidP="00E04470">
      <w:pPr>
        <w:pStyle w:val="Heading1"/>
        <w:spacing w:after="160"/>
        <w:rPr>
          <w:rFonts w:ascii="Garamond" w:hAnsi="Garamond"/>
          <w:u w:val="none"/>
          <w:lang w:val="de-DE"/>
        </w:rPr>
      </w:pPr>
      <w:r w:rsidRPr="00982EAF">
        <w:rPr>
          <w:rFonts w:ascii="Garamond" w:hAnsi="Garamond"/>
          <w:u w:val="none"/>
          <w:lang w:val="de-DE"/>
        </w:rPr>
        <w:lastRenderedPageBreak/>
        <w:t>Bibliography</w:t>
      </w:r>
    </w:p>
    <w:p w14:paraId="11CBC4BE" w14:textId="11899D42" w:rsidR="00E04470" w:rsidRPr="00E04470" w:rsidRDefault="00E04470" w:rsidP="00E04470">
      <w:pPr>
        <w:tabs>
          <w:tab w:val="left" w:pos="915"/>
        </w:tabs>
        <w:spacing w:after="200" w:line="276" w:lineRule="auto"/>
        <w:ind w:left="922" w:hanging="922"/>
        <w:rPr>
          <w:rFonts w:ascii="Garamond" w:hAnsi="Garamond"/>
        </w:rPr>
      </w:pPr>
      <w:r w:rsidRPr="00982EAF">
        <w:rPr>
          <w:rFonts w:ascii="Garamond" w:hAnsi="Garamond"/>
          <w:lang w:val="de-DE"/>
        </w:rPr>
        <w:t xml:space="preserve">Banerjee, A.V., Duflo E., Glennerster R., Kothari, D. 2010. </w:t>
      </w:r>
      <w:r w:rsidRPr="00E04470">
        <w:rPr>
          <w:rFonts w:ascii="Garamond" w:hAnsi="Garamond"/>
        </w:rPr>
        <w:t xml:space="preserve">Improving immunization coverage in rural India: clustered randomized controlled evaluation of immunization campaigns with and without incentives. </w:t>
      </w:r>
      <w:r w:rsidRPr="00E04470">
        <w:rPr>
          <w:rFonts w:ascii="Garamond" w:hAnsi="Garamond"/>
          <w:i/>
        </w:rPr>
        <w:t xml:space="preserve">BMJ; </w:t>
      </w:r>
      <w:r w:rsidRPr="00E04470">
        <w:rPr>
          <w:rFonts w:ascii="Garamond" w:hAnsi="Garamond"/>
        </w:rPr>
        <w:t>340: c2220</w:t>
      </w:r>
      <w:r w:rsidR="002B36DD">
        <w:rPr>
          <w:rFonts w:ascii="Garamond" w:hAnsi="Garamond"/>
        </w:rPr>
        <w:t>.</w:t>
      </w:r>
    </w:p>
    <w:p w14:paraId="514767D7" w14:textId="38438672" w:rsidR="00E04470" w:rsidRPr="00982EAF" w:rsidRDefault="00E04470" w:rsidP="00E04470">
      <w:pPr>
        <w:spacing w:after="200" w:line="276" w:lineRule="auto"/>
        <w:ind w:left="922" w:hanging="922"/>
        <w:rPr>
          <w:rFonts w:ascii="Garamond" w:eastAsia="Times New Roman" w:hAnsi="Garamond" w:cs="Times New Roman"/>
          <w:lang w:val="de-DE"/>
        </w:rPr>
      </w:pPr>
      <w:proofErr w:type="spellStart"/>
      <w:r w:rsidRPr="00650A34">
        <w:rPr>
          <w:rFonts w:ascii="Garamond" w:eastAsia="Times New Roman" w:hAnsi="Garamond" w:cs="Arial"/>
          <w:color w:val="303030"/>
          <w:shd w:val="clear" w:color="auto" w:fill="FFFFFF"/>
        </w:rPr>
        <w:t>Blakesley</w:t>
      </w:r>
      <w:proofErr w:type="spellEnd"/>
      <w:r w:rsidRPr="00650A34">
        <w:rPr>
          <w:rFonts w:ascii="Garamond" w:eastAsia="Times New Roman" w:hAnsi="Garamond" w:cs="Arial"/>
          <w:color w:val="303030"/>
          <w:shd w:val="clear" w:color="auto" w:fill="FFFFFF"/>
        </w:rPr>
        <w:t xml:space="preserve">, R. E., Mazumdar, S., Dew, M. A., Houck, P. R., Tang, G., Reynolds, C. F., &amp; </w:t>
      </w:r>
      <w:r w:rsidRPr="00E04470">
        <w:rPr>
          <w:rFonts w:ascii="Garamond" w:eastAsia="Times New Roman" w:hAnsi="Garamond" w:cs="Arial"/>
          <w:color w:val="303030"/>
          <w:shd w:val="clear" w:color="auto" w:fill="FFFFFF"/>
        </w:rPr>
        <w:t>Butters, M. A. 2009</w:t>
      </w:r>
      <w:r w:rsidRPr="00650A34">
        <w:rPr>
          <w:rFonts w:ascii="Garamond" w:eastAsia="Times New Roman" w:hAnsi="Garamond" w:cs="Arial"/>
          <w:color w:val="303030"/>
          <w:shd w:val="clear" w:color="auto" w:fill="FFFFFF"/>
        </w:rPr>
        <w:t>. Comparisons of Methods for Multiple Hypothesis Testing in Neuropsychological Research. </w:t>
      </w:r>
      <w:r w:rsidRPr="00982EAF">
        <w:rPr>
          <w:rFonts w:ascii="Garamond" w:eastAsia="Times New Roman" w:hAnsi="Garamond" w:cs="Arial"/>
          <w:i/>
          <w:iCs/>
          <w:color w:val="303030"/>
          <w:shd w:val="clear" w:color="auto" w:fill="FFFFFF"/>
          <w:lang w:val="de-DE"/>
        </w:rPr>
        <w:t>Neuropsychology</w:t>
      </w:r>
      <w:r w:rsidRPr="00982EAF">
        <w:rPr>
          <w:rFonts w:ascii="Garamond" w:eastAsia="Times New Roman" w:hAnsi="Garamond" w:cs="Arial"/>
          <w:color w:val="303030"/>
          <w:shd w:val="clear" w:color="auto" w:fill="FFFFFF"/>
          <w:lang w:val="de-DE"/>
        </w:rPr>
        <w:t>, </w:t>
      </w:r>
      <w:r w:rsidRPr="00982EAF">
        <w:rPr>
          <w:rFonts w:ascii="Garamond" w:eastAsia="Times New Roman" w:hAnsi="Garamond" w:cs="Arial"/>
          <w:i/>
          <w:iCs/>
          <w:color w:val="303030"/>
          <w:shd w:val="clear" w:color="auto" w:fill="FFFFFF"/>
          <w:lang w:val="de-DE"/>
        </w:rPr>
        <w:t>23</w:t>
      </w:r>
      <w:r w:rsidRPr="00982EAF">
        <w:rPr>
          <w:rFonts w:ascii="Garamond" w:eastAsia="Times New Roman" w:hAnsi="Garamond" w:cs="Arial"/>
          <w:color w:val="303030"/>
          <w:shd w:val="clear" w:color="auto" w:fill="FFFFFF"/>
          <w:lang w:val="de-DE"/>
        </w:rPr>
        <w:t xml:space="preserve">(2), 255–264. </w:t>
      </w:r>
    </w:p>
    <w:p w14:paraId="3B679380" w14:textId="7341A428" w:rsidR="00E04470" w:rsidRPr="00E04470" w:rsidRDefault="00E04470" w:rsidP="00E04470">
      <w:pPr>
        <w:spacing w:after="200" w:line="276" w:lineRule="auto"/>
        <w:ind w:left="922" w:hanging="922"/>
        <w:rPr>
          <w:rFonts w:ascii="Garamond" w:eastAsia="Times New Roman" w:hAnsi="Garamond" w:cs="Arial"/>
          <w:color w:val="303030"/>
          <w:shd w:val="clear" w:color="auto" w:fill="FFFFFF"/>
        </w:rPr>
      </w:pPr>
      <w:r w:rsidRPr="00982EAF">
        <w:rPr>
          <w:rFonts w:ascii="Garamond" w:eastAsia="Times New Roman" w:hAnsi="Garamond" w:cs="Arial"/>
          <w:color w:val="303030"/>
          <w:shd w:val="clear" w:color="auto" w:fill="FFFFFF"/>
          <w:lang w:val="de-DE"/>
        </w:rPr>
        <w:t xml:space="preserve">Dhanawade, S. S., Kumbhar, S. G., Gore, A. D., &amp; Patil, V. N. 2015. </w:t>
      </w:r>
      <w:r w:rsidRPr="00832500">
        <w:rPr>
          <w:rFonts w:ascii="Garamond" w:eastAsia="Times New Roman" w:hAnsi="Garamond" w:cs="Arial"/>
          <w:color w:val="303030"/>
          <w:shd w:val="clear" w:color="auto" w:fill="FFFFFF"/>
        </w:rPr>
        <w:t>Scar formation and tuberculin conversion following BCG vaccination in infants: A prospective cohort study. </w:t>
      </w:r>
      <w:r w:rsidRPr="00832500">
        <w:rPr>
          <w:rFonts w:ascii="Garamond" w:eastAsia="Times New Roman" w:hAnsi="Garamond" w:cs="Arial"/>
          <w:i/>
          <w:iCs/>
          <w:color w:val="303030"/>
          <w:shd w:val="clear" w:color="auto" w:fill="FFFFFF"/>
        </w:rPr>
        <w:t>Journal of Family Medicine and Primary Care</w:t>
      </w:r>
      <w:r w:rsidRPr="00832500">
        <w:rPr>
          <w:rFonts w:ascii="Garamond" w:eastAsia="Times New Roman" w:hAnsi="Garamond" w:cs="Arial"/>
          <w:color w:val="303030"/>
          <w:shd w:val="clear" w:color="auto" w:fill="FFFFFF"/>
        </w:rPr>
        <w:t>, </w:t>
      </w:r>
      <w:r w:rsidRPr="00832500">
        <w:rPr>
          <w:rFonts w:ascii="Garamond" w:eastAsia="Times New Roman" w:hAnsi="Garamond" w:cs="Arial"/>
          <w:i/>
          <w:iCs/>
          <w:color w:val="303030"/>
          <w:shd w:val="clear" w:color="auto" w:fill="FFFFFF"/>
        </w:rPr>
        <w:t>4</w:t>
      </w:r>
      <w:r w:rsidRPr="00832500">
        <w:rPr>
          <w:rFonts w:ascii="Garamond" w:eastAsia="Times New Roman" w:hAnsi="Garamond" w:cs="Arial"/>
          <w:color w:val="303030"/>
          <w:shd w:val="clear" w:color="auto" w:fill="FFFFFF"/>
        </w:rPr>
        <w:t xml:space="preserve">(3), 384–387. </w:t>
      </w:r>
    </w:p>
    <w:p w14:paraId="0F925AA9" w14:textId="573DA722" w:rsidR="00E04470" w:rsidRPr="00E04470" w:rsidRDefault="00E04470" w:rsidP="00E04470">
      <w:pPr>
        <w:spacing w:after="200" w:line="276" w:lineRule="auto"/>
        <w:ind w:left="922" w:hanging="922"/>
        <w:rPr>
          <w:rFonts w:ascii="Garamond" w:eastAsia="Times New Roman" w:hAnsi="Garamond" w:cs="Times New Roman"/>
        </w:rPr>
      </w:pPr>
      <w:r w:rsidRPr="00E04470">
        <w:rPr>
          <w:rFonts w:ascii="Garamond" w:eastAsia="Times New Roman" w:hAnsi="Garamond" w:cs="Arial"/>
          <w:color w:val="303030"/>
          <w:shd w:val="clear" w:color="auto" w:fill="FFFFFF"/>
        </w:rPr>
        <w:t xml:space="preserve">Ge, Y., </w:t>
      </w:r>
      <w:proofErr w:type="spellStart"/>
      <w:r w:rsidRPr="00E04470">
        <w:rPr>
          <w:rFonts w:ascii="Garamond" w:eastAsia="Times New Roman" w:hAnsi="Garamond" w:cs="Arial"/>
          <w:color w:val="303030"/>
          <w:shd w:val="clear" w:color="auto" w:fill="FFFFFF"/>
        </w:rPr>
        <w:t>Dudoit</w:t>
      </w:r>
      <w:proofErr w:type="spellEnd"/>
      <w:r w:rsidRPr="00E04470">
        <w:rPr>
          <w:rFonts w:ascii="Garamond" w:eastAsia="Times New Roman" w:hAnsi="Garamond" w:cs="Arial"/>
          <w:color w:val="303030"/>
          <w:shd w:val="clear" w:color="auto" w:fill="FFFFFF"/>
        </w:rPr>
        <w:t xml:space="preserve">, S. &amp; Speed, T.P. 2003. Resampling-based multiple testing for microarray data analysis. </w:t>
      </w:r>
      <w:r w:rsidRPr="00E04470">
        <w:rPr>
          <w:rFonts w:ascii="Garamond" w:eastAsia="Times New Roman" w:hAnsi="Garamond" w:cs="Arial"/>
          <w:i/>
          <w:color w:val="303030"/>
          <w:shd w:val="clear" w:color="auto" w:fill="FFFFFF"/>
        </w:rPr>
        <w:t>Test</w:t>
      </w:r>
      <w:r w:rsidRPr="00E04470">
        <w:rPr>
          <w:rFonts w:ascii="Garamond" w:eastAsia="Times New Roman" w:hAnsi="Garamond" w:cs="Arial"/>
          <w:color w:val="303030"/>
          <w:shd w:val="clear" w:color="auto" w:fill="FFFFFF"/>
        </w:rPr>
        <w:t xml:space="preserve">, </w:t>
      </w:r>
      <w:r w:rsidRPr="00E04470">
        <w:rPr>
          <w:rFonts w:ascii="Garamond" w:eastAsia="Times New Roman" w:hAnsi="Garamond" w:cs="Arial"/>
          <w:i/>
          <w:color w:val="303030"/>
          <w:shd w:val="clear" w:color="auto" w:fill="FFFFFF"/>
        </w:rPr>
        <w:t>12</w:t>
      </w:r>
      <w:r w:rsidRPr="00E04470">
        <w:rPr>
          <w:rFonts w:ascii="Garamond" w:eastAsia="Times New Roman" w:hAnsi="Garamond" w:cs="Arial"/>
          <w:color w:val="303030"/>
          <w:shd w:val="clear" w:color="auto" w:fill="FFFFFF"/>
        </w:rPr>
        <w:t xml:space="preserve">(1). </w:t>
      </w:r>
    </w:p>
    <w:p w14:paraId="7CACD1F8" w14:textId="77777777" w:rsidR="00E04470" w:rsidRPr="00E04470" w:rsidRDefault="00E04470" w:rsidP="00E04470">
      <w:pPr>
        <w:tabs>
          <w:tab w:val="left" w:pos="915"/>
        </w:tabs>
        <w:spacing w:after="200" w:line="276" w:lineRule="auto"/>
        <w:ind w:left="922" w:hanging="922"/>
        <w:rPr>
          <w:rFonts w:ascii="Garamond" w:hAnsi="Garamond"/>
        </w:rPr>
      </w:pPr>
      <w:r w:rsidRPr="00E04470">
        <w:rPr>
          <w:rFonts w:ascii="Garamond" w:hAnsi="Garamond" w:cs="Arial"/>
        </w:rPr>
        <w:t xml:space="preserve">Gibson, D. G., Ochieng, B., </w:t>
      </w:r>
      <w:proofErr w:type="spellStart"/>
      <w:r w:rsidRPr="00E04470">
        <w:rPr>
          <w:rFonts w:ascii="Garamond" w:hAnsi="Garamond" w:cs="Arial"/>
        </w:rPr>
        <w:t>Kagucia</w:t>
      </w:r>
      <w:proofErr w:type="spellEnd"/>
      <w:r w:rsidRPr="00E04470">
        <w:rPr>
          <w:rFonts w:ascii="Garamond" w:hAnsi="Garamond" w:cs="Arial"/>
        </w:rPr>
        <w:t xml:space="preserve">, E. W., Were, J., Hayford, K., Moulton, L. H., ... </w:t>
      </w:r>
      <w:proofErr w:type="spellStart"/>
      <w:r w:rsidRPr="00E04470">
        <w:rPr>
          <w:rFonts w:ascii="Garamond" w:hAnsi="Garamond" w:cs="Arial"/>
        </w:rPr>
        <w:t>Feikin</w:t>
      </w:r>
      <w:proofErr w:type="spellEnd"/>
      <w:r w:rsidRPr="00E04470">
        <w:rPr>
          <w:rFonts w:ascii="Garamond" w:hAnsi="Garamond" w:cs="Arial"/>
        </w:rPr>
        <w:t xml:space="preserve">, D. R. 2017. Mobile phone-delivered reminders and incentives to improve childhood </w:t>
      </w:r>
      <w:proofErr w:type="spellStart"/>
      <w:r w:rsidRPr="00E04470">
        <w:rPr>
          <w:rFonts w:ascii="Garamond" w:hAnsi="Garamond" w:cs="Arial"/>
        </w:rPr>
        <w:t>immunisation</w:t>
      </w:r>
      <w:proofErr w:type="spellEnd"/>
      <w:r w:rsidRPr="00E04470">
        <w:rPr>
          <w:rFonts w:ascii="Garamond" w:hAnsi="Garamond" w:cs="Arial"/>
        </w:rPr>
        <w:t xml:space="preserve"> coverage and timeliness in Kenya (M-SIMU): a cluster </w:t>
      </w:r>
      <w:proofErr w:type="spellStart"/>
      <w:r w:rsidRPr="00E04470">
        <w:rPr>
          <w:rFonts w:ascii="Garamond" w:hAnsi="Garamond" w:cs="Arial"/>
        </w:rPr>
        <w:t>randomised</w:t>
      </w:r>
      <w:proofErr w:type="spellEnd"/>
      <w:r w:rsidRPr="00E04470">
        <w:rPr>
          <w:rFonts w:ascii="Garamond" w:hAnsi="Garamond" w:cs="Arial"/>
        </w:rPr>
        <w:t xml:space="preserve"> controlled trial. </w:t>
      </w:r>
      <w:r w:rsidRPr="00E04470">
        <w:rPr>
          <w:rStyle w:val="Emphasis"/>
          <w:rFonts w:ascii="Garamond" w:hAnsi="Garamond" w:cs="Arial"/>
        </w:rPr>
        <w:t>The Lancet Global Health</w:t>
      </w:r>
      <w:r w:rsidRPr="00E04470">
        <w:rPr>
          <w:rFonts w:ascii="Garamond" w:hAnsi="Garamond" w:cs="Arial"/>
        </w:rPr>
        <w:t>, </w:t>
      </w:r>
      <w:r w:rsidRPr="00E04470">
        <w:rPr>
          <w:rStyle w:val="Emphasis"/>
          <w:rFonts w:ascii="Garamond" w:hAnsi="Garamond" w:cs="Arial"/>
        </w:rPr>
        <w:t>5</w:t>
      </w:r>
      <w:r w:rsidRPr="00E04470">
        <w:rPr>
          <w:rFonts w:ascii="Garamond" w:hAnsi="Garamond" w:cs="Arial"/>
        </w:rPr>
        <w:t>(4), e428-e438.</w:t>
      </w:r>
    </w:p>
    <w:p w14:paraId="0D00095D" w14:textId="77777777" w:rsidR="00E04470" w:rsidRPr="00E04470" w:rsidRDefault="00E04470" w:rsidP="00E04470">
      <w:pPr>
        <w:tabs>
          <w:tab w:val="left" w:pos="915"/>
        </w:tabs>
        <w:spacing w:after="200" w:line="276" w:lineRule="auto"/>
        <w:ind w:left="922" w:hanging="922"/>
        <w:rPr>
          <w:rFonts w:ascii="Garamond" w:hAnsi="Garamond"/>
        </w:rPr>
      </w:pPr>
      <w:r w:rsidRPr="00E04470">
        <w:rPr>
          <w:rFonts w:ascii="Garamond" w:hAnsi="Garamond"/>
        </w:rPr>
        <w:t xml:space="preserve">National Bureau of Statistics (NBS) and United Nations Children’s Fund (UNICEF). 2017. </w:t>
      </w:r>
      <w:r w:rsidRPr="00E04470">
        <w:rPr>
          <w:rFonts w:ascii="Garamond" w:hAnsi="Garamond"/>
          <w:i/>
          <w:iCs/>
        </w:rPr>
        <w:t>Multiple Indicator Cluster Survey 2016-17, Survey Findings Report</w:t>
      </w:r>
      <w:r w:rsidRPr="00E04470">
        <w:rPr>
          <w:rFonts w:ascii="Garamond" w:hAnsi="Garamond"/>
        </w:rPr>
        <w:t>. Abuja, Nigeria: National Bureau of Statistics and United Nations Children’s Fund.</w:t>
      </w:r>
    </w:p>
    <w:p w14:paraId="5573E869" w14:textId="77777777" w:rsidR="00E04470" w:rsidRPr="00E04470" w:rsidRDefault="00E04470" w:rsidP="00E04470">
      <w:pPr>
        <w:tabs>
          <w:tab w:val="left" w:pos="915"/>
        </w:tabs>
        <w:spacing w:after="200" w:line="276" w:lineRule="auto"/>
        <w:ind w:left="922" w:hanging="922"/>
        <w:rPr>
          <w:rFonts w:ascii="Garamond" w:hAnsi="Garamond"/>
        </w:rPr>
      </w:pPr>
      <w:r w:rsidRPr="00E04470">
        <w:rPr>
          <w:rFonts w:ascii="Garamond" w:hAnsi="Garamond"/>
        </w:rPr>
        <w:t xml:space="preserve">National Population Commission (NPC) [Nigeria] and ICF International. 2014. </w:t>
      </w:r>
      <w:r w:rsidRPr="00E04470">
        <w:rPr>
          <w:rFonts w:ascii="Garamond" w:hAnsi="Garamond"/>
          <w:i/>
        </w:rPr>
        <w:t>Nigeria Demographic and Health Survey (DHS) 2013</w:t>
      </w:r>
      <w:r w:rsidRPr="00E04470">
        <w:rPr>
          <w:rFonts w:ascii="Garamond" w:hAnsi="Garamond"/>
        </w:rPr>
        <w:t>. Abuja, Nigeria, and Rockville, Maryland, USA: NPC and ICF International.</w:t>
      </w:r>
    </w:p>
    <w:p w14:paraId="5AA7E3C0" w14:textId="77777777" w:rsidR="00E04470" w:rsidRPr="00E04470" w:rsidRDefault="00E04470" w:rsidP="00E04470">
      <w:pPr>
        <w:tabs>
          <w:tab w:val="left" w:pos="915"/>
        </w:tabs>
        <w:spacing w:after="200" w:line="276" w:lineRule="auto"/>
        <w:ind w:left="922" w:hanging="922"/>
        <w:rPr>
          <w:rFonts w:ascii="Garamond" w:hAnsi="Garamond"/>
        </w:rPr>
      </w:pPr>
      <w:r w:rsidRPr="00E04470">
        <w:rPr>
          <w:rFonts w:ascii="Garamond" w:hAnsi="Garamond"/>
        </w:rPr>
        <w:t xml:space="preserve">National Routine Immunization Strategic Plan (NRISP) Advisory Committee. </w:t>
      </w:r>
      <w:r w:rsidRPr="00E04470">
        <w:rPr>
          <w:rFonts w:ascii="Garamond" w:hAnsi="Garamond"/>
          <w:i/>
        </w:rPr>
        <w:t>2013. National Routine Immunization Strategic Plan 2013-2015: Intensifying Reaching Every Ward through Accountability</w:t>
      </w:r>
      <w:r w:rsidRPr="00E04470">
        <w:rPr>
          <w:rFonts w:ascii="Garamond" w:hAnsi="Garamond"/>
        </w:rPr>
        <w:t>. Abuja, Nigeria: Federal Ministry of Health – Nigeria.</w:t>
      </w:r>
    </w:p>
    <w:p w14:paraId="75D93442" w14:textId="77777777" w:rsidR="00E04470" w:rsidRPr="00E04470" w:rsidRDefault="00E04470" w:rsidP="00E04470">
      <w:pPr>
        <w:tabs>
          <w:tab w:val="left" w:pos="915"/>
        </w:tabs>
        <w:spacing w:after="200" w:line="276" w:lineRule="auto"/>
        <w:ind w:left="922" w:hanging="922"/>
        <w:rPr>
          <w:rFonts w:ascii="Garamond" w:hAnsi="Garamond"/>
        </w:rPr>
      </w:pPr>
      <w:r w:rsidRPr="00E04470">
        <w:rPr>
          <w:rFonts w:ascii="Garamond" w:hAnsi="Garamond"/>
        </w:rPr>
        <w:t xml:space="preserve">Nigeria Centre for Disease Control (NCDC). 2016. </w:t>
      </w:r>
      <w:r w:rsidRPr="00E04470">
        <w:rPr>
          <w:rFonts w:ascii="Garamond" w:hAnsi="Garamond"/>
          <w:i/>
        </w:rPr>
        <w:t>Weekly Epidemiology Report</w:t>
      </w:r>
      <w:r w:rsidRPr="00E04470">
        <w:rPr>
          <w:rFonts w:ascii="Garamond" w:hAnsi="Garamond"/>
        </w:rPr>
        <w:t>. Abuja, Nigeria: Federal Ministry of Health – Nigeria.</w:t>
      </w:r>
    </w:p>
    <w:p w14:paraId="28B6BD51" w14:textId="25F9DA5F" w:rsidR="00E04470" w:rsidRDefault="00E04470" w:rsidP="00E04470">
      <w:pPr>
        <w:tabs>
          <w:tab w:val="left" w:pos="915"/>
        </w:tabs>
        <w:spacing w:after="200" w:line="276" w:lineRule="auto"/>
        <w:ind w:left="922" w:hanging="922"/>
        <w:rPr>
          <w:rFonts w:ascii="Garamond" w:hAnsi="Garamond"/>
        </w:rPr>
      </w:pPr>
      <w:r w:rsidRPr="00E04470">
        <w:rPr>
          <w:rFonts w:ascii="Garamond" w:hAnsi="Garamond"/>
        </w:rPr>
        <w:t>Sato, R., Takasaki, Y., 2016. “Peer Effects on Vaccination:  Experimental Evidence from Rural Nigeria.” CIRJE Discussion Papers-F-1002.</w:t>
      </w:r>
    </w:p>
    <w:p w14:paraId="6D016C5D" w14:textId="4F4D1AE9" w:rsidR="0040550A" w:rsidRPr="0040550A" w:rsidRDefault="0040550A" w:rsidP="0040550A">
      <w:pPr>
        <w:tabs>
          <w:tab w:val="left" w:pos="915"/>
        </w:tabs>
        <w:spacing w:after="200" w:line="276" w:lineRule="auto"/>
        <w:ind w:left="922" w:hanging="922"/>
        <w:rPr>
          <w:rFonts w:ascii="Garamond" w:hAnsi="Garamond"/>
        </w:rPr>
      </w:pPr>
      <w:r w:rsidRPr="0040550A">
        <w:rPr>
          <w:rFonts w:ascii="Garamond" w:hAnsi="Garamond"/>
        </w:rPr>
        <w:t>Simons, Emily et al. “Assessment of the 2010 global measles mortality reduction goal: results from a model of surveillance data.” The Lancet 379(9832): 2173 - 2178</w:t>
      </w:r>
    </w:p>
    <w:p w14:paraId="0589914A" w14:textId="77777777" w:rsidR="00E04470" w:rsidRPr="00650A34" w:rsidRDefault="00E04470" w:rsidP="00E04470">
      <w:pPr>
        <w:adjustRightInd w:val="0"/>
        <w:spacing w:line="276" w:lineRule="auto"/>
        <w:ind w:left="922" w:hanging="922"/>
        <w:rPr>
          <w:rFonts w:ascii="Garamond" w:eastAsia="Times New Roman" w:hAnsi="Garamond"/>
          <w:color w:val="000000" w:themeColor="text1"/>
        </w:rPr>
      </w:pPr>
      <w:r w:rsidRPr="00E04470">
        <w:rPr>
          <w:rFonts w:ascii="Garamond" w:eastAsia="Times New Roman" w:hAnsi="Garamond" w:cs="Arial"/>
          <w:bCs/>
          <w:color w:val="000000" w:themeColor="text1"/>
          <w:shd w:val="clear" w:color="auto" w:fill="FFFFFF"/>
        </w:rPr>
        <w:t>Westfall</w:t>
      </w:r>
      <w:r w:rsidRPr="00650A34">
        <w:rPr>
          <w:rFonts w:ascii="Garamond" w:eastAsia="Times New Roman" w:hAnsi="Garamond" w:cs="Arial"/>
          <w:color w:val="000000" w:themeColor="text1"/>
          <w:shd w:val="clear" w:color="auto" w:fill="FFFFFF"/>
        </w:rPr>
        <w:t>, P. H. &amp; </w:t>
      </w:r>
      <w:r w:rsidRPr="00E04470">
        <w:rPr>
          <w:rFonts w:ascii="Garamond" w:eastAsia="Times New Roman" w:hAnsi="Garamond" w:cs="Arial"/>
          <w:bCs/>
          <w:color w:val="000000" w:themeColor="text1"/>
          <w:shd w:val="clear" w:color="auto" w:fill="FFFFFF"/>
        </w:rPr>
        <w:t>Young</w:t>
      </w:r>
      <w:r w:rsidRPr="00650A34">
        <w:rPr>
          <w:rFonts w:ascii="Garamond" w:eastAsia="Times New Roman" w:hAnsi="Garamond" w:cs="Arial"/>
          <w:color w:val="000000" w:themeColor="text1"/>
          <w:shd w:val="clear" w:color="auto" w:fill="FFFFFF"/>
        </w:rPr>
        <w:t>, S</w:t>
      </w:r>
      <w:r w:rsidRPr="00E04470">
        <w:rPr>
          <w:rFonts w:ascii="Garamond" w:eastAsia="Times New Roman" w:hAnsi="Garamond" w:cs="Arial"/>
          <w:color w:val="000000" w:themeColor="text1"/>
          <w:shd w:val="clear" w:color="auto" w:fill="FFFFFF"/>
        </w:rPr>
        <w:t xml:space="preserve">. S. </w:t>
      </w:r>
      <w:r w:rsidRPr="00E04470">
        <w:rPr>
          <w:rFonts w:ascii="Garamond" w:eastAsia="Times New Roman" w:hAnsi="Garamond" w:cs="Arial"/>
          <w:bCs/>
          <w:color w:val="000000" w:themeColor="text1"/>
          <w:shd w:val="clear" w:color="auto" w:fill="FFFFFF"/>
        </w:rPr>
        <w:t>1993</w:t>
      </w:r>
      <w:r w:rsidRPr="00650A34">
        <w:rPr>
          <w:rFonts w:ascii="Garamond" w:eastAsia="Times New Roman" w:hAnsi="Garamond" w:cs="Arial"/>
          <w:color w:val="000000" w:themeColor="text1"/>
          <w:shd w:val="clear" w:color="auto" w:fill="FFFFFF"/>
        </w:rPr>
        <w:t>. Resampling-based multiple testing: Examples and methods for p-value adjustment, John Wiley &amp; Sons</w:t>
      </w:r>
      <w:r w:rsidRPr="00E04470">
        <w:rPr>
          <w:rFonts w:ascii="Garamond" w:eastAsia="Times New Roman" w:hAnsi="Garamond" w:cs="Arial"/>
          <w:color w:val="000000" w:themeColor="text1"/>
          <w:shd w:val="clear" w:color="auto" w:fill="FFFFFF"/>
        </w:rPr>
        <w:t>.</w:t>
      </w:r>
    </w:p>
    <w:p w14:paraId="28C60191" w14:textId="77777777" w:rsidR="009D2F0F" w:rsidRPr="009D2F0F" w:rsidRDefault="009D2F0F" w:rsidP="009D2F0F"/>
    <w:p w14:paraId="1FC0A65B" w14:textId="77777777" w:rsidR="00196FEF" w:rsidRDefault="00196FEF" w:rsidP="00C97684">
      <w:pPr>
        <w:spacing w:line="259" w:lineRule="auto"/>
        <w:jc w:val="both"/>
        <w:rPr>
          <w:rFonts w:ascii="Garamond" w:hAnsi="Garamond"/>
          <w:b/>
        </w:rPr>
      </w:pPr>
    </w:p>
    <w:p w14:paraId="4411625A" w14:textId="77777777" w:rsidR="00196FEF" w:rsidRPr="00EA1C2F" w:rsidRDefault="00196FEF" w:rsidP="00C97684">
      <w:pPr>
        <w:spacing w:line="259" w:lineRule="auto"/>
      </w:pPr>
    </w:p>
    <w:sectPr w:rsidR="00196FEF" w:rsidRPr="00EA1C2F" w:rsidSect="00981974">
      <w:headerReference w:type="default" r:id="rId20"/>
      <w:footerReference w:type="default" r:id="rId2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F4061" w14:textId="77777777" w:rsidR="00D61143" w:rsidRDefault="00D61143" w:rsidP="00AF75DD">
      <w:r>
        <w:separator/>
      </w:r>
    </w:p>
  </w:endnote>
  <w:endnote w:type="continuationSeparator" w:id="0">
    <w:p w14:paraId="5D03B720" w14:textId="77777777" w:rsidR="00D61143" w:rsidRDefault="00D61143" w:rsidP="00AF75DD">
      <w:r>
        <w:continuationSeparator/>
      </w:r>
    </w:p>
  </w:endnote>
  <w:endnote w:type="continuationNotice" w:id="1">
    <w:p w14:paraId="5E2DC559" w14:textId="77777777" w:rsidR="00D61143" w:rsidRDefault="00D61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altName w:val="Garamond"/>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Frutiger 55 Roman">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方正姚体">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5877605"/>
      <w:docPartObj>
        <w:docPartGallery w:val="Page Numbers (Bottom of Page)"/>
        <w:docPartUnique/>
      </w:docPartObj>
    </w:sdtPr>
    <w:sdtEndPr>
      <w:rPr>
        <w:noProof/>
      </w:rPr>
    </w:sdtEndPr>
    <w:sdtContent>
      <w:p w14:paraId="62F6527B" w14:textId="7AD8850E" w:rsidR="00BC1F44" w:rsidRDefault="00BC1F44">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14:paraId="54592DB5" w14:textId="77777777" w:rsidR="00BC1F44" w:rsidRDefault="00BC1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2DC31" w14:textId="77777777" w:rsidR="00D61143" w:rsidRDefault="00D61143" w:rsidP="00AF75DD">
      <w:r>
        <w:separator/>
      </w:r>
    </w:p>
  </w:footnote>
  <w:footnote w:type="continuationSeparator" w:id="0">
    <w:p w14:paraId="33895919" w14:textId="77777777" w:rsidR="00D61143" w:rsidRDefault="00D61143" w:rsidP="00AF75DD">
      <w:r>
        <w:continuationSeparator/>
      </w:r>
    </w:p>
  </w:footnote>
  <w:footnote w:type="continuationNotice" w:id="1">
    <w:p w14:paraId="2A64B324" w14:textId="77777777" w:rsidR="00D61143" w:rsidRDefault="00D61143"/>
  </w:footnote>
  <w:footnote w:id="2">
    <w:p w14:paraId="0E6D34C3" w14:textId="385145DA" w:rsidR="00BC1F44" w:rsidRPr="00EE1608" w:rsidRDefault="00BC1F44" w:rsidP="00E55D04">
      <w:pPr>
        <w:pStyle w:val="FootnoteText"/>
        <w:rPr>
          <w:sz w:val="18"/>
          <w:szCs w:val="18"/>
        </w:rPr>
      </w:pPr>
      <w:r w:rsidRPr="00EE1608">
        <w:rPr>
          <w:rStyle w:val="FootnoteReference"/>
          <w:sz w:val="18"/>
          <w:szCs w:val="18"/>
        </w:rPr>
        <w:footnoteRef/>
      </w:r>
      <w:r w:rsidRPr="00EE1608">
        <w:rPr>
          <w:sz w:val="18"/>
          <w:szCs w:val="18"/>
        </w:rPr>
        <w:t xml:space="preserve"> This includes </w:t>
      </w:r>
      <w:r w:rsidRPr="00EE1608">
        <w:rPr>
          <w:rStyle w:val="Emphasis"/>
          <w:rFonts w:cs="Arial"/>
          <w:i w:val="0"/>
          <w:sz w:val="18"/>
          <w:szCs w:val="18"/>
          <w:shd w:val="clear" w:color="auto" w:fill="FFFFFF"/>
        </w:rPr>
        <w:t>Bacillus Calmette–</w:t>
      </w:r>
      <w:proofErr w:type="spellStart"/>
      <w:r w:rsidRPr="00EE1608">
        <w:rPr>
          <w:rStyle w:val="Emphasis"/>
          <w:rFonts w:cs="Arial"/>
          <w:i w:val="0"/>
          <w:sz w:val="18"/>
          <w:szCs w:val="18"/>
          <w:shd w:val="clear" w:color="auto" w:fill="FFFFFF"/>
        </w:rPr>
        <w:t>Guérin</w:t>
      </w:r>
      <w:proofErr w:type="spellEnd"/>
      <w:r w:rsidRPr="00EE1608">
        <w:rPr>
          <w:sz w:val="18"/>
          <w:szCs w:val="18"/>
        </w:rPr>
        <w:t xml:space="preserve"> (BCG) for Tuberculosis, pentavalent vaccine (PENTA) 1, PCV 1, PENTA 2, PCV 2, PENTA 3, PCV 3, and Measles 1. The PENTA schedule protects against diphtheria, tetanus, pertussis, Hepatitis B and </w:t>
      </w:r>
      <w:proofErr w:type="spellStart"/>
      <w:r w:rsidRPr="00EE1608">
        <w:rPr>
          <w:sz w:val="18"/>
          <w:szCs w:val="18"/>
        </w:rPr>
        <w:t>Haemophilus</w:t>
      </w:r>
      <w:proofErr w:type="spellEnd"/>
      <w:r w:rsidRPr="00EE1608">
        <w:rPr>
          <w:sz w:val="18"/>
          <w:szCs w:val="18"/>
        </w:rPr>
        <w:t xml:space="preserve"> Influenza Type B (HIB)</w:t>
      </w:r>
    </w:p>
  </w:footnote>
  <w:footnote w:id="3">
    <w:p w14:paraId="500D6F26" w14:textId="13D2241F"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Baseline data were collected on 12 to 24-month-old children in 2017 to generate clinic-level averages of variables of interest, such as coverage, for stratification and further analysis. By </w:t>
      </w:r>
      <w:proofErr w:type="spellStart"/>
      <w:r w:rsidRPr="00EE1608">
        <w:rPr>
          <w:sz w:val="18"/>
          <w:szCs w:val="18"/>
        </w:rPr>
        <w:t>endline</w:t>
      </w:r>
      <w:proofErr w:type="spellEnd"/>
      <w:r w:rsidRPr="00EE1608">
        <w:rPr>
          <w:sz w:val="18"/>
          <w:szCs w:val="18"/>
        </w:rPr>
        <w:t xml:space="preserve"> (2019), </w:t>
      </w:r>
      <w:proofErr w:type="gramStart"/>
      <w:r w:rsidRPr="00EE1608">
        <w:rPr>
          <w:sz w:val="18"/>
          <w:szCs w:val="18"/>
        </w:rPr>
        <w:t>all of</w:t>
      </w:r>
      <w:proofErr w:type="gramEnd"/>
      <w:r w:rsidRPr="00EE1608">
        <w:rPr>
          <w:sz w:val="18"/>
          <w:szCs w:val="18"/>
        </w:rPr>
        <w:t xml:space="preserve"> these children will be too old for our sample. We will require a new sample of children in our target age of 12 to 16-month-old children.</w:t>
      </w:r>
    </w:p>
  </w:footnote>
  <w:footnote w:id="4">
    <w:p w14:paraId="14BD5492" w14:textId="07741857" w:rsidR="00BC1F44" w:rsidRPr="00EE1608" w:rsidRDefault="00BC1F44" w:rsidP="008C5440">
      <w:pPr>
        <w:rPr>
          <w:rFonts w:ascii="Garamond" w:hAnsi="Garamond"/>
          <w:sz w:val="18"/>
          <w:szCs w:val="18"/>
        </w:rPr>
      </w:pPr>
      <w:r w:rsidRPr="00EE1608">
        <w:rPr>
          <w:rStyle w:val="FootnoteReference"/>
          <w:rFonts w:ascii="Garamond" w:hAnsi="Garamond"/>
          <w:sz w:val="18"/>
          <w:szCs w:val="18"/>
        </w:rPr>
        <w:footnoteRef/>
      </w:r>
      <w:r w:rsidRPr="00EE1608">
        <w:rPr>
          <w:rFonts w:ascii="Garamond" w:hAnsi="Garamond"/>
          <w:sz w:val="18"/>
          <w:szCs w:val="18"/>
        </w:rPr>
        <w:t xml:space="preserve"> More details on the Nigerian routine immunization system, especially the structure of an average immunization visit day, can be found in in Annex 1 and in </w:t>
      </w:r>
      <w:proofErr w:type="spellStart"/>
      <w:r w:rsidRPr="00EE1608">
        <w:rPr>
          <w:rFonts w:ascii="Garamond" w:hAnsi="Garamond"/>
          <w:sz w:val="18"/>
          <w:szCs w:val="18"/>
        </w:rPr>
        <w:t>IDinsight’s</w:t>
      </w:r>
      <w:proofErr w:type="spellEnd"/>
      <w:r w:rsidRPr="00EE1608">
        <w:rPr>
          <w:rFonts w:ascii="Garamond" w:hAnsi="Garamond"/>
          <w:sz w:val="18"/>
          <w:szCs w:val="18"/>
        </w:rPr>
        <w:t xml:space="preserve"> February 2017 </w:t>
      </w:r>
      <w:hyperlink r:id="rId1" w:history="1">
        <w:r w:rsidRPr="00EE1608">
          <w:rPr>
            <w:rStyle w:val="Hyperlink"/>
            <w:rFonts w:ascii="Garamond" w:hAnsi="Garamond"/>
            <w:sz w:val="18"/>
            <w:szCs w:val="18"/>
          </w:rPr>
          <w:t>site visit report</w:t>
        </w:r>
      </w:hyperlink>
      <w:r w:rsidRPr="00EE1608">
        <w:rPr>
          <w:rFonts w:ascii="Garamond" w:hAnsi="Garamond"/>
          <w:sz w:val="18"/>
          <w:szCs w:val="18"/>
        </w:rPr>
        <w:t>. (www.givewell.org/http://www.givewell.org/research/site-visits/february-2017)</w:t>
      </w:r>
    </w:p>
  </w:footnote>
  <w:footnote w:id="5">
    <w:p w14:paraId="796C21CA" w14:textId="076FB881" w:rsidR="00BC1F44" w:rsidRPr="00EE1608" w:rsidRDefault="00BC1F44" w:rsidP="00060DAD">
      <w:pPr>
        <w:pStyle w:val="FootnoteText"/>
        <w:rPr>
          <w:sz w:val="18"/>
          <w:szCs w:val="18"/>
        </w:rPr>
      </w:pPr>
      <w:r w:rsidRPr="00EE1608">
        <w:rPr>
          <w:rStyle w:val="FootnoteReference"/>
          <w:sz w:val="18"/>
          <w:szCs w:val="18"/>
        </w:rPr>
        <w:footnoteRef/>
      </w:r>
      <w:r w:rsidRPr="00EE1608">
        <w:rPr>
          <w:sz w:val="18"/>
          <w:szCs w:val="18"/>
        </w:rPr>
        <w:t xml:space="preserve"> New Incentives also distributes incentives through clinics’ outreach services in which nurses go to the villages to administer vaccines.</w:t>
      </w:r>
    </w:p>
  </w:footnote>
  <w:footnote w:id="6">
    <w:p w14:paraId="6A9F41D4" w14:textId="43C7BCA4"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The WHO suggests that there is roughly a 30% chance a given child will be infected with measles </w:t>
      </w:r>
      <w:proofErr w:type="gramStart"/>
      <w:r w:rsidRPr="00EE1608">
        <w:rPr>
          <w:sz w:val="18"/>
          <w:szCs w:val="18"/>
        </w:rPr>
        <w:t>in a given year</w:t>
      </w:r>
      <w:proofErr w:type="gramEnd"/>
      <w:r w:rsidRPr="00EE1608">
        <w:rPr>
          <w:sz w:val="18"/>
          <w:szCs w:val="18"/>
        </w:rPr>
        <w:t xml:space="preserve"> in an area with low measles 1 coverage. </w:t>
      </w:r>
      <w:proofErr w:type="spellStart"/>
      <w:r w:rsidRPr="00EE1608">
        <w:rPr>
          <w:sz w:val="18"/>
          <w:szCs w:val="18"/>
        </w:rPr>
        <w:t>GiveWell</w:t>
      </w:r>
      <w:proofErr w:type="spellEnd"/>
      <w:r w:rsidRPr="00EE1608">
        <w:rPr>
          <w:sz w:val="18"/>
          <w:szCs w:val="18"/>
        </w:rPr>
        <w:t xml:space="preserve"> estimates the case fatality rate as 5% based on Simmons et al. 2012.  </w:t>
      </w:r>
    </w:p>
  </w:footnote>
  <w:footnote w:id="7">
    <w:p w14:paraId="05AE2EBD" w14:textId="123C7326"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Infants on a catch-up schedule - i.e. an unvaccinated infant comes to a clinic at twelve-months and receives BCG, PCV 1, and PENTA 1 - receive one incentive associated with the most recent vaccination visit. In this case, a caregiver would receive </w:t>
      </w:r>
      <w:r w:rsidRPr="00EE1608">
        <w:rPr>
          <w:rFonts w:ascii="Times New Roman" w:eastAsia="方正姚体" w:hAnsi="Times New Roman" w:cs="Times New Roman"/>
          <w:sz w:val="18"/>
          <w:szCs w:val="18"/>
          <w:lang w:eastAsia="zh-CN"/>
        </w:rPr>
        <w:t>₦</w:t>
      </w:r>
      <w:r w:rsidRPr="00EE1608">
        <w:rPr>
          <w:rFonts w:eastAsia="方正姚体" w:cs="Times New Roman"/>
          <w:sz w:val="18"/>
          <w:szCs w:val="18"/>
          <w:lang w:eastAsia="zh-CN"/>
        </w:rPr>
        <w:t>500.</w:t>
      </w:r>
      <w:r w:rsidRPr="00EE1608">
        <w:rPr>
          <w:sz w:val="18"/>
          <w:szCs w:val="18"/>
        </w:rPr>
        <w:t xml:space="preserve">  </w:t>
      </w:r>
    </w:p>
  </w:footnote>
  <w:footnote w:id="8">
    <w:p w14:paraId="1C9943D9" w14:textId="54C3EAE7" w:rsidR="00BC1F44" w:rsidRPr="00EE1608" w:rsidRDefault="00BC1F44" w:rsidP="00AF75DD">
      <w:pPr>
        <w:pStyle w:val="FootnoteText"/>
        <w:rPr>
          <w:sz w:val="18"/>
          <w:szCs w:val="18"/>
        </w:rPr>
      </w:pPr>
      <w:r w:rsidRPr="00EE1608">
        <w:rPr>
          <w:rStyle w:val="FootnoteReference"/>
          <w:sz w:val="18"/>
          <w:szCs w:val="18"/>
        </w:rPr>
        <w:footnoteRef/>
      </w:r>
      <w:r w:rsidRPr="00EE1608">
        <w:rPr>
          <w:sz w:val="18"/>
          <w:szCs w:val="18"/>
        </w:rPr>
        <w:t xml:space="preserve"> If the stock is low, New Incentives’ staff encourage the clinic staff to procure more vaccines, and work with Local Government Area (LGA) and State officials to ensure availability. However, New Incentives does not directly supply stock. If a vaccine runs out during the immunization day, New Incentives’ staff give out number tags to indicate a caregiver’s place in the vaccination queue and tell caregivers to come back on the next routine immunization day with their number tag to be vaccinated before other caregivers who arrive for the first time.</w:t>
      </w:r>
    </w:p>
  </w:footnote>
  <w:footnote w:id="9">
    <w:p w14:paraId="3ECCAE24" w14:textId="6BF55925" w:rsidR="00BC1F44" w:rsidRPr="00EE1608" w:rsidRDefault="00BC1F44" w:rsidP="00AF75DD">
      <w:pPr>
        <w:pStyle w:val="FootnoteText"/>
        <w:rPr>
          <w:sz w:val="18"/>
          <w:szCs w:val="18"/>
        </w:rPr>
      </w:pPr>
      <w:r w:rsidRPr="00EE1608">
        <w:rPr>
          <w:rStyle w:val="FootnoteReference"/>
          <w:sz w:val="18"/>
          <w:szCs w:val="18"/>
        </w:rPr>
        <w:footnoteRef/>
      </w:r>
      <w:r w:rsidRPr="00EE1608">
        <w:rPr>
          <w:sz w:val="18"/>
          <w:szCs w:val="18"/>
        </w:rPr>
        <w:t xml:space="preserve"> Additionally, independent workers outside of Nigeria confirm these validity determinations by reviewing images of the documentation and transaction, itself.</w:t>
      </w:r>
    </w:p>
  </w:footnote>
  <w:footnote w:id="10">
    <w:p w14:paraId="04961418" w14:textId="0ABC8DE5"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See Sato 2014 for details on vaccination peer effects.</w:t>
      </w:r>
    </w:p>
  </w:footnote>
  <w:footnote w:id="11">
    <w:p w14:paraId="308B641A" w14:textId="40F5A188" w:rsidR="00BC1F44" w:rsidRPr="00EE1608" w:rsidRDefault="00BC1F44" w:rsidP="00017E58">
      <w:pPr>
        <w:pStyle w:val="FootnoteText"/>
        <w:rPr>
          <w:sz w:val="18"/>
          <w:szCs w:val="18"/>
        </w:rPr>
      </w:pPr>
      <w:r w:rsidRPr="00EE1608">
        <w:rPr>
          <w:rStyle w:val="FootnoteReference"/>
          <w:sz w:val="18"/>
          <w:szCs w:val="18"/>
        </w:rPr>
        <w:footnoteRef/>
      </w:r>
      <w:r w:rsidRPr="00EE1608">
        <w:rPr>
          <w:sz w:val="18"/>
          <w:szCs w:val="18"/>
        </w:rPr>
        <w:t xml:space="preserve"> </w:t>
      </w:r>
      <w:proofErr w:type="spellStart"/>
      <w:r w:rsidRPr="00814E2B">
        <w:rPr>
          <w:sz w:val="18"/>
          <w:szCs w:val="18"/>
        </w:rPr>
        <w:t>GiveWell</w:t>
      </w:r>
      <w:proofErr w:type="spellEnd"/>
      <w:r w:rsidRPr="00814E2B">
        <w:rPr>
          <w:sz w:val="18"/>
          <w:szCs w:val="18"/>
        </w:rPr>
        <w:t xml:space="preserve"> “Top Charity” refers to the charities that </w:t>
      </w:r>
      <w:proofErr w:type="spellStart"/>
      <w:r w:rsidRPr="00814E2B">
        <w:rPr>
          <w:sz w:val="18"/>
          <w:szCs w:val="18"/>
        </w:rPr>
        <w:t>GiveWell</w:t>
      </w:r>
      <w:proofErr w:type="spellEnd"/>
      <w:r w:rsidRPr="00814E2B">
        <w:rPr>
          <w:sz w:val="18"/>
          <w:szCs w:val="18"/>
        </w:rPr>
        <w:t xml:space="preserve"> has evaluated to be robustly mo</w:t>
      </w:r>
      <w:r>
        <w:rPr>
          <w:sz w:val="18"/>
          <w:szCs w:val="18"/>
        </w:rPr>
        <w:t>re</w:t>
      </w:r>
      <w:r w:rsidRPr="00814E2B">
        <w:rPr>
          <w:sz w:val="18"/>
          <w:szCs w:val="18"/>
        </w:rPr>
        <w:t xml:space="preserve"> cost-effective than </w:t>
      </w:r>
      <w:proofErr w:type="spellStart"/>
      <w:r w:rsidRPr="00814E2B">
        <w:rPr>
          <w:sz w:val="18"/>
          <w:szCs w:val="18"/>
        </w:rPr>
        <w:t>GiveDirectly</w:t>
      </w:r>
      <w:proofErr w:type="spellEnd"/>
      <w:r w:rsidRPr="00814E2B">
        <w:rPr>
          <w:sz w:val="18"/>
          <w:szCs w:val="18"/>
        </w:rPr>
        <w:t xml:space="preserve"> cash transfers. In some cases, this designation is associated with substantial funding in excess of 10 million United States Dollars."</w:t>
      </w:r>
    </w:p>
  </w:footnote>
  <w:footnote w:id="12">
    <w:p w14:paraId="446DA528" w14:textId="623A602C"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https://www.givewell.org/charities/top-charities</w:t>
      </w:r>
    </w:p>
  </w:footnote>
  <w:footnote w:id="13">
    <w:p w14:paraId="16AF8F33" w14:textId="09F554F6" w:rsidR="00BC1F44" w:rsidRPr="00EE1608" w:rsidRDefault="00BC1F44" w:rsidP="00674811">
      <w:pPr>
        <w:jc w:val="both"/>
        <w:rPr>
          <w:rFonts w:ascii="Garamond" w:eastAsiaTheme="minorEastAsia" w:hAnsi="Garamond"/>
          <w:sz w:val="18"/>
          <w:szCs w:val="18"/>
        </w:rPr>
      </w:pPr>
      <w:r w:rsidRPr="00EE1608">
        <w:rPr>
          <w:rStyle w:val="FootnoteReference"/>
          <w:rFonts w:ascii="Garamond" w:eastAsiaTheme="minorEastAsia" w:hAnsi="Garamond"/>
          <w:sz w:val="18"/>
          <w:szCs w:val="18"/>
        </w:rPr>
        <w:footnoteRef/>
      </w:r>
      <w:r w:rsidRPr="00EE1608">
        <w:rPr>
          <w:rStyle w:val="FootnoteReference"/>
          <w:rFonts w:ascii="Garamond" w:eastAsiaTheme="minorEastAsia" w:hAnsi="Garamond"/>
          <w:sz w:val="18"/>
          <w:szCs w:val="18"/>
        </w:rPr>
        <w:t xml:space="preserve"> </w:t>
      </w:r>
      <w:r w:rsidRPr="00EE1608">
        <w:rPr>
          <w:rFonts w:ascii="Garamond" w:eastAsiaTheme="minorEastAsia" w:hAnsi="Garamond"/>
          <w:sz w:val="18"/>
          <w:szCs w:val="18"/>
        </w:rPr>
        <w:t xml:space="preserve">Due to sample size constraints, </w:t>
      </w:r>
      <w:proofErr w:type="spellStart"/>
      <w:r w:rsidRPr="00EE1608">
        <w:rPr>
          <w:rFonts w:ascii="Garamond" w:eastAsiaTheme="minorEastAsia" w:hAnsi="Garamond"/>
          <w:sz w:val="18"/>
          <w:szCs w:val="18"/>
        </w:rPr>
        <w:t>IDinsight</w:t>
      </w:r>
      <w:proofErr w:type="spellEnd"/>
      <w:r w:rsidRPr="00EE1608">
        <w:rPr>
          <w:rFonts w:ascii="Garamond" w:eastAsiaTheme="minorEastAsia" w:hAnsi="Garamond"/>
          <w:sz w:val="18"/>
          <w:szCs w:val="18"/>
        </w:rPr>
        <w:t xml:space="preserve"> did not design the evaluation to directly measure New Incentives’ impact on mortality. Further, an evaluation designed to measure mortality would have taken longer to deliver results, and substantial research on the medical benefits of routine immunization already exists.</w:t>
      </w:r>
    </w:p>
  </w:footnote>
  <w:footnote w:id="14">
    <w:p w14:paraId="53430BCA" w14:textId="2138561A"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Care was taken throughout the evaluation design to ensure that New Incentives’ implementation during the RCT reflects their anticipated implementation at scale. Thus, we expect findings from this study to predict the impact of New Incentives’ program at scale. </w:t>
      </w:r>
    </w:p>
  </w:footnote>
  <w:footnote w:id="15">
    <w:p w14:paraId="1DFDA796" w14:textId="149769A1"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Clinic catchment areas consist of the settlements for which a clinic is responsible for providing healthcare. Catchment areas do not necessarily correspond with other local political or administrative units, though they are closest in size to wards. In six cases, clinics that had catchments that were close to each other were randomized as pairs to reduce spillovers.</w:t>
      </w:r>
    </w:p>
  </w:footnote>
  <w:footnote w:id="16">
    <w:p w14:paraId="23985CB7" w14:textId="7715E4EF" w:rsidR="00BC1F44" w:rsidRDefault="00BC1F44">
      <w:pPr>
        <w:pStyle w:val="FootnoteText"/>
      </w:pPr>
      <w:r>
        <w:rPr>
          <w:rStyle w:val="FootnoteReference"/>
        </w:rPr>
        <w:footnoteRef/>
      </w:r>
      <w:r>
        <w:t xml:space="preserve"> We may also use New Incentives’ internal records of cash transfers distributed to caregivers.</w:t>
      </w:r>
    </w:p>
  </w:footnote>
  <w:footnote w:id="17">
    <w:p w14:paraId="6C478679" w14:textId="25FEEE08"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w:t>
      </w:r>
      <w:proofErr w:type="spellStart"/>
      <w:r w:rsidRPr="00EE1608">
        <w:rPr>
          <w:sz w:val="18"/>
          <w:szCs w:val="18"/>
        </w:rPr>
        <w:t>IDinsight</w:t>
      </w:r>
      <w:proofErr w:type="spellEnd"/>
      <w:r w:rsidRPr="00EE1608">
        <w:rPr>
          <w:sz w:val="18"/>
          <w:szCs w:val="18"/>
        </w:rPr>
        <w:t xml:space="preserve"> continues to evaluate risks from imperfect recall and options to mitigate those risks. Future versions of this document will include updates on our thinking and plans.</w:t>
      </w:r>
    </w:p>
  </w:footnote>
  <w:footnote w:id="18">
    <w:p w14:paraId="2734875C" w14:textId="590469A3"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We focus on at least one dose of PENTA and not all three doses, as caregivers are likely to find it difficult to recall whether their child received all doses.  </w:t>
      </w:r>
    </w:p>
  </w:footnote>
  <w:footnote w:id="19">
    <w:p w14:paraId="522B23A0" w14:textId="77777777" w:rsidR="00BC1F44" w:rsidRPr="00EE1608" w:rsidRDefault="00BC1F44" w:rsidP="00CB3B40">
      <w:pPr>
        <w:pStyle w:val="FootnoteText"/>
        <w:rPr>
          <w:sz w:val="18"/>
          <w:szCs w:val="18"/>
        </w:rPr>
      </w:pPr>
      <w:r w:rsidRPr="00EE1608">
        <w:rPr>
          <w:rStyle w:val="FootnoteReference"/>
          <w:sz w:val="18"/>
          <w:szCs w:val="18"/>
        </w:rPr>
        <w:footnoteRef/>
      </w:r>
      <w:r w:rsidRPr="00EE1608">
        <w:rPr>
          <w:sz w:val="18"/>
          <w:szCs w:val="18"/>
        </w:rPr>
        <w:t xml:space="preserve"> For this outcome, fully immunized (loose) is defined as receiving BCG, PENTA 1, and Measles 1. Fully immunized (strict) is defined as receiving BCG, PENTA 1 – 3, and Measles 1.</w:t>
      </w:r>
    </w:p>
  </w:footnote>
  <w:footnote w:id="20">
    <w:p w14:paraId="72865D44" w14:textId="2D1B28B8"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The vaccines included in the average will be BCG, PENTA 1-3, PCV 1-3, and Measles 1.</w:t>
      </w:r>
    </w:p>
  </w:footnote>
  <w:footnote w:id="21">
    <w:p w14:paraId="25BD6DFD" w14:textId="77777777" w:rsidR="00C466AC" w:rsidRPr="00B8386A" w:rsidRDefault="00C466AC" w:rsidP="00C466AC">
      <w:pPr>
        <w:pStyle w:val="FootnoteText"/>
        <w:rPr>
          <w:sz w:val="18"/>
          <w:szCs w:val="18"/>
        </w:rPr>
      </w:pPr>
      <w:r>
        <w:rPr>
          <w:rStyle w:val="FootnoteReference"/>
        </w:rPr>
        <w:footnoteRef/>
      </w:r>
      <w:r>
        <w:t xml:space="preserve"> </w:t>
      </w:r>
      <w:proofErr w:type="spellStart"/>
      <w:r>
        <w:rPr>
          <w:sz w:val="18"/>
          <w:szCs w:val="18"/>
        </w:rPr>
        <w:t>IDinsight</w:t>
      </w:r>
      <w:proofErr w:type="spellEnd"/>
      <w:r>
        <w:rPr>
          <w:sz w:val="18"/>
          <w:szCs w:val="18"/>
        </w:rPr>
        <w:t xml:space="preserve"> will collect either Tally Sheets or Monthly Immunization Summaries, depending on the workload of all clinic-enumerator tasks, as determined during field practice prior to data collection. Tally Sheets are – we think – a slightly more accurate source, though our Midline analysis showed them to be quite consistent with Monthly Immunization Summaries, which are much easier to collect.</w:t>
      </w:r>
    </w:p>
  </w:footnote>
  <w:footnote w:id="22">
    <w:p w14:paraId="6F313B41" w14:textId="77777777" w:rsidR="00C466AC" w:rsidRDefault="00C466AC" w:rsidP="00C466AC">
      <w:pPr>
        <w:pStyle w:val="FootnoteText"/>
      </w:pPr>
      <w:r>
        <w:rPr>
          <w:rStyle w:val="FootnoteReference"/>
        </w:rPr>
        <w:footnoteRef/>
      </w:r>
      <w:r>
        <w:t xml:space="preserve"> </w:t>
      </w:r>
      <w:proofErr w:type="spellStart"/>
      <w:r>
        <w:t>IDinsight</w:t>
      </w:r>
      <w:proofErr w:type="spellEnd"/>
      <w:r>
        <w:t xml:space="preserve"> collected these records as part of midline data collection in March/April 2019. We found a robust positive impact across vaccinations but these results were for a time period ending part-way through the RCT </w:t>
      </w:r>
      <w:proofErr w:type="gramStart"/>
      <w:r>
        <w:t>window</w:t>
      </w:r>
      <w:proofErr w:type="gramEnd"/>
      <w:r>
        <w:t xml:space="preserve"> so follow-on collection is necessary. These administrative records are imperfect, and we worry that the program itself may cause them to improve, leading to differential data quality in treatment and control. However, they remain an important alternative source that we expect to show results at least qualitatively </w:t>
      </w:r>
      <w:proofErr w:type="gramStart"/>
      <w:r>
        <w:t>similar to</w:t>
      </w:r>
      <w:proofErr w:type="gramEnd"/>
      <w:r>
        <w:t xml:space="preserve"> those found with self reports.</w:t>
      </w:r>
    </w:p>
  </w:footnote>
  <w:footnote w:id="23">
    <w:p w14:paraId="5F4E0436" w14:textId="41694D29" w:rsidR="00BC1F44" w:rsidRPr="00EE1608" w:rsidRDefault="00BC1F44" w:rsidP="00291DAC">
      <w:pPr>
        <w:pStyle w:val="FootnoteText"/>
        <w:rPr>
          <w:sz w:val="18"/>
          <w:szCs w:val="18"/>
        </w:rPr>
      </w:pPr>
      <w:r w:rsidRPr="00EE1608">
        <w:rPr>
          <w:rStyle w:val="FootnoteReference"/>
          <w:sz w:val="18"/>
          <w:szCs w:val="18"/>
        </w:rPr>
        <w:footnoteRef/>
      </w:r>
      <w:r w:rsidRPr="00EE1608">
        <w:rPr>
          <w:sz w:val="18"/>
          <w:szCs w:val="18"/>
        </w:rPr>
        <w:t xml:space="preserve"> Annex 5, written by </w:t>
      </w:r>
      <w:proofErr w:type="spellStart"/>
      <w:r w:rsidRPr="00EE1608">
        <w:rPr>
          <w:sz w:val="18"/>
          <w:szCs w:val="18"/>
        </w:rPr>
        <w:t>GiveWell</w:t>
      </w:r>
      <w:proofErr w:type="spellEnd"/>
      <w:r w:rsidRPr="00EE1608">
        <w:rPr>
          <w:sz w:val="18"/>
          <w:szCs w:val="18"/>
        </w:rPr>
        <w:t xml:space="preserve">, describes how they expect to use this study for their funding and recommendation decisions. </w:t>
      </w:r>
      <w:proofErr w:type="spellStart"/>
      <w:r w:rsidRPr="00EE1608">
        <w:rPr>
          <w:sz w:val="18"/>
          <w:szCs w:val="18"/>
        </w:rPr>
        <w:t>IDinsight</w:t>
      </w:r>
      <w:proofErr w:type="spellEnd"/>
      <w:r w:rsidRPr="00EE1608">
        <w:rPr>
          <w:sz w:val="18"/>
          <w:szCs w:val="18"/>
        </w:rPr>
        <w:t xml:space="preserve"> use</w:t>
      </w:r>
      <w:r>
        <w:rPr>
          <w:sz w:val="18"/>
          <w:szCs w:val="18"/>
        </w:rPr>
        <w:t>d</w:t>
      </w:r>
      <w:r w:rsidRPr="00EE1608">
        <w:rPr>
          <w:sz w:val="18"/>
          <w:szCs w:val="18"/>
        </w:rPr>
        <w:t xml:space="preserve"> that document and conversations with </w:t>
      </w:r>
      <w:proofErr w:type="spellStart"/>
      <w:r w:rsidRPr="00EE1608">
        <w:rPr>
          <w:sz w:val="18"/>
          <w:szCs w:val="18"/>
        </w:rPr>
        <w:t>GiveWell</w:t>
      </w:r>
      <w:proofErr w:type="spellEnd"/>
      <w:r w:rsidRPr="00EE1608">
        <w:rPr>
          <w:sz w:val="18"/>
          <w:szCs w:val="18"/>
        </w:rPr>
        <w:t xml:space="preserve"> to determine mean detectable effect sizes used in power calculations. A</w:t>
      </w:r>
      <w:r>
        <w:rPr>
          <w:sz w:val="18"/>
          <w:szCs w:val="18"/>
        </w:rPr>
        <w:t>n</w:t>
      </w:r>
      <w:r w:rsidRPr="00EE1608">
        <w:rPr>
          <w:sz w:val="18"/>
          <w:szCs w:val="18"/>
        </w:rPr>
        <w:t xml:space="preserve"> </w:t>
      </w:r>
      <w:proofErr w:type="gramStart"/>
      <w:r w:rsidRPr="00EE1608">
        <w:rPr>
          <w:sz w:val="18"/>
          <w:szCs w:val="18"/>
        </w:rPr>
        <w:t>1</w:t>
      </w:r>
      <w:r>
        <w:rPr>
          <w:sz w:val="18"/>
          <w:szCs w:val="18"/>
        </w:rPr>
        <w:t>1</w:t>
      </w:r>
      <w:r w:rsidRPr="00EE1608">
        <w:rPr>
          <w:sz w:val="18"/>
          <w:szCs w:val="18"/>
        </w:rPr>
        <w:t xml:space="preserve"> percentage</w:t>
      </w:r>
      <w:proofErr w:type="gramEnd"/>
      <w:r w:rsidRPr="00EE1608">
        <w:rPr>
          <w:sz w:val="18"/>
          <w:szCs w:val="18"/>
        </w:rPr>
        <w:t xml:space="preserve"> point increase in coverage for Measles 1 </w:t>
      </w:r>
      <w:r>
        <w:rPr>
          <w:sz w:val="18"/>
          <w:szCs w:val="18"/>
        </w:rPr>
        <w:t>wa</w:t>
      </w:r>
      <w:r w:rsidRPr="00EE1608">
        <w:rPr>
          <w:sz w:val="18"/>
          <w:szCs w:val="18"/>
        </w:rPr>
        <w:t>s our planning factor for those calculations</w:t>
      </w:r>
      <w:r>
        <w:rPr>
          <w:sz w:val="18"/>
          <w:szCs w:val="18"/>
        </w:rPr>
        <w:t xml:space="preserve"> at time of sample size and budget finalization in July 2019</w:t>
      </w:r>
      <w:r w:rsidRPr="00EE1608">
        <w:rPr>
          <w:sz w:val="18"/>
          <w:szCs w:val="18"/>
        </w:rPr>
        <w:t xml:space="preserve">. This represents a compromise accounting for the minimum effect likely to induce a Top Charity designation from </w:t>
      </w:r>
      <w:proofErr w:type="spellStart"/>
      <w:r w:rsidRPr="00EE1608">
        <w:rPr>
          <w:sz w:val="18"/>
          <w:szCs w:val="18"/>
        </w:rPr>
        <w:t>GiveWell</w:t>
      </w:r>
      <w:proofErr w:type="spellEnd"/>
      <w:r w:rsidRPr="00EE1608">
        <w:rPr>
          <w:sz w:val="18"/>
          <w:szCs w:val="18"/>
        </w:rPr>
        <w:t xml:space="preserve"> (estimated at 7 percentage points in summer 2017</w:t>
      </w:r>
      <w:r>
        <w:rPr>
          <w:sz w:val="18"/>
          <w:szCs w:val="18"/>
        </w:rPr>
        <w:t>, increased to 10-15 percentage points at time of writing, subject to change prior to final results and decision</w:t>
      </w:r>
      <w:r w:rsidRPr="00EE1608">
        <w:rPr>
          <w:sz w:val="18"/>
          <w:szCs w:val="18"/>
        </w:rPr>
        <w:t>) and on-the-ground factors – notably the desire to maintain a large buffer between clinics to limit spillovers.</w:t>
      </w:r>
    </w:p>
  </w:footnote>
  <w:footnote w:id="24">
    <w:p w14:paraId="32E0484F" w14:textId="2C3E751D"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The baseline survey found an ICC of .12.</w:t>
      </w:r>
      <w:r>
        <w:rPr>
          <w:sz w:val="18"/>
          <w:szCs w:val="18"/>
        </w:rPr>
        <w:t xml:space="preserve"> We used conservative parameters for power calculations</w:t>
      </w:r>
      <w:r w:rsidRPr="00EE1608">
        <w:rPr>
          <w:sz w:val="18"/>
          <w:szCs w:val="18"/>
        </w:rPr>
        <w:t xml:space="preserve"> in case differential treatment effects across clusters have increased ICC since baseline.</w:t>
      </w:r>
    </w:p>
  </w:footnote>
  <w:footnote w:id="25">
    <w:p w14:paraId="4502C289" w14:textId="1F6EC8CA"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Calculations suggested that the increased power from adding more observations per cluster became minimal around 40 observations per cluster (catchment area). Accordingly, we plan to sample 45 x 167 = 7,515 at </w:t>
      </w:r>
      <w:proofErr w:type="spellStart"/>
      <w:r w:rsidRPr="00EE1608">
        <w:rPr>
          <w:sz w:val="18"/>
          <w:szCs w:val="18"/>
        </w:rPr>
        <w:t>endline</w:t>
      </w:r>
      <w:proofErr w:type="spellEnd"/>
      <w:r w:rsidRPr="00EE1608">
        <w:rPr>
          <w:sz w:val="18"/>
          <w:szCs w:val="18"/>
        </w:rPr>
        <w:t>.</w:t>
      </w:r>
    </w:p>
  </w:footnote>
  <w:footnote w:id="26">
    <w:p w14:paraId="117C80D8" w14:textId="5217984D" w:rsidR="00BC1F44" w:rsidRPr="00EE1608" w:rsidRDefault="00BC1F44" w:rsidP="00291DAC">
      <w:pPr>
        <w:pStyle w:val="FootnoteText"/>
        <w:rPr>
          <w:sz w:val="18"/>
          <w:szCs w:val="18"/>
        </w:rPr>
      </w:pPr>
      <w:r w:rsidRPr="00EE1608">
        <w:rPr>
          <w:rStyle w:val="FootnoteReference"/>
          <w:sz w:val="18"/>
          <w:szCs w:val="18"/>
        </w:rPr>
        <w:footnoteRef/>
      </w:r>
      <w:r w:rsidRPr="00EE1608">
        <w:rPr>
          <w:sz w:val="18"/>
          <w:szCs w:val="18"/>
        </w:rPr>
        <w:t xml:space="preserve"> </w:t>
      </w:r>
      <w:proofErr w:type="spellStart"/>
      <w:r w:rsidRPr="00EE1608">
        <w:rPr>
          <w:sz w:val="18"/>
          <w:szCs w:val="18"/>
        </w:rPr>
        <w:t>IDinsight</w:t>
      </w:r>
      <w:proofErr w:type="spellEnd"/>
      <w:r w:rsidRPr="00EE1608">
        <w:rPr>
          <w:sz w:val="18"/>
          <w:szCs w:val="18"/>
        </w:rPr>
        <w:t xml:space="preserve"> calculated power using both </w:t>
      </w:r>
      <w:proofErr w:type="spellStart"/>
      <w:r w:rsidRPr="00EE1608">
        <w:rPr>
          <w:sz w:val="18"/>
          <w:szCs w:val="18"/>
        </w:rPr>
        <w:t>Bonferoni</w:t>
      </w:r>
      <w:proofErr w:type="spellEnd"/>
      <w:r w:rsidRPr="00EE1608">
        <w:rPr>
          <w:sz w:val="18"/>
          <w:szCs w:val="18"/>
        </w:rPr>
        <w:t xml:space="preserve"> and FSDR corrections, which yielded similar results. FSDR is probably more appropriate in our setting given that we expect the program’s effect across vaccinations to be highly correlated.</w:t>
      </w:r>
    </w:p>
  </w:footnote>
  <w:footnote w:id="27">
    <w:p w14:paraId="63FFE4D6" w14:textId="572C3566"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It is also important to note that most clinics in which New Incentives operates are rural. The remoteness criteria </w:t>
      </w:r>
      <w:proofErr w:type="gramStart"/>
      <w:r w:rsidRPr="00EE1608">
        <w:rPr>
          <w:sz w:val="18"/>
          <w:szCs w:val="18"/>
        </w:rPr>
        <w:t>applies</w:t>
      </w:r>
      <w:proofErr w:type="gramEnd"/>
      <w:r w:rsidRPr="00EE1608">
        <w:rPr>
          <w:sz w:val="18"/>
          <w:szCs w:val="18"/>
        </w:rPr>
        <w:t xml:space="preserve"> to only those that are extremely difficult to reach relative to the norm for the region. See the clinic categorization section of Annex 1 for more detail.</w:t>
      </w:r>
    </w:p>
  </w:footnote>
  <w:footnote w:id="28">
    <w:p w14:paraId="7F837E8B" w14:textId="5A7BDBF6" w:rsidR="00BC1F44" w:rsidRPr="00EE1608" w:rsidRDefault="00BC1F44" w:rsidP="00497095">
      <w:pPr>
        <w:pStyle w:val="FootnoteText"/>
        <w:rPr>
          <w:sz w:val="18"/>
          <w:szCs w:val="18"/>
        </w:rPr>
      </w:pPr>
      <w:r w:rsidRPr="00EE1608">
        <w:rPr>
          <w:rStyle w:val="FootnoteReference"/>
          <w:sz w:val="18"/>
          <w:szCs w:val="18"/>
        </w:rPr>
        <w:footnoteRef/>
      </w:r>
      <w:r w:rsidRPr="00EE1608">
        <w:rPr>
          <w:sz w:val="18"/>
          <w:szCs w:val="18"/>
        </w:rPr>
        <w:t xml:space="preserve"> Please refer to Annex 1 which discusses further detail on New Incentives’ clinic selection criteria.</w:t>
      </w:r>
    </w:p>
  </w:footnote>
  <w:footnote w:id="29">
    <w:p w14:paraId="3EDA699D" w14:textId="77777777" w:rsidR="00BC1F44" w:rsidRPr="00EE1608" w:rsidRDefault="00BC1F44" w:rsidP="002F67C1">
      <w:pPr>
        <w:pStyle w:val="FootnoteText"/>
        <w:rPr>
          <w:sz w:val="18"/>
          <w:szCs w:val="18"/>
        </w:rPr>
      </w:pPr>
      <w:r w:rsidRPr="00EE1608">
        <w:rPr>
          <w:rStyle w:val="FootnoteReference"/>
          <w:sz w:val="18"/>
          <w:szCs w:val="18"/>
        </w:rPr>
        <w:footnoteRef/>
      </w:r>
      <w:r w:rsidRPr="00EE1608">
        <w:rPr>
          <w:sz w:val="18"/>
          <w:szCs w:val="18"/>
        </w:rPr>
        <w:t xml:space="preserve"> It is important to note that the requirement that the clinics be well-spaced means that clinics in clinic-dense areas were less likely to be selected. Future versions of this document will discuss options for correcting for this.</w:t>
      </w:r>
    </w:p>
  </w:footnote>
  <w:footnote w:id="30">
    <w:p w14:paraId="729A936D" w14:textId="77777777" w:rsidR="00BC1F44" w:rsidRPr="00EE1608" w:rsidRDefault="00BC1F44" w:rsidP="00497095">
      <w:pPr>
        <w:pStyle w:val="FootnoteText"/>
        <w:rPr>
          <w:sz w:val="18"/>
          <w:szCs w:val="18"/>
        </w:rPr>
      </w:pPr>
      <w:r w:rsidRPr="00EE1608">
        <w:rPr>
          <w:rStyle w:val="FootnoteReference"/>
          <w:sz w:val="18"/>
          <w:szCs w:val="18"/>
        </w:rPr>
        <w:footnoteRef/>
      </w:r>
      <w:r w:rsidRPr="00EE1608">
        <w:rPr>
          <w:sz w:val="18"/>
          <w:szCs w:val="18"/>
        </w:rPr>
        <w:t xml:space="preserve"> Security concerns prompted the exclusion of four clinics from Katsina and 21 from Zamfara. New Incentives decided to replace one of these dropped clinics in Zamfara with a nearby clinic.   </w:t>
      </w:r>
    </w:p>
  </w:footnote>
  <w:footnote w:id="31">
    <w:p w14:paraId="33771006" w14:textId="631C67CB" w:rsidR="00BC1F44" w:rsidRPr="00EE1608" w:rsidRDefault="00BC1F44" w:rsidP="004C3E1D">
      <w:pPr>
        <w:pStyle w:val="FootnoteText"/>
        <w:rPr>
          <w:sz w:val="18"/>
          <w:szCs w:val="18"/>
        </w:rPr>
      </w:pPr>
      <w:r w:rsidRPr="00EE1608">
        <w:rPr>
          <w:rStyle w:val="FootnoteReference"/>
          <w:sz w:val="18"/>
          <w:szCs w:val="18"/>
        </w:rPr>
        <w:footnoteRef/>
      </w:r>
      <w:r w:rsidRPr="00EE1608">
        <w:rPr>
          <w:sz w:val="18"/>
          <w:szCs w:val="18"/>
        </w:rPr>
        <w:t xml:space="preserve"> Baseline coverage based on survey data is only available for Katsina and Zamfara. Jigawa was added as an additional state late in September. All stakeholders decided not to do a baseline there due to resource constraints and an upcoming measles campaign, which was conducted in October 2017.</w:t>
      </w:r>
    </w:p>
  </w:footnote>
  <w:footnote w:id="32">
    <w:p w14:paraId="267DF10F" w14:textId="77777777" w:rsidR="00BC1F44" w:rsidRPr="00EE1608" w:rsidRDefault="00BC1F44" w:rsidP="00841C88">
      <w:pPr>
        <w:pStyle w:val="FootnoteText"/>
        <w:rPr>
          <w:sz w:val="18"/>
          <w:szCs w:val="18"/>
          <w:lang w:val="en-AU"/>
        </w:rPr>
      </w:pPr>
      <w:r w:rsidRPr="00EE1608">
        <w:rPr>
          <w:rStyle w:val="FootnoteReference"/>
          <w:sz w:val="18"/>
          <w:szCs w:val="18"/>
        </w:rPr>
        <w:footnoteRef/>
      </w:r>
      <w:r w:rsidRPr="00EE1608">
        <w:rPr>
          <w:sz w:val="18"/>
          <w:szCs w:val="18"/>
        </w:rPr>
        <w:t xml:space="preserve"> Remoteness and lack of staffing relate to New Incentives’ screening categories, </w:t>
      </w:r>
      <w:proofErr w:type="gramStart"/>
      <w:r w:rsidRPr="00EE1608">
        <w:rPr>
          <w:sz w:val="18"/>
          <w:szCs w:val="18"/>
        </w:rPr>
        <w:t>in particular screening</w:t>
      </w:r>
      <w:proofErr w:type="gramEnd"/>
      <w:r w:rsidRPr="00EE1608">
        <w:rPr>
          <w:sz w:val="18"/>
          <w:szCs w:val="18"/>
        </w:rPr>
        <w:t xml:space="preserve"> category 4 and screening category 5. Category 4 clinics refer to those who are more than 3 hours by car from the next location with an ATM. Category 5 clinics refer to those with only one staff member.</w:t>
      </w:r>
    </w:p>
  </w:footnote>
  <w:footnote w:id="33">
    <w:p w14:paraId="450A670E" w14:textId="77777777" w:rsidR="00BC1F44" w:rsidRPr="00EE1608" w:rsidRDefault="00BC1F44" w:rsidP="006E544E">
      <w:pPr>
        <w:pStyle w:val="FootnoteText"/>
        <w:rPr>
          <w:sz w:val="18"/>
          <w:szCs w:val="18"/>
        </w:rPr>
      </w:pPr>
      <w:r w:rsidRPr="00EE1608">
        <w:rPr>
          <w:rStyle w:val="FootnoteReference"/>
          <w:sz w:val="18"/>
          <w:szCs w:val="18"/>
        </w:rPr>
        <w:footnoteRef/>
      </w:r>
      <w:r w:rsidRPr="00EE1608">
        <w:rPr>
          <w:sz w:val="18"/>
          <w:szCs w:val="18"/>
        </w:rPr>
        <w:t xml:space="preserve"> Multiple data points include New Incentives’ staff interviews with RI focal points, communications with LIOs, community leader reports etc. The incident will only have occurred one time.</w:t>
      </w:r>
    </w:p>
  </w:footnote>
  <w:footnote w:id="34">
    <w:p w14:paraId="3B2051A3" w14:textId="77777777" w:rsidR="00BC1F44" w:rsidRPr="00EE1608" w:rsidRDefault="00BC1F44" w:rsidP="006E544E">
      <w:pPr>
        <w:pStyle w:val="FootnoteText"/>
        <w:rPr>
          <w:sz w:val="18"/>
          <w:szCs w:val="18"/>
        </w:rPr>
      </w:pPr>
      <w:r w:rsidRPr="00EE1608">
        <w:rPr>
          <w:rStyle w:val="FootnoteReference"/>
          <w:sz w:val="18"/>
          <w:szCs w:val="18"/>
        </w:rPr>
        <w:footnoteRef/>
      </w:r>
      <w:r w:rsidRPr="00EE1608">
        <w:rPr>
          <w:sz w:val="18"/>
          <w:szCs w:val="18"/>
        </w:rPr>
        <w:t xml:space="preserve"> The intent of these armed killings was not robbery.</w:t>
      </w:r>
    </w:p>
  </w:footnote>
  <w:footnote w:id="35">
    <w:p w14:paraId="1FABBD67" w14:textId="6E3AB090"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New Incentives screened all potential study clinics to ensure that they met New Incentives’ operational requirements and, therefore, reflected the types of clinics in which New Incentives would operate at scale. </w:t>
      </w:r>
    </w:p>
  </w:footnote>
  <w:footnote w:id="36">
    <w:p w14:paraId="696B7E65" w14:textId="474B6373"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Includes child health cards kept by caregivers and child immunization registers and monthly immunization summaries kept at clinics</w:t>
      </w:r>
    </w:p>
  </w:footnote>
  <w:footnote w:id="37">
    <w:p w14:paraId="01EB72B5" w14:textId="2F7CD03C"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Discrepancies between self-reported coverage and other coverage estimates will trigger further analysis aimed at identifying possible sources of the discrepancy. This analysis will inform our assessment of the robustness of our impact estimate as well as recommendations to New Incentives regarding the reliability of data sources that will be available to them when operating at scale.</w:t>
      </w:r>
    </w:p>
  </w:footnote>
  <w:footnote w:id="38">
    <w:p w14:paraId="7C14FDC9" w14:textId="16B1B6B5"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In practice, we shift some back-checker effort from the household listing portion of the survey to the routine immunization portion of the survey, which measures our key outcomes. This results in back-check targets of 9% for household listing surveys and 13% of routine immunization surveys. We also back-check clinic-record collection in 10% of clinics.</w:t>
      </w:r>
    </w:p>
  </w:footnote>
  <w:footnote w:id="39">
    <w:p w14:paraId="6D9FC23D" w14:textId="6A89B991"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At baseline, </w:t>
      </w:r>
      <w:proofErr w:type="spellStart"/>
      <w:r w:rsidRPr="00EE1608">
        <w:rPr>
          <w:sz w:val="18"/>
          <w:szCs w:val="18"/>
        </w:rPr>
        <w:t>IDinsight</w:t>
      </w:r>
      <w:proofErr w:type="spellEnd"/>
      <w:r w:rsidRPr="00EE1608">
        <w:rPr>
          <w:sz w:val="18"/>
          <w:szCs w:val="18"/>
        </w:rPr>
        <w:t xml:space="preserve"> conducted separate household listing and routine immunization surveys. At </w:t>
      </w:r>
      <w:proofErr w:type="spellStart"/>
      <w:r w:rsidRPr="00EE1608">
        <w:rPr>
          <w:sz w:val="18"/>
          <w:szCs w:val="18"/>
        </w:rPr>
        <w:t>endline</w:t>
      </w:r>
      <w:proofErr w:type="spellEnd"/>
      <w:r w:rsidRPr="00EE1608">
        <w:rPr>
          <w:sz w:val="18"/>
          <w:szCs w:val="18"/>
        </w:rPr>
        <w:t>, we will combine the surveys to increase efficiency and reduce the risk of attrition (i.e. not finding an infant identified by the listing when revisiting for the routine immunization survey)</w:t>
      </w:r>
    </w:p>
  </w:footnote>
  <w:footnote w:id="40">
    <w:p w14:paraId="7BDC86A2" w14:textId="4467A69B"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w:t>
      </w:r>
      <w:proofErr w:type="spellStart"/>
      <w:r w:rsidRPr="00EE1608">
        <w:rPr>
          <w:sz w:val="18"/>
          <w:szCs w:val="18"/>
        </w:rPr>
        <w:t>IDinsight</w:t>
      </w:r>
      <w:proofErr w:type="spellEnd"/>
      <w:r w:rsidRPr="00EE1608">
        <w:rPr>
          <w:sz w:val="18"/>
          <w:szCs w:val="18"/>
        </w:rPr>
        <w:t xml:space="preserve"> did not collect baseline data in Jigawa as this state was added to the study after the point at which the baseline could be completed prior to the national measles campaign. An </w:t>
      </w:r>
      <w:proofErr w:type="spellStart"/>
      <w:r w:rsidRPr="00EE1608">
        <w:rPr>
          <w:sz w:val="18"/>
          <w:szCs w:val="18"/>
        </w:rPr>
        <w:t>endline</w:t>
      </w:r>
      <w:proofErr w:type="spellEnd"/>
      <w:r w:rsidRPr="00EE1608">
        <w:rPr>
          <w:sz w:val="18"/>
          <w:szCs w:val="18"/>
        </w:rPr>
        <w:t xml:space="preserve"> will be conducted in Jigawa.  </w:t>
      </w:r>
    </w:p>
  </w:footnote>
  <w:footnote w:id="41">
    <w:p w14:paraId="7F72E548" w14:textId="65FFF841"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A separate proposal, to be drafted in November 2018, will outline the measurement and analysis plans for midline.</w:t>
      </w:r>
    </w:p>
  </w:footnote>
  <w:footnote w:id="42">
    <w:p w14:paraId="43D7DB50" w14:textId="2CB70AD9" w:rsidR="00BC1F44" w:rsidRPr="00EE1608" w:rsidRDefault="00BC1F44" w:rsidP="000903FF">
      <w:pPr>
        <w:pStyle w:val="FootnoteText"/>
        <w:rPr>
          <w:sz w:val="18"/>
          <w:szCs w:val="18"/>
        </w:rPr>
      </w:pPr>
      <w:r w:rsidRPr="00EE1608">
        <w:rPr>
          <w:rStyle w:val="FootnoteReference"/>
          <w:sz w:val="18"/>
          <w:szCs w:val="18"/>
        </w:rPr>
        <w:footnoteRef/>
      </w:r>
      <w:r w:rsidRPr="00EE1608">
        <w:rPr>
          <w:rStyle w:val="FootnoteReference"/>
          <w:sz w:val="18"/>
          <w:szCs w:val="18"/>
        </w:rPr>
        <w:t xml:space="preserve"> </w:t>
      </w:r>
      <w:r w:rsidRPr="00EE1608">
        <w:rPr>
          <w:sz w:val="18"/>
          <w:szCs w:val="18"/>
        </w:rPr>
        <w:t xml:space="preserve">The baseline CSS made multiple modifications to this approach to respond to time pressure. The baseline report describes these modifications in greater detail and explores their implications for its results. For </w:t>
      </w:r>
      <w:proofErr w:type="spellStart"/>
      <w:r w:rsidRPr="00EE1608">
        <w:rPr>
          <w:sz w:val="18"/>
          <w:szCs w:val="18"/>
        </w:rPr>
        <w:t>endline</w:t>
      </w:r>
      <w:proofErr w:type="spellEnd"/>
      <w:r w:rsidRPr="00EE1608">
        <w:rPr>
          <w:sz w:val="18"/>
          <w:szCs w:val="18"/>
        </w:rPr>
        <w:t xml:space="preserve">, rigor and representativeness are the top priority, so </w:t>
      </w:r>
      <w:proofErr w:type="spellStart"/>
      <w:r w:rsidRPr="00EE1608">
        <w:rPr>
          <w:sz w:val="18"/>
          <w:szCs w:val="18"/>
        </w:rPr>
        <w:t>IDinsight</w:t>
      </w:r>
      <w:proofErr w:type="spellEnd"/>
      <w:r w:rsidRPr="00EE1608">
        <w:rPr>
          <w:sz w:val="18"/>
          <w:szCs w:val="18"/>
        </w:rPr>
        <w:t xml:space="preserve"> plans to follow this methodology closely and to only make modifications for methodological reasons (i.e. to improve rigor based on new information).</w:t>
      </w:r>
    </w:p>
  </w:footnote>
  <w:footnote w:id="43">
    <w:p w14:paraId="5AACEECB" w14:textId="77777777" w:rsidR="00BC1F44" w:rsidRPr="00EE1608" w:rsidRDefault="00BC1F44" w:rsidP="00A2298C">
      <w:pPr>
        <w:pStyle w:val="FootnoteText"/>
        <w:rPr>
          <w:sz w:val="18"/>
          <w:szCs w:val="18"/>
        </w:rPr>
      </w:pPr>
      <w:r w:rsidRPr="00EE1608">
        <w:rPr>
          <w:rStyle w:val="FootnoteReference"/>
          <w:sz w:val="18"/>
          <w:szCs w:val="18"/>
        </w:rPr>
        <w:footnoteRef/>
      </w:r>
      <w:r w:rsidRPr="00EE1608">
        <w:rPr>
          <w:sz w:val="18"/>
          <w:szCs w:val="18"/>
        </w:rPr>
        <w:t xml:space="preserve"> A </w:t>
      </w:r>
      <w:proofErr w:type="spellStart"/>
      <w:r w:rsidRPr="00EE1608">
        <w:rPr>
          <w:sz w:val="18"/>
          <w:szCs w:val="18"/>
        </w:rPr>
        <w:t>Microplan</w:t>
      </w:r>
      <w:proofErr w:type="spellEnd"/>
      <w:r w:rsidRPr="00EE1608">
        <w:rPr>
          <w:sz w:val="18"/>
          <w:szCs w:val="18"/>
        </w:rPr>
        <w:t xml:space="preserve"> is a clinic’s strategy for reaching the communities for which it is responsible and allocating resources among them.</w:t>
      </w:r>
    </w:p>
  </w:footnote>
  <w:footnote w:id="44">
    <w:p w14:paraId="618418AD" w14:textId="77777777" w:rsidR="00BC1F44" w:rsidRPr="00EE1608" w:rsidRDefault="00BC1F44" w:rsidP="00F9005A">
      <w:pPr>
        <w:pStyle w:val="FootnoteText"/>
        <w:rPr>
          <w:sz w:val="18"/>
          <w:szCs w:val="18"/>
        </w:rPr>
      </w:pPr>
      <w:r w:rsidRPr="00EE1608">
        <w:rPr>
          <w:rStyle w:val="FootnoteReference"/>
          <w:sz w:val="18"/>
          <w:szCs w:val="18"/>
        </w:rPr>
        <w:footnoteRef/>
      </w:r>
      <w:r w:rsidRPr="00EE1608">
        <w:rPr>
          <w:sz w:val="18"/>
          <w:szCs w:val="18"/>
        </w:rPr>
        <w:t xml:space="preserve"> More information and data files available at http://vts.eocng.org/</w:t>
      </w:r>
    </w:p>
  </w:footnote>
  <w:footnote w:id="45">
    <w:p w14:paraId="23B38941" w14:textId="77777777" w:rsidR="00BC1F44" w:rsidRPr="00EE1608" w:rsidRDefault="00BC1F44" w:rsidP="00F9005A">
      <w:pPr>
        <w:pStyle w:val="FootnoteText"/>
        <w:rPr>
          <w:sz w:val="18"/>
          <w:szCs w:val="18"/>
        </w:rPr>
      </w:pPr>
      <w:r w:rsidRPr="00EE1608">
        <w:rPr>
          <w:rStyle w:val="FootnoteReference"/>
          <w:sz w:val="18"/>
          <w:szCs w:val="18"/>
        </w:rPr>
        <w:footnoteRef/>
      </w:r>
      <w:r w:rsidRPr="00EE1608">
        <w:rPr>
          <w:sz w:val="18"/>
          <w:szCs w:val="18"/>
        </w:rPr>
        <w:t xml:space="preserve"> https://qgis.org/en/site/</w:t>
      </w:r>
    </w:p>
  </w:footnote>
  <w:footnote w:id="46">
    <w:p w14:paraId="3B56C980" w14:textId="055DA9DC" w:rsidR="00BC1F44" w:rsidRPr="00EE1608" w:rsidRDefault="00BC1F44" w:rsidP="00B83EAE">
      <w:pPr>
        <w:pStyle w:val="FootnoteText"/>
        <w:rPr>
          <w:sz w:val="18"/>
          <w:szCs w:val="18"/>
        </w:rPr>
      </w:pPr>
      <w:r w:rsidRPr="00EE1608">
        <w:rPr>
          <w:rStyle w:val="FootnoteReference"/>
          <w:sz w:val="18"/>
          <w:szCs w:val="18"/>
        </w:rPr>
        <w:footnoteRef/>
      </w:r>
      <w:r w:rsidRPr="00EE1608">
        <w:rPr>
          <w:rStyle w:val="FootnoteReference"/>
          <w:sz w:val="18"/>
          <w:szCs w:val="18"/>
        </w:rPr>
        <w:t xml:space="preserve"> </w:t>
      </w:r>
      <w:r w:rsidRPr="00EE1608">
        <w:rPr>
          <w:sz w:val="18"/>
          <w:szCs w:val="18"/>
        </w:rPr>
        <w:t xml:space="preserve">Power calculations and discussions with </w:t>
      </w:r>
      <w:proofErr w:type="spellStart"/>
      <w:r w:rsidRPr="00EE1608">
        <w:rPr>
          <w:sz w:val="18"/>
          <w:szCs w:val="18"/>
        </w:rPr>
        <w:t>GiveWell</w:t>
      </w:r>
      <w:proofErr w:type="spellEnd"/>
      <w:r w:rsidRPr="00EE1608">
        <w:rPr>
          <w:sz w:val="18"/>
          <w:szCs w:val="18"/>
        </w:rPr>
        <w:t xml:space="preserve"> and New Incentives arrived at a target of 45 infants (on average) per catchment area in 167 catchment areas. The resulting 7,515 target number of eligible infants represents approximately 26% of the total eligible population we estimate to be in the study area. For ease of drawing segments, we chose 25% as our target proportion.</w:t>
      </w:r>
    </w:p>
  </w:footnote>
  <w:footnote w:id="47">
    <w:p w14:paraId="1F16A1F0" w14:textId="589ED8EE"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In most cases, we use eight segments to allow us to adjust land area proportion in increments of 12.5% if fieldwork reveals population numbers to be substantially different from expectations. In some larger or smaller-than-average settlements, we use fewer segments.</w:t>
      </w:r>
    </w:p>
  </w:footnote>
  <w:footnote w:id="48">
    <w:p w14:paraId="61FC0ED4" w14:textId="77777777" w:rsidR="00BC1F44" w:rsidRDefault="00BC1F44" w:rsidP="00784C83">
      <w:pPr>
        <w:pStyle w:val="FootnoteText"/>
      </w:pPr>
      <w:r>
        <w:rPr>
          <w:rStyle w:val="FootnoteReference"/>
        </w:rPr>
        <w:footnoteRef/>
      </w:r>
      <w:r>
        <w:t xml:space="preserve"> See Annex 3 for a more detailed discussion of our assessment of self report data at baseline.</w:t>
      </w:r>
    </w:p>
  </w:footnote>
  <w:footnote w:id="49">
    <w:p w14:paraId="1DD1BE86" w14:textId="77777777" w:rsidR="00BC1F44" w:rsidRDefault="00BC1F44" w:rsidP="00784C83">
      <w:pPr>
        <w:pStyle w:val="FootnoteText"/>
      </w:pPr>
      <w:r>
        <w:rPr>
          <w:rStyle w:val="FootnoteReference"/>
        </w:rPr>
        <w:footnoteRef/>
      </w:r>
      <w:r>
        <w:t xml:space="preserve"> </w:t>
      </w:r>
      <w:r w:rsidRPr="00905F01">
        <w:t xml:space="preserve">For infants with PENTA 3 on child health cards, 90% of caregivers reported their infant received PENTA, but only 45% reported their infant </w:t>
      </w:r>
      <w:r>
        <w:t>had received</w:t>
      </w:r>
      <w:r w:rsidRPr="00905F01">
        <w:t xml:space="preserve"> three doses of PENTA</w:t>
      </w:r>
      <w:r>
        <w:t>. Conversely, 79% of those that reported receiving three doses of PENTA had PENTA 3 recorded on their cards, but if we restrict to those who reported three doses of PENTA at a health facility then 97% had PENTA 3 on their cards.</w:t>
      </w:r>
    </w:p>
  </w:footnote>
  <w:footnote w:id="50">
    <w:p w14:paraId="1286D68D" w14:textId="77777777" w:rsidR="00BC1F44" w:rsidRDefault="00BC1F44" w:rsidP="00784C83">
      <w:pPr>
        <w:pStyle w:val="FootnoteText"/>
      </w:pPr>
      <w:r>
        <w:rPr>
          <w:rStyle w:val="FootnoteReference"/>
        </w:rPr>
        <w:footnoteRef/>
      </w:r>
      <w:r>
        <w:t xml:space="preserve"> </w:t>
      </w:r>
      <w:r w:rsidRPr="00905F01">
        <w:t>While 92% of infants with PENTA marked on their cards had PCV marked, only 71% of infants that reported PENTA reported PCV.</w:t>
      </w:r>
    </w:p>
  </w:footnote>
  <w:footnote w:id="51">
    <w:p w14:paraId="0C3AFAB9" w14:textId="77777777" w:rsidR="00BC1F44" w:rsidRPr="002D22D2" w:rsidRDefault="00BC1F44" w:rsidP="00224C77">
      <w:pPr>
        <w:pStyle w:val="FootnoteText"/>
      </w:pPr>
      <w:r w:rsidRPr="002D22D2">
        <w:rPr>
          <w:rStyle w:val="FootnoteReference"/>
        </w:rPr>
        <w:footnoteRef/>
      </w:r>
      <w:r w:rsidRPr="002D22D2">
        <w:t xml:space="preserve"> Segment or settlement level coverage rates are not used due to the small samples in many settlements and the likelihood that catchments in some clinics may change slightly. </w:t>
      </w:r>
    </w:p>
  </w:footnote>
  <w:footnote w:id="52">
    <w:p w14:paraId="4DB14B92" w14:textId="77777777" w:rsidR="00BC1F44" w:rsidRPr="00DC33FF" w:rsidRDefault="00BC1F44" w:rsidP="00224C77">
      <w:pPr>
        <w:jc w:val="both"/>
        <w:rPr>
          <w:rFonts w:ascii="Garamond" w:eastAsiaTheme="minorEastAsia" w:hAnsi="Garamond"/>
          <w:sz w:val="20"/>
          <w:szCs w:val="20"/>
        </w:rPr>
      </w:pPr>
      <w:r w:rsidRPr="00DC33FF">
        <w:rPr>
          <w:rStyle w:val="FootnoteReference"/>
          <w:rFonts w:ascii="Garamond" w:hAnsi="Garamond"/>
          <w:sz w:val="20"/>
          <w:szCs w:val="20"/>
        </w:rPr>
        <w:footnoteRef/>
      </w:r>
      <w:r w:rsidRPr="00DC33FF">
        <w:rPr>
          <w:rFonts w:ascii="Garamond" w:hAnsi="Garamond"/>
          <w:sz w:val="20"/>
          <w:szCs w:val="20"/>
        </w:rPr>
        <w:t xml:space="preserve"> </w:t>
      </w:r>
      <w:r w:rsidRPr="00DC33FF">
        <w:rPr>
          <w:rFonts w:ascii="Garamond" w:eastAsiaTheme="minorEastAsia" w:hAnsi="Garamond"/>
          <w:sz w:val="20"/>
          <w:szCs w:val="20"/>
        </w:rPr>
        <w:t>For the one clinic in Zamfara without baseline coverage survey data</w:t>
      </w:r>
      <w:r>
        <w:rPr>
          <w:rFonts w:ascii="Garamond" w:eastAsiaTheme="minorEastAsia" w:hAnsi="Garamond"/>
          <w:sz w:val="20"/>
          <w:szCs w:val="20"/>
        </w:rPr>
        <w:t>,</w:t>
      </w:r>
      <w:r w:rsidRPr="00DC33FF">
        <w:rPr>
          <w:rFonts w:ascii="Garamond" w:eastAsiaTheme="minorEastAsia" w:hAnsi="Garamond"/>
          <w:sz w:val="20"/>
          <w:szCs w:val="20"/>
        </w:rPr>
        <w:t xml:space="preserve"> (</w:t>
      </w:r>
      <w:proofErr w:type="spellStart"/>
      <w:r w:rsidRPr="00DC33FF">
        <w:rPr>
          <w:rFonts w:ascii="Garamond" w:eastAsiaTheme="minorEastAsia" w:hAnsi="Garamond"/>
          <w:sz w:val="20"/>
          <w:szCs w:val="20"/>
        </w:rPr>
        <w:t>Kairu</w:t>
      </w:r>
      <w:proofErr w:type="spellEnd"/>
      <w:r w:rsidRPr="00DC33FF">
        <w:rPr>
          <w:rFonts w:ascii="Garamond" w:eastAsiaTheme="minorEastAsia" w:hAnsi="Garamond"/>
          <w:sz w:val="20"/>
          <w:szCs w:val="20"/>
        </w:rPr>
        <w:t xml:space="preserve"> PHC), we will </w:t>
      </w:r>
      <w:r>
        <w:rPr>
          <w:rFonts w:ascii="Garamond" w:eastAsiaTheme="minorEastAsia" w:hAnsi="Garamond"/>
          <w:sz w:val="20"/>
          <w:szCs w:val="20"/>
        </w:rPr>
        <w:t xml:space="preserve">drop the clinic from the main specification. We will run a robustness check with the baseline coverage estimated as the average baseline coverage for </w:t>
      </w:r>
      <w:proofErr w:type="spellStart"/>
      <w:r w:rsidRPr="009A2055">
        <w:rPr>
          <w:rFonts w:ascii="Garamond" w:eastAsiaTheme="minorEastAsia" w:hAnsi="Garamond"/>
          <w:sz w:val="20"/>
          <w:szCs w:val="20"/>
        </w:rPr>
        <w:t>Bukkuyum</w:t>
      </w:r>
      <w:proofErr w:type="spellEnd"/>
      <w:r w:rsidRPr="009A2055">
        <w:rPr>
          <w:rFonts w:ascii="Garamond" w:eastAsiaTheme="minorEastAsia" w:hAnsi="Garamond"/>
          <w:sz w:val="20"/>
          <w:szCs w:val="20"/>
        </w:rPr>
        <w:t xml:space="preserve"> </w:t>
      </w:r>
      <w:r>
        <w:rPr>
          <w:rFonts w:ascii="Garamond" w:eastAsiaTheme="minorEastAsia" w:hAnsi="Garamond"/>
          <w:sz w:val="20"/>
          <w:szCs w:val="20"/>
        </w:rPr>
        <w:t>LGA</w:t>
      </w:r>
      <w:r w:rsidRPr="00DC33FF">
        <w:rPr>
          <w:rFonts w:ascii="Garamond" w:eastAsiaTheme="minorEastAsia" w:hAnsi="Garamond"/>
          <w:sz w:val="20"/>
          <w:szCs w:val="20"/>
        </w:rPr>
        <w:t xml:space="preserve">. </w:t>
      </w:r>
    </w:p>
  </w:footnote>
  <w:footnote w:id="53">
    <w:p w14:paraId="5BB51E49" w14:textId="4FE4F1FC" w:rsidR="00BC1F44" w:rsidRDefault="00BC1F44">
      <w:pPr>
        <w:pStyle w:val="FootnoteText"/>
      </w:pPr>
      <w:r>
        <w:rPr>
          <w:rStyle w:val="FootnoteReference"/>
        </w:rPr>
        <w:footnoteRef/>
      </w:r>
      <w:r>
        <w:t xml:space="preserve"> We expect these covariates to be largely available across the sample. If, however, they lead to dropping large numbers of observations due to missing covariate date we will a) run alternative specifications with dummy variables that absorb the variation associated with missing covariates and b) run robustness checks that drop the troublesome covariates.</w:t>
      </w:r>
    </w:p>
  </w:footnote>
  <w:footnote w:id="54">
    <w:p w14:paraId="25ACFB01" w14:textId="77777777" w:rsidR="00BC1F44" w:rsidRPr="002D22D2" w:rsidRDefault="00BC1F44" w:rsidP="00224C77">
      <w:pPr>
        <w:pStyle w:val="FootnoteText"/>
      </w:pPr>
      <w:r w:rsidRPr="002D22D2">
        <w:rPr>
          <w:rStyle w:val="FootnoteReference"/>
        </w:rPr>
        <w:footnoteRef/>
      </w:r>
      <w:r>
        <w:t xml:space="preserve"> This is a</w:t>
      </w:r>
      <w:r w:rsidRPr="002D22D2">
        <w:t xml:space="preserve"> widespread UNICEF program where community mobilizers encourage mothers to seek antenatal care and immunization services.</w:t>
      </w:r>
    </w:p>
  </w:footnote>
  <w:footnote w:id="55">
    <w:p w14:paraId="78261C78" w14:textId="77777777" w:rsidR="00BC1F44" w:rsidRPr="002D22D2" w:rsidRDefault="00BC1F44" w:rsidP="00224C77">
      <w:pPr>
        <w:pStyle w:val="FootnoteText"/>
      </w:pPr>
      <w:r w:rsidRPr="002D22D2">
        <w:rPr>
          <w:rStyle w:val="FootnoteReference"/>
        </w:rPr>
        <w:footnoteRef/>
      </w:r>
      <w:r w:rsidRPr="002D22D2">
        <w:t xml:space="preserve"> Coverage strata were based on groups of five or six clinics based on a simulation suggesting given the sample size per clinic, strata of this size and smaller provide equivalent balance. For smaller strata, i.e. clinics with different screening or security status, we used coverage groups with as few as two clinics.</w:t>
      </w:r>
    </w:p>
  </w:footnote>
  <w:footnote w:id="56">
    <w:p w14:paraId="1BF4697E" w14:textId="77777777" w:rsidR="00C466AC" w:rsidRPr="00B8386A" w:rsidRDefault="00C466AC" w:rsidP="00C466AC">
      <w:pPr>
        <w:pStyle w:val="FootnoteText"/>
        <w:rPr>
          <w:sz w:val="18"/>
          <w:szCs w:val="18"/>
        </w:rPr>
      </w:pPr>
      <w:r>
        <w:rPr>
          <w:rStyle w:val="FootnoteReference"/>
        </w:rPr>
        <w:footnoteRef/>
      </w:r>
      <w:r>
        <w:t xml:space="preserve"> </w:t>
      </w:r>
      <w:proofErr w:type="spellStart"/>
      <w:r>
        <w:rPr>
          <w:sz w:val="18"/>
          <w:szCs w:val="18"/>
        </w:rPr>
        <w:t>IDinsight</w:t>
      </w:r>
      <w:proofErr w:type="spellEnd"/>
      <w:r>
        <w:rPr>
          <w:sz w:val="18"/>
          <w:szCs w:val="18"/>
        </w:rPr>
        <w:t xml:space="preserve"> will collect either Tally Sheets or Monthly Immunization Summaries, depending on the workload of all clinic-enumerator tasks, as determined during field practice prior to data collection. Tally Sheets are – we think – a slightly more accurate source, though our Midline analysis showed them to be quite consistent with Monthly Immunization Summaries, which are much easier to collect.</w:t>
      </w:r>
    </w:p>
  </w:footnote>
  <w:footnote w:id="57">
    <w:p w14:paraId="0C720CE5" w14:textId="77777777" w:rsidR="00C466AC" w:rsidRDefault="00C466AC" w:rsidP="00C466AC">
      <w:pPr>
        <w:pStyle w:val="FootnoteText"/>
      </w:pPr>
      <w:r>
        <w:rPr>
          <w:rStyle w:val="FootnoteReference"/>
        </w:rPr>
        <w:footnoteRef/>
      </w:r>
      <w:r>
        <w:t xml:space="preserve"> </w:t>
      </w:r>
      <w:proofErr w:type="spellStart"/>
      <w:r>
        <w:t>IDinsight</w:t>
      </w:r>
      <w:proofErr w:type="spellEnd"/>
      <w:r>
        <w:t xml:space="preserve"> collected these records as part of midline data collection in March/April 2019. We found a robust positive impact across vaccinations but these results were for a time period ending part-way through the RCT </w:t>
      </w:r>
      <w:proofErr w:type="gramStart"/>
      <w:r>
        <w:t>window</w:t>
      </w:r>
      <w:proofErr w:type="gramEnd"/>
      <w:r>
        <w:t xml:space="preserve"> so follow-on collection is necessary. These administrative records are imperfect, and we worry that the program itself may cause them to improve, leading to differential data quality in treatment and control. However, they remain an important alternative source that we expect to show results at least qualitatively </w:t>
      </w:r>
      <w:proofErr w:type="gramStart"/>
      <w:r>
        <w:t>similar to</w:t>
      </w:r>
      <w:proofErr w:type="gramEnd"/>
      <w:r>
        <w:t xml:space="preserve"> those found with self reports.</w:t>
      </w:r>
    </w:p>
  </w:footnote>
  <w:footnote w:id="58">
    <w:p w14:paraId="59E197B8" w14:textId="7BFF9980" w:rsidR="00BC1F44" w:rsidRPr="003C3CE5" w:rsidRDefault="00BC1F44" w:rsidP="00784C83">
      <w:pPr>
        <w:jc w:val="both"/>
      </w:pPr>
      <w:r w:rsidRPr="00963A8F">
        <w:rPr>
          <w:rStyle w:val="FootnoteReference"/>
          <w:rFonts w:ascii="Garamond" w:hAnsi="Garamond"/>
          <w:sz w:val="20"/>
          <w:szCs w:val="20"/>
        </w:rPr>
        <w:footnoteRef/>
      </w:r>
      <w:r w:rsidRPr="00963A8F">
        <w:rPr>
          <w:rFonts w:ascii="Garamond" w:hAnsi="Garamond"/>
          <w:sz w:val="20"/>
          <w:szCs w:val="20"/>
        </w:rPr>
        <w:t xml:space="preserve"> The inaccuracy of dose recall is why the </w:t>
      </w:r>
      <w:r>
        <w:rPr>
          <w:rFonts w:ascii="Garamond" w:hAnsi="Garamond"/>
          <w:sz w:val="20"/>
          <w:szCs w:val="20"/>
        </w:rPr>
        <w:t>probability</w:t>
      </w:r>
      <w:r w:rsidRPr="00963A8F">
        <w:rPr>
          <w:rFonts w:ascii="Garamond" w:hAnsi="Garamond"/>
          <w:sz w:val="20"/>
          <w:szCs w:val="20"/>
        </w:rPr>
        <w:t xml:space="preserve"> of receiving any dose of PENTA, rather than three doses of PENTA, define the primary outcome.</w:t>
      </w:r>
    </w:p>
  </w:footnote>
  <w:footnote w:id="59">
    <w:p w14:paraId="3E864609" w14:textId="77777777" w:rsidR="00BC1F44" w:rsidRDefault="00BC1F44" w:rsidP="00784C83">
      <w:pPr>
        <w:pStyle w:val="FootnoteText"/>
      </w:pPr>
      <w:r>
        <w:rPr>
          <w:rStyle w:val="FootnoteReference"/>
        </w:rPr>
        <w:footnoteRef/>
      </w:r>
      <w:r>
        <w:t xml:space="preserve"> We define an infant’s due date for vaccination using the birth date written on their child health card or, if no card is available, their self-reported birth date. About 80% of infants had birth dates on cards within a month of the reported birth date. </w:t>
      </w:r>
    </w:p>
  </w:footnote>
  <w:footnote w:id="60">
    <w:p w14:paraId="40399917" w14:textId="77777777" w:rsidR="00BC1F44" w:rsidRPr="003B5441" w:rsidRDefault="00BC1F44" w:rsidP="00784C83">
      <w:pPr>
        <w:pStyle w:val="FootnoteText"/>
      </w:pPr>
      <w:r w:rsidRPr="003B5441">
        <w:rPr>
          <w:rStyle w:val="FootnoteReference"/>
        </w:rPr>
        <w:footnoteRef/>
      </w:r>
      <w:r w:rsidRPr="003B5441">
        <w:t xml:space="preserve"> If card retention differs dramatically between treatment and control, it is unlikely we will be able to draw meaningful conclusions with respect to timeliness as the population with cards in the two groups would not be comparable. </w:t>
      </w:r>
    </w:p>
  </w:footnote>
  <w:footnote w:id="61">
    <w:p w14:paraId="7CB2EEAE" w14:textId="77777777" w:rsidR="00BC1F44" w:rsidRDefault="00BC1F44" w:rsidP="00784C83">
      <w:pPr>
        <w:pStyle w:val="FootnoteText"/>
      </w:pPr>
      <w:r>
        <w:rPr>
          <w:rStyle w:val="FootnoteReference"/>
        </w:rPr>
        <w:footnoteRef/>
      </w:r>
      <w:r>
        <w:t xml:space="preserve"> The covariates we will control for will be </w:t>
      </w:r>
    </w:p>
    <w:p w14:paraId="777B758E" w14:textId="77777777" w:rsidR="00BC1F44" w:rsidRDefault="00BC1F44" w:rsidP="00784C83">
      <w:pPr>
        <w:pStyle w:val="FootnoteText"/>
        <w:numPr>
          <w:ilvl w:val="0"/>
          <w:numId w:val="60"/>
        </w:numPr>
      </w:pPr>
      <w:r>
        <w:t xml:space="preserve">The baseline coverage rate defined as the self-reported coverage among 12 to 16-month </w:t>
      </w:r>
      <w:proofErr w:type="spellStart"/>
      <w:r>
        <w:t>olds</w:t>
      </w:r>
      <w:proofErr w:type="spellEnd"/>
      <w:r>
        <w:t xml:space="preserve"> for clinic cluster j.  For Jigawa, this variable will take the value of 0 with the variation taken by the state dummy.  </w:t>
      </w:r>
    </w:p>
    <w:p w14:paraId="5659BB9A" w14:textId="77777777" w:rsidR="00BC1F44" w:rsidRDefault="00BC1F44" w:rsidP="00784C83">
      <w:pPr>
        <w:pStyle w:val="FootnoteText"/>
        <w:numPr>
          <w:ilvl w:val="0"/>
          <w:numId w:val="60"/>
        </w:numPr>
      </w:pPr>
      <w:r>
        <w:t xml:space="preserve">Individual and clinic level covariates. These include: infant’s gender; whether the caregiver attended Islamic school; caregiver’s formal education (some primary, some secondary, some post-secondary); caregiver’s age; household Size (number of people who eat from the same pot); whether the caregiver ever received non-cash incentives for vaccinating; subjective Wealth (7-step ladder); objective wealth (latest Nigeria PPI index); whether the child was born at a clinic; whether the caregiver has heard positive messages about vaccination from local leaders; the catchment area in square kilometers; whether the UNICEF VCM  program was operating in the clinic at baseline; whether the UNICEF VCM program was operating at the clinic at </w:t>
      </w:r>
      <w:proofErr w:type="spellStart"/>
      <w:r>
        <w:t>endline</w:t>
      </w:r>
      <w:proofErr w:type="spellEnd"/>
      <w:r>
        <w:t>; whether any other immunization programs were operating in the clinic catchment area during the study period; dummies corresponding with randomization strata (these include state, baseline coverage rate group, remoteness and limited staffing as defined by New Incentives during clinic screening, baseline security category)</w:t>
      </w:r>
    </w:p>
  </w:footnote>
  <w:footnote w:id="62">
    <w:p w14:paraId="4B7ED5E4" w14:textId="77777777" w:rsidR="00BC1F44" w:rsidRDefault="00BC1F44" w:rsidP="00784C83">
      <w:pPr>
        <w:pStyle w:val="FootnoteText"/>
      </w:pPr>
      <w:r>
        <w:rPr>
          <w:rStyle w:val="FootnoteReference"/>
        </w:rPr>
        <w:footnoteRef/>
      </w:r>
      <w:r>
        <w:t xml:space="preserve"> D</w:t>
      </w:r>
      <w:r w:rsidRPr="00D10443">
        <w:t xml:space="preserve">uring the baseline, </w:t>
      </w:r>
      <w:r>
        <w:t>a</w:t>
      </w:r>
      <w:r w:rsidRPr="00D10443">
        <w:t xml:space="preserve">round 29% of infants whose administrative records indicated BCG had no scar and 33% of infants who reported receiving BCG had no scar. The issue is more likely with the accuracy of the records than the enumerators.  The opposite is not true for those with scars: 93% had BCG recorded on their card if they had a card, and 95% of these respondents reported BCG. In a study of 70 vaccinated infants at a hospital in India, </w:t>
      </w:r>
      <w:proofErr w:type="spellStart"/>
      <w:r w:rsidRPr="00D10443">
        <w:t>Dhanawade</w:t>
      </w:r>
      <w:proofErr w:type="spellEnd"/>
      <w:r w:rsidRPr="00D10443">
        <w:t xml:space="preserve"> (2015), found 91% of infants had scars indicating a scar failure rate of 9%.</w:t>
      </w:r>
    </w:p>
  </w:footnote>
  <w:footnote w:id="63">
    <w:p w14:paraId="5BE06897" w14:textId="77777777" w:rsidR="00BC1F44" w:rsidRDefault="00BC1F44" w:rsidP="00784C83">
      <w:pPr>
        <w:pStyle w:val="FootnoteText"/>
      </w:pPr>
      <w:r>
        <w:rPr>
          <w:rStyle w:val="FootnoteReference"/>
        </w:rPr>
        <w:footnoteRef/>
      </w:r>
      <w:r>
        <w:t xml:space="preserve"> At scale, overflow beneficiaries could go to nearby facilities, which would also provide the program.</w:t>
      </w:r>
    </w:p>
  </w:footnote>
  <w:footnote w:id="64">
    <w:p w14:paraId="4B193DC0" w14:textId="77777777" w:rsidR="00BC1F44" w:rsidRDefault="00BC1F44" w:rsidP="00784C83">
      <w:pPr>
        <w:pStyle w:val="FootnoteText"/>
      </w:pPr>
      <w:r>
        <w:rPr>
          <w:rStyle w:val="FootnoteReference"/>
        </w:rPr>
        <w:footnoteRef/>
      </w:r>
      <w:r>
        <w:t xml:space="preserve"> Our analyses focused on clinics where at least four caregivers reported going to another </w:t>
      </w:r>
      <w:proofErr w:type="gramStart"/>
      <w:r>
        <w:t>clinic</w:t>
      </w:r>
      <w:proofErr w:type="gramEnd"/>
      <w:r>
        <w:t xml:space="preserve"> so it is possible we missed a case. Further, sometimes caregivers used alternate names for facilities that we could not match to our database.</w:t>
      </w:r>
    </w:p>
  </w:footnote>
  <w:footnote w:id="65">
    <w:p w14:paraId="2262C0E0" w14:textId="108EDD3A" w:rsidR="00BC1F44" w:rsidRDefault="00BC1F44" w:rsidP="00784C83">
      <w:pPr>
        <w:pStyle w:val="FootnoteText"/>
      </w:pPr>
      <w:r>
        <w:rPr>
          <w:rStyle w:val="FootnoteReference"/>
        </w:rPr>
        <w:footnoteRef/>
      </w:r>
      <w:r>
        <w:t xml:space="preserve"> New Incentives has taken additional steps to mitigate overcrowding at their program clinics, including adding additional immunization days. It is not possible to screen for overcrowding in all cases, and further strategies to mitigate this risk is an essential part of New Incentives’ ramp up period.</w:t>
      </w:r>
    </w:p>
  </w:footnote>
  <w:footnote w:id="66">
    <w:p w14:paraId="418E07D9" w14:textId="77777777" w:rsidR="00BC1F44" w:rsidRDefault="00BC1F44" w:rsidP="00784C83">
      <w:pPr>
        <w:pStyle w:val="FootnoteText"/>
      </w:pPr>
      <w:r>
        <w:rPr>
          <w:rStyle w:val="FootnoteReference"/>
        </w:rPr>
        <w:footnoteRef/>
      </w:r>
      <w:r>
        <w:t xml:space="preserve"> At baseline, we had very limited refusals and do not believe these will be different between treatment and control. We did have 18 infants that died between census and the routine immunization survey. While the treatment could affect the probability of this kind of attrition, there are likely to be only a handful of cases across the </w:t>
      </w:r>
      <w:proofErr w:type="spellStart"/>
      <w:r>
        <w:t>endline</w:t>
      </w:r>
      <w:proofErr w:type="spellEnd"/>
      <w:r>
        <w:t xml:space="preserve"> survey, especially since we plan to conduct RI at the same time as HH wherever possible. A broader concern is that enumerators would be more likely to be unable to find households that are on the physical or social margins of the community. However, this dynamic should affect treatment and control catchments equally. It is, therefore, a concern for generalizability rather than bias.</w:t>
      </w:r>
    </w:p>
  </w:footnote>
  <w:footnote w:id="67">
    <w:p w14:paraId="00CFEBB3" w14:textId="77777777" w:rsidR="00BC1F44" w:rsidRDefault="00BC1F44" w:rsidP="00784C83">
      <w:pPr>
        <w:pStyle w:val="FootnoteText"/>
      </w:pPr>
      <w:r>
        <w:rPr>
          <w:rStyle w:val="FootnoteReference"/>
        </w:rPr>
        <w:footnoteRef/>
      </w:r>
      <w:r>
        <w:t xml:space="preserve"> </w:t>
      </w:r>
      <w:proofErr w:type="spellStart"/>
      <w:r>
        <w:t>IDinsight</w:t>
      </w:r>
      <w:proofErr w:type="spellEnd"/>
      <w:r>
        <w:t xml:space="preserve"> will make every reasonable effort to survey all clinics. In general, we will use New Incentives’ security classification system, or similar criteria, to determine where it is safe to survey.</w:t>
      </w:r>
    </w:p>
  </w:footnote>
  <w:footnote w:id="68">
    <w:p w14:paraId="657449A4" w14:textId="0BF28EEB" w:rsidR="00BC1F44" w:rsidRPr="00EE1608" w:rsidRDefault="00BC1F44" w:rsidP="00E75FCD">
      <w:pPr>
        <w:pStyle w:val="Normal1"/>
        <w:spacing w:line="240" w:lineRule="auto"/>
        <w:jc w:val="both"/>
        <w:rPr>
          <w:rFonts w:ascii="Garamond" w:hAnsi="Garamond"/>
          <w:sz w:val="18"/>
          <w:szCs w:val="18"/>
        </w:rPr>
      </w:pPr>
      <w:r w:rsidRPr="00EE1608">
        <w:rPr>
          <w:rFonts w:ascii="Garamond" w:hAnsi="Garamond"/>
          <w:sz w:val="18"/>
          <w:szCs w:val="18"/>
          <w:vertAlign w:val="superscript"/>
        </w:rPr>
        <w:footnoteRef/>
      </w:r>
      <w:r w:rsidRPr="00EE1608">
        <w:rPr>
          <w:rFonts w:ascii="Garamond" w:hAnsi="Garamond"/>
          <w:sz w:val="18"/>
          <w:szCs w:val="18"/>
        </w:rPr>
        <w:t xml:space="preserve"> </w:t>
      </w:r>
      <w:proofErr w:type="gramStart"/>
      <w:r w:rsidRPr="00EE1608">
        <w:rPr>
          <w:rFonts w:ascii="Garamond" w:hAnsi="Garamond"/>
          <w:sz w:val="18"/>
          <w:szCs w:val="18"/>
        </w:rPr>
        <w:t>Low-volume</w:t>
      </w:r>
      <w:proofErr w:type="gramEnd"/>
      <w:r w:rsidRPr="00EE1608">
        <w:rPr>
          <w:rFonts w:ascii="Garamond" w:hAnsi="Garamond"/>
          <w:sz w:val="18"/>
          <w:szCs w:val="18"/>
        </w:rPr>
        <w:t xml:space="preserve"> is defined as less than an average of 20 injections per routine immunization day.</w:t>
      </w:r>
    </w:p>
  </w:footnote>
  <w:footnote w:id="69">
    <w:p w14:paraId="3939FD48" w14:textId="72269195" w:rsidR="00BC1F44" w:rsidRPr="00EE1608" w:rsidRDefault="00BC1F44" w:rsidP="00E75FCD">
      <w:pPr>
        <w:pStyle w:val="Normal1"/>
        <w:spacing w:line="240" w:lineRule="auto"/>
        <w:jc w:val="both"/>
        <w:rPr>
          <w:rFonts w:ascii="Garamond" w:hAnsi="Garamond"/>
          <w:sz w:val="18"/>
          <w:szCs w:val="18"/>
        </w:rPr>
      </w:pPr>
      <w:r w:rsidRPr="00EE1608">
        <w:rPr>
          <w:rFonts w:ascii="Garamond" w:hAnsi="Garamond"/>
          <w:sz w:val="18"/>
          <w:szCs w:val="18"/>
          <w:vertAlign w:val="superscript"/>
        </w:rPr>
        <w:footnoteRef/>
      </w:r>
      <w:r w:rsidRPr="00EE1608">
        <w:rPr>
          <w:rFonts w:ascii="Garamond" w:hAnsi="Garamond"/>
          <w:sz w:val="18"/>
          <w:szCs w:val="18"/>
        </w:rPr>
        <w:t xml:space="preserve"> </w:t>
      </w:r>
      <w:proofErr w:type="spellStart"/>
      <w:r w:rsidRPr="00EE1608">
        <w:rPr>
          <w:rFonts w:ascii="Garamond" w:hAnsi="Garamond"/>
          <w:sz w:val="18"/>
          <w:szCs w:val="18"/>
        </w:rPr>
        <w:t>IDinsight</w:t>
      </w:r>
      <w:proofErr w:type="spellEnd"/>
      <w:r w:rsidRPr="00EE1608">
        <w:rPr>
          <w:rFonts w:ascii="Garamond" w:hAnsi="Garamond"/>
          <w:sz w:val="18"/>
          <w:szCs w:val="18"/>
        </w:rPr>
        <w:t xml:space="preserve"> explored using maximum independent set algorithms but ultimately chose a Monte Carlo technique due to processing power limitations. The inputs into these algorithms were geocoded lists of clinics.</w:t>
      </w:r>
    </w:p>
  </w:footnote>
  <w:footnote w:id="70">
    <w:p w14:paraId="00B691CB" w14:textId="2FA0F038" w:rsidR="00BC1F44" w:rsidRPr="00EE1608" w:rsidRDefault="00BC1F44" w:rsidP="00E75FCD">
      <w:pPr>
        <w:pStyle w:val="FootnoteText"/>
        <w:rPr>
          <w:sz w:val="18"/>
          <w:szCs w:val="18"/>
        </w:rPr>
      </w:pPr>
      <w:r w:rsidRPr="00EE1608">
        <w:rPr>
          <w:sz w:val="18"/>
          <w:szCs w:val="18"/>
          <w:vertAlign w:val="superscript"/>
        </w:rPr>
        <w:footnoteRef/>
      </w:r>
      <w:r w:rsidRPr="00EE1608">
        <w:rPr>
          <w:sz w:val="18"/>
          <w:szCs w:val="18"/>
        </w:rPr>
        <w:t xml:space="preserve"> 17km was chosen based on an analysis of distance caregivers traveled to clinics during the pre-RCT phase. That analysis found an average distance traveled of approximately 5km. The pre-RCT report contains a detailed discussion of distances traveled and travel costs recorded during June data collection.</w:t>
      </w:r>
      <w:r w:rsidRPr="00CD6C0D">
        <w:rPr>
          <w:sz w:val="18"/>
          <w:szCs w:val="18"/>
        </w:rPr>
        <w:t xml:space="preserve"> </w:t>
      </w:r>
    </w:p>
  </w:footnote>
  <w:footnote w:id="71">
    <w:p w14:paraId="7703DC07" w14:textId="16E32893" w:rsidR="00BC1F44" w:rsidRPr="00EE1608" w:rsidRDefault="00BC1F44" w:rsidP="00EA1C2F">
      <w:pPr>
        <w:pStyle w:val="FootnoteText"/>
        <w:rPr>
          <w:sz w:val="18"/>
          <w:szCs w:val="18"/>
        </w:rPr>
      </w:pPr>
      <w:r w:rsidRPr="00EE1608">
        <w:rPr>
          <w:rStyle w:val="FootnoteReference"/>
          <w:sz w:val="18"/>
          <w:szCs w:val="18"/>
        </w:rPr>
        <w:footnoteRef/>
      </w:r>
      <w:r w:rsidRPr="00EE1608">
        <w:rPr>
          <w:sz w:val="18"/>
          <w:szCs w:val="18"/>
        </w:rPr>
        <w:t xml:space="preserve"> </w:t>
      </w:r>
      <w:r w:rsidRPr="00CD6C0D">
        <w:rPr>
          <w:sz w:val="18"/>
          <w:szCs w:val="18"/>
        </w:rPr>
        <w:t xml:space="preserve">It is possible these abandoned clinics are used during polio campaigns which explains their inclusion in the eHealth data, </w:t>
      </w:r>
      <w:r w:rsidRPr="00F4364B">
        <w:rPr>
          <w:sz w:val="18"/>
          <w:szCs w:val="18"/>
        </w:rPr>
        <w:t>since the primary purpose of eHealth geodata is polio campaign microplanning.</w:t>
      </w:r>
      <w:r w:rsidRPr="00EE1608">
        <w:rPr>
          <w:sz w:val="18"/>
          <w:szCs w:val="18"/>
        </w:rPr>
        <w:t xml:space="preserve"> </w:t>
      </w:r>
    </w:p>
  </w:footnote>
  <w:footnote w:id="72">
    <w:p w14:paraId="5029A1A8" w14:textId="295E17FF"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w:t>
      </w:r>
      <w:r w:rsidRPr="00CD6C0D">
        <w:rPr>
          <w:sz w:val="18"/>
          <w:szCs w:val="18"/>
        </w:rPr>
        <w:t>Based on new information not available during pre-screening.</w:t>
      </w:r>
    </w:p>
  </w:footnote>
  <w:footnote w:id="73">
    <w:p w14:paraId="6A1CFD17" w14:textId="25CC9A90" w:rsidR="00BC1F44" w:rsidRPr="00EE1608" w:rsidRDefault="00BC1F44" w:rsidP="00EA1C2F">
      <w:pPr>
        <w:pStyle w:val="FootnoteText"/>
        <w:rPr>
          <w:sz w:val="18"/>
          <w:szCs w:val="18"/>
        </w:rPr>
      </w:pPr>
      <w:r w:rsidRPr="00EE1608">
        <w:rPr>
          <w:rStyle w:val="FootnoteReference"/>
          <w:sz w:val="18"/>
          <w:szCs w:val="18"/>
        </w:rPr>
        <w:footnoteRef/>
      </w:r>
      <w:r w:rsidRPr="00EE1608">
        <w:rPr>
          <w:sz w:val="18"/>
          <w:szCs w:val="18"/>
        </w:rPr>
        <w:t xml:space="preserve"> </w:t>
      </w:r>
      <w:r w:rsidRPr="00EE1608">
        <w:rPr>
          <w:color w:val="222222"/>
          <w:sz w:val="18"/>
          <w:szCs w:val="18"/>
        </w:rPr>
        <w:t>For example, one category O clinic operates out of a room in the village head’s house, because a village member stole the roofing material from the clinic. There were no immunization records, and immunization only took place irregularly throughout the year.</w:t>
      </w:r>
    </w:p>
  </w:footnote>
  <w:footnote w:id="74">
    <w:p w14:paraId="3AE0C684" w14:textId="0809BD98"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This assumption was based on initial New Incentives’ clinic screening data collection.</w:t>
      </w:r>
    </w:p>
  </w:footnote>
  <w:footnote w:id="75">
    <w:p w14:paraId="75264D2B" w14:textId="71BFCE22" w:rsidR="00BC1F44" w:rsidRPr="00EE1608" w:rsidRDefault="00BC1F44" w:rsidP="00EA1C2F">
      <w:pPr>
        <w:pStyle w:val="FootnoteText"/>
        <w:rPr>
          <w:sz w:val="18"/>
          <w:szCs w:val="18"/>
        </w:rPr>
      </w:pPr>
      <w:r w:rsidRPr="00EE1608">
        <w:rPr>
          <w:rStyle w:val="FootnoteReference"/>
          <w:sz w:val="18"/>
          <w:szCs w:val="18"/>
        </w:rPr>
        <w:footnoteRef/>
      </w:r>
      <w:r w:rsidRPr="00EE1608">
        <w:rPr>
          <w:sz w:val="18"/>
          <w:szCs w:val="18"/>
        </w:rPr>
        <w:t xml:space="preserve"> We assumed 10% of households would have a 12 to 16-month old and, based on our simulations, we estimated we needed twenty-five 12 to 16-month </w:t>
      </w:r>
      <w:proofErr w:type="spellStart"/>
      <w:r w:rsidRPr="00EE1608">
        <w:rPr>
          <w:sz w:val="18"/>
          <w:szCs w:val="18"/>
        </w:rPr>
        <w:t>olds</w:t>
      </w:r>
      <w:proofErr w:type="spellEnd"/>
      <w:r w:rsidRPr="00EE1608">
        <w:rPr>
          <w:sz w:val="18"/>
          <w:szCs w:val="18"/>
        </w:rPr>
        <w:t xml:space="preserve"> to use for stratification. However, during the pre-RCT phase we noted that sometimes infants are identified for RI that are ineligible, so we surveyed 300 households in every catchment instead of 250 in order to have a buffer.</w:t>
      </w:r>
    </w:p>
  </w:footnote>
  <w:footnote w:id="76">
    <w:p w14:paraId="05AE9AE5" w14:textId="4B9336E7"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We dropped 21 clinics in Zamfara and four in Katsina. We replaced one dropped clinic in Zamfara with a nearby clinic.</w:t>
      </w:r>
    </w:p>
  </w:footnote>
  <w:footnote w:id="77">
    <w:p w14:paraId="6E93528C" w14:textId="22A98AA8" w:rsidR="00BC1F44" w:rsidRPr="00EE1608" w:rsidRDefault="00BC1F44" w:rsidP="000577DA">
      <w:pPr>
        <w:pStyle w:val="Normal1"/>
        <w:spacing w:line="259" w:lineRule="auto"/>
        <w:jc w:val="both"/>
        <w:rPr>
          <w:rFonts w:ascii="Garamond" w:hAnsi="Garamond"/>
          <w:sz w:val="18"/>
          <w:szCs w:val="18"/>
        </w:rPr>
      </w:pPr>
      <w:r w:rsidRPr="00EE1608">
        <w:rPr>
          <w:rStyle w:val="FootnoteReference"/>
          <w:rFonts w:ascii="Garamond" w:hAnsi="Garamond"/>
          <w:sz w:val="18"/>
          <w:szCs w:val="18"/>
        </w:rPr>
        <w:footnoteRef/>
      </w:r>
      <w:r w:rsidRPr="00EE1608">
        <w:rPr>
          <w:rFonts w:ascii="Garamond" w:hAnsi="Garamond"/>
          <w:sz w:val="18"/>
          <w:szCs w:val="18"/>
        </w:rPr>
        <w:t xml:space="preserve"> </w:t>
      </w:r>
      <w:r w:rsidRPr="00EE1608">
        <w:rPr>
          <w:rFonts w:ascii="Garamond" w:hAnsi="Garamond"/>
          <w:color w:val="222222"/>
          <w:sz w:val="18"/>
          <w:szCs w:val="18"/>
        </w:rPr>
        <w:t xml:space="preserve">As previously discussed, New Incentives requested a </w:t>
      </w:r>
      <w:proofErr w:type="gramStart"/>
      <w:r w:rsidRPr="00EE1608">
        <w:rPr>
          <w:rFonts w:ascii="Garamond" w:hAnsi="Garamond"/>
          <w:color w:val="222222"/>
          <w:sz w:val="18"/>
          <w:szCs w:val="18"/>
        </w:rPr>
        <w:t>sufficient number of</w:t>
      </w:r>
      <w:proofErr w:type="gramEnd"/>
      <w:r w:rsidRPr="00EE1608">
        <w:rPr>
          <w:rFonts w:ascii="Garamond" w:hAnsi="Garamond"/>
          <w:color w:val="222222"/>
          <w:sz w:val="18"/>
          <w:szCs w:val="18"/>
        </w:rPr>
        <w:t xml:space="preserve"> category four and five treatment clinics so that they can benefit from operational learnings about these marginal clinic types.  </w:t>
      </w:r>
    </w:p>
  </w:footnote>
  <w:footnote w:id="78">
    <w:p w14:paraId="39370FC8" w14:textId="77777777" w:rsidR="00BC1F44" w:rsidRPr="00EE1608" w:rsidRDefault="00BC1F44" w:rsidP="00C94271">
      <w:pPr>
        <w:pStyle w:val="FootnoteText"/>
        <w:rPr>
          <w:sz w:val="18"/>
          <w:szCs w:val="18"/>
        </w:rPr>
      </w:pPr>
      <w:r w:rsidRPr="00EE1608">
        <w:rPr>
          <w:rStyle w:val="FootnoteReference"/>
          <w:sz w:val="18"/>
          <w:szCs w:val="18"/>
        </w:rPr>
        <w:footnoteRef/>
      </w:r>
      <w:r w:rsidRPr="00EE1608">
        <w:rPr>
          <w:sz w:val="18"/>
          <w:szCs w:val="18"/>
        </w:rPr>
        <w:t xml:space="preserve"> During the security compromised wave, </w:t>
      </w:r>
      <w:proofErr w:type="spellStart"/>
      <w:r w:rsidRPr="00EE1608">
        <w:rPr>
          <w:sz w:val="18"/>
          <w:szCs w:val="18"/>
        </w:rPr>
        <w:t>IDinsight</w:t>
      </w:r>
      <w:proofErr w:type="spellEnd"/>
      <w:r w:rsidRPr="00EE1608">
        <w:rPr>
          <w:sz w:val="18"/>
          <w:szCs w:val="18"/>
        </w:rPr>
        <w:t xml:space="preserve"> and New Incentives agreed to drop 4 clinics from Katsina and 21 from Zamfara. New Incentives asked to replace one dropped Zamfara clinic with a nearby clinic.</w:t>
      </w:r>
    </w:p>
  </w:footnote>
  <w:footnote w:id="79">
    <w:p w14:paraId="7ADBB6CF" w14:textId="258B878D"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Two clinics in Jigawa were accidently not stratified based on category 5 status. They were stratified as Jigawa clinics that were Category 1 (Yes), 2 or 3 clinics. We will still control for the fact that they are category 5 clinics in the regression analysis.</w:t>
      </w:r>
    </w:p>
  </w:footnote>
  <w:footnote w:id="80">
    <w:p w14:paraId="62FBD72D" w14:textId="77777777" w:rsidR="00BC1F44" w:rsidRPr="00EE1608" w:rsidRDefault="00BC1F44" w:rsidP="00EA1C2F">
      <w:pPr>
        <w:pStyle w:val="FootnoteText"/>
        <w:rPr>
          <w:sz w:val="18"/>
          <w:szCs w:val="18"/>
        </w:rPr>
      </w:pPr>
      <w:r w:rsidRPr="00EE1608">
        <w:rPr>
          <w:rStyle w:val="FootnoteReference"/>
          <w:sz w:val="18"/>
          <w:szCs w:val="18"/>
        </w:rPr>
        <w:footnoteRef/>
      </w:r>
      <w:r w:rsidRPr="00EE1608">
        <w:rPr>
          <w:sz w:val="18"/>
          <w:szCs w:val="18"/>
        </w:rPr>
        <w:t xml:space="preserve"> High-risk LGAs are defined as having clinics where armed killings occur regularly and during daytime.</w:t>
      </w:r>
    </w:p>
  </w:footnote>
  <w:footnote w:id="81">
    <w:p w14:paraId="5640CA98" w14:textId="20FD5853" w:rsidR="00BC1F44" w:rsidRPr="00EE1608" w:rsidRDefault="00BC1F44">
      <w:pPr>
        <w:pStyle w:val="FootnoteText"/>
        <w:rPr>
          <w:sz w:val="18"/>
          <w:szCs w:val="18"/>
        </w:rPr>
      </w:pPr>
      <w:r w:rsidRPr="00EE1608">
        <w:rPr>
          <w:rStyle w:val="FootnoteReference"/>
          <w:sz w:val="18"/>
          <w:szCs w:val="18"/>
        </w:rPr>
        <w:footnoteRef/>
      </w:r>
      <w:r w:rsidRPr="00EE1608">
        <w:rPr>
          <w:sz w:val="18"/>
          <w:szCs w:val="18"/>
        </w:rPr>
        <w:t xml:space="preserve"> The simulation simulated the noise of selection of 40 children and then looked at balance between treatment and control. The balance was constant between an average stratum size of 12.5 and an average stratum size of 5.7.</w:t>
      </w:r>
    </w:p>
  </w:footnote>
  <w:footnote w:id="82">
    <w:p w14:paraId="727AC1DF" w14:textId="77777777" w:rsidR="00BC1F44" w:rsidRPr="00EE1608" w:rsidRDefault="00BC1F44" w:rsidP="00EA1C2F">
      <w:pPr>
        <w:pStyle w:val="FootnoteText"/>
        <w:rPr>
          <w:sz w:val="18"/>
          <w:szCs w:val="18"/>
        </w:rPr>
      </w:pPr>
      <w:r w:rsidRPr="00EE1608">
        <w:rPr>
          <w:rStyle w:val="FootnoteReference"/>
          <w:sz w:val="18"/>
          <w:szCs w:val="18"/>
        </w:rPr>
        <w:footnoteRef/>
      </w:r>
      <w:r w:rsidRPr="00EE1608">
        <w:rPr>
          <w:sz w:val="18"/>
          <w:szCs w:val="18"/>
        </w:rPr>
        <w:t xml:space="preserve"> If one clinic is a clear outlier in terms of coverage, it was sent non-randomly to the misfit strata.</w:t>
      </w:r>
    </w:p>
  </w:footnote>
  <w:footnote w:id="83">
    <w:p w14:paraId="5B3BE081" w14:textId="709B1094" w:rsidR="00BC1F44" w:rsidRPr="00EE1608" w:rsidRDefault="00BC1F44" w:rsidP="00EA1C2F">
      <w:pPr>
        <w:pStyle w:val="FootnoteText"/>
        <w:rPr>
          <w:sz w:val="18"/>
          <w:szCs w:val="18"/>
        </w:rPr>
      </w:pPr>
      <w:r w:rsidRPr="00EE1608">
        <w:rPr>
          <w:rStyle w:val="FootnoteReference"/>
          <w:sz w:val="18"/>
          <w:szCs w:val="18"/>
        </w:rPr>
        <w:footnoteRef/>
      </w:r>
      <w:r w:rsidRPr="00EE1608">
        <w:rPr>
          <w:sz w:val="18"/>
          <w:szCs w:val="18"/>
        </w:rPr>
        <w:t xml:space="preserve"> This may be due to inconsistencies in recording when caregivers receive vaccinations from multiple sources. New Incentives’ own experience suggests this issue is often explained by poorer documentation during outreaches.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805A" w14:textId="77777777" w:rsidR="00BC1F44" w:rsidRPr="001611CE" w:rsidRDefault="00BC1F44" w:rsidP="001611CE">
    <w:pPr>
      <w:pStyle w:val="Header"/>
      <w:jc w:val="right"/>
      <w:rPr>
        <w:rFonts w:ascii="Garamond" w:hAnsi="Garamond"/>
        <w:b/>
        <w:sz w:val="32"/>
        <w:szCs w:val="32"/>
      </w:rPr>
    </w:pPr>
    <w:r w:rsidRPr="001611CE">
      <w:rPr>
        <w:rFonts w:ascii="Garamond" w:eastAsiaTheme="majorEastAsia" w:hAnsi="Garamond" w:cstheme="majorBidi"/>
        <w:b/>
        <w:bCs/>
        <w:noProof/>
        <w:color w:val="2C6EAB" w:themeColor="accent1" w:themeShade="B5"/>
        <w:sz w:val="28"/>
        <w:szCs w:val="28"/>
      </w:rPr>
      <w:drawing>
        <wp:anchor distT="0" distB="0" distL="114300" distR="114300" simplePos="0" relativeHeight="251659264" behindDoc="0" locked="0" layoutInCell="1" allowOverlap="1" wp14:anchorId="24B7D6FC" wp14:editId="3BBF57CA">
          <wp:simplePos x="0" y="0"/>
          <wp:positionH relativeFrom="margin">
            <wp:posOffset>-65405</wp:posOffset>
          </wp:positionH>
          <wp:positionV relativeFrom="margin">
            <wp:posOffset>-715645</wp:posOffset>
          </wp:positionV>
          <wp:extent cx="1828800" cy="464820"/>
          <wp:effectExtent l="0" t="0" r="0" b="0"/>
          <wp:wrapSquare wrapText="bothSides"/>
          <wp:docPr id="46" name="Picture 46" descr="Macintosh HD:Users:fraker:Downloads:IDI_logo_files:IDI_logo_ME2_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raker:Downloads:IDI_logo_files:IDI_logo_ME2_lar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64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11CE">
      <w:rPr>
        <w:rFonts w:ascii="Garamond" w:eastAsiaTheme="majorEastAsia" w:hAnsi="Garamond" w:cstheme="majorBidi"/>
        <w:b/>
        <w:bCs/>
        <w:color w:val="2C6EAB" w:themeColor="accent1" w:themeShade="B5"/>
        <w:sz w:val="28"/>
        <w:szCs w:val="28"/>
      </w:rPr>
      <w:t>New Incentives Evaluation</w:t>
    </w:r>
    <w:r w:rsidRPr="001611CE">
      <w:rPr>
        <w:rFonts w:ascii="Garamond" w:hAnsi="Garamond"/>
        <w:b/>
        <w:sz w:val="32"/>
        <w:szCs w:val="32"/>
      </w:rPr>
      <w:t xml:space="preserve"> </w:t>
    </w:r>
  </w:p>
  <w:p w14:paraId="4E33F7A7" w14:textId="37CC7EF8" w:rsidR="00BC1F44" w:rsidRPr="00981974" w:rsidRDefault="00BC1F44" w:rsidP="001611CE">
    <w:pPr>
      <w:ind w:left="720" w:firstLine="720"/>
      <w:jc w:val="right"/>
      <w:rPr>
        <w:rFonts w:ascii="Garamond" w:hAnsi="Garamond"/>
        <w:b/>
        <w:color w:val="0070C0"/>
        <w:sz w:val="36"/>
        <w:szCs w:val="40"/>
      </w:rPr>
    </w:pPr>
    <w:r w:rsidRPr="00981974">
      <w:rPr>
        <w:rFonts w:ascii="Garamond" w:hAnsi="Garamond"/>
        <w:b/>
        <w:color w:val="0070C0"/>
        <w:sz w:val="36"/>
        <w:szCs w:val="40"/>
      </w:rPr>
      <w:t>Pre-Analysis Plan</w:t>
    </w:r>
    <w:r>
      <w:rPr>
        <w:rFonts w:ascii="Garamond" w:hAnsi="Garamond"/>
        <w:b/>
        <w:color w:val="0070C0"/>
        <w:sz w:val="36"/>
        <w:szCs w:val="40"/>
      </w:rPr>
      <w:t xml:space="preserve"> [Draft]</w:t>
    </w:r>
  </w:p>
  <w:p w14:paraId="3AB09E5B" w14:textId="6C027C78" w:rsidR="00BC1F44" w:rsidRPr="001611CE" w:rsidRDefault="00BC1F44" w:rsidP="001611CE">
    <w:pPr>
      <w:jc w:val="right"/>
      <w:rPr>
        <w:rFonts w:ascii="Garamond" w:hAnsi="Garamond"/>
        <w:bCs/>
        <w:color w:val="0070C0"/>
      </w:rPr>
    </w:pPr>
    <w:proofErr w:type="gramStart"/>
    <w:r>
      <w:rPr>
        <w:rFonts w:ascii="Garamond" w:hAnsi="Garamond"/>
        <w:bCs/>
        <w:color w:val="0070C0"/>
      </w:rPr>
      <w:t xml:space="preserve">November </w:t>
    </w:r>
    <w:r w:rsidRPr="001611CE">
      <w:rPr>
        <w:rFonts w:ascii="Garamond" w:hAnsi="Garamond"/>
        <w:bCs/>
        <w:color w:val="0070C0"/>
      </w:rPr>
      <w:t xml:space="preserve"> 201</w:t>
    </w:r>
    <w:r>
      <w:rPr>
        <w:rFonts w:ascii="Garamond" w:hAnsi="Garamond"/>
        <w:bCs/>
        <w:color w:val="0070C0"/>
      </w:rPr>
      <w:t>9</w:t>
    </w:r>
    <w:proofErr w:type="gramEnd"/>
  </w:p>
  <w:p w14:paraId="65FFEFE3" w14:textId="77777777" w:rsidR="00BC1F44" w:rsidRDefault="00BC1F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1329"/>
    <w:multiLevelType w:val="hybridMultilevel"/>
    <w:tmpl w:val="73FCE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86862"/>
    <w:multiLevelType w:val="hybridMultilevel"/>
    <w:tmpl w:val="729078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55C48"/>
    <w:multiLevelType w:val="hybridMultilevel"/>
    <w:tmpl w:val="F166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6664C"/>
    <w:multiLevelType w:val="hybridMultilevel"/>
    <w:tmpl w:val="30523852"/>
    <w:lvl w:ilvl="0" w:tplc="A7CE34D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A66C7"/>
    <w:multiLevelType w:val="hybridMultilevel"/>
    <w:tmpl w:val="E4400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44BD6"/>
    <w:multiLevelType w:val="hybridMultilevel"/>
    <w:tmpl w:val="3CD89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622A0"/>
    <w:multiLevelType w:val="hybridMultilevel"/>
    <w:tmpl w:val="0D608D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70C21"/>
    <w:multiLevelType w:val="hybridMultilevel"/>
    <w:tmpl w:val="DD2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C54C3"/>
    <w:multiLevelType w:val="hybridMultilevel"/>
    <w:tmpl w:val="DB54D8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9231A2"/>
    <w:multiLevelType w:val="hybridMultilevel"/>
    <w:tmpl w:val="C6007A8C"/>
    <w:lvl w:ilvl="0" w:tplc="205A7F2C">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C4559"/>
    <w:multiLevelType w:val="hybridMultilevel"/>
    <w:tmpl w:val="E90E582A"/>
    <w:lvl w:ilvl="0" w:tplc="0409000F">
      <w:start w:val="1"/>
      <w:numFmt w:val="decimal"/>
      <w:lvlText w:val="%1."/>
      <w:lvlJc w:val="left"/>
      <w:pPr>
        <w:ind w:left="720" w:hanging="360"/>
      </w:pPr>
    </w:lvl>
    <w:lvl w:ilvl="1" w:tplc="D4EE43C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98319D"/>
    <w:multiLevelType w:val="hybridMultilevel"/>
    <w:tmpl w:val="69A2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BE1CDD"/>
    <w:multiLevelType w:val="hybridMultilevel"/>
    <w:tmpl w:val="8604B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24B4E"/>
    <w:multiLevelType w:val="hybridMultilevel"/>
    <w:tmpl w:val="8092C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625D12"/>
    <w:multiLevelType w:val="hybridMultilevel"/>
    <w:tmpl w:val="A08476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E1D3E41"/>
    <w:multiLevelType w:val="hybridMultilevel"/>
    <w:tmpl w:val="013EE4D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A296B"/>
    <w:multiLevelType w:val="multilevel"/>
    <w:tmpl w:val="D7BA8490"/>
    <w:lvl w:ilvl="0">
      <w:start w:val="1"/>
      <w:numFmt w:val="decimal"/>
      <w:lvlText w:val="%1"/>
      <w:lvlJc w:val="left"/>
      <w:pPr>
        <w:ind w:left="432" w:hanging="432"/>
      </w:pPr>
    </w:lvl>
    <w:lvl w:ilvl="1">
      <w:start w:val="1"/>
      <w:numFmt w:val="decimal"/>
      <w:lvlText w:val="%1.%2"/>
      <w:lvlJc w:val="left"/>
      <w:pPr>
        <w:ind w:left="576" w:hanging="576"/>
      </w:pPr>
      <w:rPr>
        <w:color w:val="2F5496" w:themeColor="accent5" w:themeShade="BF"/>
        <w:sz w:val="28"/>
      </w:rPr>
    </w:lvl>
    <w:lvl w:ilvl="2">
      <w:start w:val="1"/>
      <w:numFmt w:val="decimal"/>
      <w:lvlText w:val="%1.%2.%3"/>
      <w:lvlJc w:val="left"/>
      <w:pPr>
        <w:ind w:left="720" w:hanging="720"/>
      </w:pPr>
      <w:rPr>
        <w:rFonts w:asciiTheme="majorHAnsi" w:hAnsiTheme="majorHAnsi" w:hint="default"/>
        <w:b w:val="0"/>
        <w:i/>
        <w:sz w:val="26"/>
        <w:szCs w:val="26"/>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DF2529"/>
    <w:multiLevelType w:val="hybridMultilevel"/>
    <w:tmpl w:val="0A3C1E72"/>
    <w:lvl w:ilvl="0" w:tplc="0409000F">
      <w:start w:val="1"/>
      <w:numFmt w:val="decimal"/>
      <w:lvlText w:val="%1."/>
      <w:lvlJc w:val="left"/>
      <w:pPr>
        <w:ind w:left="720" w:hanging="360"/>
      </w:pPr>
    </w:lvl>
    <w:lvl w:ilvl="1" w:tplc="79402D0C">
      <w:start w:val="1"/>
      <w:numFmt w:val="lowerRoman"/>
      <w:lvlText w:val="%2."/>
      <w:lvlJc w:val="left"/>
      <w:pPr>
        <w:ind w:left="1800" w:hanging="720"/>
      </w:pPr>
      <w:rPr>
        <w:rFonts w:hint="default"/>
      </w:rPr>
    </w:lvl>
    <w:lvl w:ilvl="2" w:tplc="48984BC4">
      <w:numFmt w:val="bullet"/>
      <w:lvlText w:val="-"/>
      <w:lvlJc w:val="left"/>
      <w:pPr>
        <w:ind w:left="2340" w:hanging="360"/>
      </w:pPr>
      <w:rPr>
        <w:rFonts w:ascii="Garamond" w:eastAsia="Times New Roman" w:hAnsi="Garamond"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43DD4"/>
    <w:multiLevelType w:val="hybridMultilevel"/>
    <w:tmpl w:val="6FFED776"/>
    <w:lvl w:ilvl="0" w:tplc="4B0EAFDC">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8AE229A"/>
    <w:multiLevelType w:val="hybridMultilevel"/>
    <w:tmpl w:val="3E9A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F8413C"/>
    <w:multiLevelType w:val="hybridMultilevel"/>
    <w:tmpl w:val="B2785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BA5DE6"/>
    <w:multiLevelType w:val="hybridMultilevel"/>
    <w:tmpl w:val="DD443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BB4693"/>
    <w:multiLevelType w:val="hybridMultilevel"/>
    <w:tmpl w:val="6E90F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5314C"/>
    <w:multiLevelType w:val="hybridMultilevel"/>
    <w:tmpl w:val="BF0A6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286735"/>
    <w:multiLevelType w:val="hybridMultilevel"/>
    <w:tmpl w:val="39689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AF19AB"/>
    <w:multiLevelType w:val="hybridMultilevel"/>
    <w:tmpl w:val="E1A87DF8"/>
    <w:lvl w:ilvl="0" w:tplc="4B0EAFDC">
      <w:start w:val="1"/>
      <w:numFmt w:val="bullet"/>
      <w:lvlText w:val=""/>
      <w:lvlJc w:val="left"/>
      <w:pPr>
        <w:ind w:left="36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B45EF0"/>
    <w:multiLevelType w:val="hybridMultilevel"/>
    <w:tmpl w:val="BA40D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E94F3F"/>
    <w:multiLevelType w:val="hybridMultilevel"/>
    <w:tmpl w:val="E7B48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8F02CD"/>
    <w:multiLevelType w:val="hybridMultilevel"/>
    <w:tmpl w:val="596A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8B5C8F"/>
    <w:multiLevelType w:val="hybridMultilevel"/>
    <w:tmpl w:val="951E0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AA639D"/>
    <w:multiLevelType w:val="hybridMultilevel"/>
    <w:tmpl w:val="5C408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9C27DB"/>
    <w:multiLevelType w:val="hybridMultilevel"/>
    <w:tmpl w:val="7E9CB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3779F7"/>
    <w:multiLevelType w:val="hybridMultilevel"/>
    <w:tmpl w:val="7494B2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483F45"/>
    <w:multiLevelType w:val="hybridMultilevel"/>
    <w:tmpl w:val="6E90F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CD5B95"/>
    <w:multiLevelType w:val="hybridMultilevel"/>
    <w:tmpl w:val="14B607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805ABA"/>
    <w:multiLevelType w:val="hybridMultilevel"/>
    <w:tmpl w:val="07382E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E671016"/>
    <w:multiLevelType w:val="hybridMultilevel"/>
    <w:tmpl w:val="9D34509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35772"/>
    <w:multiLevelType w:val="hybridMultilevel"/>
    <w:tmpl w:val="ECAC1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DC6AC5"/>
    <w:multiLevelType w:val="hybridMultilevel"/>
    <w:tmpl w:val="923EC4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87102B"/>
    <w:multiLevelType w:val="hybridMultilevel"/>
    <w:tmpl w:val="DE748114"/>
    <w:lvl w:ilvl="0" w:tplc="0407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14A4F8F"/>
    <w:multiLevelType w:val="hybridMultilevel"/>
    <w:tmpl w:val="B002E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CF3093"/>
    <w:multiLevelType w:val="hybridMultilevel"/>
    <w:tmpl w:val="F0EC40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4DF3E9C"/>
    <w:multiLevelType w:val="hybridMultilevel"/>
    <w:tmpl w:val="6D92F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691F4B"/>
    <w:multiLevelType w:val="hybridMultilevel"/>
    <w:tmpl w:val="8FD200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433BB1"/>
    <w:multiLevelType w:val="hybridMultilevel"/>
    <w:tmpl w:val="79AAF6A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540B64"/>
    <w:multiLevelType w:val="hybridMultilevel"/>
    <w:tmpl w:val="6838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103140"/>
    <w:multiLevelType w:val="hybridMultilevel"/>
    <w:tmpl w:val="278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F53776"/>
    <w:multiLevelType w:val="hybridMultilevel"/>
    <w:tmpl w:val="140C8E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7A4753"/>
    <w:multiLevelType w:val="hybridMultilevel"/>
    <w:tmpl w:val="65864E2E"/>
    <w:lvl w:ilvl="0" w:tplc="47ACEE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7C1247E"/>
    <w:multiLevelType w:val="hybridMultilevel"/>
    <w:tmpl w:val="55BCA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DF303F"/>
    <w:multiLevelType w:val="hybridMultilevel"/>
    <w:tmpl w:val="47E229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C55501"/>
    <w:multiLevelType w:val="hybridMultilevel"/>
    <w:tmpl w:val="A84AD2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48615A0"/>
    <w:multiLevelType w:val="hybridMultilevel"/>
    <w:tmpl w:val="84508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5BC73F1"/>
    <w:multiLevelType w:val="hybridMultilevel"/>
    <w:tmpl w:val="B84485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C66E2B"/>
    <w:multiLevelType w:val="hybridMultilevel"/>
    <w:tmpl w:val="606A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7972DC1"/>
    <w:multiLevelType w:val="hybridMultilevel"/>
    <w:tmpl w:val="6DF81B2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7C93179"/>
    <w:multiLevelType w:val="hybridMultilevel"/>
    <w:tmpl w:val="4A9EDDF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864FFE"/>
    <w:multiLevelType w:val="hybridMultilevel"/>
    <w:tmpl w:val="0FC695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745F23"/>
    <w:multiLevelType w:val="hybridMultilevel"/>
    <w:tmpl w:val="15D29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0"/>
  </w:num>
  <w:num w:numId="3">
    <w:abstractNumId w:val="41"/>
  </w:num>
  <w:num w:numId="4">
    <w:abstractNumId w:val="17"/>
  </w:num>
  <w:num w:numId="5">
    <w:abstractNumId w:val="8"/>
  </w:num>
  <w:num w:numId="6">
    <w:abstractNumId w:val="22"/>
  </w:num>
  <w:num w:numId="7">
    <w:abstractNumId w:val="7"/>
  </w:num>
  <w:num w:numId="8">
    <w:abstractNumId w:val="27"/>
  </w:num>
  <w:num w:numId="9">
    <w:abstractNumId w:val="6"/>
  </w:num>
  <w:num w:numId="10">
    <w:abstractNumId w:val="32"/>
  </w:num>
  <w:num w:numId="11">
    <w:abstractNumId w:val="11"/>
  </w:num>
  <w:num w:numId="12">
    <w:abstractNumId w:val="40"/>
  </w:num>
  <w:num w:numId="13">
    <w:abstractNumId w:val="54"/>
  </w:num>
  <w:num w:numId="14">
    <w:abstractNumId w:val="14"/>
  </w:num>
  <w:num w:numId="15">
    <w:abstractNumId w:val="9"/>
  </w:num>
  <w:num w:numId="16">
    <w:abstractNumId w:val="46"/>
  </w:num>
  <w:num w:numId="17">
    <w:abstractNumId w:val="31"/>
  </w:num>
  <w:num w:numId="18">
    <w:abstractNumId w:val="12"/>
  </w:num>
  <w:num w:numId="19">
    <w:abstractNumId w:val="26"/>
  </w:num>
  <w:num w:numId="20">
    <w:abstractNumId w:val="52"/>
  </w:num>
  <w:num w:numId="21">
    <w:abstractNumId w:val="38"/>
  </w:num>
  <w:num w:numId="22">
    <w:abstractNumId w:val="15"/>
  </w:num>
  <w:num w:numId="23">
    <w:abstractNumId w:val="50"/>
  </w:num>
  <w:num w:numId="24">
    <w:abstractNumId w:val="56"/>
  </w:num>
  <w:num w:numId="25">
    <w:abstractNumId w:val="47"/>
  </w:num>
  <w:num w:numId="26">
    <w:abstractNumId w:val="57"/>
  </w:num>
  <w:num w:numId="27">
    <w:abstractNumId w:val="24"/>
  </w:num>
  <w:num w:numId="28">
    <w:abstractNumId w:val="58"/>
  </w:num>
  <w:num w:numId="29">
    <w:abstractNumId w:val="51"/>
  </w:num>
  <w:num w:numId="30">
    <w:abstractNumId w:val="44"/>
  </w:num>
  <w:num w:numId="31">
    <w:abstractNumId w:val="0"/>
  </w:num>
  <w:num w:numId="32">
    <w:abstractNumId w:val="1"/>
  </w:num>
  <w:num w:numId="33">
    <w:abstractNumId w:val="23"/>
  </w:num>
  <w:num w:numId="34">
    <w:abstractNumId w:val="36"/>
  </w:num>
  <w:num w:numId="35">
    <w:abstractNumId w:val="53"/>
  </w:num>
  <w:num w:numId="36">
    <w:abstractNumId w:val="43"/>
  </w:num>
  <w:num w:numId="37">
    <w:abstractNumId w:val="2"/>
  </w:num>
  <w:num w:numId="38">
    <w:abstractNumId w:val="28"/>
  </w:num>
  <w:num w:numId="39">
    <w:abstractNumId w:val="42"/>
  </w:num>
  <w:num w:numId="40">
    <w:abstractNumId w:val="37"/>
  </w:num>
  <w:num w:numId="41">
    <w:abstractNumId w:val="45"/>
  </w:num>
  <w:num w:numId="42">
    <w:abstractNumId w:val="20"/>
  </w:num>
  <w:num w:numId="43">
    <w:abstractNumId w:val="5"/>
  </w:num>
  <w:num w:numId="44">
    <w:abstractNumId w:val="29"/>
  </w:num>
  <w:num w:numId="45">
    <w:abstractNumId w:val="21"/>
  </w:num>
  <w:num w:numId="46">
    <w:abstractNumId w:val="34"/>
  </w:num>
  <w:num w:numId="47">
    <w:abstractNumId w:val="55"/>
  </w:num>
  <w:num w:numId="48">
    <w:abstractNumId w:val="16"/>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8"/>
  </w:num>
  <w:num w:numId="51">
    <w:abstractNumId w:val="35"/>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num>
  <w:num w:numId="54">
    <w:abstractNumId w:val="3"/>
  </w:num>
  <w:num w:numId="55">
    <w:abstractNumId w:val="18"/>
  </w:num>
  <w:num w:numId="56">
    <w:abstractNumId w:val="25"/>
  </w:num>
  <w:num w:numId="57">
    <w:abstractNumId w:val="4"/>
  </w:num>
  <w:num w:numId="58">
    <w:abstractNumId w:val="19"/>
  </w:num>
  <w:num w:numId="59">
    <w:abstractNumId w:val="39"/>
  </w:num>
  <w:num w:numId="60">
    <w:abstractNumId w:val="13"/>
  </w:num>
  <w:num w:numId="61">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6FC"/>
    <w:rsid w:val="0000194E"/>
    <w:rsid w:val="00001CA3"/>
    <w:rsid w:val="000032DB"/>
    <w:rsid w:val="000046BE"/>
    <w:rsid w:val="00005304"/>
    <w:rsid w:val="00011C72"/>
    <w:rsid w:val="0001294D"/>
    <w:rsid w:val="00012C08"/>
    <w:rsid w:val="00014175"/>
    <w:rsid w:val="000142CC"/>
    <w:rsid w:val="0001755C"/>
    <w:rsid w:val="00017E58"/>
    <w:rsid w:val="00022A66"/>
    <w:rsid w:val="00023207"/>
    <w:rsid w:val="0002546A"/>
    <w:rsid w:val="00027FBA"/>
    <w:rsid w:val="00036FAE"/>
    <w:rsid w:val="000415F3"/>
    <w:rsid w:val="00041DC4"/>
    <w:rsid w:val="00041EF7"/>
    <w:rsid w:val="00044A39"/>
    <w:rsid w:val="000506BA"/>
    <w:rsid w:val="00050F45"/>
    <w:rsid w:val="0005433D"/>
    <w:rsid w:val="0005630A"/>
    <w:rsid w:val="000565CF"/>
    <w:rsid w:val="000567E3"/>
    <w:rsid w:val="00056FAB"/>
    <w:rsid w:val="000577DA"/>
    <w:rsid w:val="00060B94"/>
    <w:rsid w:val="00060DAD"/>
    <w:rsid w:val="00061682"/>
    <w:rsid w:val="00062CB8"/>
    <w:rsid w:val="0006570C"/>
    <w:rsid w:val="000678B1"/>
    <w:rsid w:val="000678EA"/>
    <w:rsid w:val="000727BE"/>
    <w:rsid w:val="00072D6B"/>
    <w:rsid w:val="00074331"/>
    <w:rsid w:val="0007700E"/>
    <w:rsid w:val="00080444"/>
    <w:rsid w:val="00082798"/>
    <w:rsid w:val="00085960"/>
    <w:rsid w:val="000903FF"/>
    <w:rsid w:val="000905AF"/>
    <w:rsid w:val="0009332A"/>
    <w:rsid w:val="00095511"/>
    <w:rsid w:val="000964A5"/>
    <w:rsid w:val="000979DF"/>
    <w:rsid w:val="000A0DF2"/>
    <w:rsid w:val="000A3336"/>
    <w:rsid w:val="000A34B0"/>
    <w:rsid w:val="000A3843"/>
    <w:rsid w:val="000A3FC4"/>
    <w:rsid w:val="000A4746"/>
    <w:rsid w:val="000A52F2"/>
    <w:rsid w:val="000A7A5A"/>
    <w:rsid w:val="000B07CB"/>
    <w:rsid w:val="000B0877"/>
    <w:rsid w:val="000B0BA7"/>
    <w:rsid w:val="000B33E4"/>
    <w:rsid w:val="000B4C0D"/>
    <w:rsid w:val="000B6EDC"/>
    <w:rsid w:val="000B7F44"/>
    <w:rsid w:val="000C0271"/>
    <w:rsid w:val="000C0B43"/>
    <w:rsid w:val="000C444E"/>
    <w:rsid w:val="000C4E2F"/>
    <w:rsid w:val="000C5878"/>
    <w:rsid w:val="000C64D5"/>
    <w:rsid w:val="000D0B7C"/>
    <w:rsid w:val="000D121B"/>
    <w:rsid w:val="000D23E7"/>
    <w:rsid w:val="000D69FC"/>
    <w:rsid w:val="000D7B48"/>
    <w:rsid w:val="000E0F1C"/>
    <w:rsid w:val="000E112D"/>
    <w:rsid w:val="000E17E8"/>
    <w:rsid w:val="000E2346"/>
    <w:rsid w:val="000E24B1"/>
    <w:rsid w:val="000E408A"/>
    <w:rsid w:val="000E4B1A"/>
    <w:rsid w:val="000E6309"/>
    <w:rsid w:val="000E64E0"/>
    <w:rsid w:val="000F1B7A"/>
    <w:rsid w:val="000F1D70"/>
    <w:rsid w:val="000F1F3C"/>
    <w:rsid w:val="000F610C"/>
    <w:rsid w:val="001000CC"/>
    <w:rsid w:val="00101D14"/>
    <w:rsid w:val="001033A4"/>
    <w:rsid w:val="001045B0"/>
    <w:rsid w:val="00104649"/>
    <w:rsid w:val="001058DF"/>
    <w:rsid w:val="001067C1"/>
    <w:rsid w:val="00106886"/>
    <w:rsid w:val="00107165"/>
    <w:rsid w:val="00107686"/>
    <w:rsid w:val="00107807"/>
    <w:rsid w:val="00111199"/>
    <w:rsid w:val="0011323A"/>
    <w:rsid w:val="00113578"/>
    <w:rsid w:val="001142A6"/>
    <w:rsid w:val="00115B74"/>
    <w:rsid w:val="00117C75"/>
    <w:rsid w:val="00123247"/>
    <w:rsid w:val="00123661"/>
    <w:rsid w:val="0012392C"/>
    <w:rsid w:val="00124E5B"/>
    <w:rsid w:val="00126259"/>
    <w:rsid w:val="0013073A"/>
    <w:rsid w:val="00131651"/>
    <w:rsid w:val="00133328"/>
    <w:rsid w:val="0013557B"/>
    <w:rsid w:val="00135E8F"/>
    <w:rsid w:val="00136FB2"/>
    <w:rsid w:val="00140FC8"/>
    <w:rsid w:val="00141192"/>
    <w:rsid w:val="00141475"/>
    <w:rsid w:val="00142359"/>
    <w:rsid w:val="001424A0"/>
    <w:rsid w:val="001427D7"/>
    <w:rsid w:val="00143268"/>
    <w:rsid w:val="001458CD"/>
    <w:rsid w:val="0014620A"/>
    <w:rsid w:val="001503B6"/>
    <w:rsid w:val="00151205"/>
    <w:rsid w:val="0015126B"/>
    <w:rsid w:val="00151475"/>
    <w:rsid w:val="001516C4"/>
    <w:rsid w:val="001533CD"/>
    <w:rsid w:val="001542CC"/>
    <w:rsid w:val="0015673A"/>
    <w:rsid w:val="00156BF6"/>
    <w:rsid w:val="0015788A"/>
    <w:rsid w:val="00157BAB"/>
    <w:rsid w:val="001611CE"/>
    <w:rsid w:val="00162B68"/>
    <w:rsid w:val="001635B1"/>
    <w:rsid w:val="001656B6"/>
    <w:rsid w:val="00166865"/>
    <w:rsid w:val="00167EE2"/>
    <w:rsid w:val="00170EB9"/>
    <w:rsid w:val="00170FA4"/>
    <w:rsid w:val="00175D28"/>
    <w:rsid w:val="00180A8A"/>
    <w:rsid w:val="00183822"/>
    <w:rsid w:val="00190638"/>
    <w:rsid w:val="00192F1F"/>
    <w:rsid w:val="00193D15"/>
    <w:rsid w:val="0019642A"/>
    <w:rsid w:val="00196C73"/>
    <w:rsid w:val="00196FEF"/>
    <w:rsid w:val="001971AD"/>
    <w:rsid w:val="00197F7D"/>
    <w:rsid w:val="001A1F59"/>
    <w:rsid w:val="001A3E13"/>
    <w:rsid w:val="001A4BCB"/>
    <w:rsid w:val="001A64A1"/>
    <w:rsid w:val="001A6A41"/>
    <w:rsid w:val="001B0205"/>
    <w:rsid w:val="001B382E"/>
    <w:rsid w:val="001B384F"/>
    <w:rsid w:val="001B65E7"/>
    <w:rsid w:val="001B7221"/>
    <w:rsid w:val="001B7EAF"/>
    <w:rsid w:val="001C04DA"/>
    <w:rsid w:val="001C1600"/>
    <w:rsid w:val="001C3182"/>
    <w:rsid w:val="001C3C7E"/>
    <w:rsid w:val="001C604F"/>
    <w:rsid w:val="001C64CD"/>
    <w:rsid w:val="001C6C81"/>
    <w:rsid w:val="001C78A7"/>
    <w:rsid w:val="001D0FB5"/>
    <w:rsid w:val="001D6A37"/>
    <w:rsid w:val="001E0778"/>
    <w:rsid w:val="001E13AA"/>
    <w:rsid w:val="001E323A"/>
    <w:rsid w:val="001E369C"/>
    <w:rsid w:val="001E3889"/>
    <w:rsid w:val="001E3BD8"/>
    <w:rsid w:val="001E3D11"/>
    <w:rsid w:val="001E3DF1"/>
    <w:rsid w:val="001E4481"/>
    <w:rsid w:val="001E75CF"/>
    <w:rsid w:val="001F04BD"/>
    <w:rsid w:val="001F0DBC"/>
    <w:rsid w:val="001F23A7"/>
    <w:rsid w:val="001F28AD"/>
    <w:rsid w:val="001F336F"/>
    <w:rsid w:val="001F5FAE"/>
    <w:rsid w:val="001F6B84"/>
    <w:rsid w:val="001F7A55"/>
    <w:rsid w:val="00201384"/>
    <w:rsid w:val="002038FA"/>
    <w:rsid w:val="002043FE"/>
    <w:rsid w:val="00204AA6"/>
    <w:rsid w:val="002053D6"/>
    <w:rsid w:val="00206B36"/>
    <w:rsid w:val="00210C94"/>
    <w:rsid w:val="002132BB"/>
    <w:rsid w:val="00221004"/>
    <w:rsid w:val="0022111B"/>
    <w:rsid w:val="00222572"/>
    <w:rsid w:val="00222CE1"/>
    <w:rsid w:val="00223307"/>
    <w:rsid w:val="00224C77"/>
    <w:rsid w:val="002318C1"/>
    <w:rsid w:val="00231988"/>
    <w:rsid w:val="00231B6B"/>
    <w:rsid w:val="002359B2"/>
    <w:rsid w:val="00236491"/>
    <w:rsid w:val="00240431"/>
    <w:rsid w:val="00240672"/>
    <w:rsid w:val="00240716"/>
    <w:rsid w:val="00245561"/>
    <w:rsid w:val="00246039"/>
    <w:rsid w:val="00247B0C"/>
    <w:rsid w:val="00251277"/>
    <w:rsid w:val="002518D2"/>
    <w:rsid w:val="00251D1C"/>
    <w:rsid w:val="00252B2F"/>
    <w:rsid w:val="00253368"/>
    <w:rsid w:val="0025427E"/>
    <w:rsid w:val="00256F4F"/>
    <w:rsid w:val="00261498"/>
    <w:rsid w:val="00265246"/>
    <w:rsid w:val="002659B8"/>
    <w:rsid w:val="002703F6"/>
    <w:rsid w:val="00272602"/>
    <w:rsid w:val="00274143"/>
    <w:rsid w:val="00276C8D"/>
    <w:rsid w:val="0027776E"/>
    <w:rsid w:val="00277FC5"/>
    <w:rsid w:val="00281E51"/>
    <w:rsid w:val="002834AF"/>
    <w:rsid w:val="00283815"/>
    <w:rsid w:val="00283EFA"/>
    <w:rsid w:val="00291DAC"/>
    <w:rsid w:val="00293264"/>
    <w:rsid w:val="002941CD"/>
    <w:rsid w:val="00295AFD"/>
    <w:rsid w:val="00296C77"/>
    <w:rsid w:val="00296CF9"/>
    <w:rsid w:val="0029792D"/>
    <w:rsid w:val="002A00A6"/>
    <w:rsid w:val="002A00DA"/>
    <w:rsid w:val="002A04AB"/>
    <w:rsid w:val="002A1B7F"/>
    <w:rsid w:val="002A3949"/>
    <w:rsid w:val="002A5D51"/>
    <w:rsid w:val="002A61A0"/>
    <w:rsid w:val="002B272F"/>
    <w:rsid w:val="002B36DD"/>
    <w:rsid w:val="002B38C6"/>
    <w:rsid w:val="002B4533"/>
    <w:rsid w:val="002C1F38"/>
    <w:rsid w:val="002C53B3"/>
    <w:rsid w:val="002C64AD"/>
    <w:rsid w:val="002C729B"/>
    <w:rsid w:val="002D02BA"/>
    <w:rsid w:val="002D22D2"/>
    <w:rsid w:val="002D40B9"/>
    <w:rsid w:val="002D5A31"/>
    <w:rsid w:val="002E3874"/>
    <w:rsid w:val="002F3F05"/>
    <w:rsid w:val="002F4DC3"/>
    <w:rsid w:val="002F6149"/>
    <w:rsid w:val="002F67C1"/>
    <w:rsid w:val="002F7013"/>
    <w:rsid w:val="002F71A0"/>
    <w:rsid w:val="002F73CE"/>
    <w:rsid w:val="003003E3"/>
    <w:rsid w:val="00301DC1"/>
    <w:rsid w:val="00302894"/>
    <w:rsid w:val="003031B4"/>
    <w:rsid w:val="00315854"/>
    <w:rsid w:val="00325CF3"/>
    <w:rsid w:val="00327E2A"/>
    <w:rsid w:val="00330467"/>
    <w:rsid w:val="00332B07"/>
    <w:rsid w:val="00333CDC"/>
    <w:rsid w:val="00334F66"/>
    <w:rsid w:val="00336809"/>
    <w:rsid w:val="0033728A"/>
    <w:rsid w:val="00340956"/>
    <w:rsid w:val="00341AFC"/>
    <w:rsid w:val="00343E13"/>
    <w:rsid w:val="003502E0"/>
    <w:rsid w:val="00353B29"/>
    <w:rsid w:val="00355102"/>
    <w:rsid w:val="00355C64"/>
    <w:rsid w:val="003570F4"/>
    <w:rsid w:val="00357ADC"/>
    <w:rsid w:val="003606D0"/>
    <w:rsid w:val="003635BF"/>
    <w:rsid w:val="0036563F"/>
    <w:rsid w:val="0036629F"/>
    <w:rsid w:val="00366508"/>
    <w:rsid w:val="00367E01"/>
    <w:rsid w:val="00370E33"/>
    <w:rsid w:val="00372E78"/>
    <w:rsid w:val="0037327E"/>
    <w:rsid w:val="003749A9"/>
    <w:rsid w:val="00380868"/>
    <w:rsid w:val="00381BB7"/>
    <w:rsid w:val="00382673"/>
    <w:rsid w:val="00383D41"/>
    <w:rsid w:val="003863F5"/>
    <w:rsid w:val="00391EED"/>
    <w:rsid w:val="00397755"/>
    <w:rsid w:val="003A0E8B"/>
    <w:rsid w:val="003A367D"/>
    <w:rsid w:val="003A3944"/>
    <w:rsid w:val="003A5DAC"/>
    <w:rsid w:val="003A70C9"/>
    <w:rsid w:val="003B22B0"/>
    <w:rsid w:val="003B3F7D"/>
    <w:rsid w:val="003B4FB3"/>
    <w:rsid w:val="003B5441"/>
    <w:rsid w:val="003B6BF4"/>
    <w:rsid w:val="003C1765"/>
    <w:rsid w:val="003C3CE5"/>
    <w:rsid w:val="003C4A7C"/>
    <w:rsid w:val="003C50B8"/>
    <w:rsid w:val="003C5EC6"/>
    <w:rsid w:val="003C7A0D"/>
    <w:rsid w:val="003D39A3"/>
    <w:rsid w:val="003D39DD"/>
    <w:rsid w:val="003D3A2A"/>
    <w:rsid w:val="003D48A9"/>
    <w:rsid w:val="003D5473"/>
    <w:rsid w:val="003D7913"/>
    <w:rsid w:val="003E1B83"/>
    <w:rsid w:val="003E446C"/>
    <w:rsid w:val="003E5248"/>
    <w:rsid w:val="003E606F"/>
    <w:rsid w:val="003E612B"/>
    <w:rsid w:val="003F26EC"/>
    <w:rsid w:val="003F6F15"/>
    <w:rsid w:val="00400623"/>
    <w:rsid w:val="00402064"/>
    <w:rsid w:val="004022DA"/>
    <w:rsid w:val="00402EC8"/>
    <w:rsid w:val="00403DEF"/>
    <w:rsid w:val="004053DA"/>
    <w:rsid w:val="0040550A"/>
    <w:rsid w:val="0040661B"/>
    <w:rsid w:val="004103AA"/>
    <w:rsid w:val="00410A84"/>
    <w:rsid w:val="00412D5F"/>
    <w:rsid w:val="004140C4"/>
    <w:rsid w:val="00415319"/>
    <w:rsid w:val="0042020B"/>
    <w:rsid w:val="00420938"/>
    <w:rsid w:val="00421CAF"/>
    <w:rsid w:val="00422E77"/>
    <w:rsid w:val="00424877"/>
    <w:rsid w:val="00424C0D"/>
    <w:rsid w:val="00425314"/>
    <w:rsid w:val="00425AB0"/>
    <w:rsid w:val="00427E4E"/>
    <w:rsid w:val="004327AC"/>
    <w:rsid w:val="00435087"/>
    <w:rsid w:val="00437BE5"/>
    <w:rsid w:val="004418C7"/>
    <w:rsid w:val="0044249A"/>
    <w:rsid w:val="00442A94"/>
    <w:rsid w:val="004500E4"/>
    <w:rsid w:val="00450E32"/>
    <w:rsid w:val="004519A3"/>
    <w:rsid w:val="00451B6E"/>
    <w:rsid w:val="00460830"/>
    <w:rsid w:val="0046679C"/>
    <w:rsid w:val="0046713E"/>
    <w:rsid w:val="00467D59"/>
    <w:rsid w:val="00467E1A"/>
    <w:rsid w:val="0047137C"/>
    <w:rsid w:val="00472187"/>
    <w:rsid w:val="00474A48"/>
    <w:rsid w:val="00475F3A"/>
    <w:rsid w:val="004764E6"/>
    <w:rsid w:val="00476711"/>
    <w:rsid w:val="00477D32"/>
    <w:rsid w:val="00482C37"/>
    <w:rsid w:val="004831AE"/>
    <w:rsid w:val="00486B85"/>
    <w:rsid w:val="00490861"/>
    <w:rsid w:val="00490BCB"/>
    <w:rsid w:val="00491D53"/>
    <w:rsid w:val="004943A3"/>
    <w:rsid w:val="0049537F"/>
    <w:rsid w:val="00495799"/>
    <w:rsid w:val="00496F70"/>
    <w:rsid w:val="00497095"/>
    <w:rsid w:val="004A24DA"/>
    <w:rsid w:val="004A36D9"/>
    <w:rsid w:val="004A74DF"/>
    <w:rsid w:val="004B1372"/>
    <w:rsid w:val="004B39E9"/>
    <w:rsid w:val="004B3EFA"/>
    <w:rsid w:val="004B4BCE"/>
    <w:rsid w:val="004B7E06"/>
    <w:rsid w:val="004C25EB"/>
    <w:rsid w:val="004C3E0A"/>
    <w:rsid w:val="004C3E1D"/>
    <w:rsid w:val="004C426A"/>
    <w:rsid w:val="004C430D"/>
    <w:rsid w:val="004C52EA"/>
    <w:rsid w:val="004C7F5F"/>
    <w:rsid w:val="004D009C"/>
    <w:rsid w:val="004D00D5"/>
    <w:rsid w:val="004D02FD"/>
    <w:rsid w:val="004D2126"/>
    <w:rsid w:val="004D3BB6"/>
    <w:rsid w:val="004D3E6D"/>
    <w:rsid w:val="004E10D4"/>
    <w:rsid w:val="004E1673"/>
    <w:rsid w:val="004E622D"/>
    <w:rsid w:val="004F4D20"/>
    <w:rsid w:val="004F507B"/>
    <w:rsid w:val="004F61DE"/>
    <w:rsid w:val="004F7BD5"/>
    <w:rsid w:val="00501854"/>
    <w:rsid w:val="0050394B"/>
    <w:rsid w:val="00504C95"/>
    <w:rsid w:val="00506075"/>
    <w:rsid w:val="005077A6"/>
    <w:rsid w:val="005108CA"/>
    <w:rsid w:val="005121B8"/>
    <w:rsid w:val="00520B04"/>
    <w:rsid w:val="00523F23"/>
    <w:rsid w:val="00523F8B"/>
    <w:rsid w:val="0052545A"/>
    <w:rsid w:val="00527FEF"/>
    <w:rsid w:val="0053024A"/>
    <w:rsid w:val="00530E5A"/>
    <w:rsid w:val="00531659"/>
    <w:rsid w:val="00532534"/>
    <w:rsid w:val="005330B4"/>
    <w:rsid w:val="00533505"/>
    <w:rsid w:val="0053521C"/>
    <w:rsid w:val="005358F1"/>
    <w:rsid w:val="00537232"/>
    <w:rsid w:val="00537A7A"/>
    <w:rsid w:val="00542A8D"/>
    <w:rsid w:val="0055010B"/>
    <w:rsid w:val="00550B6E"/>
    <w:rsid w:val="00550DE1"/>
    <w:rsid w:val="00551217"/>
    <w:rsid w:val="0055161D"/>
    <w:rsid w:val="00551D58"/>
    <w:rsid w:val="005522B5"/>
    <w:rsid w:val="0055274D"/>
    <w:rsid w:val="00553F6A"/>
    <w:rsid w:val="005547A9"/>
    <w:rsid w:val="00561CCD"/>
    <w:rsid w:val="0056484A"/>
    <w:rsid w:val="005666C8"/>
    <w:rsid w:val="005675BC"/>
    <w:rsid w:val="00572C95"/>
    <w:rsid w:val="0057562C"/>
    <w:rsid w:val="00577226"/>
    <w:rsid w:val="005804EE"/>
    <w:rsid w:val="005819C6"/>
    <w:rsid w:val="005859D0"/>
    <w:rsid w:val="0059139C"/>
    <w:rsid w:val="005917F7"/>
    <w:rsid w:val="00592430"/>
    <w:rsid w:val="00592682"/>
    <w:rsid w:val="00592DDB"/>
    <w:rsid w:val="005934E6"/>
    <w:rsid w:val="005A199A"/>
    <w:rsid w:val="005A5C82"/>
    <w:rsid w:val="005A6040"/>
    <w:rsid w:val="005B4A61"/>
    <w:rsid w:val="005B6A97"/>
    <w:rsid w:val="005B6D72"/>
    <w:rsid w:val="005B795C"/>
    <w:rsid w:val="005C0DAB"/>
    <w:rsid w:val="005C153A"/>
    <w:rsid w:val="005C290B"/>
    <w:rsid w:val="005C358A"/>
    <w:rsid w:val="005C61DA"/>
    <w:rsid w:val="005C6708"/>
    <w:rsid w:val="005C7195"/>
    <w:rsid w:val="005D1A7A"/>
    <w:rsid w:val="005D31AD"/>
    <w:rsid w:val="005D3A9F"/>
    <w:rsid w:val="005D65E2"/>
    <w:rsid w:val="005D66FF"/>
    <w:rsid w:val="005D7129"/>
    <w:rsid w:val="005E0934"/>
    <w:rsid w:val="005E2133"/>
    <w:rsid w:val="005E4EA8"/>
    <w:rsid w:val="005E6631"/>
    <w:rsid w:val="005F1DE7"/>
    <w:rsid w:val="005F3D0C"/>
    <w:rsid w:val="005F43F3"/>
    <w:rsid w:val="005F45D6"/>
    <w:rsid w:val="005F4A4C"/>
    <w:rsid w:val="00601782"/>
    <w:rsid w:val="00602210"/>
    <w:rsid w:val="00603151"/>
    <w:rsid w:val="00607E67"/>
    <w:rsid w:val="006105BA"/>
    <w:rsid w:val="006105FD"/>
    <w:rsid w:val="006115A4"/>
    <w:rsid w:val="00611C3F"/>
    <w:rsid w:val="00611E66"/>
    <w:rsid w:val="006127C6"/>
    <w:rsid w:val="0061473A"/>
    <w:rsid w:val="006177B1"/>
    <w:rsid w:val="0062045F"/>
    <w:rsid w:val="0062386A"/>
    <w:rsid w:val="00623EF6"/>
    <w:rsid w:val="0062709F"/>
    <w:rsid w:val="00632F94"/>
    <w:rsid w:val="00634B87"/>
    <w:rsid w:val="006356B4"/>
    <w:rsid w:val="00637AA5"/>
    <w:rsid w:val="006414F7"/>
    <w:rsid w:val="00642006"/>
    <w:rsid w:val="00643425"/>
    <w:rsid w:val="00644B8D"/>
    <w:rsid w:val="00645EA1"/>
    <w:rsid w:val="00647BCD"/>
    <w:rsid w:val="00647C99"/>
    <w:rsid w:val="00650937"/>
    <w:rsid w:val="00651B9E"/>
    <w:rsid w:val="00652A21"/>
    <w:rsid w:val="00652B97"/>
    <w:rsid w:val="006562B7"/>
    <w:rsid w:val="0065725D"/>
    <w:rsid w:val="00660125"/>
    <w:rsid w:val="00664D4B"/>
    <w:rsid w:val="00666A14"/>
    <w:rsid w:val="0066712A"/>
    <w:rsid w:val="0066724F"/>
    <w:rsid w:val="0066757B"/>
    <w:rsid w:val="00667E9F"/>
    <w:rsid w:val="0067045F"/>
    <w:rsid w:val="00670D69"/>
    <w:rsid w:val="00670E16"/>
    <w:rsid w:val="006714DF"/>
    <w:rsid w:val="0067287C"/>
    <w:rsid w:val="00674394"/>
    <w:rsid w:val="00674811"/>
    <w:rsid w:val="00676092"/>
    <w:rsid w:val="00677201"/>
    <w:rsid w:val="00681334"/>
    <w:rsid w:val="00681A83"/>
    <w:rsid w:val="00681EEF"/>
    <w:rsid w:val="00685948"/>
    <w:rsid w:val="0069055B"/>
    <w:rsid w:val="0069114B"/>
    <w:rsid w:val="00692637"/>
    <w:rsid w:val="0069361E"/>
    <w:rsid w:val="00693FFB"/>
    <w:rsid w:val="006942AF"/>
    <w:rsid w:val="00694BD1"/>
    <w:rsid w:val="006968FF"/>
    <w:rsid w:val="006A0549"/>
    <w:rsid w:val="006A6A9A"/>
    <w:rsid w:val="006B030A"/>
    <w:rsid w:val="006B1C31"/>
    <w:rsid w:val="006B1F6C"/>
    <w:rsid w:val="006B33A5"/>
    <w:rsid w:val="006B3409"/>
    <w:rsid w:val="006B5E74"/>
    <w:rsid w:val="006B7F9E"/>
    <w:rsid w:val="006C30CC"/>
    <w:rsid w:val="006C366C"/>
    <w:rsid w:val="006C42E0"/>
    <w:rsid w:val="006C6095"/>
    <w:rsid w:val="006D05EC"/>
    <w:rsid w:val="006D0A87"/>
    <w:rsid w:val="006D2E6D"/>
    <w:rsid w:val="006D39E6"/>
    <w:rsid w:val="006D406F"/>
    <w:rsid w:val="006D4346"/>
    <w:rsid w:val="006D4E17"/>
    <w:rsid w:val="006D523D"/>
    <w:rsid w:val="006D5940"/>
    <w:rsid w:val="006D5B73"/>
    <w:rsid w:val="006D66F6"/>
    <w:rsid w:val="006D7015"/>
    <w:rsid w:val="006E04E6"/>
    <w:rsid w:val="006E0637"/>
    <w:rsid w:val="006E166D"/>
    <w:rsid w:val="006E4F97"/>
    <w:rsid w:val="006E544E"/>
    <w:rsid w:val="006E55EC"/>
    <w:rsid w:val="006F0B8C"/>
    <w:rsid w:val="006F3ACC"/>
    <w:rsid w:val="00701B4D"/>
    <w:rsid w:val="00701D6B"/>
    <w:rsid w:val="007023E0"/>
    <w:rsid w:val="007034E3"/>
    <w:rsid w:val="00704E5E"/>
    <w:rsid w:val="007058B8"/>
    <w:rsid w:val="00706B71"/>
    <w:rsid w:val="007115F0"/>
    <w:rsid w:val="00712F1A"/>
    <w:rsid w:val="00714537"/>
    <w:rsid w:val="007145B4"/>
    <w:rsid w:val="00714BFE"/>
    <w:rsid w:val="007208A4"/>
    <w:rsid w:val="007247D1"/>
    <w:rsid w:val="007250DB"/>
    <w:rsid w:val="00727DC1"/>
    <w:rsid w:val="00730855"/>
    <w:rsid w:val="007321C0"/>
    <w:rsid w:val="00735EF9"/>
    <w:rsid w:val="007367BE"/>
    <w:rsid w:val="00741BFF"/>
    <w:rsid w:val="00747CE0"/>
    <w:rsid w:val="007512E3"/>
    <w:rsid w:val="00751F54"/>
    <w:rsid w:val="00752FE1"/>
    <w:rsid w:val="007562FC"/>
    <w:rsid w:val="007614AD"/>
    <w:rsid w:val="00762759"/>
    <w:rsid w:val="00762E99"/>
    <w:rsid w:val="00763AFC"/>
    <w:rsid w:val="00763C4D"/>
    <w:rsid w:val="00763C89"/>
    <w:rsid w:val="007766F6"/>
    <w:rsid w:val="00780A85"/>
    <w:rsid w:val="00780C96"/>
    <w:rsid w:val="007810D5"/>
    <w:rsid w:val="00781625"/>
    <w:rsid w:val="0078373F"/>
    <w:rsid w:val="00784C83"/>
    <w:rsid w:val="00786579"/>
    <w:rsid w:val="00792ED5"/>
    <w:rsid w:val="00792F2C"/>
    <w:rsid w:val="00793E71"/>
    <w:rsid w:val="00793F20"/>
    <w:rsid w:val="007945D8"/>
    <w:rsid w:val="00796C2C"/>
    <w:rsid w:val="00796C95"/>
    <w:rsid w:val="007A2824"/>
    <w:rsid w:val="007A3D24"/>
    <w:rsid w:val="007A3F0D"/>
    <w:rsid w:val="007A4D3C"/>
    <w:rsid w:val="007A533F"/>
    <w:rsid w:val="007A58DE"/>
    <w:rsid w:val="007B05A2"/>
    <w:rsid w:val="007B18A8"/>
    <w:rsid w:val="007B2514"/>
    <w:rsid w:val="007B2642"/>
    <w:rsid w:val="007B52E8"/>
    <w:rsid w:val="007B7D04"/>
    <w:rsid w:val="007C039C"/>
    <w:rsid w:val="007C0CFE"/>
    <w:rsid w:val="007D030B"/>
    <w:rsid w:val="007D3683"/>
    <w:rsid w:val="007D3943"/>
    <w:rsid w:val="007E2045"/>
    <w:rsid w:val="007E2775"/>
    <w:rsid w:val="007E51A2"/>
    <w:rsid w:val="007E69D7"/>
    <w:rsid w:val="007E79B3"/>
    <w:rsid w:val="007F0B4E"/>
    <w:rsid w:val="007F1FB5"/>
    <w:rsid w:val="007F26B5"/>
    <w:rsid w:val="007F2F83"/>
    <w:rsid w:val="007F430A"/>
    <w:rsid w:val="007F672A"/>
    <w:rsid w:val="00800366"/>
    <w:rsid w:val="0080101E"/>
    <w:rsid w:val="0080154F"/>
    <w:rsid w:val="00807829"/>
    <w:rsid w:val="00810A76"/>
    <w:rsid w:val="00812FFA"/>
    <w:rsid w:val="00814E2B"/>
    <w:rsid w:val="008164BE"/>
    <w:rsid w:val="00820B9B"/>
    <w:rsid w:val="00821F2A"/>
    <w:rsid w:val="008233E9"/>
    <w:rsid w:val="008243C3"/>
    <w:rsid w:val="0083280F"/>
    <w:rsid w:val="0083400E"/>
    <w:rsid w:val="00834AC2"/>
    <w:rsid w:val="00841109"/>
    <w:rsid w:val="00841C88"/>
    <w:rsid w:val="00842C1C"/>
    <w:rsid w:val="00843F1C"/>
    <w:rsid w:val="00847EFF"/>
    <w:rsid w:val="0085027A"/>
    <w:rsid w:val="008546A2"/>
    <w:rsid w:val="008552D5"/>
    <w:rsid w:val="0085569B"/>
    <w:rsid w:val="00857F92"/>
    <w:rsid w:val="00860F5D"/>
    <w:rsid w:val="00861145"/>
    <w:rsid w:val="00861221"/>
    <w:rsid w:val="0086232A"/>
    <w:rsid w:val="00863C54"/>
    <w:rsid w:val="00864D71"/>
    <w:rsid w:val="00864EF6"/>
    <w:rsid w:val="00864FA6"/>
    <w:rsid w:val="00865BAC"/>
    <w:rsid w:val="00866BDF"/>
    <w:rsid w:val="00870AE0"/>
    <w:rsid w:val="0087409F"/>
    <w:rsid w:val="008749CA"/>
    <w:rsid w:val="0087545B"/>
    <w:rsid w:val="00875B05"/>
    <w:rsid w:val="0087708C"/>
    <w:rsid w:val="0087796B"/>
    <w:rsid w:val="0088187F"/>
    <w:rsid w:val="008852E3"/>
    <w:rsid w:val="008862BF"/>
    <w:rsid w:val="00887381"/>
    <w:rsid w:val="00891FD3"/>
    <w:rsid w:val="008936AB"/>
    <w:rsid w:val="0089400F"/>
    <w:rsid w:val="00895141"/>
    <w:rsid w:val="008962FD"/>
    <w:rsid w:val="0089641C"/>
    <w:rsid w:val="00896C62"/>
    <w:rsid w:val="008A20C8"/>
    <w:rsid w:val="008A485E"/>
    <w:rsid w:val="008B2047"/>
    <w:rsid w:val="008B2B04"/>
    <w:rsid w:val="008B7F8A"/>
    <w:rsid w:val="008C1961"/>
    <w:rsid w:val="008C2E44"/>
    <w:rsid w:val="008C3582"/>
    <w:rsid w:val="008C5440"/>
    <w:rsid w:val="008C760F"/>
    <w:rsid w:val="008D1FE6"/>
    <w:rsid w:val="008D20B3"/>
    <w:rsid w:val="008D2308"/>
    <w:rsid w:val="008D55AD"/>
    <w:rsid w:val="008D5948"/>
    <w:rsid w:val="008D5B47"/>
    <w:rsid w:val="008D6BFE"/>
    <w:rsid w:val="008D6FD7"/>
    <w:rsid w:val="008D7123"/>
    <w:rsid w:val="008D719A"/>
    <w:rsid w:val="008E0078"/>
    <w:rsid w:val="008E172D"/>
    <w:rsid w:val="008E3084"/>
    <w:rsid w:val="008E5897"/>
    <w:rsid w:val="008F0FC4"/>
    <w:rsid w:val="008F1941"/>
    <w:rsid w:val="008F1DA7"/>
    <w:rsid w:val="008F3EDF"/>
    <w:rsid w:val="008F457C"/>
    <w:rsid w:val="008F6879"/>
    <w:rsid w:val="008F6DAA"/>
    <w:rsid w:val="008F7499"/>
    <w:rsid w:val="008F796D"/>
    <w:rsid w:val="009002FA"/>
    <w:rsid w:val="009011BB"/>
    <w:rsid w:val="009014FB"/>
    <w:rsid w:val="00903A17"/>
    <w:rsid w:val="00904EF9"/>
    <w:rsid w:val="00905DDF"/>
    <w:rsid w:val="00905F01"/>
    <w:rsid w:val="00910AE1"/>
    <w:rsid w:val="009163D7"/>
    <w:rsid w:val="00916E1E"/>
    <w:rsid w:val="009261C4"/>
    <w:rsid w:val="00927B6E"/>
    <w:rsid w:val="00927E9B"/>
    <w:rsid w:val="0093278E"/>
    <w:rsid w:val="00934212"/>
    <w:rsid w:val="00935B22"/>
    <w:rsid w:val="00936C20"/>
    <w:rsid w:val="00936EB1"/>
    <w:rsid w:val="00937781"/>
    <w:rsid w:val="00937ECB"/>
    <w:rsid w:val="00941193"/>
    <w:rsid w:val="009510CE"/>
    <w:rsid w:val="00956E1A"/>
    <w:rsid w:val="00956E80"/>
    <w:rsid w:val="0095792B"/>
    <w:rsid w:val="00957B14"/>
    <w:rsid w:val="0096030B"/>
    <w:rsid w:val="00960B0B"/>
    <w:rsid w:val="00963430"/>
    <w:rsid w:val="00963A8F"/>
    <w:rsid w:val="00965A79"/>
    <w:rsid w:val="00965C47"/>
    <w:rsid w:val="009732A0"/>
    <w:rsid w:val="009743A4"/>
    <w:rsid w:val="00975693"/>
    <w:rsid w:val="00981974"/>
    <w:rsid w:val="0098262D"/>
    <w:rsid w:val="00982EAF"/>
    <w:rsid w:val="0098411D"/>
    <w:rsid w:val="00984B08"/>
    <w:rsid w:val="00984DFB"/>
    <w:rsid w:val="00987017"/>
    <w:rsid w:val="009876AE"/>
    <w:rsid w:val="00987E12"/>
    <w:rsid w:val="009941B6"/>
    <w:rsid w:val="0099554C"/>
    <w:rsid w:val="00995A1F"/>
    <w:rsid w:val="00995CF6"/>
    <w:rsid w:val="00997C07"/>
    <w:rsid w:val="009A0113"/>
    <w:rsid w:val="009A2055"/>
    <w:rsid w:val="009A276D"/>
    <w:rsid w:val="009A2B82"/>
    <w:rsid w:val="009B0B1F"/>
    <w:rsid w:val="009B0C2A"/>
    <w:rsid w:val="009B2397"/>
    <w:rsid w:val="009B45CA"/>
    <w:rsid w:val="009B645A"/>
    <w:rsid w:val="009B6673"/>
    <w:rsid w:val="009B7022"/>
    <w:rsid w:val="009C13AE"/>
    <w:rsid w:val="009C2251"/>
    <w:rsid w:val="009C49C7"/>
    <w:rsid w:val="009C6065"/>
    <w:rsid w:val="009C70D9"/>
    <w:rsid w:val="009D2F0F"/>
    <w:rsid w:val="009D5757"/>
    <w:rsid w:val="009E035A"/>
    <w:rsid w:val="009E039B"/>
    <w:rsid w:val="009E3514"/>
    <w:rsid w:val="009E5ED2"/>
    <w:rsid w:val="009E6528"/>
    <w:rsid w:val="009E6533"/>
    <w:rsid w:val="009F0308"/>
    <w:rsid w:val="009F15F5"/>
    <w:rsid w:val="009F1C94"/>
    <w:rsid w:val="009F4787"/>
    <w:rsid w:val="009F51C1"/>
    <w:rsid w:val="009F5932"/>
    <w:rsid w:val="009F6910"/>
    <w:rsid w:val="009F7231"/>
    <w:rsid w:val="009F79BA"/>
    <w:rsid w:val="00A00236"/>
    <w:rsid w:val="00A078D1"/>
    <w:rsid w:val="00A10B46"/>
    <w:rsid w:val="00A10DD1"/>
    <w:rsid w:val="00A1226B"/>
    <w:rsid w:val="00A17B38"/>
    <w:rsid w:val="00A17CB6"/>
    <w:rsid w:val="00A20967"/>
    <w:rsid w:val="00A2298C"/>
    <w:rsid w:val="00A22C5C"/>
    <w:rsid w:val="00A24A1F"/>
    <w:rsid w:val="00A252E5"/>
    <w:rsid w:val="00A2564F"/>
    <w:rsid w:val="00A26185"/>
    <w:rsid w:val="00A27C88"/>
    <w:rsid w:val="00A34A60"/>
    <w:rsid w:val="00A34B70"/>
    <w:rsid w:val="00A36056"/>
    <w:rsid w:val="00A3613C"/>
    <w:rsid w:val="00A36DC4"/>
    <w:rsid w:val="00A427FA"/>
    <w:rsid w:val="00A4572D"/>
    <w:rsid w:val="00A45CDA"/>
    <w:rsid w:val="00A45D4A"/>
    <w:rsid w:val="00A47514"/>
    <w:rsid w:val="00A5023B"/>
    <w:rsid w:val="00A507AC"/>
    <w:rsid w:val="00A5251B"/>
    <w:rsid w:val="00A52DEC"/>
    <w:rsid w:val="00A5518A"/>
    <w:rsid w:val="00A57E69"/>
    <w:rsid w:val="00A70D1E"/>
    <w:rsid w:val="00A71D50"/>
    <w:rsid w:val="00A7304B"/>
    <w:rsid w:val="00A7464F"/>
    <w:rsid w:val="00A75B16"/>
    <w:rsid w:val="00A775C5"/>
    <w:rsid w:val="00A8020C"/>
    <w:rsid w:val="00A80544"/>
    <w:rsid w:val="00A8213E"/>
    <w:rsid w:val="00A8353F"/>
    <w:rsid w:val="00A838F9"/>
    <w:rsid w:val="00A844A8"/>
    <w:rsid w:val="00A91B6E"/>
    <w:rsid w:val="00A91CEE"/>
    <w:rsid w:val="00A92F39"/>
    <w:rsid w:val="00A96B03"/>
    <w:rsid w:val="00AA3309"/>
    <w:rsid w:val="00AA4159"/>
    <w:rsid w:val="00AA4367"/>
    <w:rsid w:val="00AA4C74"/>
    <w:rsid w:val="00AB408D"/>
    <w:rsid w:val="00AB4D34"/>
    <w:rsid w:val="00AB5088"/>
    <w:rsid w:val="00AB604D"/>
    <w:rsid w:val="00AB6619"/>
    <w:rsid w:val="00AB76A1"/>
    <w:rsid w:val="00AC11CB"/>
    <w:rsid w:val="00AC386C"/>
    <w:rsid w:val="00AC5695"/>
    <w:rsid w:val="00AC5F28"/>
    <w:rsid w:val="00AC61D0"/>
    <w:rsid w:val="00AC6F8F"/>
    <w:rsid w:val="00AD0AFE"/>
    <w:rsid w:val="00AD15EC"/>
    <w:rsid w:val="00AD239B"/>
    <w:rsid w:val="00AD35B8"/>
    <w:rsid w:val="00AD53D0"/>
    <w:rsid w:val="00AE0BA8"/>
    <w:rsid w:val="00AE599E"/>
    <w:rsid w:val="00AE5C5E"/>
    <w:rsid w:val="00AE6D56"/>
    <w:rsid w:val="00AF07A7"/>
    <w:rsid w:val="00AF07C3"/>
    <w:rsid w:val="00AF3CCF"/>
    <w:rsid w:val="00AF531F"/>
    <w:rsid w:val="00AF5B0E"/>
    <w:rsid w:val="00AF75DD"/>
    <w:rsid w:val="00B1011C"/>
    <w:rsid w:val="00B1230C"/>
    <w:rsid w:val="00B12E4A"/>
    <w:rsid w:val="00B14178"/>
    <w:rsid w:val="00B14272"/>
    <w:rsid w:val="00B16A46"/>
    <w:rsid w:val="00B21501"/>
    <w:rsid w:val="00B23F13"/>
    <w:rsid w:val="00B26B37"/>
    <w:rsid w:val="00B3001E"/>
    <w:rsid w:val="00B30505"/>
    <w:rsid w:val="00B320F7"/>
    <w:rsid w:val="00B334F1"/>
    <w:rsid w:val="00B33982"/>
    <w:rsid w:val="00B3419D"/>
    <w:rsid w:val="00B35661"/>
    <w:rsid w:val="00B35B2B"/>
    <w:rsid w:val="00B35C1F"/>
    <w:rsid w:val="00B360F7"/>
    <w:rsid w:val="00B36ACF"/>
    <w:rsid w:val="00B40C0B"/>
    <w:rsid w:val="00B4159A"/>
    <w:rsid w:val="00B45855"/>
    <w:rsid w:val="00B509BB"/>
    <w:rsid w:val="00B535BC"/>
    <w:rsid w:val="00B53E6E"/>
    <w:rsid w:val="00B545CC"/>
    <w:rsid w:val="00B54A88"/>
    <w:rsid w:val="00B54BCF"/>
    <w:rsid w:val="00B55005"/>
    <w:rsid w:val="00B555EA"/>
    <w:rsid w:val="00B603B4"/>
    <w:rsid w:val="00B607FF"/>
    <w:rsid w:val="00B64244"/>
    <w:rsid w:val="00B65E48"/>
    <w:rsid w:val="00B669D3"/>
    <w:rsid w:val="00B671FA"/>
    <w:rsid w:val="00B70F10"/>
    <w:rsid w:val="00B73475"/>
    <w:rsid w:val="00B773E9"/>
    <w:rsid w:val="00B81C0E"/>
    <w:rsid w:val="00B83EAE"/>
    <w:rsid w:val="00B850CF"/>
    <w:rsid w:val="00B86E31"/>
    <w:rsid w:val="00B87AB3"/>
    <w:rsid w:val="00B91F0E"/>
    <w:rsid w:val="00B92252"/>
    <w:rsid w:val="00B92E44"/>
    <w:rsid w:val="00B92FA8"/>
    <w:rsid w:val="00B93D30"/>
    <w:rsid w:val="00B93F1E"/>
    <w:rsid w:val="00B96195"/>
    <w:rsid w:val="00B97E03"/>
    <w:rsid w:val="00BA00AB"/>
    <w:rsid w:val="00BA012F"/>
    <w:rsid w:val="00BA2AA5"/>
    <w:rsid w:val="00BA42D2"/>
    <w:rsid w:val="00BA598A"/>
    <w:rsid w:val="00BB08E4"/>
    <w:rsid w:val="00BB0C5A"/>
    <w:rsid w:val="00BB1125"/>
    <w:rsid w:val="00BB16F8"/>
    <w:rsid w:val="00BB256B"/>
    <w:rsid w:val="00BB2676"/>
    <w:rsid w:val="00BB2C33"/>
    <w:rsid w:val="00BB32B5"/>
    <w:rsid w:val="00BB5366"/>
    <w:rsid w:val="00BB5A2C"/>
    <w:rsid w:val="00BB77ED"/>
    <w:rsid w:val="00BC1F44"/>
    <w:rsid w:val="00BC1FBC"/>
    <w:rsid w:val="00BC5954"/>
    <w:rsid w:val="00BC5A47"/>
    <w:rsid w:val="00BC6E3E"/>
    <w:rsid w:val="00BC7EA0"/>
    <w:rsid w:val="00BD15D6"/>
    <w:rsid w:val="00BD1A29"/>
    <w:rsid w:val="00BD32D8"/>
    <w:rsid w:val="00BD3B4D"/>
    <w:rsid w:val="00BD4C34"/>
    <w:rsid w:val="00BD7536"/>
    <w:rsid w:val="00BE0A46"/>
    <w:rsid w:val="00BE0E2B"/>
    <w:rsid w:val="00BE4CCC"/>
    <w:rsid w:val="00BF1205"/>
    <w:rsid w:val="00BF2EB4"/>
    <w:rsid w:val="00BF3163"/>
    <w:rsid w:val="00BF3F3D"/>
    <w:rsid w:val="00BF456D"/>
    <w:rsid w:val="00BF4BE0"/>
    <w:rsid w:val="00BF7D33"/>
    <w:rsid w:val="00C0058A"/>
    <w:rsid w:val="00C0389C"/>
    <w:rsid w:val="00C0611C"/>
    <w:rsid w:val="00C06278"/>
    <w:rsid w:val="00C0697B"/>
    <w:rsid w:val="00C0726F"/>
    <w:rsid w:val="00C11426"/>
    <w:rsid w:val="00C12D52"/>
    <w:rsid w:val="00C13747"/>
    <w:rsid w:val="00C14074"/>
    <w:rsid w:val="00C15337"/>
    <w:rsid w:val="00C17855"/>
    <w:rsid w:val="00C208AE"/>
    <w:rsid w:val="00C20FE1"/>
    <w:rsid w:val="00C21584"/>
    <w:rsid w:val="00C21685"/>
    <w:rsid w:val="00C21E98"/>
    <w:rsid w:val="00C231A1"/>
    <w:rsid w:val="00C23D62"/>
    <w:rsid w:val="00C27395"/>
    <w:rsid w:val="00C2784D"/>
    <w:rsid w:val="00C33859"/>
    <w:rsid w:val="00C43182"/>
    <w:rsid w:val="00C438C8"/>
    <w:rsid w:val="00C44312"/>
    <w:rsid w:val="00C458E8"/>
    <w:rsid w:val="00C46095"/>
    <w:rsid w:val="00C466AC"/>
    <w:rsid w:val="00C47FF2"/>
    <w:rsid w:val="00C526FC"/>
    <w:rsid w:val="00C55220"/>
    <w:rsid w:val="00C55A04"/>
    <w:rsid w:val="00C57E77"/>
    <w:rsid w:val="00C62BFE"/>
    <w:rsid w:val="00C65E72"/>
    <w:rsid w:val="00C66A4A"/>
    <w:rsid w:val="00C7079E"/>
    <w:rsid w:val="00C709A2"/>
    <w:rsid w:val="00C709A8"/>
    <w:rsid w:val="00C75738"/>
    <w:rsid w:val="00C81EAF"/>
    <w:rsid w:val="00C82794"/>
    <w:rsid w:val="00C82BA7"/>
    <w:rsid w:val="00C835D7"/>
    <w:rsid w:val="00C84B1F"/>
    <w:rsid w:val="00C84D4C"/>
    <w:rsid w:val="00C86502"/>
    <w:rsid w:val="00C86965"/>
    <w:rsid w:val="00C86E15"/>
    <w:rsid w:val="00C86E41"/>
    <w:rsid w:val="00C87776"/>
    <w:rsid w:val="00C90E07"/>
    <w:rsid w:val="00C929F5"/>
    <w:rsid w:val="00C94271"/>
    <w:rsid w:val="00C943AD"/>
    <w:rsid w:val="00C95E1B"/>
    <w:rsid w:val="00C95E67"/>
    <w:rsid w:val="00C95EBE"/>
    <w:rsid w:val="00C971B5"/>
    <w:rsid w:val="00C97684"/>
    <w:rsid w:val="00CA0883"/>
    <w:rsid w:val="00CA5880"/>
    <w:rsid w:val="00CA63F5"/>
    <w:rsid w:val="00CB20CE"/>
    <w:rsid w:val="00CB268C"/>
    <w:rsid w:val="00CB3B40"/>
    <w:rsid w:val="00CB4555"/>
    <w:rsid w:val="00CB59C8"/>
    <w:rsid w:val="00CB7D97"/>
    <w:rsid w:val="00CC0242"/>
    <w:rsid w:val="00CC038F"/>
    <w:rsid w:val="00CC11D6"/>
    <w:rsid w:val="00CC2353"/>
    <w:rsid w:val="00CC5A55"/>
    <w:rsid w:val="00CC780F"/>
    <w:rsid w:val="00CD096C"/>
    <w:rsid w:val="00CD12EA"/>
    <w:rsid w:val="00CD47C8"/>
    <w:rsid w:val="00CD5CE5"/>
    <w:rsid w:val="00CD6C0D"/>
    <w:rsid w:val="00CD7F92"/>
    <w:rsid w:val="00CE05E3"/>
    <w:rsid w:val="00CE1718"/>
    <w:rsid w:val="00CE241E"/>
    <w:rsid w:val="00CE3515"/>
    <w:rsid w:val="00CE4784"/>
    <w:rsid w:val="00CF04C0"/>
    <w:rsid w:val="00CF260A"/>
    <w:rsid w:val="00CF4034"/>
    <w:rsid w:val="00CF437F"/>
    <w:rsid w:val="00CF6EBF"/>
    <w:rsid w:val="00D05134"/>
    <w:rsid w:val="00D06195"/>
    <w:rsid w:val="00D068BF"/>
    <w:rsid w:val="00D07711"/>
    <w:rsid w:val="00D10443"/>
    <w:rsid w:val="00D142A9"/>
    <w:rsid w:val="00D1662C"/>
    <w:rsid w:val="00D167ED"/>
    <w:rsid w:val="00D16C4A"/>
    <w:rsid w:val="00D170CF"/>
    <w:rsid w:val="00D204B1"/>
    <w:rsid w:val="00D2137E"/>
    <w:rsid w:val="00D2172A"/>
    <w:rsid w:val="00D222AC"/>
    <w:rsid w:val="00D25E89"/>
    <w:rsid w:val="00D27BD4"/>
    <w:rsid w:val="00D31DF3"/>
    <w:rsid w:val="00D32D8F"/>
    <w:rsid w:val="00D32E87"/>
    <w:rsid w:val="00D33B68"/>
    <w:rsid w:val="00D34713"/>
    <w:rsid w:val="00D37C72"/>
    <w:rsid w:val="00D37D35"/>
    <w:rsid w:val="00D430BC"/>
    <w:rsid w:val="00D45AEC"/>
    <w:rsid w:val="00D46073"/>
    <w:rsid w:val="00D53F54"/>
    <w:rsid w:val="00D54188"/>
    <w:rsid w:val="00D54B85"/>
    <w:rsid w:val="00D61143"/>
    <w:rsid w:val="00D61DFF"/>
    <w:rsid w:val="00D6314C"/>
    <w:rsid w:val="00D64E22"/>
    <w:rsid w:val="00D67BCF"/>
    <w:rsid w:val="00D72704"/>
    <w:rsid w:val="00D73A27"/>
    <w:rsid w:val="00D75856"/>
    <w:rsid w:val="00D76143"/>
    <w:rsid w:val="00D76867"/>
    <w:rsid w:val="00D81075"/>
    <w:rsid w:val="00D81861"/>
    <w:rsid w:val="00D8190B"/>
    <w:rsid w:val="00D823A8"/>
    <w:rsid w:val="00D85B6C"/>
    <w:rsid w:val="00D865A6"/>
    <w:rsid w:val="00D87E8F"/>
    <w:rsid w:val="00D9298B"/>
    <w:rsid w:val="00D95096"/>
    <w:rsid w:val="00D967A7"/>
    <w:rsid w:val="00D96FB9"/>
    <w:rsid w:val="00D97B38"/>
    <w:rsid w:val="00DA0BB0"/>
    <w:rsid w:val="00DA2E82"/>
    <w:rsid w:val="00DA304F"/>
    <w:rsid w:val="00DA57A9"/>
    <w:rsid w:val="00DA57D2"/>
    <w:rsid w:val="00DB233B"/>
    <w:rsid w:val="00DB2810"/>
    <w:rsid w:val="00DB4A70"/>
    <w:rsid w:val="00DB55A1"/>
    <w:rsid w:val="00DB5835"/>
    <w:rsid w:val="00DB6173"/>
    <w:rsid w:val="00DB712F"/>
    <w:rsid w:val="00DB7F42"/>
    <w:rsid w:val="00DC0775"/>
    <w:rsid w:val="00DC0AE8"/>
    <w:rsid w:val="00DC12E4"/>
    <w:rsid w:val="00DC15F9"/>
    <w:rsid w:val="00DC1608"/>
    <w:rsid w:val="00DC2706"/>
    <w:rsid w:val="00DC33FF"/>
    <w:rsid w:val="00DC75AD"/>
    <w:rsid w:val="00DD0457"/>
    <w:rsid w:val="00DD0AD1"/>
    <w:rsid w:val="00DD13D3"/>
    <w:rsid w:val="00DD1F68"/>
    <w:rsid w:val="00DD4E51"/>
    <w:rsid w:val="00DD513D"/>
    <w:rsid w:val="00DE0DCC"/>
    <w:rsid w:val="00DE0EF8"/>
    <w:rsid w:val="00DE79E1"/>
    <w:rsid w:val="00DF35EB"/>
    <w:rsid w:val="00E004A1"/>
    <w:rsid w:val="00E01552"/>
    <w:rsid w:val="00E019B9"/>
    <w:rsid w:val="00E01F7A"/>
    <w:rsid w:val="00E04470"/>
    <w:rsid w:val="00E04797"/>
    <w:rsid w:val="00E0586F"/>
    <w:rsid w:val="00E07AB9"/>
    <w:rsid w:val="00E11542"/>
    <w:rsid w:val="00E11CBB"/>
    <w:rsid w:val="00E143F5"/>
    <w:rsid w:val="00E15AC0"/>
    <w:rsid w:val="00E16424"/>
    <w:rsid w:val="00E1724A"/>
    <w:rsid w:val="00E2136D"/>
    <w:rsid w:val="00E219BC"/>
    <w:rsid w:val="00E22876"/>
    <w:rsid w:val="00E22CBE"/>
    <w:rsid w:val="00E3376F"/>
    <w:rsid w:val="00E44ACD"/>
    <w:rsid w:val="00E45701"/>
    <w:rsid w:val="00E50C52"/>
    <w:rsid w:val="00E528DF"/>
    <w:rsid w:val="00E539C1"/>
    <w:rsid w:val="00E54079"/>
    <w:rsid w:val="00E54B45"/>
    <w:rsid w:val="00E55D04"/>
    <w:rsid w:val="00E56473"/>
    <w:rsid w:val="00E5663D"/>
    <w:rsid w:val="00E5669D"/>
    <w:rsid w:val="00E602C4"/>
    <w:rsid w:val="00E64527"/>
    <w:rsid w:val="00E668D3"/>
    <w:rsid w:val="00E74DDE"/>
    <w:rsid w:val="00E75FCD"/>
    <w:rsid w:val="00E769D7"/>
    <w:rsid w:val="00E8050F"/>
    <w:rsid w:val="00E80AA6"/>
    <w:rsid w:val="00E83639"/>
    <w:rsid w:val="00E874DF"/>
    <w:rsid w:val="00E879F9"/>
    <w:rsid w:val="00E90694"/>
    <w:rsid w:val="00E9207F"/>
    <w:rsid w:val="00E925E7"/>
    <w:rsid w:val="00E92F55"/>
    <w:rsid w:val="00E94C23"/>
    <w:rsid w:val="00E95C17"/>
    <w:rsid w:val="00E96135"/>
    <w:rsid w:val="00E963FA"/>
    <w:rsid w:val="00E96DEA"/>
    <w:rsid w:val="00E9718D"/>
    <w:rsid w:val="00E9743A"/>
    <w:rsid w:val="00EA1C2F"/>
    <w:rsid w:val="00EA3DD1"/>
    <w:rsid w:val="00EA453C"/>
    <w:rsid w:val="00EA71F6"/>
    <w:rsid w:val="00EA78E4"/>
    <w:rsid w:val="00EB413F"/>
    <w:rsid w:val="00EB67A6"/>
    <w:rsid w:val="00EB6A22"/>
    <w:rsid w:val="00EC36A7"/>
    <w:rsid w:val="00EC5FDA"/>
    <w:rsid w:val="00EC613E"/>
    <w:rsid w:val="00EC64F0"/>
    <w:rsid w:val="00ED4650"/>
    <w:rsid w:val="00ED465D"/>
    <w:rsid w:val="00ED62FE"/>
    <w:rsid w:val="00ED67F7"/>
    <w:rsid w:val="00ED6EF4"/>
    <w:rsid w:val="00ED719E"/>
    <w:rsid w:val="00EE0B16"/>
    <w:rsid w:val="00EE1608"/>
    <w:rsid w:val="00EE35CC"/>
    <w:rsid w:val="00EE3B9F"/>
    <w:rsid w:val="00EE46DD"/>
    <w:rsid w:val="00EE5A37"/>
    <w:rsid w:val="00EE7168"/>
    <w:rsid w:val="00EF1F2B"/>
    <w:rsid w:val="00EF40F4"/>
    <w:rsid w:val="00EF41E8"/>
    <w:rsid w:val="00EF4DCB"/>
    <w:rsid w:val="00F00463"/>
    <w:rsid w:val="00F01740"/>
    <w:rsid w:val="00F039ED"/>
    <w:rsid w:val="00F0547B"/>
    <w:rsid w:val="00F05DB3"/>
    <w:rsid w:val="00F10F97"/>
    <w:rsid w:val="00F12145"/>
    <w:rsid w:val="00F1216B"/>
    <w:rsid w:val="00F14286"/>
    <w:rsid w:val="00F202E7"/>
    <w:rsid w:val="00F23D56"/>
    <w:rsid w:val="00F24247"/>
    <w:rsid w:val="00F25BB3"/>
    <w:rsid w:val="00F310F7"/>
    <w:rsid w:val="00F31F9D"/>
    <w:rsid w:val="00F32EDA"/>
    <w:rsid w:val="00F3376C"/>
    <w:rsid w:val="00F3567E"/>
    <w:rsid w:val="00F4092D"/>
    <w:rsid w:val="00F41301"/>
    <w:rsid w:val="00F42B80"/>
    <w:rsid w:val="00F4364B"/>
    <w:rsid w:val="00F43CC4"/>
    <w:rsid w:val="00F45083"/>
    <w:rsid w:val="00F46493"/>
    <w:rsid w:val="00F466F9"/>
    <w:rsid w:val="00F46A25"/>
    <w:rsid w:val="00F474CD"/>
    <w:rsid w:val="00F51387"/>
    <w:rsid w:val="00F5453E"/>
    <w:rsid w:val="00F5546E"/>
    <w:rsid w:val="00F560F4"/>
    <w:rsid w:val="00F56B62"/>
    <w:rsid w:val="00F57CF1"/>
    <w:rsid w:val="00F62810"/>
    <w:rsid w:val="00F62941"/>
    <w:rsid w:val="00F664F4"/>
    <w:rsid w:val="00F66E72"/>
    <w:rsid w:val="00F6759D"/>
    <w:rsid w:val="00F7042C"/>
    <w:rsid w:val="00F711FB"/>
    <w:rsid w:val="00F805FE"/>
    <w:rsid w:val="00F80F58"/>
    <w:rsid w:val="00F81EB0"/>
    <w:rsid w:val="00F81FE3"/>
    <w:rsid w:val="00F825B4"/>
    <w:rsid w:val="00F83EA6"/>
    <w:rsid w:val="00F84F7B"/>
    <w:rsid w:val="00F86F17"/>
    <w:rsid w:val="00F9005A"/>
    <w:rsid w:val="00F912B2"/>
    <w:rsid w:val="00F91755"/>
    <w:rsid w:val="00F92CC9"/>
    <w:rsid w:val="00F94D79"/>
    <w:rsid w:val="00F95E01"/>
    <w:rsid w:val="00F9661A"/>
    <w:rsid w:val="00F9675A"/>
    <w:rsid w:val="00F96ED3"/>
    <w:rsid w:val="00F97460"/>
    <w:rsid w:val="00FA1284"/>
    <w:rsid w:val="00FA3E8A"/>
    <w:rsid w:val="00FA4025"/>
    <w:rsid w:val="00FA5449"/>
    <w:rsid w:val="00FB0623"/>
    <w:rsid w:val="00FB2F7B"/>
    <w:rsid w:val="00FB3B19"/>
    <w:rsid w:val="00FB55C3"/>
    <w:rsid w:val="00FB5C2B"/>
    <w:rsid w:val="00FB622C"/>
    <w:rsid w:val="00FC0838"/>
    <w:rsid w:val="00FC2238"/>
    <w:rsid w:val="00FC3F68"/>
    <w:rsid w:val="00FC516A"/>
    <w:rsid w:val="00FC5C2B"/>
    <w:rsid w:val="00FD01D7"/>
    <w:rsid w:val="00FD2253"/>
    <w:rsid w:val="00FD2E6C"/>
    <w:rsid w:val="00FD3443"/>
    <w:rsid w:val="00FD65F0"/>
    <w:rsid w:val="00FD6963"/>
    <w:rsid w:val="00FE0D3B"/>
    <w:rsid w:val="00FE17AE"/>
    <w:rsid w:val="00FE39E1"/>
    <w:rsid w:val="00FE3EA1"/>
    <w:rsid w:val="00FE4973"/>
    <w:rsid w:val="00FE5CE9"/>
    <w:rsid w:val="00FE6D98"/>
    <w:rsid w:val="00FF170B"/>
    <w:rsid w:val="00FF4676"/>
    <w:rsid w:val="00FF5141"/>
    <w:rsid w:val="00FF5CD2"/>
    <w:rsid w:val="00FF6172"/>
    <w:rsid w:val="00FF7149"/>
    <w:rsid w:val="00FF7CBA"/>
    <w:rsid w:val="00FF7D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078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6FC"/>
    <w:pPr>
      <w:spacing w:after="0" w:line="240" w:lineRule="auto"/>
    </w:pPr>
    <w:rPr>
      <w:rFonts w:ascii="Cambria" w:eastAsiaTheme="minorHAnsi" w:hAnsi="Cambria"/>
      <w:lang w:eastAsia="en-US"/>
    </w:rPr>
  </w:style>
  <w:style w:type="paragraph" w:styleId="Heading1">
    <w:name w:val="heading 1"/>
    <w:basedOn w:val="Normal"/>
    <w:next w:val="Normal"/>
    <w:link w:val="Heading1Char"/>
    <w:uiPriority w:val="9"/>
    <w:qFormat/>
    <w:rsid w:val="00C526FC"/>
    <w:pPr>
      <w:keepNext/>
      <w:keepLines/>
      <w:spacing w:before="240"/>
      <w:outlineLvl w:val="0"/>
    </w:pPr>
    <w:rPr>
      <w:rFonts w:eastAsiaTheme="majorEastAsia" w:cstheme="majorBidi"/>
      <w:color w:val="2E74B5" w:themeColor="accent1" w:themeShade="BF"/>
      <w:sz w:val="32"/>
      <w:szCs w:val="32"/>
      <w:u w:val="single"/>
    </w:rPr>
  </w:style>
  <w:style w:type="paragraph" w:styleId="Heading2">
    <w:name w:val="heading 2"/>
    <w:basedOn w:val="Normal"/>
    <w:next w:val="Normal"/>
    <w:link w:val="Heading2Char"/>
    <w:uiPriority w:val="9"/>
    <w:unhideWhenUsed/>
    <w:qFormat/>
    <w:rsid w:val="00C526FC"/>
    <w:pPr>
      <w:keepNext/>
      <w:keepLines/>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D40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A6A41"/>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967A7"/>
    <w:pPr>
      <w:keepNext/>
      <w:keepLines/>
      <w:spacing w:before="40"/>
      <w:ind w:left="1008" w:hanging="1008"/>
      <w:jc w:val="both"/>
      <w:outlineLvl w:val="4"/>
    </w:pPr>
    <w:rPr>
      <w:rFonts w:asciiTheme="majorHAnsi" w:eastAsiaTheme="majorEastAsia" w:hAnsiTheme="majorHAnsi" w:cstheme="majorBidi"/>
      <w:color w:val="44546A" w:themeColor="text2"/>
    </w:rPr>
  </w:style>
  <w:style w:type="paragraph" w:styleId="Heading6">
    <w:name w:val="heading 6"/>
    <w:basedOn w:val="Normal"/>
    <w:next w:val="Normal"/>
    <w:link w:val="Heading6Char"/>
    <w:uiPriority w:val="9"/>
    <w:semiHidden/>
    <w:unhideWhenUsed/>
    <w:qFormat/>
    <w:rsid w:val="00D967A7"/>
    <w:pPr>
      <w:keepNext/>
      <w:keepLines/>
      <w:spacing w:before="40"/>
      <w:ind w:left="1152" w:hanging="1152"/>
      <w:jc w:val="both"/>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D967A7"/>
    <w:pPr>
      <w:keepNext/>
      <w:keepLines/>
      <w:spacing w:before="40"/>
      <w:ind w:left="1296" w:hanging="1296"/>
      <w:jc w:val="both"/>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D967A7"/>
    <w:pPr>
      <w:keepNext/>
      <w:keepLines/>
      <w:spacing w:before="40"/>
      <w:ind w:left="1440" w:hanging="1440"/>
      <w:jc w:val="both"/>
      <w:outlineLvl w:val="7"/>
    </w:pPr>
    <w:rPr>
      <w:rFonts w:asciiTheme="majorHAnsi" w:eastAsiaTheme="majorEastAsia" w:hAnsiTheme="majorHAnsi" w:cstheme="majorBidi"/>
      <w:b/>
      <w:bCs/>
      <w:color w:val="44546A" w:themeColor="text2"/>
      <w:szCs w:val="24"/>
    </w:rPr>
  </w:style>
  <w:style w:type="paragraph" w:styleId="Heading9">
    <w:name w:val="heading 9"/>
    <w:basedOn w:val="Normal"/>
    <w:next w:val="Normal"/>
    <w:link w:val="Heading9Char"/>
    <w:uiPriority w:val="9"/>
    <w:semiHidden/>
    <w:unhideWhenUsed/>
    <w:qFormat/>
    <w:rsid w:val="00D967A7"/>
    <w:pPr>
      <w:keepNext/>
      <w:keepLines/>
      <w:spacing w:before="40"/>
      <w:ind w:left="1584" w:hanging="1584"/>
      <w:jc w:val="both"/>
      <w:outlineLvl w:val="8"/>
    </w:pPr>
    <w:rPr>
      <w:rFonts w:asciiTheme="majorHAnsi" w:eastAsiaTheme="majorEastAsia" w:hAnsiTheme="majorHAnsi" w:cstheme="majorBidi"/>
      <w:b/>
      <w:bCs/>
      <w:i/>
      <w:iCs/>
      <w:color w:val="44546A"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6FC"/>
    <w:rPr>
      <w:rFonts w:ascii="Cambria" w:eastAsiaTheme="majorEastAsia" w:hAnsi="Cambria" w:cstheme="majorBidi"/>
      <w:color w:val="2E74B5" w:themeColor="accent1" w:themeShade="BF"/>
      <w:sz w:val="32"/>
      <w:szCs w:val="32"/>
      <w:u w:val="single"/>
      <w:lang w:eastAsia="en-US"/>
    </w:rPr>
  </w:style>
  <w:style w:type="character" w:customStyle="1" w:styleId="Heading2Char">
    <w:name w:val="Heading 2 Char"/>
    <w:basedOn w:val="DefaultParagraphFont"/>
    <w:link w:val="Heading2"/>
    <w:uiPriority w:val="9"/>
    <w:rsid w:val="00C526FC"/>
    <w:rPr>
      <w:rFonts w:ascii="Cambria" w:eastAsiaTheme="majorEastAsia" w:hAnsi="Cambria" w:cstheme="majorBidi"/>
      <w:color w:val="2E74B5" w:themeColor="accent1" w:themeShade="BF"/>
      <w:sz w:val="26"/>
      <w:szCs w:val="26"/>
      <w:lang w:eastAsia="en-US"/>
    </w:rPr>
  </w:style>
  <w:style w:type="paragraph" w:styleId="ListParagraph">
    <w:name w:val="List Paragraph"/>
    <w:basedOn w:val="Normal"/>
    <w:uiPriority w:val="34"/>
    <w:qFormat/>
    <w:rsid w:val="00C526FC"/>
    <w:pPr>
      <w:ind w:left="720"/>
      <w:contextualSpacing/>
    </w:pPr>
  </w:style>
  <w:style w:type="character" w:styleId="CommentReference">
    <w:name w:val="annotation reference"/>
    <w:basedOn w:val="DefaultParagraphFont"/>
    <w:uiPriority w:val="99"/>
    <w:semiHidden/>
    <w:unhideWhenUsed/>
    <w:rsid w:val="00D222AC"/>
    <w:rPr>
      <w:sz w:val="16"/>
      <w:szCs w:val="16"/>
    </w:rPr>
  </w:style>
  <w:style w:type="paragraph" w:styleId="CommentText">
    <w:name w:val="annotation text"/>
    <w:basedOn w:val="Normal"/>
    <w:link w:val="CommentTextChar"/>
    <w:uiPriority w:val="99"/>
    <w:unhideWhenUsed/>
    <w:rsid w:val="00D222AC"/>
    <w:rPr>
      <w:sz w:val="20"/>
      <w:szCs w:val="20"/>
    </w:rPr>
  </w:style>
  <w:style w:type="character" w:customStyle="1" w:styleId="CommentTextChar">
    <w:name w:val="Comment Text Char"/>
    <w:basedOn w:val="DefaultParagraphFont"/>
    <w:link w:val="CommentText"/>
    <w:uiPriority w:val="99"/>
    <w:rsid w:val="00D222AC"/>
    <w:rPr>
      <w:rFonts w:ascii="Cambria" w:eastAsiaTheme="minorHAnsi" w:hAnsi="Cambria"/>
      <w:sz w:val="20"/>
      <w:szCs w:val="20"/>
      <w:lang w:eastAsia="en-US"/>
    </w:rPr>
  </w:style>
  <w:style w:type="paragraph" w:styleId="CommentSubject">
    <w:name w:val="annotation subject"/>
    <w:basedOn w:val="CommentText"/>
    <w:next w:val="CommentText"/>
    <w:link w:val="CommentSubjectChar"/>
    <w:uiPriority w:val="99"/>
    <w:semiHidden/>
    <w:unhideWhenUsed/>
    <w:rsid w:val="00D222AC"/>
    <w:rPr>
      <w:b/>
      <w:bCs/>
    </w:rPr>
  </w:style>
  <w:style w:type="character" w:customStyle="1" w:styleId="CommentSubjectChar">
    <w:name w:val="Comment Subject Char"/>
    <w:basedOn w:val="CommentTextChar"/>
    <w:link w:val="CommentSubject"/>
    <w:uiPriority w:val="99"/>
    <w:semiHidden/>
    <w:rsid w:val="00D222AC"/>
    <w:rPr>
      <w:rFonts w:ascii="Cambria" w:eastAsiaTheme="minorHAnsi" w:hAnsi="Cambria"/>
      <w:b/>
      <w:bCs/>
      <w:sz w:val="20"/>
      <w:szCs w:val="20"/>
      <w:lang w:eastAsia="en-US"/>
    </w:rPr>
  </w:style>
  <w:style w:type="paragraph" w:styleId="BalloonText">
    <w:name w:val="Balloon Text"/>
    <w:basedOn w:val="Normal"/>
    <w:link w:val="BalloonTextChar"/>
    <w:uiPriority w:val="99"/>
    <w:semiHidden/>
    <w:unhideWhenUsed/>
    <w:rsid w:val="00D222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AC"/>
    <w:rPr>
      <w:rFonts w:ascii="Segoe UI" w:eastAsiaTheme="minorHAnsi" w:hAnsi="Segoe UI" w:cs="Segoe UI"/>
      <w:sz w:val="18"/>
      <w:szCs w:val="18"/>
      <w:lang w:eastAsia="en-US"/>
    </w:rPr>
  </w:style>
  <w:style w:type="character" w:styleId="Hyperlink">
    <w:name w:val="Hyperlink"/>
    <w:basedOn w:val="DefaultParagraphFont"/>
    <w:uiPriority w:val="99"/>
    <w:unhideWhenUsed/>
    <w:rsid w:val="00486B85"/>
    <w:rPr>
      <w:color w:val="0563C1" w:themeColor="hyperlink"/>
      <w:u w:val="single"/>
    </w:rPr>
  </w:style>
  <w:style w:type="table" w:customStyle="1" w:styleId="ListTable3-Accent11">
    <w:name w:val="List Table 3 - Accent 11"/>
    <w:basedOn w:val="TableNormal"/>
    <w:uiPriority w:val="48"/>
    <w:rsid w:val="00AC11C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SubtleEmphasis">
    <w:name w:val="Subtle Emphasis"/>
    <w:basedOn w:val="DefaultParagraphFont"/>
    <w:uiPriority w:val="19"/>
    <w:qFormat/>
    <w:rsid w:val="00AC11CB"/>
    <w:rPr>
      <w:rFonts w:ascii="Garamond" w:hAnsi="Garamond"/>
      <w:i/>
      <w:iCs/>
      <w:color w:val="404040" w:themeColor="text1" w:themeTint="BF"/>
    </w:rPr>
  </w:style>
  <w:style w:type="paragraph" w:styleId="FootnoteText">
    <w:name w:val="footnote text"/>
    <w:basedOn w:val="Normal"/>
    <w:link w:val="FootnoteTextChar"/>
    <w:uiPriority w:val="99"/>
    <w:unhideWhenUsed/>
    <w:rsid w:val="00AF75DD"/>
    <w:pPr>
      <w:jc w:val="both"/>
    </w:pPr>
    <w:rPr>
      <w:rFonts w:ascii="Garamond" w:eastAsiaTheme="minorEastAsia" w:hAnsi="Garamond"/>
      <w:sz w:val="20"/>
      <w:szCs w:val="20"/>
    </w:rPr>
  </w:style>
  <w:style w:type="character" w:customStyle="1" w:styleId="FootnoteTextChar">
    <w:name w:val="Footnote Text Char"/>
    <w:basedOn w:val="DefaultParagraphFont"/>
    <w:link w:val="FootnoteText"/>
    <w:uiPriority w:val="99"/>
    <w:rsid w:val="00AF75DD"/>
    <w:rPr>
      <w:rFonts w:ascii="Garamond" w:hAnsi="Garamond"/>
      <w:sz w:val="20"/>
      <w:szCs w:val="20"/>
      <w:lang w:eastAsia="en-US"/>
    </w:rPr>
  </w:style>
  <w:style w:type="character" w:styleId="FootnoteReference">
    <w:name w:val="footnote reference"/>
    <w:basedOn w:val="DefaultParagraphFont"/>
    <w:uiPriority w:val="99"/>
    <w:unhideWhenUsed/>
    <w:rsid w:val="00AF75DD"/>
    <w:rPr>
      <w:vertAlign w:val="superscript"/>
    </w:rPr>
  </w:style>
  <w:style w:type="character" w:customStyle="1" w:styleId="A11">
    <w:name w:val="A11"/>
    <w:uiPriority w:val="99"/>
    <w:rsid w:val="00AF75DD"/>
    <w:rPr>
      <w:rFonts w:cs="Frutiger 55 Roman"/>
      <w:color w:val="000000"/>
      <w:sz w:val="19"/>
      <w:szCs w:val="19"/>
    </w:rPr>
  </w:style>
  <w:style w:type="character" w:customStyle="1" w:styleId="Heading4Char">
    <w:name w:val="Heading 4 Char"/>
    <w:basedOn w:val="DefaultParagraphFont"/>
    <w:link w:val="Heading4"/>
    <w:uiPriority w:val="9"/>
    <w:semiHidden/>
    <w:rsid w:val="001A6A41"/>
    <w:rPr>
      <w:rFonts w:asciiTheme="majorHAnsi" w:eastAsiaTheme="majorEastAsia" w:hAnsiTheme="majorHAnsi" w:cstheme="majorBidi"/>
      <w:i/>
      <w:iCs/>
      <w:color w:val="2E74B5" w:themeColor="accent1" w:themeShade="BF"/>
      <w:lang w:eastAsia="en-US"/>
    </w:rPr>
  </w:style>
  <w:style w:type="paragraph" w:styleId="NormalWeb">
    <w:name w:val="Normal (Web)"/>
    <w:basedOn w:val="Normal"/>
    <w:uiPriority w:val="99"/>
    <w:semiHidden/>
    <w:unhideWhenUsed/>
    <w:rsid w:val="00437BE5"/>
    <w:pPr>
      <w:spacing w:before="100" w:beforeAutospacing="1" w:after="100" w:afterAutospacing="1"/>
    </w:pPr>
    <w:rPr>
      <w:rFonts w:ascii="Times New Roman" w:eastAsiaTheme="minorEastAsia" w:hAnsi="Times New Roman" w:cs="Times New Roman"/>
      <w:sz w:val="24"/>
      <w:szCs w:val="24"/>
      <w:lang w:eastAsia="zh-CN"/>
    </w:rPr>
  </w:style>
  <w:style w:type="table" w:styleId="TableGrid">
    <w:name w:val="Table Grid"/>
    <w:basedOn w:val="TableNormal"/>
    <w:uiPriority w:val="59"/>
    <w:rsid w:val="00056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D406F"/>
    <w:rPr>
      <w:rFonts w:asciiTheme="majorHAnsi" w:eastAsiaTheme="majorEastAsia" w:hAnsiTheme="majorHAnsi" w:cstheme="majorBidi"/>
      <w:color w:val="1F4D78" w:themeColor="accent1" w:themeShade="7F"/>
      <w:sz w:val="24"/>
      <w:szCs w:val="24"/>
      <w:lang w:eastAsia="en-US"/>
    </w:rPr>
  </w:style>
  <w:style w:type="paragraph" w:customStyle="1" w:styleId="Default">
    <w:name w:val="Default"/>
    <w:rsid w:val="000678EA"/>
    <w:pPr>
      <w:autoSpaceDE w:val="0"/>
      <w:autoSpaceDN w:val="0"/>
      <w:adjustRightInd w:val="0"/>
      <w:spacing w:after="0" w:line="240" w:lineRule="auto"/>
    </w:pPr>
    <w:rPr>
      <w:rFonts w:ascii="Garamond" w:hAnsi="Garamond" w:cs="Garamond"/>
      <w:color w:val="000000"/>
      <w:sz w:val="24"/>
      <w:szCs w:val="24"/>
    </w:rPr>
  </w:style>
  <w:style w:type="character" w:styleId="FollowedHyperlink">
    <w:name w:val="FollowedHyperlink"/>
    <w:basedOn w:val="DefaultParagraphFont"/>
    <w:uiPriority w:val="99"/>
    <w:semiHidden/>
    <w:unhideWhenUsed/>
    <w:rsid w:val="00664D4B"/>
    <w:rPr>
      <w:color w:val="954F72" w:themeColor="followedHyperlink"/>
      <w:u w:val="single"/>
    </w:rPr>
  </w:style>
  <w:style w:type="paragraph" w:styleId="Header">
    <w:name w:val="header"/>
    <w:basedOn w:val="Normal"/>
    <w:link w:val="HeaderChar"/>
    <w:uiPriority w:val="99"/>
    <w:unhideWhenUsed/>
    <w:rsid w:val="001611CE"/>
    <w:pPr>
      <w:tabs>
        <w:tab w:val="center" w:pos="4680"/>
        <w:tab w:val="right" w:pos="9360"/>
      </w:tabs>
    </w:pPr>
  </w:style>
  <w:style w:type="character" w:customStyle="1" w:styleId="HeaderChar">
    <w:name w:val="Header Char"/>
    <w:basedOn w:val="DefaultParagraphFont"/>
    <w:link w:val="Header"/>
    <w:uiPriority w:val="99"/>
    <w:rsid w:val="001611CE"/>
    <w:rPr>
      <w:rFonts w:ascii="Cambria" w:eastAsiaTheme="minorHAnsi" w:hAnsi="Cambria"/>
      <w:lang w:eastAsia="en-US"/>
    </w:rPr>
  </w:style>
  <w:style w:type="paragraph" w:styleId="Footer">
    <w:name w:val="footer"/>
    <w:basedOn w:val="Normal"/>
    <w:link w:val="FooterChar"/>
    <w:uiPriority w:val="99"/>
    <w:unhideWhenUsed/>
    <w:rsid w:val="001611CE"/>
    <w:pPr>
      <w:tabs>
        <w:tab w:val="center" w:pos="4680"/>
        <w:tab w:val="right" w:pos="9360"/>
      </w:tabs>
    </w:pPr>
  </w:style>
  <w:style w:type="character" w:customStyle="1" w:styleId="FooterChar">
    <w:name w:val="Footer Char"/>
    <w:basedOn w:val="DefaultParagraphFont"/>
    <w:link w:val="Footer"/>
    <w:uiPriority w:val="99"/>
    <w:rsid w:val="001611CE"/>
    <w:rPr>
      <w:rFonts w:ascii="Cambria" w:eastAsiaTheme="minorHAnsi" w:hAnsi="Cambria"/>
      <w:lang w:eastAsia="en-US"/>
    </w:rPr>
  </w:style>
  <w:style w:type="paragraph" w:customStyle="1" w:styleId="Normal1">
    <w:name w:val="Normal1"/>
    <w:rsid w:val="00EA1C2F"/>
    <w:pPr>
      <w:pBdr>
        <w:top w:val="nil"/>
        <w:left w:val="nil"/>
        <w:bottom w:val="nil"/>
        <w:right w:val="nil"/>
        <w:between w:val="nil"/>
      </w:pBdr>
      <w:spacing w:after="0" w:line="276" w:lineRule="auto"/>
    </w:pPr>
    <w:rPr>
      <w:rFonts w:ascii="Arial" w:eastAsia="Arial" w:hAnsi="Arial" w:cs="Arial"/>
      <w:color w:val="000000"/>
      <w:lang w:val="en" w:eastAsia="en-US"/>
    </w:rPr>
  </w:style>
  <w:style w:type="paragraph" w:styleId="NoSpacing">
    <w:name w:val="No Spacing"/>
    <w:uiPriority w:val="1"/>
    <w:qFormat/>
    <w:rsid w:val="002659B8"/>
    <w:pPr>
      <w:spacing w:after="0" w:line="240" w:lineRule="auto"/>
    </w:pPr>
    <w:rPr>
      <w:rFonts w:ascii="Cambria" w:eastAsiaTheme="minorHAnsi" w:hAnsi="Cambria"/>
      <w:lang w:eastAsia="en-US"/>
    </w:rPr>
  </w:style>
  <w:style w:type="paragraph" w:styleId="Revision">
    <w:name w:val="Revision"/>
    <w:hidden/>
    <w:uiPriority w:val="99"/>
    <w:semiHidden/>
    <w:rsid w:val="005A199A"/>
    <w:pPr>
      <w:spacing w:after="0" w:line="240" w:lineRule="auto"/>
    </w:pPr>
    <w:rPr>
      <w:rFonts w:ascii="Cambria" w:eastAsiaTheme="minorHAnsi" w:hAnsi="Cambria"/>
      <w:lang w:eastAsia="en-US"/>
    </w:rPr>
  </w:style>
  <w:style w:type="character" w:styleId="Emphasis">
    <w:name w:val="Emphasis"/>
    <w:basedOn w:val="DefaultParagraphFont"/>
    <w:uiPriority w:val="20"/>
    <w:qFormat/>
    <w:rsid w:val="00E04470"/>
    <w:rPr>
      <w:i/>
      <w:iCs/>
    </w:rPr>
  </w:style>
  <w:style w:type="character" w:customStyle="1" w:styleId="il">
    <w:name w:val="il"/>
    <w:basedOn w:val="DefaultParagraphFont"/>
    <w:rsid w:val="001E369C"/>
  </w:style>
  <w:style w:type="table" w:customStyle="1" w:styleId="TableGrid1">
    <w:name w:val="Table Grid1"/>
    <w:basedOn w:val="TableNormal"/>
    <w:next w:val="TableGrid"/>
    <w:uiPriority w:val="39"/>
    <w:rsid w:val="00222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86502"/>
    <w:rPr>
      <w:color w:val="808080"/>
      <w:shd w:val="clear" w:color="auto" w:fill="E6E6E6"/>
    </w:rPr>
  </w:style>
  <w:style w:type="character" w:customStyle="1" w:styleId="Heading5Char">
    <w:name w:val="Heading 5 Char"/>
    <w:basedOn w:val="DefaultParagraphFont"/>
    <w:link w:val="Heading5"/>
    <w:uiPriority w:val="9"/>
    <w:semiHidden/>
    <w:rsid w:val="00D967A7"/>
    <w:rPr>
      <w:rFonts w:asciiTheme="majorHAnsi" w:eastAsiaTheme="majorEastAsia" w:hAnsiTheme="majorHAnsi" w:cstheme="majorBidi"/>
      <w:color w:val="44546A" w:themeColor="text2"/>
      <w:lang w:eastAsia="en-US"/>
    </w:rPr>
  </w:style>
  <w:style w:type="character" w:customStyle="1" w:styleId="Heading6Char">
    <w:name w:val="Heading 6 Char"/>
    <w:basedOn w:val="DefaultParagraphFont"/>
    <w:link w:val="Heading6"/>
    <w:uiPriority w:val="9"/>
    <w:semiHidden/>
    <w:rsid w:val="00D967A7"/>
    <w:rPr>
      <w:rFonts w:asciiTheme="majorHAnsi" w:eastAsiaTheme="majorEastAsia" w:hAnsiTheme="majorHAnsi" w:cstheme="majorBidi"/>
      <w:i/>
      <w:iCs/>
      <w:color w:val="44546A" w:themeColor="text2"/>
      <w:sz w:val="21"/>
      <w:szCs w:val="21"/>
      <w:lang w:eastAsia="en-US"/>
    </w:rPr>
  </w:style>
  <w:style w:type="character" w:customStyle="1" w:styleId="Heading7Char">
    <w:name w:val="Heading 7 Char"/>
    <w:basedOn w:val="DefaultParagraphFont"/>
    <w:link w:val="Heading7"/>
    <w:uiPriority w:val="9"/>
    <w:semiHidden/>
    <w:rsid w:val="00D967A7"/>
    <w:rPr>
      <w:rFonts w:asciiTheme="majorHAnsi" w:eastAsiaTheme="majorEastAsia" w:hAnsiTheme="majorHAnsi" w:cstheme="majorBidi"/>
      <w:i/>
      <w:iCs/>
      <w:color w:val="1F4E79" w:themeColor="accent1" w:themeShade="80"/>
      <w:sz w:val="21"/>
      <w:szCs w:val="21"/>
      <w:lang w:eastAsia="en-US"/>
    </w:rPr>
  </w:style>
  <w:style w:type="character" w:customStyle="1" w:styleId="Heading8Char">
    <w:name w:val="Heading 8 Char"/>
    <w:basedOn w:val="DefaultParagraphFont"/>
    <w:link w:val="Heading8"/>
    <w:uiPriority w:val="9"/>
    <w:semiHidden/>
    <w:rsid w:val="00D967A7"/>
    <w:rPr>
      <w:rFonts w:asciiTheme="majorHAnsi" w:eastAsiaTheme="majorEastAsia" w:hAnsiTheme="majorHAnsi" w:cstheme="majorBidi"/>
      <w:b/>
      <w:bCs/>
      <w:color w:val="44546A" w:themeColor="text2"/>
      <w:szCs w:val="24"/>
      <w:lang w:eastAsia="en-US"/>
    </w:rPr>
  </w:style>
  <w:style w:type="character" w:customStyle="1" w:styleId="Heading9Char">
    <w:name w:val="Heading 9 Char"/>
    <w:basedOn w:val="DefaultParagraphFont"/>
    <w:link w:val="Heading9"/>
    <w:uiPriority w:val="9"/>
    <w:semiHidden/>
    <w:rsid w:val="00D967A7"/>
    <w:rPr>
      <w:rFonts w:asciiTheme="majorHAnsi" w:eastAsiaTheme="majorEastAsia" w:hAnsiTheme="majorHAnsi" w:cstheme="majorBidi"/>
      <w:b/>
      <w:bCs/>
      <w:i/>
      <w:iCs/>
      <w:color w:val="44546A" w:themeColor="text2"/>
      <w:szCs w:val="24"/>
      <w:lang w:eastAsia="en-US"/>
    </w:rPr>
  </w:style>
  <w:style w:type="paragraph" w:styleId="DocumentMap">
    <w:name w:val="Document Map"/>
    <w:basedOn w:val="Normal"/>
    <w:link w:val="DocumentMapChar"/>
    <w:uiPriority w:val="99"/>
    <w:semiHidden/>
    <w:unhideWhenUsed/>
    <w:rsid w:val="00B360F7"/>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360F7"/>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5634">
      <w:bodyDiv w:val="1"/>
      <w:marLeft w:val="0"/>
      <w:marRight w:val="0"/>
      <w:marTop w:val="0"/>
      <w:marBottom w:val="0"/>
      <w:divBdr>
        <w:top w:val="none" w:sz="0" w:space="0" w:color="auto"/>
        <w:left w:val="none" w:sz="0" w:space="0" w:color="auto"/>
        <w:bottom w:val="none" w:sz="0" w:space="0" w:color="auto"/>
        <w:right w:val="none" w:sz="0" w:space="0" w:color="auto"/>
      </w:divBdr>
    </w:div>
    <w:div w:id="329866516">
      <w:bodyDiv w:val="1"/>
      <w:marLeft w:val="0"/>
      <w:marRight w:val="0"/>
      <w:marTop w:val="0"/>
      <w:marBottom w:val="0"/>
      <w:divBdr>
        <w:top w:val="none" w:sz="0" w:space="0" w:color="auto"/>
        <w:left w:val="none" w:sz="0" w:space="0" w:color="auto"/>
        <w:bottom w:val="none" w:sz="0" w:space="0" w:color="auto"/>
        <w:right w:val="none" w:sz="0" w:space="0" w:color="auto"/>
      </w:divBdr>
    </w:div>
    <w:div w:id="509415431">
      <w:bodyDiv w:val="1"/>
      <w:marLeft w:val="0"/>
      <w:marRight w:val="0"/>
      <w:marTop w:val="0"/>
      <w:marBottom w:val="0"/>
      <w:divBdr>
        <w:top w:val="none" w:sz="0" w:space="0" w:color="auto"/>
        <w:left w:val="none" w:sz="0" w:space="0" w:color="auto"/>
        <w:bottom w:val="none" w:sz="0" w:space="0" w:color="auto"/>
        <w:right w:val="none" w:sz="0" w:space="0" w:color="auto"/>
      </w:divBdr>
    </w:div>
    <w:div w:id="728188882">
      <w:bodyDiv w:val="1"/>
      <w:marLeft w:val="0"/>
      <w:marRight w:val="0"/>
      <w:marTop w:val="0"/>
      <w:marBottom w:val="0"/>
      <w:divBdr>
        <w:top w:val="none" w:sz="0" w:space="0" w:color="auto"/>
        <w:left w:val="none" w:sz="0" w:space="0" w:color="auto"/>
        <w:bottom w:val="none" w:sz="0" w:space="0" w:color="auto"/>
        <w:right w:val="none" w:sz="0" w:space="0" w:color="auto"/>
      </w:divBdr>
      <w:divsChild>
        <w:div w:id="352725943">
          <w:marLeft w:val="0"/>
          <w:marRight w:val="0"/>
          <w:marTop w:val="0"/>
          <w:marBottom w:val="0"/>
          <w:divBdr>
            <w:top w:val="none" w:sz="0" w:space="0" w:color="auto"/>
            <w:left w:val="none" w:sz="0" w:space="0" w:color="auto"/>
            <w:bottom w:val="none" w:sz="0" w:space="0" w:color="auto"/>
            <w:right w:val="none" w:sz="0" w:space="0" w:color="auto"/>
          </w:divBdr>
        </w:div>
        <w:div w:id="393890185">
          <w:marLeft w:val="0"/>
          <w:marRight w:val="0"/>
          <w:marTop w:val="0"/>
          <w:marBottom w:val="0"/>
          <w:divBdr>
            <w:top w:val="none" w:sz="0" w:space="0" w:color="auto"/>
            <w:left w:val="none" w:sz="0" w:space="0" w:color="auto"/>
            <w:bottom w:val="none" w:sz="0" w:space="0" w:color="auto"/>
            <w:right w:val="none" w:sz="0" w:space="0" w:color="auto"/>
          </w:divBdr>
        </w:div>
        <w:div w:id="616568231">
          <w:marLeft w:val="0"/>
          <w:marRight w:val="0"/>
          <w:marTop w:val="0"/>
          <w:marBottom w:val="0"/>
          <w:divBdr>
            <w:top w:val="none" w:sz="0" w:space="0" w:color="auto"/>
            <w:left w:val="none" w:sz="0" w:space="0" w:color="auto"/>
            <w:bottom w:val="none" w:sz="0" w:space="0" w:color="auto"/>
            <w:right w:val="none" w:sz="0" w:space="0" w:color="auto"/>
          </w:divBdr>
        </w:div>
        <w:div w:id="690910255">
          <w:marLeft w:val="0"/>
          <w:marRight w:val="0"/>
          <w:marTop w:val="0"/>
          <w:marBottom w:val="0"/>
          <w:divBdr>
            <w:top w:val="none" w:sz="0" w:space="0" w:color="auto"/>
            <w:left w:val="none" w:sz="0" w:space="0" w:color="auto"/>
            <w:bottom w:val="none" w:sz="0" w:space="0" w:color="auto"/>
            <w:right w:val="none" w:sz="0" w:space="0" w:color="auto"/>
          </w:divBdr>
        </w:div>
        <w:div w:id="1055197699">
          <w:marLeft w:val="0"/>
          <w:marRight w:val="0"/>
          <w:marTop w:val="0"/>
          <w:marBottom w:val="0"/>
          <w:divBdr>
            <w:top w:val="none" w:sz="0" w:space="0" w:color="auto"/>
            <w:left w:val="none" w:sz="0" w:space="0" w:color="auto"/>
            <w:bottom w:val="none" w:sz="0" w:space="0" w:color="auto"/>
            <w:right w:val="none" w:sz="0" w:space="0" w:color="auto"/>
          </w:divBdr>
        </w:div>
        <w:div w:id="1144853574">
          <w:marLeft w:val="0"/>
          <w:marRight w:val="0"/>
          <w:marTop w:val="0"/>
          <w:marBottom w:val="0"/>
          <w:divBdr>
            <w:top w:val="none" w:sz="0" w:space="0" w:color="auto"/>
            <w:left w:val="none" w:sz="0" w:space="0" w:color="auto"/>
            <w:bottom w:val="none" w:sz="0" w:space="0" w:color="auto"/>
            <w:right w:val="none" w:sz="0" w:space="0" w:color="auto"/>
          </w:divBdr>
        </w:div>
        <w:div w:id="1323192884">
          <w:marLeft w:val="0"/>
          <w:marRight w:val="0"/>
          <w:marTop w:val="0"/>
          <w:marBottom w:val="0"/>
          <w:divBdr>
            <w:top w:val="none" w:sz="0" w:space="0" w:color="auto"/>
            <w:left w:val="none" w:sz="0" w:space="0" w:color="auto"/>
            <w:bottom w:val="none" w:sz="0" w:space="0" w:color="auto"/>
            <w:right w:val="none" w:sz="0" w:space="0" w:color="auto"/>
          </w:divBdr>
        </w:div>
        <w:div w:id="1471825987">
          <w:marLeft w:val="0"/>
          <w:marRight w:val="0"/>
          <w:marTop w:val="0"/>
          <w:marBottom w:val="0"/>
          <w:divBdr>
            <w:top w:val="none" w:sz="0" w:space="0" w:color="auto"/>
            <w:left w:val="none" w:sz="0" w:space="0" w:color="auto"/>
            <w:bottom w:val="none" w:sz="0" w:space="0" w:color="auto"/>
            <w:right w:val="none" w:sz="0" w:space="0" w:color="auto"/>
          </w:divBdr>
        </w:div>
        <w:div w:id="1529443582">
          <w:marLeft w:val="0"/>
          <w:marRight w:val="0"/>
          <w:marTop w:val="0"/>
          <w:marBottom w:val="0"/>
          <w:divBdr>
            <w:top w:val="none" w:sz="0" w:space="0" w:color="auto"/>
            <w:left w:val="none" w:sz="0" w:space="0" w:color="auto"/>
            <w:bottom w:val="none" w:sz="0" w:space="0" w:color="auto"/>
            <w:right w:val="none" w:sz="0" w:space="0" w:color="auto"/>
          </w:divBdr>
        </w:div>
        <w:div w:id="1546940960">
          <w:marLeft w:val="0"/>
          <w:marRight w:val="0"/>
          <w:marTop w:val="0"/>
          <w:marBottom w:val="0"/>
          <w:divBdr>
            <w:top w:val="none" w:sz="0" w:space="0" w:color="auto"/>
            <w:left w:val="none" w:sz="0" w:space="0" w:color="auto"/>
            <w:bottom w:val="none" w:sz="0" w:space="0" w:color="auto"/>
            <w:right w:val="none" w:sz="0" w:space="0" w:color="auto"/>
          </w:divBdr>
        </w:div>
      </w:divsChild>
    </w:div>
    <w:div w:id="926116516">
      <w:bodyDiv w:val="1"/>
      <w:marLeft w:val="0"/>
      <w:marRight w:val="0"/>
      <w:marTop w:val="0"/>
      <w:marBottom w:val="0"/>
      <w:divBdr>
        <w:top w:val="none" w:sz="0" w:space="0" w:color="auto"/>
        <w:left w:val="none" w:sz="0" w:space="0" w:color="auto"/>
        <w:bottom w:val="none" w:sz="0" w:space="0" w:color="auto"/>
        <w:right w:val="none" w:sz="0" w:space="0" w:color="auto"/>
      </w:divBdr>
    </w:div>
    <w:div w:id="1207831863">
      <w:bodyDiv w:val="1"/>
      <w:marLeft w:val="0"/>
      <w:marRight w:val="0"/>
      <w:marTop w:val="0"/>
      <w:marBottom w:val="0"/>
      <w:divBdr>
        <w:top w:val="none" w:sz="0" w:space="0" w:color="auto"/>
        <w:left w:val="none" w:sz="0" w:space="0" w:color="auto"/>
        <w:bottom w:val="none" w:sz="0" w:space="0" w:color="auto"/>
        <w:right w:val="none" w:sz="0" w:space="0" w:color="auto"/>
      </w:divBdr>
    </w:div>
    <w:div w:id="1248073994">
      <w:bodyDiv w:val="1"/>
      <w:marLeft w:val="0"/>
      <w:marRight w:val="0"/>
      <w:marTop w:val="0"/>
      <w:marBottom w:val="0"/>
      <w:divBdr>
        <w:top w:val="none" w:sz="0" w:space="0" w:color="auto"/>
        <w:left w:val="none" w:sz="0" w:space="0" w:color="auto"/>
        <w:bottom w:val="none" w:sz="0" w:space="0" w:color="auto"/>
        <w:right w:val="none" w:sz="0" w:space="0" w:color="auto"/>
      </w:divBdr>
    </w:div>
    <w:div w:id="1609124509">
      <w:bodyDiv w:val="1"/>
      <w:marLeft w:val="0"/>
      <w:marRight w:val="0"/>
      <w:marTop w:val="0"/>
      <w:marBottom w:val="0"/>
      <w:divBdr>
        <w:top w:val="none" w:sz="0" w:space="0" w:color="auto"/>
        <w:left w:val="none" w:sz="0" w:space="0" w:color="auto"/>
        <w:bottom w:val="none" w:sz="0" w:space="0" w:color="auto"/>
        <w:right w:val="none" w:sz="0" w:space="0" w:color="auto"/>
      </w:divBdr>
    </w:div>
    <w:div w:id="1624261644">
      <w:bodyDiv w:val="1"/>
      <w:marLeft w:val="0"/>
      <w:marRight w:val="0"/>
      <w:marTop w:val="0"/>
      <w:marBottom w:val="0"/>
      <w:divBdr>
        <w:top w:val="none" w:sz="0" w:space="0" w:color="auto"/>
        <w:left w:val="none" w:sz="0" w:space="0" w:color="auto"/>
        <w:bottom w:val="none" w:sz="0" w:space="0" w:color="auto"/>
        <w:right w:val="none" w:sz="0" w:space="0" w:color="auto"/>
      </w:divBdr>
      <w:divsChild>
        <w:div w:id="214048626">
          <w:marLeft w:val="1267"/>
          <w:marRight w:val="0"/>
          <w:marTop w:val="0"/>
          <w:marBottom w:val="0"/>
          <w:divBdr>
            <w:top w:val="none" w:sz="0" w:space="0" w:color="auto"/>
            <w:left w:val="none" w:sz="0" w:space="0" w:color="auto"/>
            <w:bottom w:val="none" w:sz="0" w:space="0" w:color="auto"/>
            <w:right w:val="none" w:sz="0" w:space="0" w:color="auto"/>
          </w:divBdr>
        </w:div>
      </w:divsChild>
    </w:div>
    <w:div w:id="1642150714">
      <w:bodyDiv w:val="1"/>
      <w:marLeft w:val="0"/>
      <w:marRight w:val="0"/>
      <w:marTop w:val="0"/>
      <w:marBottom w:val="0"/>
      <w:divBdr>
        <w:top w:val="none" w:sz="0" w:space="0" w:color="auto"/>
        <w:left w:val="none" w:sz="0" w:space="0" w:color="auto"/>
        <w:bottom w:val="none" w:sz="0" w:space="0" w:color="auto"/>
        <w:right w:val="none" w:sz="0" w:space="0" w:color="auto"/>
      </w:divBdr>
    </w:div>
    <w:div w:id="1802729542">
      <w:bodyDiv w:val="1"/>
      <w:marLeft w:val="0"/>
      <w:marRight w:val="0"/>
      <w:marTop w:val="0"/>
      <w:marBottom w:val="0"/>
      <w:divBdr>
        <w:top w:val="none" w:sz="0" w:space="0" w:color="auto"/>
        <w:left w:val="none" w:sz="0" w:space="0" w:color="auto"/>
        <w:bottom w:val="none" w:sz="0" w:space="0" w:color="auto"/>
        <w:right w:val="none" w:sz="0" w:space="0" w:color="auto"/>
      </w:divBdr>
    </w:div>
    <w:div w:id="206903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omics.mit.edu/files/5579" TargetMode="External"/><Relationship Id="rId13" Type="http://schemas.openxmlformats.org/officeDocument/2006/relationships/image" Target="media/image2.jpg"/><Relationship Id="rId18" Type="http://schemas.openxmlformats.org/officeDocument/2006/relationships/hyperlink" Target="https://www.givewell.org/charities/new-incentives/all-conten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vanguardngr.com/2015/09/nigeria-launches-nmis-portal-to-access-260-000-public-facilities/" TargetMode="External"/><Relationship Id="rId17" Type="http://schemas.openxmlformats.org/officeDocument/2006/relationships/hyperlink" Target="https://www.givewell.org/charities/top-charities" TargetMode="External"/><Relationship Id="rId2" Type="http://schemas.openxmlformats.org/officeDocument/2006/relationships/numbering" Target="numbering.xml"/><Relationship Id="rId16" Type="http://schemas.openxmlformats.org/officeDocument/2006/relationships/hyperlink" Target="https://www.givewell.org/how-we-work/criteri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les.givewell.org/files/DWDA%202009/NewIncentives/IDinsightTripReportNewIncentivesMarch2017.pdf" TargetMode="External"/><Relationship Id="rId5" Type="http://schemas.openxmlformats.org/officeDocument/2006/relationships/webSettings" Target="webSettings.xml"/><Relationship Id="rId15" Type="http://schemas.openxmlformats.org/officeDocument/2006/relationships/hyperlink" Target="https://www.givewell.org/"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givewell.org/how-we-work/our-criteria/cost-effectiveness/cost-effectiveness-models" TargetMode="External"/><Relationship Id="rId4" Type="http://schemas.openxmlformats.org/officeDocument/2006/relationships/settings" Target="settings.xml"/><Relationship Id="rId9" Type="http://schemas.openxmlformats.org/officeDocument/2006/relationships/hyperlink" Target="http://paa2014.princeton.edu/papers/142344" TargetMode="External"/><Relationship Id="rId14" Type="http://schemas.openxmlformats.org/officeDocument/2006/relationships/hyperlink" Target="http://www.goodventures.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ivewell.org/research/site-visits/february-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16852-8C5E-4E49-92E5-2DFAEB512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14057</Words>
  <Characters>80125</Characters>
  <Application>Microsoft Office Word</Application>
  <DocSecurity>0</DocSecurity>
  <Lines>667</Lines>
  <Paragraphs>187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2019-11-29T07:08:00Z</dcterms:created>
  <dcterms:modified xsi:type="dcterms:W3CDTF">2019-11-29T07:08:00Z</dcterms:modified>
</cp:coreProperties>
</file>